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815BDA" w:rsidTr="002A258A">
        <w:tc>
          <w:tcPr>
            <w:tcW w:w="4843" w:type="dxa"/>
            <w:tcBorders>
              <w:bottom w:val="single" w:sz="4" w:space="0" w:color="auto"/>
            </w:tcBorders>
          </w:tcPr>
          <w:p w:rsidR="00815BDA" w:rsidRDefault="00815BDA" w:rsidP="002A258A">
            <w:pPr>
              <w:bidi/>
              <w:rPr>
                <w:rFonts w:ascii="Arabic Typesetting" w:hAnsi="Arabic Typesetting" w:cs="Arabic Typesetting"/>
                <w:sz w:val="36"/>
                <w:szCs w:val="36"/>
                <w:rtl/>
              </w:rPr>
            </w:pPr>
          </w:p>
        </w:tc>
        <w:tc>
          <w:tcPr>
            <w:tcW w:w="4223" w:type="dxa"/>
            <w:tcBorders>
              <w:bottom w:val="single" w:sz="4" w:space="0" w:color="auto"/>
            </w:tcBorders>
          </w:tcPr>
          <w:p w:rsidR="00815BDA" w:rsidRDefault="00815BDA" w:rsidP="002A258A">
            <w:pPr>
              <w:bidi/>
              <w:spacing w:after="20"/>
              <w:rPr>
                <w:rFonts w:ascii="Arabic Typesetting" w:hAnsi="Arabic Typesetting" w:cs="Arabic Typesetting"/>
                <w:sz w:val="36"/>
                <w:szCs w:val="36"/>
                <w:rtl/>
              </w:rPr>
            </w:pPr>
            <w:r>
              <w:rPr>
                <w:noProof/>
              </w:rPr>
              <w:drawing>
                <wp:inline distT="0" distB="0" distL="0" distR="0" wp14:anchorId="3C13387B" wp14:editId="486A89E5">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815BDA" w:rsidRPr="001667B6" w:rsidRDefault="00815BDA" w:rsidP="002A258A">
            <w:pPr>
              <w:rPr>
                <w:b/>
                <w:bCs/>
                <w:sz w:val="40"/>
                <w:szCs w:val="40"/>
              </w:rPr>
            </w:pPr>
            <w:r>
              <w:rPr>
                <w:b/>
                <w:bCs/>
                <w:sz w:val="40"/>
                <w:szCs w:val="40"/>
              </w:rPr>
              <w:t>A</w:t>
            </w:r>
          </w:p>
        </w:tc>
      </w:tr>
      <w:tr w:rsidR="00815BDA" w:rsidTr="002A258A">
        <w:trPr>
          <w:trHeight w:val="333"/>
        </w:trPr>
        <w:tc>
          <w:tcPr>
            <w:tcW w:w="9571" w:type="dxa"/>
            <w:gridSpan w:val="3"/>
            <w:tcBorders>
              <w:top w:val="single" w:sz="4" w:space="0" w:color="auto"/>
            </w:tcBorders>
            <w:vAlign w:val="bottom"/>
          </w:tcPr>
          <w:p w:rsidR="00815BDA" w:rsidRPr="00B6101C" w:rsidRDefault="00815BDA" w:rsidP="00D07575">
            <w:pPr>
              <w:pStyle w:val="DocumentCodeAR"/>
              <w:bidi/>
              <w:rPr>
                <w:rtl/>
              </w:rPr>
            </w:pPr>
            <w:r>
              <w:t>WO/GA/43</w:t>
            </w:r>
            <w:r w:rsidRPr="00B6101C">
              <w:t>/</w:t>
            </w:r>
            <w:r w:rsidR="00D07575">
              <w:t>2</w:t>
            </w:r>
          </w:p>
        </w:tc>
      </w:tr>
      <w:tr w:rsidR="00815BDA" w:rsidTr="002A258A">
        <w:tc>
          <w:tcPr>
            <w:tcW w:w="9571" w:type="dxa"/>
            <w:gridSpan w:val="3"/>
          </w:tcPr>
          <w:p w:rsidR="00815BDA" w:rsidRPr="00B6101C" w:rsidRDefault="00815BDA" w:rsidP="00D07575">
            <w:pPr>
              <w:pStyle w:val="DocumentLanguageAR"/>
              <w:bidi/>
              <w:rPr>
                <w:rtl/>
              </w:rPr>
            </w:pPr>
            <w:r w:rsidRPr="00B6101C">
              <w:rPr>
                <w:rFonts w:hint="cs"/>
                <w:rtl/>
              </w:rPr>
              <w:t xml:space="preserve">الأصل: </w:t>
            </w:r>
            <w:r w:rsidR="00D07575">
              <w:rPr>
                <w:rFonts w:hint="cs"/>
                <w:rtl/>
              </w:rPr>
              <w:t>بالإنكليزية</w:t>
            </w:r>
          </w:p>
        </w:tc>
      </w:tr>
      <w:tr w:rsidR="00815BDA" w:rsidTr="002A258A">
        <w:tc>
          <w:tcPr>
            <w:tcW w:w="9571" w:type="dxa"/>
            <w:gridSpan w:val="3"/>
          </w:tcPr>
          <w:p w:rsidR="00815BDA" w:rsidRPr="00B6101C" w:rsidRDefault="00815BDA" w:rsidP="00D07575">
            <w:pPr>
              <w:pStyle w:val="DocumentDateAR"/>
              <w:bidi/>
              <w:rPr>
                <w:rtl/>
              </w:rPr>
            </w:pPr>
            <w:r w:rsidRPr="00B6101C">
              <w:rPr>
                <w:rFonts w:hint="cs"/>
                <w:rtl/>
              </w:rPr>
              <w:t xml:space="preserve">التاريخ: </w:t>
            </w:r>
            <w:r w:rsidR="00D07575">
              <w:rPr>
                <w:rFonts w:hint="cs"/>
                <w:rtl/>
              </w:rPr>
              <w:t>22</w:t>
            </w:r>
            <w:r w:rsidRPr="00B6101C">
              <w:rPr>
                <w:rFonts w:hint="cs"/>
                <w:rtl/>
              </w:rPr>
              <w:t xml:space="preserve"> </w:t>
            </w:r>
            <w:r w:rsidR="00D07575">
              <w:rPr>
                <w:rFonts w:hint="cs"/>
                <w:rtl/>
              </w:rPr>
              <w:t xml:space="preserve">يوليو </w:t>
            </w:r>
            <w:r>
              <w:rPr>
                <w:rFonts w:hint="cs"/>
                <w:rtl/>
              </w:rPr>
              <w:t>2013</w:t>
            </w:r>
          </w:p>
        </w:tc>
      </w:tr>
    </w:tbl>
    <w:p w:rsidR="00815BDA" w:rsidRDefault="00815BDA" w:rsidP="00815BDA">
      <w:pPr>
        <w:bidi/>
        <w:spacing w:line="360" w:lineRule="exact"/>
        <w:rPr>
          <w:rFonts w:ascii="Arabic Typesetting" w:hAnsi="Arabic Typesetting" w:cs="Arabic Typesetting"/>
          <w:sz w:val="36"/>
          <w:szCs w:val="36"/>
          <w:rtl/>
        </w:rPr>
      </w:pPr>
    </w:p>
    <w:p w:rsidR="00815BDA" w:rsidRDefault="00815BDA" w:rsidP="00815BDA">
      <w:pPr>
        <w:bidi/>
        <w:spacing w:line="360" w:lineRule="exact"/>
        <w:rPr>
          <w:rFonts w:ascii="Arabic Typesetting" w:hAnsi="Arabic Typesetting" w:cs="Arabic Typesetting"/>
          <w:sz w:val="36"/>
          <w:szCs w:val="36"/>
          <w:rtl/>
        </w:rPr>
      </w:pPr>
    </w:p>
    <w:p w:rsidR="00815BDA" w:rsidRDefault="00815BDA" w:rsidP="00815BDA">
      <w:pPr>
        <w:bidi/>
        <w:spacing w:line="360" w:lineRule="exact"/>
        <w:rPr>
          <w:rFonts w:ascii="Arabic Typesetting" w:hAnsi="Arabic Typesetting" w:cs="Arabic Typesetting"/>
          <w:sz w:val="36"/>
          <w:szCs w:val="36"/>
          <w:rtl/>
        </w:rPr>
      </w:pPr>
    </w:p>
    <w:p w:rsidR="00815BDA" w:rsidRPr="0059089F" w:rsidRDefault="00815BDA" w:rsidP="00815BDA">
      <w:pPr>
        <w:pStyle w:val="MeetingTitleAR"/>
        <w:bidi/>
        <w:ind w:right="550"/>
        <w:rPr>
          <w:rtl/>
          <w:lang w:val="fr-CH"/>
        </w:rPr>
      </w:pPr>
      <w:r>
        <w:rPr>
          <w:rFonts w:hint="cs"/>
          <w:rtl/>
          <w:lang w:val="fr-CH"/>
        </w:rPr>
        <w:t>الجمعية العامة للويبو</w:t>
      </w:r>
    </w:p>
    <w:p w:rsidR="00815BDA" w:rsidRDefault="00815BDA" w:rsidP="00815BDA">
      <w:pPr>
        <w:bidi/>
        <w:spacing w:line="360" w:lineRule="exact"/>
        <w:rPr>
          <w:rFonts w:ascii="Arabic Typesetting" w:hAnsi="Arabic Typesetting" w:cs="Arabic Typesetting"/>
          <w:sz w:val="36"/>
          <w:szCs w:val="36"/>
          <w:rtl/>
        </w:rPr>
      </w:pPr>
    </w:p>
    <w:p w:rsidR="00815BDA" w:rsidRPr="00783D11" w:rsidRDefault="00815BDA" w:rsidP="00815BDA">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815BDA" w:rsidRPr="00D61541" w:rsidRDefault="00815BDA" w:rsidP="00815BDA">
      <w:pPr>
        <w:pStyle w:val="MeetingDatesAR"/>
        <w:bidi/>
        <w:rPr>
          <w:rtl/>
        </w:rPr>
      </w:pPr>
      <w:r w:rsidRPr="00D61541">
        <w:rPr>
          <w:rFonts w:hint="cs"/>
          <w:rtl/>
        </w:rPr>
        <w:t xml:space="preserve">جنيف، من </w:t>
      </w:r>
      <w:r>
        <w:rPr>
          <w:rFonts w:hint="cs"/>
          <w:rtl/>
        </w:rPr>
        <w:t>23 سبتمبر إلى 2 أكتوبر 2013</w:t>
      </w:r>
    </w:p>
    <w:p w:rsidR="00815BDA" w:rsidRDefault="00815BDA" w:rsidP="00815BDA">
      <w:pPr>
        <w:bidi/>
        <w:spacing w:line="360" w:lineRule="exact"/>
        <w:rPr>
          <w:rFonts w:ascii="Arabic Typesetting" w:hAnsi="Arabic Typesetting" w:cs="Arabic Typesetting"/>
          <w:sz w:val="36"/>
          <w:szCs w:val="36"/>
          <w:rtl/>
        </w:rPr>
      </w:pPr>
    </w:p>
    <w:p w:rsidR="00815BDA" w:rsidRDefault="00815BDA" w:rsidP="00815BDA">
      <w:pPr>
        <w:bidi/>
        <w:spacing w:line="360" w:lineRule="exact"/>
        <w:rPr>
          <w:rFonts w:ascii="Arabic Typesetting" w:hAnsi="Arabic Typesetting" w:cs="Arabic Typesetting"/>
          <w:sz w:val="36"/>
          <w:szCs w:val="36"/>
          <w:rtl/>
        </w:rPr>
      </w:pPr>
    </w:p>
    <w:p w:rsidR="00815BDA" w:rsidRPr="00D61541" w:rsidRDefault="00D07575" w:rsidP="00D07575">
      <w:pPr>
        <w:pStyle w:val="DocumentTitleAR"/>
        <w:bidi/>
        <w:rPr>
          <w:rtl/>
        </w:rPr>
      </w:pPr>
      <w:r w:rsidRPr="00224785">
        <w:rPr>
          <w:rtl/>
        </w:rPr>
        <w:t>التقرير المالي السنوي والبيانات المالية السنوية لعام 2012</w:t>
      </w:r>
    </w:p>
    <w:p w:rsidR="00815BDA" w:rsidRPr="00D61541" w:rsidRDefault="00815BDA" w:rsidP="00815BDA">
      <w:pPr>
        <w:pStyle w:val="PreparedbyAR"/>
        <w:bidi/>
        <w:rPr>
          <w:rtl/>
        </w:rPr>
      </w:pPr>
      <w:r w:rsidRPr="00D61541">
        <w:rPr>
          <w:rFonts w:hint="cs"/>
          <w:rtl/>
        </w:rPr>
        <w:t xml:space="preserve">من </w:t>
      </w:r>
      <w:r w:rsidRPr="00931859">
        <w:rPr>
          <w:rFonts w:hint="cs"/>
          <w:rtl/>
        </w:rPr>
        <w:t>إعداد</w:t>
      </w:r>
      <w:r w:rsidR="00D07575">
        <w:rPr>
          <w:rFonts w:hint="cs"/>
          <w:rtl/>
        </w:rPr>
        <w:t xml:space="preserve"> الأمانة</w:t>
      </w:r>
    </w:p>
    <w:p w:rsidR="00815BDA" w:rsidRDefault="00D07575" w:rsidP="00D07575">
      <w:pPr>
        <w:pStyle w:val="NumberedParaAR"/>
      </w:pPr>
      <w:r>
        <w:rPr>
          <w:rFonts w:hint="cs"/>
          <w:rtl/>
        </w:rPr>
        <w:t xml:space="preserve">تحتوي هذه </w:t>
      </w:r>
      <w:r w:rsidR="00815BDA" w:rsidRPr="002517A1">
        <w:rPr>
          <w:rtl/>
        </w:rPr>
        <w:t xml:space="preserve">الوثيقة على </w:t>
      </w:r>
      <w:r w:rsidRPr="00D07575">
        <w:rPr>
          <w:rtl/>
        </w:rPr>
        <w:t xml:space="preserve">التقرير المالي السنوي والبيانات المالية السنوية لعام 2012 </w:t>
      </w:r>
      <w:r w:rsidR="00815BDA" w:rsidRPr="002517A1">
        <w:rPr>
          <w:rtl/>
        </w:rPr>
        <w:t>(الوثيقة</w:t>
      </w:r>
      <w:r w:rsidR="00815BDA">
        <w:rPr>
          <w:rFonts w:hint="cs"/>
          <w:rtl/>
        </w:rPr>
        <w:t> </w:t>
      </w:r>
      <w:r w:rsidR="00815BDA" w:rsidRPr="002517A1">
        <w:t>WO/PBC/21/4</w:t>
      </w:r>
      <w:r w:rsidR="00815BDA" w:rsidRPr="002517A1">
        <w:rPr>
          <w:rtl/>
        </w:rPr>
        <w:t>). وهو مطروح على لجنة الويبو للبرنامج والميزانية (اللجنة) في دورتها الحادية والعشرين (من</w:t>
      </w:r>
      <w:r w:rsidR="00815BDA">
        <w:rPr>
          <w:rFonts w:hint="cs"/>
          <w:rtl/>
        </w:rPr>
        <w:t> </w:t>
      </w:r>
      <w:r w:rsidR="00815BDA" w:rsidRPr="002517A1">
        <w:rPr>
          <w:rtl/>
        </w:rPr>
        <w:t>9 إلى 13 سبتمبر 2013).</w:t>
      </w:r>
    </w:p>
    <w:p w:rsidR="00815BDA" w:rsidRDefault="00815BDA" w:rsidP="00815BDA">
      <w:pPr>
        <w:pStyle w:val="NumberedParaAR"/>
      </w:pPr>
      <w:r w:rsidRPr="002517A1">
        <w:rPr>
          <w:rtl/>
        </w:rPr>
        <w:t xml:space="preserve">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815BDA" w:rsidRPr="00815BDA" w:rsidRDefault="00D07575" w:rsidP="00341374">
      <w:pPr>
        <w:pStyle w:val="DecisionParaAR"/>
      </w:pPr>
      <w:r>
        <w:rPr>
          <w:rFonts w:hint="cs"/>
          <w:rtl/>
        </w:rPr>
        <w:t xml:space="preserve">إن </w:t>
      </w:r>
      <w:r w:rsidR="00341374">
        <w:rPr>
          <w:rFonts w:hint="cs"/>
          <w:rtl/>
          <w:lang w:val="fr-CH"/>
        </w:rPr>
        <w:t xml:space="preserve">الجمعية العامة للويبو مدعوة إلى الموافقة على </w:t>
      </w:r>
      <w:r w:rsidR="00341374" w:rsidRPr="00341374">
        <w:rPr>
          <w:rtl/>
          <w:lang w:val="fr-CH"/>
        </w:rPr>
        <w:t>التقرير المالي السنوي والبيانات المالية السنوية لعام 2012</w:t>
      </w:r>
      <w:r w:rsidR="00341374">
        <w:rPr>
          <w:rFonts w:hint="cs"/>
          <w:rtl/>
          <w:lang w:val="fr-CH"/>
        </w:rPr>
        <w:t xml:space="preserve">، مع مراعاة أية توصية تتخذها لجنة البرنامج والميزانية في هذا الصدد كما وردت في الوثيقة </w:t>
      </w:r>
      <w:r w:rsidR="00341374">
        <w:t>A/51/14</w:t>
      </w:r>
      <w:r w:rsidR="00341374">
        <w:rPr>
          <w:rFonts w:hint="cs"/>
          <w:rtl/>
          <w:lang w:val="fr-CH"/>
        </w:rPr>
        <w:t>.</w:t>
      </w:r>
    </w:p>
    <w:p w:rsidR="00815BDA" w:rsidRDefault="00D07575" w:rsidP="00D07575">
      <w:pPr>
        <w:pStyle w:val="EndofDocumentAR"/>
      </w:pPr>
      <w:r>
        <w:rPr>
          <w:rFonts w:hint="cs"/>
          <w:rtl/>
        </w:rPr>
        <w:t xml:space="preserve">[تلي ذلك </w:t>
      </w:r>
      <w:r w:rsidR="00341374">
        <w:rPr>
          <w:rFonts w:hint="cs"/>
          <w:rtl/>
        </w:rPr>
        <w:t xml:space="preserve">الوثيقة </w:t>
      </w:r>
      <w:r w:rsidR="00341374">
        <w:t>WO/PBC/21/4</w:t>
      </w:r>
      <w:r w:rsidR="00341374">
        <w:rPr>
          <w:rFonts w:hint="cs"/>
          <w:rtl/>
        </w:rPr>
        <w:t>]</w:t>
      </w:r>
    </w:p>
    <w:p w:rsidR="00815BDA" w:rsidRDefault="00815BDA" w:rsidP="006371A4">
      <w:r>
        <w:rPr>
          <w:rtl/>
        </w:rPr>
        <w:br w:type="page"/>
      </w:r>
    </w:p>
    <w:p w:rsidR="00815BDA" w:rsidRDefault="00815BDA" w:rsidP="00815BDA">
      <w:pPr>
        <w:pStyle w:val="NormalParaAR"/>
        <w:rPr>
          <w:rtl/>
        </w:rPr>
        <w:sectPr w:rsidR="00815BDA" w:rsidSect="00EB7752">
          <w:pgSz w:w="11907" w:h="16840" w:code="9"/>
          <w:pgMar w:top="567" w:right="1418" w:bottom="1418" w:left="1134" w:header="510" w:footer="1021" w:gutter="0"/>
          <w:cols w:space="720"/>
          <w:titlePg/>
          <w:docGrid w:linePitch="299"/>
        </w:sectPr>
      </w:pPr>
    </w:p>
    <w:p w:rsidR="001051A8" w:rsidRDefault="001051A8">
      <w:pPr>
        <w:bidi/>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BCC33EE" wp14:editId="63F1233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A25B6">
            <w:pPr>
              <w:pStyle w:val="DocumentCodeAR"/>
              <w:bidi/>
              <w:rPr>
                <w:rtl/>
              </w:rPr>
            </w:pPr>
            <w:r>
              <w:t>WO/</w:t>
            </w:r>
            <w:r w:rsidR="00983389">
              <w:t>PBC</w:t>
            </w:r>
            <w:r w:rsidR="00100F97">
              <w:t>/</w:t>
            </w:r>
            <w:r>
              <w:t>2</w:t>
            </w:r>
            <w:r w:rsidR="00274410">
              <w:t>1</w:t>
            </w:r>
            <w:r w:rsidR="00B6101C" w:rsidRPr="00B6101C">
              <w:t>/</w:t>
            </w:r>
            <w:r w:rsidR="006A25B6">
              <w:t>4</w:t>
            </w:r>
          </w:p>
        </w:tc>
      </w:tr>
      <w:tr w:rsidR="001667B6" w:rsidTr="00BF164F">
        <w:tc>
          <w:tcPr>
            <w:tcW w:w="9571" w:type="dxa"/>
            <w:gridSpan w:val="3"/>
          </w:tcPr>
          <w:p w:rsidR="001667B6" w:rsidRPr="00B6101C" w:rsidRDefault="00B6101C" w:rsidP="006A25B6">
            <w:pPr>
              <w:pStyle w:val="DocumentLanguageAR"/>
              <w:bidi/>
              <w:rPr>
                <w:rtl/>
              </w:rPr>
            </w:pPr>
            <w:r w:rsidRPr="00B6101C">
              <w:rPr>
                <w:rFonts w:hint="cs"/>
                <w:rtl/>
              </w:rPr>
              <w:t xml:space="preserve">الأصل: </w:t>
            </w:r>
            <w:r w:rsidR="006A25B6">
              <w:rPr>
                <w:rFonts w:hint="cs"/>
                <w:rtl/>
              </w:rPr>
              <w:t>بالإنكليزية</w:t>
            </w:r>
          </w:p>
        </w:tc>
      </w:tr>
      <w:tr w:rsidR="001667B6" w:rsidTr="00BF164F">
        <w:tc>
          <w:tcPr>
            <w:tcW w:w="9571" w:type="dxa"/>
            <w:gridSpan w:val="3"/>
          </w:tcPr>
          <w:p w:rsidR="001667B6" w:rsidRPr="00B6101C" w:rsidRDefault="00B6101C" w:rsidP="006A25B6">
            <w:pPr>
              <w:pStyle w:val="DocumentDateAR"/>
              <w:bidi/>
              <w:rPr>
                <w:rtl/>
              </w:rPr>
            </w:pPr>
            <w:r w:rsidRPr="00B6101C">
              <w:rPr>
                <w:rFonts w:hint="cs"/>
                <w:rtl/>
              </w:rPr>
              <w:t xml:space="preserve">التاريخ: </w:t>
            </w:r>
            <w:r w:rsidR="006A25B6">
              <w:rPr>
                <w:rFonts w:hint="cs"/>
                <w:rtl/>
              </w:rPr>
              <w:t>15</w:t>
            </w:r>
            <w:r w:rsidRPr="00B6101C">
              <w:rPr>
                <w:rFonts w:hint="cs"/>
                <w:rtl/>
              </w:rPr>
              <w:t xml:space="preserve"> </w:t>
            </w:r>
            <w:r w:rsidR="006A25B6">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24785" w:rsidP="00FB7EC9">
      <w:pPr>
        <w:pStyle w:val="DocumentTitleAR"/>
        <w:bidi/>
        <w:rPr>
          <w:rtl/>
        </w:rPr>
      </w:pPr>
      <w:r w:rsidRPr="00224785">
        <w:rPr>
          <w:rtl/>
        </w:rPr>
        <w:t>التقرير المالي السنوي والبيانات المالية السنوية لعام 2012</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24785">
        <w:rPr>
          <w:rFonts w:hint="cs"/>
          <w:rtl/>
        </w:rPr>
        <w:t xml:space="preserve"> الأمانة</w:t>
      </w:r>
    </w:p>
    <w:p w:rsidR="00224785" w:rsidRDefault="00224785" w:rsidP="00134318">
      <w:pPr>
        <w:pStyle w:val="NumberedParaAR"/>
        <w:numPr>
          <w:ilvl w:val="0"/>
          <w:numId w:val="41"/>
        </w:numPr>
        <w:rPr>
          <w:rtl/>
        </w:rPr>
      </w:pPr>
      <w:r>
        <w:rPr>
          <w:rtl/>
        </w:rPr>
        <w:t>أحيلت البيانات المالية للمنظمة العالمية للملكية الفكرية للسنة المنتهية في 31 ديسمبر 201</w:t>
      </w:r>
      <w:r>
        <w:rPr>
          <w:rFonts w:hint="cs"/>
          <w:rtl/>
        </w:rPr>
        <w:t>2</w:t>
      </w:r>
      <w:r>
        <w:rPr>
          <w:rtl/>
        </w:rPr>
        <w:t xml:space="preserve"> إلى لجنة البرنامج والميزانية وفقا للمادة 8-11 من النظام المالي ولائحته التي تنص على أن تفحص لجنة البرنامج والميزانية البيانات المالية وتقارير مراجعة الحسابات الصادرة فيها وأن تحيلها إلى الجمعية العامة مع التعليقات والتوصيات حسب الاقتضاء.</w:t>
      </w:r>
    </w:p>
    <w:p w:rsidR="00224785" w:rsidRDefault="00224785" w:rsidP="005328A6">
      <w:pPr>
        <w:pStyle w:val="NumberedParaAR"/>
        <w:rPr>
          <w:rtl/>
        </w:rPr>
      </w:pPr>
      <w:r>
        <w:rPr>
          <w:rtl/>
        </w:rPr>
        <w:t>وأعدت البيانات المالية لسنة 201</w:t>
      </w:r>
      <w:r>
        <w:rPr>
          <w:rFonts w:hint="cs"/>
          <w:rtl/>
        </w:rPr>
        <w:t>2</w:t>
      </w:r>
      <w:r>
        <w:rPr>
          <w:rtl/>
        </w:rPr>
        <w:t xml:space="preserve"> وفقا للمعايير المحاسبية الدولية للقطاع العام. ووافقت الدول الأعضاء، في الدورة الثالثة والأربعين للجمعيات المعقودة </w:t>
      </w:r>
      <w:r>
        <w:rPr>
          <w:rFonts w:hint="cs"/>
          <w:rtl/>
        </w:rPr>
        <w:t xml:space="preserve">في الفترة </w:t>
      </w:r>
      <w:r>
        <w:rPr>
          <w:rtl/>
        </w:rPr>
        <w:t xml:space="preserve">من 24 سبتمبر إلى 3 أكتوبر 2007، بشكل مبدئي، على أن تعتمد الويبو المعايير المحاسبية الدولية للقطاع العام بحلول سنة 2010 (الوثيقة </w:t>
      </w:r>
      <w:r>
        <w:t>A/43/5</w:t>
      </w:r>
      <w:r>
        <w:rPr>
          <w:rtl/>
        </w:rPr>
        <w:t>). وتعتبر البيانات المالية لسنة 201</w:t>
      </w:r>
      <w:r w:rsidR="005328A6">
        <w:rPr>
          <w:rFonts w:hint="cs"/>
          <w:rtl/>
        </w:rPr>
        <w:t>2</w:t>
      </w:r>
      <w:r>
        <w:rPr>
          <w:rtl/>
        </w:rPr>
        <w:t xml:space="preserve"> المجموعة </w:t>
      </w:r>
      <w:r w:rsidR="005328A6">
        <w:rPr>
          <w:rFonts w:hint="cs"/>
          <w:rtl/>
        </w:rPr>
        <w:t>الثالثة</w:t>
      </w:r>
      <w:r>
        <w:rPr>
          <w:rtl/>
        </w:rPr>
        <w:t xml:space="preserve"> من البيانات المالية التي أعدت وفقا للمعايير المحاسبية الدولية للقطاع العام.</w:t>
      </w:r>
    </w:p>
    <w:p w:rsidR="00224785" w:rsidRDefault="00224785" w:rsidP="002D5229">
      <w:pPr>
        <w:pStyle w:val="NumberedParaAR"/>
      </w:pPr>
      <w:r>
        <w:rPr>
          <w:rtl/>
        </w:rPr>
        <w:t>ويرد تقرير المراجع الخارجي للحسابات عن مراجعة البيانات المالية لسنة 201</w:t>
      </w:r>
      <w:r w:rsidR="005328A6">
        <w:rPr>
          <w:rFonts w:hint="cs"/>
          <w:rtl/>
        </w:rPr>
        <w:t>2</w:t>
      </w:r>
      <w:r>
        <w:rPr>
          <w:rtl/>
        </w:rPr>
        <w:t xml:space="preserve"> مصحوبا بتوصياته وردود الأمانة عليها في الوثيقة</w:t>
      </w:r>
      <w:r w:rsidR="002D5229">
        <w:rPr>
          <w:rFonts w:hint="cs"/>
          <w:rtl/>
        </w:rPr>
        <w:t> </w:t>
      </w:r>
      <w:r>
        <w:t>WO/PBC/</w:t>
      </w:r>
      <w:r w:rsidR="002D5229" w:rsidRPr="002D5229">
        <w:t>21</w:t>
      </w:r>
      <w:r>
        <w:t>/6</w:t>
      </w:r>
      <w:r>
        <w:rPr>
          <w:rtl/>
        </w:rPr>
        <w:t>.</w:t>
      </w:r>
    </w:p>
    <w:p w:rsidR="00224785" w:rsidRDefault="00224785" w:rsidP="002D5229">
      <w:pPr>
        <w:pStyle w:val="DecisionParaAR"/>
        <w:rPr>
          <w:rtl/>
        </w:rPr>
      </w:pPr>
      <w:r>
        <w:rPr>
          <w:rtl/>
        </w:rPr>
        <w:t xml:space="preserve">إن لجنة البرنامج والميزانية مدعوة إلى أن توصي الجمعية العامة للويبو بالموافقة على البيانات المالية لسنة </w:t>
      </w:r>
      <w:r w:rsidR="002D5229">
        <w:rPr>
          <w:rFonts w:hint="cs"/>
          <w:rtl/>
        </w:rPr>
        <w:t>2012</w:t>
      </w:r>
      <w:r>
        <w:rPr>
          <w:rtl/>
        </w:rPr>
        <w:t xml:space="preserve"> الواردة في هذه الوثيقة.</w:t>
      </w:r>
    </w:p>
    <w:p w:rsidR="00D91942" w:rsidRDefault="00215877" w:rsidP="006371A4">
      <w:pPr>
        <w:pStyle w:val="EndofDocumentAR"/>
        <w:rPr>
          <w:rtl/>
        </w:rPr>
      </w:pPr>
      <w:r>
        <w:rPr>
          <w:rtl/>
        </w:rPr>
        <w:t xml:space="preserve">[تلي ذلك البيانات المالية </w:t>
      </w:r>
      <w:r w:rsidR="008A49D1">
        <w:rPr>
          <w:rFonts w:hint="cs"/>
          <w:rtl/>
        </w:rPr>
        <w:t>لعام</w:t>
      </w:r>
      <w:r>
        <w:rPr>
          <w:rtl/>
        </w:rPr>
        <w:t xml:space="preserve"> 201</w:t>
      </w:r>
      <w:r>
        <w:rPr>
          <w:rFonts w:hint="cs"/>
          <w:rtl/>
        </w:rPr>
        <w:t>2</w:t>
      </w:r>
      <w:r>
        <w:rPr>
          <w:rtl/>
        </w:rPr>
        <w:t>]</w:t>
      </w:r>
    </w:p>
    <w:p w:rsidR="00D91942" w:rsidRPr="00D91942" w:rsidRDefault="00D91942" w:rsidP="00D91942">
      <w:pPr>
        <w:pStyle w:val="NormalParaAR"/>
        <w:rPr>
          <w:rtl/>
        </w:rPr>
      </w:pPr>
    </w:p>
    <w:p w:rsidR="00D91942" w:rsidRDefault="00D91942" w:rsidP="00D91942">
      <w:pPr>
        <w:pStyle w:val="NormalParaAR"/>
        <w:rPr>
          <w:rtl/>
        </w:rPr>
        <w:sectPr w:rsidR="00D91942" w:rsidSect="00EB7752">
          <w:pgSz w:w="11907" w:h="16840" w:code="9"/>
          <w:pgMar w:top="567" w:right="1418" w:bottom="1418" w:left="1134" w:header="510" w:footer="1021" w:gutter="0"/>
          <w:cols w:space="720"/>
          <w:titlePg/>
          <w:docGrid w:linePitch="299"/>
        </w:sectPr>
      </w:pPr>
    </w:p>
    <w:p w:rsidR="00215877" w:rsidRPr="00E8027F" w:rsidRDefault="00215877" w:rsidP="0093096F">
      <w:pPr>
        <w:bidi/>
        <w:spacing w:before="2640" w:after="600"/>
        <w:jc w:val="center"/>
        <w:rPr>
          <w:rFonts w:ascii="Arabic Typesetting" w:hAnsi="Arabic Typesetting" w:cs="PT Bold Heading"/>
          <w:sz w:val="44"/>
          <w:szCs w:val="44"/>
          <w:rtl/>
          <w:lang w:val="fr-CH"/>
        </w:rPr>
      </w:pPr>
      <w:r w:rsidRPr="00E8027F">
        <w:rPr>
          <w:rFonts w:ascii="Arabic Typesetting" w:hAnsi="Arabic Typesetting" w:cs="PT Bold Heading" w:hint="cs"/>
          <w:sz w:val="44"/>
          <w:szCs w:val="44"/>
          <w:rtl/>
          <w:lang w:val="fr-CH"/>
        </w:rPr>
        <w:lastRenderedPageBreak/>
        <w:t>المنظمة العالمية للملكية الفكرية</w:t>
      </w:r>
    </w:p>
    <w:p w:rsidR="00215877" w:rsidRDefault="00215877" w:rsidP="00215877">
      <w:pPr>
        <w:bidi/>
        <w:spacing w:after="240"/>
        <w:jc w:val="center"/>
        <w:rPr>
          <w:rFonts w:ascii="Arabic Typesetting" w:hAnsi="Arabic Typesetting" w:cs="Arabic Typesetting"/>
          <w:sz w:val="52"/>
          <w:szCs w:val="52"/>
          <w:rtl/>
          <w:lang w:val="fr-CH"/>
        </w:rPr>
      </w:pPr>
      <w:r w:rsidRPr="00215877">
        <w:rPr>
          <w:rFonts w:ascii="Arabic Typesetting" w:hAnsi="Arabic Typesetting" w:cs="Arabic Typesetting"/>
          <w:sz w:val="52"/>
          <w:szCs w:val="52"/>
          <w:rtl/>
          <w:lang w:val="fr-CH"/>
        </w:rPr>
        <w:t>التقرير المالي السنوي والبيانات المالية السنوية</w:t>
      </w:r>
    </w:p>
    <w:p w:rsidR="00215877" w:rsidRPr="009E0A70" w:rsidRDefault="00215877" w:rsidP="00215877">
      <w:pPr>
        <w:bidi/>
        <w:spacing w:after="240"/>
        <w:jc w:val="center"/>
        <w:rPr>
          <w:rFonts w:ascii="Arabic Typesetting" w:hAnsi="Arabic Typesetting" w:cs="Arabic Typesetting"/>
          <w:sz w:val="52"/>
          <w:szCs w:val="52"/>
          <w:rtl/>
          <w:lang w:val="fr-CH"/>
        </w:rPr>
      </w:pPr>
      <w:r>
        <w:rPr>
          <w:rFonts w:ascii="Arabic Typesetting" w:hAnsi="Arabic Typesetting" w:cs="Arabic Typesetting" w:hint="cs"/>
          <w:sz w:val="52"/>
          <w:szCs w:val="52"/>
          <w:rtl/>
          <w:lang w:val="fr-CH"/>
        </w:rPr>
        <w:t>للسنة المنتهية في31 ديسمبر 2012</w:t>
      </w:r>
    </w:p>
    <w:p w:rsidR="00215877" w:rsidRDefault="00215877" w:rsidP="00215877">
      <w:pPr>
        <w:pStyle w:val="NormalParaAR"/>
      </w:pPr>
    </w:p>
    <w:p w:rsidR="006C33F5" w:rsidRDefault="006C33F5" w:rsidP="00215877">
      <w:pPr>
        <w:pStyle w:val="NormalParaAR"/>
        <w:rPr>
          <w:rtl/>
        </w:rPr>
        <w:sectPr w:rsidR="006C33F5" w:rsidSect="00EB7752">
          <w:pgSz w:w="11907" w:h="16840" w:code="9"/>
          <w:pgMar w:top="567" w:right="1418" w:bottom="1418" w:left="1134" w:header="510" w:footer="1021" w:gutter="0"/>
          <w:cols w:space="720"/>
          <w:titlePg/>
          <w:docGrid w:linePitch="299"/>
        </w:sectPr>
      </w:pPr>
    </w:p>
    <w:p w:rsidR="00215877" w:rsidRPr="00215877" w:rsidRDefault="00215877" w:rsidP="00DF4D6E">
      <w:pPr>
        <w:keepNext/>
        <w:bidi/>
        <w:spacing w:after="120" w:line="360" w:lineRule="exact"/>
        <w:jc w:val="center"/>
        <w:rPr>
          <w:rFonts w:ascii="Arabic Typesetting" w:hAnsi="Arabic Typesetting" w:cs="Arabic Typesetting"/>
          <w:sz w:val="52"/>
          <w:szCs w:val="52"/>
        </w:rPr>
      </w:pPr>
      <w:r w:rsidRPr="00215877">
        <w:rPr>
          <w:rFonts w:ascii="Arabic Typesetting" w:hAnsi="Arabic Typesetting" w:cs="Arabic Typesetting" w:hint="cs"/>
          <w:sz w:val="52"/>
          <w:szCs w:val="52"/>
          <w:rtl/>
        </w:rPr>
        <w:lastRenderedPageBreak/>
        <w:t>قائمة المحتويات</w:t>
      </w:r>
    </w:p>
    <w:sdt>
      <w:sdtPr>
        <w:rPr>
          <w:rFonts w:ascii="Arial" w:eastAsia="Times New Roman" w:hAnsi="Arial" w:cs="Arial"/>
          <w:b w:val="0"/>
          <w:bCs w:val="0"/>
          <w:color w:val="auto"/>
          <w:sz w:val="22"/>
          <w:szCs w:val="20"/>
          <w:rtl/>
          <w:lang w:eastAsia="en-US"/>
        </w:rPr>
        <w:id w:val="-125469941"/>
        <w:docPartObj>
          <w:docPartGallery w:val="Table of Contents"/>
          <w:docPartUnique/>
        </w:docPartObj>
      </w:sdtPr>
      <w:sdtEndPr>
        <w:rPr>
          <w:noProof/>
          <w:rtl w:val="0"/>
        </w:rPr>
      </w:sdtEndPr>
      <w:sdtContent>
        <w:p w:rsidR="00780749" w:rsidRPr="00C04878" w:rsidRDefault="00C04878" w:rsidP="00C04878">
          <w:pPr>
            <w:pStyle w:val="TOCHeading"/>
            <w:bidi/>
            <w:jc w:val="right"/>
            <w:rPr>
              <w:rFonts w:ascii="Arabic Typesetting" w:hAnsi="Arabic Typesetting" w:cs="Arabic Typesetting"/>
              <w:color w:val="auto"/>
            </w:rPr>
          </w:pPr>
          <w:r w:rsidRPr="00C04878">
            <w:rPr>
              <w:rFonts w:ascii="Arabic Typesetting" w:hAnsi="Arabic Typesetting" w:cs="Arabic Typesetting"/>
              <w:color w:val="auto"/>
              <w:rtl/>
            </w:rPr>
            <w:t>الصفحة</w:t>
          </w:r>
        </w:p>
        <w:p w:rsidR="002A30CE" w:rsidRPr="00AC2CF3" w:rsidRDefault="00780749" w:rsidP="00DF4D6E">
          <w:pPr>
            <w:pStyle w:val="TOC1"/>
            <w:spacing w:after="0" w:line="280" w:lineRule="exact"/>
            <w:rPr>
              <w:rFonts w:ascii="Arabic Typesetting" w:hAnsi="Arabic Typesetting" w:cs="Arabic Typesetting"/>
              <w:noProof/>
              <w:sz w:val="28"/>
              <w:szCs w:val="28"/>
              <w:lang w:eastAsia="en-US"/>
            </w:rPr>
          </w:pPr>
          <w:r w:rsidRPr="00AC2CF3">
            <w:rPr>
              <w:rFonts w:ascii="Arabic Typesetting" w:hAnsi="Arabic Typesetting" w:cs="Arabic Typesetting"/>
              <w:sz w:val="28"/>
              <w:szCs w:val="28"/>
            </w:rPr>
            <w:fldChar w:fldCharType="begin"/>
          </w:r>
          <w:r w:rsidRPr="00AC2CF3">
            <w:rPr>
              <w:rFonts w:ascii="Arabic Typesetting" w:hAnsi="Arabic Typesetting" w:cs="Arabic Typesetting"/>
              <w:sz w:val="28"/>
              <w:szCs w:val="28"/>
            </w:rPr>
            <w:instrText xml:space="preserve"> TOC \o "1-3" \h \z \u </w:instrText>
          </w:r>
          <w:r w:rsidRPr="00AC2CF3">
            <w:rPr>
              <w:rFonts w:ascii="Arabic Typesetting" w:hAnsi="Arabic Typesetting" w:cs="Arabic Typesetting"/>
              <w:sz w:val="28"/>
              <w:szCs w:val="28"/>
            </w:rPr>
            <w:fldChar w:fldCharType="separate"/>
          </w:r>
          <w:hyperlink w:anchor="_Toc362519085" w:history="1">
            <w:r w:rsidR="002A30CE" w:rsidRPr="00AC2CF3">
              <w:rPr>
                <w:rStyle w:val="Hyperlink"/>
                <w:rFonts w:ascii="Arabic Typesetting" w:hAnsi="Arabic Typesetting" w:cs="Arabic Typesetting" w:hint="eastAsia"/>
                <w:b/>
                <w:bCs/>
                <w:noProof/>
                <w:sz w:val="28"/>
                <w:szCs w:val="28"/>
                <w:rtl/>
              </w:rPr>
              <w:t>التقرير</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المالي</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السنوي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_Toc362519085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86" w:history="1">
            <w:r w:rsidR="002A30CE" w:rsidRPr="00AC2CF3">
              <w:rPr>
                <w:rStyle w:val="Hyperlink"/>
                <w:rFonts w:ascii="Arabic Typesetting" w:hAnsi="Arabic Typesetting" w:cs="Arabic Typesetting" w:hint="eastAsia"/>
                <w:noProof/>
                <w:sz w:val="28"/>
                <w:szCs w:val="28"/>
                <w:rtl/>
              </w:rPr>
              <w:t>مقدمة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_Toc362519086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87" w:history="1">
            <w:r w:rsidR="002A30CE" w:rsidRPr="00AC2CF3">
              <w:rPr>
                <w:rStyle w:val="Hyperlink"/>
                <w:rFonts w:ascii="Arabic Typesetting" w:hAnsi="Arabic Typesetting" w:cs="Arabic Typesetting" w:hint="eastAsia"/>
                <w:noProof/>
                <w:sz w:val="28"/>
                <w:szCs w:val="28"/>
                <w:rtl/>
              </w:rPr>
              <w:t>مناقشة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وتحليلها</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_Toc362519087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w:t>
            </w:r>
            <w:r w:rsidR="002A30CE" w:rsidRPr="00AC2CF3">
              <w:rPr>
                <w:rFonts w:ascii="Arabic Typesetting" w:hAnsi="Arabic Typesetting" w:cs="Arabic Typesetting"/>
                <w:noProof/>
                <w:webHidden/>
                <w:sz w:val="28"/>
                <w:szCs w:val="28"/>
              </w:rPr>
              <w:fldChar w:fldCharType="end"/>
            </w:r>
          </w:hyperlink>
        </w:p>
        <w:p w:rsidR="009F2BD0" w:rsidRPr="00AC2CF3" w:rsidRDefault="009F2BD0" w:rsidP="00DF4D6E">
          <w:pPr>
            <w:pStyle w:val="TOC1"/>
            <w:spacing w:after="0" w:line="280" w:lineRule="exact"/>
            <w:rPr>
              <w:rStyle w:val="Hyperlink"/>
              <w:rFonts w:ascii="Arabic Typesetting" w:hAnsi="Arabic Typesetting" w:cs="Arabic Typesetting"/>
              <w:b/>
              <w:bCs/>
              <w:noProof/>
              <w:color w:val="auto"/>
              <w:sz w:val="28"/>
              <w:szCs w:val="28"/>
              <w:u w:val="none"/>
              <w:rtl/>
            </w:rPr>
          </w:pPr>
          <w:r w:rsidRPr="00AC2CF3">
            <w:rPr>
              <w:rStyle w:val="Hyperlink"/>
              <w:rFonts w:ascii="Arabic Typesetting" w:hAnsi="Arabic Typesetting" w:cs="Arabic Typesetting" w:hint="cs"/>
              <w:b/>
              <w:bCs/>
              <w:noProof/>
              <w:color w:val="auto"/>
              <w:sz w:val="28"/>
              <w:szCs w:val="28"/>
              <w:u w:val="none"/>
              <w:rtl/>
            </w:rPr>
            <w:t>البيانات المالية</w:t>
          </w:r>
        </w:p>
        <w:p w:rsidR="002A30CE" w:rsidRPr="00AC2CF3" w:rsidRDefault="006371A4" w:rsidP="009F2BD0">
          <w:pPr>
            <w:pStyle w:val="TOC1"/>
            <w:spacing w:after="0" w:line="280" w:lineRule="exact"/>
            <w:rPr>
              <w:rFonts w:ascii="Arabic Typesetting" w:hAnsi="Arabic Typesetting" w:cs="Arabic Typesetting"/>
              <w:noProof/>
              <w:sz w:val="28"/>
              <w:szCs w:val="28"/>
              <w:lang w:eastAsia="en-US"/>
            </w:rPr>
          </w:pPr>
          <w:hyperlink w:anchor="_Toc362519088"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الأول</w:t>
            </w:r>
            <w:r w:rsidR="002A30CE" w:rsidRPr="00AC2CF3">
              <w:rPr>
                <w:rStyle w:val="Hyperlink"/>
                <w:rFonts w:ascii="Arabic Typesetting" w:hAnsi="Arabic Typesetting" w:cs="Arabic Typesetting" w:hint="cs"/>
                <w:noProof/>
                <w:sz w:val="28"/>
                <w:szCs w:val="28"/>
                <w:rtl/>
              </w:rPr>
              <w:t xml:space="preserve"> - </w:t>
            </w:r>
          </w:hyperlink>
          <w:hyperlink w:anchor="_Toc36251908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_Toc362519089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14</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90"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2A30CE" w:rsidRPr="00AC2CF3">
              <w:rPr>
                <w:rStyle w:val="Hyperlink"/>
                <w:rFonts w:ascii="Arabic Typesetting" w:hAnsi="Arabic Typesetting" w:cs="Arabic Typesetting" w:hint="cs"/>
                <w:noProof/>
                <w:sz w:val="28"/>
                <w:szCs w:val="28"/>
                <w:rtl/>
              </w:rPr>
              <w:t xml:space="preserve"> - </w:t>
            </w:r>
          </w:hyperlink>
          <w:hyperlink w:anchor="_Toc362519091"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_Toc362519091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15</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92"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2A30CE" w:rsidRPr="00AC2CF3">
              <w:rPr>
                <w:rStyle w:val="Hyperlink"/>
                <w:rFonts w:ascii="Arabic Typesetting" w:hAnsi="Arabic Typesetting" w:cs="Arabic Typesetting" w:hint="cs"/>
                <w:noProof/>
                <w:sz w:val="28"/>
                <w:szCs w:val="28"/>
                <w:rtl/>
              </w:rPr>
              <w:t xml:space="preserve"> - </w:t>
            </w:r>
          </w:hyperlink>
          <w:hyperlink w:anchor="_Toc362519093"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التغييرات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صافي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الأصول</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_Toc362519093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16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94"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الرابع</w:t>
            </w:r>
            <w:r w:rsidR="002A30CE" w:rsidRPr="00AC2CF3">
              <w:rPr>
                <w:rStyle w:val="Hyperlink"/>
                <w:rFonts w:ascii="Arabic Typesetting" w:hAnsi="Arabic Typesetting" w:cs="Arabic Typesetting" w:hint="cs"/>
                <w:noProof/>
                <w:sz w:val="28"/>
                <w:szCs w:val="28"/>
                <w:rtl/>
              </w:rPr>
              <w:t xml:space="preserve"> - </w:t>
            </w:r>
          </w:hyperlink>
          <w:hyperlink w:anchor="_Toc362519095"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التدفق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النقدي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_Toc362519095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17</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C04878">
          <w:pPr>
            <w:pStyle w:val="TOC1"/>
            <w:spacing w:after="0" w:line="280" w:lineRule="exact"/>
            <w:rPr>
              <w:rFonts w:ascii="Arabic Typesetting" w:hAnsi="Arabic Typesetting" w:cs="Arabic Typesetting"/>
              <w:noProof/>
              <w:sz w:val="28"/>
              <w:szCs w:val="28"/>
              <w:lang w:eastAsia="en-US"/>
            </w:rPr>
          </w:pPr>
          <w:hyperlink w:anchor="_Toc362519096"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الخامس</w:t>
            </w:r>
            <w:r w:rsidR="002A30CE" w:rsidRPr="00AC2CF3">
              <w:rPr>
                <w:rStyle w:val="Hyperlink"/>
                <w:rFonts w:ascii="Arabic Typesetting" w:hAnsi="Arabic Typesetting" w:cs="Arabic Typesetting" w:hint="cs"/>
                <w:noProof/>
                <w:sz w:val="28"/>
                <w:szCs w:val="28"/>
                <w:rtl/>
              </w:rPr>
              <w:t xml:space="preserve"> - </w:t>
            </w:r>
          </w:hyperlink>
          <w:hyperlink w:anchor="_Toc36251909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مقارنة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المدرجة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الميزانية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الفعلية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_Toc362519097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18</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098" w:history="1">
            <w:r w:rsidR="002A30CE" w:rsidRPr="00AC2CF3">
              <w:rPr>
                <w:rStyle w:val="Hyperlink"/>
                <w:rFonts w:ascii="Arabic Typesetting" w:hAnsi="Arabic Typesetting" w:cs="Arabic Typesetting" w:hint="eastAsia"/>
                <w:noProof/>
                <w:sz w:val="28"/>
                <w:szCs w:val="28"/>
                <w:rtl/>
              </w:rPr>
              <w:t>ملاحظات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على</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_Toc362519098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20</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09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 </w:t>
            </w:r>
            <w:r w:rsidR="002A30CE" w:rsidRPr="00AC2CF3">
              <w:rPr>
                <w:rStyle w:val="Hyperlink"/>
                <w:rFonts w:ascii="Arabic Typesetting" w:hAnsi="Arabic Typesetting" w:cs="Arabic Typesetting" w:hint="eastAsia"/>
                <w:i/>
                <w:noProof/>
                <w:sz w:val="28"/>
                <w:szCs w:val="28"/>
                <w:rtl/>
              </w:rPr>
              <w:t>أهداف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المنظمة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وميزانيتها</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_Toc362519099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20</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 </w:t>
            </w:r>
            <w:r w:rsidR="002A30CE" w:rsidRPr="00AC2CF3">
              <w:rPr>
                <w:rStyle w:val="Hyperlink"/>
                <w:rFonts w:ascii="Arabic Typesetting" w:hAnsi="Arabic Typesetting" w:cs="Arabic Typesetting" w:hint="eastAsia"/>
                <w:i/>
                <w:noProof/>
                <w:sz w:val="28"/>
                <w:szCs w:val="28"/>
                <w:rtl/>
              </w:rPr>
              <w:t>السياسات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المحاسبية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المهمة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_Toc362519100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21</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3: </w:t>
            </w:r>
            <w:r w:rsidR="002A30CE" w:rsidRPr="00AC2CF3">
              <w:rPr>
                <w:rStyle w:val="Hyperlink"/>
                <w:rFonts w:ascii="Arabic Typesetting" w:hAnsi="Arabic Typesetting" w:cs="Arabic Typesetting" w:hint="eastAsia"/>
                <w:i/>
                <w:noProof/>
                <w:sz w:val="28"/>
                <w:szCs w:val="28"/>
                <w:rtl/>
              </w:rPr>
              <w:t>السيولة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وما</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يعادلها</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_Toc362519101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27</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4: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المدينة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مقدّما</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_Toc362519102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28</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5: </w:t>
            </w:r>
            <w:r w:rsidR="002A30CE" w:rsidRPr="00AC2CF3">
              <w:rPr>
                <w:rStyle w:val="Hyperlink"/>
                <w:rFonts w:ascii="Arabic Typesetting" w:hAnsi="Arabic Typesetting" w:cs="Arabic Typesetting" w:hint="eastAsia"/>
                <w:i/>
                <w:noProof/>
                <w:sz w:val="28"/>
                <w:szCs w:val="28"/>
                <w:rtl/>
              </w:rPr>
              <w:t>قوائم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الموجودات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_Toc362519103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29</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6: </w:t>
            </w:r>
            <w:r w:rsidR="002A30CE" w:rsidRPr="00AC2CF3">
              <w:rPr>
                <w:rStyle w:val="Hyperlink"/>
                <w:rFonts w:ascii="Arabic Typesetting" w:hAnsi="Arabic Typesetting" w:cs="Arabic Typesetting" w:hint="eastAsia"/>
                <w:i/>
                <w:noProof/>
                <w:sz w:val="28"/>
                <w:szCs w:val="28"/>
                <w:rtl/>
              </w:rPr>
              <w:t>المعدات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_Toc362519104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30</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7: </w:t>
            </w:r>
            <w:r w:rsidR="002A30CE" w:rsidRPr="00AC2CF3">
              <w:rPr>
                <w:rStyle w:val="Hyperlink"/>
                <w:rFonts w:ascii="Arabic Typesetting" w:hAnsi="Arabic Typesetting" w:cs="Arabic Typesetting" w:hint="eastAsia"/>
                <w:i/>
                <w:noProof/>
                <w:sz w:val="28"/>
                <w:szCs w:val="28"/>
                <w:rtl/>
              </w:rPr>
              <w:t>ملكية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استثمارية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كمؤجر</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_Toc362519105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31</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المادية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_Toc362519106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32</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9: </w:t>
            </w:r>
            <w:r w:rsidR="002A30CE" w:rsidRPr="00AC2CF3">
              <w:rPr>
                <w:rStyle w:val="Hyperlink"/>
                <w:rFonts w:ascii="Arabic Typesetting" w:hAnsi="Arabic Typesetting" w:cs="Arabic Typesetting" w:hint="eastAsia"/>
                <w:i/>
                <w:noProof/>
                <w:sz w:val="28"/>
                <w:szCs w:val="28"/>
                <w:rtl/>
              </w:rPr>
              <w:t>الأراضي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والمباني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_Toc362519107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33</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10: </w:t>
            </w:r>
            <w:r w:rsidR="002A30CE" w:rsidRPr="00AC2CF3">
              <w:rPr>
                <w:rStyle w:val="Hyperlink"/>
                <w:rFonts w:ascii="Arabic Typesetting" w:hAnsi="Arabic Typesetting" w:cs="Arabic Typesetting" w:hint="eastAsia"/>
                <w:i/>
                <w:noProof/>
                <w:sz w:val="28"/>
                <w:szCs w:val="28"/>
                <w:rtl/>
              </w:rPr>
              <w:t>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_Toc362519108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0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11: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الدائنة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_Toc362519109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12: </w:t>
            </w:r>
            <w:r w:rsidR="002A30CE" w:rsidRPr="00AC2CF3">
              <w:rPr>
                <w:rStyle w:val="Hyperlink"/>
                <w:rFonts w:ascii="Arabic Typesetting" w:hAnsi="Arabic Typesetting" w:cs="Arabic Typesetting" w:hint="eastAsia"/>
                <w:i/>
                <w:noProof/>
                <w:sz w:val="28"/>
                <w:szCs w:val="28"/>
                <w:rtl/>
              </w:rPr>
              <w:t>مستحقات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الموظفين</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_Toc362519110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36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13: </w:t>
            </w:r>
            <w:r w:rsidR="002A30CE" w:rsidRPr="00AC2CF3">
              <w:rPr>
                <w:rStyle w:val="Hyperlink"/>
                <w:rFonts w:ascii="Arabic Typesetting" w:hAnsi="Arabic Typesetting" w:cs="Arabic Typesetting" w:hint="eastAsia"/>
                <w:i/>
                <w:noProof/>
                <w:sz w:val="28"/>
                <w:szCs w:val="28"/>
                <w:rtl/>
              </w:rPr>
              <w:t>تحويلات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مستحقة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الدفع</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_Toc362519111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42</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14: </w:t>
            </w:r>
            <w:r w:rsidR="002A30CE" w:rsidRPr="00AC2CF3">
              <w:rPr>
                <w:rStyle w:val="Hyperlink"/>
                <w:rFonts w:ascii="Arabic Typesetting" w:hAnsi="Arabic Typesetting" w:cs="Arabic Typesetting" w:hint="eastAsia"/>
                <w:i/>
                <w:noProof/>
                <w:sz w:val="28"/>
                <w:szCs w:val="28"/>
                <w:rtl/>
              </w:rPr>
              <w:t>المبالغ</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المستلمة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_Toc362519112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44</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15: </w:t>
            </w:r>
            <w:r w:rsidR="002A30CE" w:rsidRPr="00AC2CF3">
              <w:rPr>
                <w:rStyle w:val="Hyperlink"/>
                <w:rFonts w:ascii="Arabic Typesetting" w:hAnsi="Arabic Typesetting" w:cs="Arabic Typesetting" w:hint="eastAsia"/>
                <w:i/>
                <w:noProof/>
                <w:sz w:val="28"/>
                <w:szCs w:val="28"/>
                <w:rtl/>
              </w:rPr>
              <w:t>القروض</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_Toc362519113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45</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16: </w:t>
            </w:r>
            <w:r w:rsidR="002A30CE" w:rsidRPr="00AC2CF3">
              <w:rPr>
                <w:rStyle w:val="Hyperlink"/>
                <w:rFonts w:ascii="Arabic Typesetting" w:hAnsi="Arabic Typesetting" w:cs="Arabic Typesetting" w:hint="eastAsia"/>
                <w:i/>
                <w:noProof/>
                <w:sz w:val="28"/>
                <w:szCs w:val="28"/>
                <w:rtl/>
              </w:rPr>
              <w:t>المخصصات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_Toc362519114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17:</w:t>
            </w:r>
            <w:r w:rsidR="002A30CE" w:rsidRPr="00AC2CF3">
              <w:rPr>
                <w:rStyle w:val="Hyperlink"/>
                <w:rFonts w:ascii="Arabic Typesetting" w:hAnsi="Arabic Typesetting" w:cs="Arabic Typesetting" w:hint="eastAsia"/>
                <w:i/>
                <w:noProof/>
                <w:sz w:val="28"/>
                <w:szCs w:val="28"/>
                <w:rtl/>
              </w:rPr>
              <w:t>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الجارية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_Toc362519115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46</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المحتملة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_Toc362519116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47</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19: </w:t>
            </w:r>
            <w:r w:rsidR="002A30CE" w:rsidRPr="00AC2CF3">
              <w:rPr>
                <w:rStyle w:val="Hyperlink"/>
                <w:rFonts w:ascii="Arabic Typesetting" w:hAnsi="Arabic Typesetting" w:cs="Arabic Typesetting" w:hint="eastAsia"/>
                <w:i/>
                <w:noProof/>
                <w:sz w:val="28"/>
                <w:szCs w:val="28"/>
                <w:rtl/>
              </w:rPr>
              <w:t>عقود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الإيجار</w:t>
            </w:r>
            <w:r w:rsidR="002A30CE" w:rsidRPr="00AC2CF3">
              <w:rPr>
                <w:rStyle w:val="Hyperlink"/>
                <w:rFonts w:ascii="Arabic Typesetting" w:hAnsi="Arabic Typesetting" w:cs="Arabic Typesetting"/>
                <w:i/>
                <w:noProof/>
                <w:sz w:val="28"/>
                <w:szCs w:val="28"/>
                <w:rtl/>
              </w:rPr>
              <w:t xml:space="preserve"> – </w:t>
            </w:r>
            <w:r w:rsidR="002A30CE" w:rsidRPr="00AC2CF3">
              <w:rPr>
                <w:rStyle w:val="Hyperlink"/>
                <w:rFonts w:ascii="Arabic Typesetting" w:hAnsi="Arabic Typesetting" w:cs="Arabic Typesetting" w:hint="eastAsia"/>
                <w:i/>
                <w:noProof/>
                <w:sz w:val="28"/>
                <w:szCs w:val="28"/>
                <w:rtl/>
              </w:rPr>
              <w:t>الويبو</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كمستأجر</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_Toc362519117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48</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20: </w:t>
            </w:r>
            <w:r w:rsidR="002A30CE" w:rsidRPr="00AC2CF3">
              <w:rPr>
                <w:rStyle w:val="Hyperlink"/>
                <w:rFonts w:ascii="Arabic Typesetting" w:hAnsi="Arabic Typesetting" w:cs="Arabic Typesetting" w:hint="eastAsia"/>
                <w:i/>
                <w:noProof/>
                <w:sz w:val="28"/>
                <w:szCs w:val="28"/>
                <w:rtl/>
              </w:rPr>
              <w:t>معاملات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أطراف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مترابطة</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_Toc362519118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48</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1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21: </w:t>
            </w:r>
            <w:r w:rsidR="002A30CE" w:rsidRPr="00AC2CF3">
              <w:rPr>
                <w:rStyle w:val="Hyperlink"/>
                <w:rFonts w:ascii="Arabic Typesetting" w:hAnsi="Arabic Typesetting" w:cs="Arabic Typesetting" w:hint="eastAsia"/>
                <w:i/>
                <w:noProof/>
                <w:sz w:val="28"/>
                <w:szCs w:val="28"/>
                <w:rtl/>
              </w:rPr>
              <w:t>الأموال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الاحتياطية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ورصيد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الأموال</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_Toc362519119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49</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22: </w:t>
            </w:r>
            <w:r w:rsidR="002A30CE" w:rsidRPr="00AC2CF3">
              <w:rPr>
                <w:rStyle w:val="Hyperlink"/>
                <w:rFonts w:ascii="Arabic Typesetting" w:hAnsi="Arabic Typesetting" w:cs="Arabic Typesetting" w:hint="eastAsia"/>
                <w:i/>
                <w:noProof/>
                <w:sz w:val="28"/>
                <w:szCs w:val="28"/>
                <w:rtl/>
              </w:rPr>
              <w:t>التوفيق</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مقارن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للميزانية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الخامس</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الأداء</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الثاني</w:t>
            </w:r>
            <w:r w:rsidR="002A30CE" w:rsidRPr="00AC2CF3">
              <w:rPr>
                <w:rStyle w:val="Hyperlink"/>
                <w:rFonts w:ascii="Arabic Typesetting" w:hAnsi="Arabic Typesetting" w:cs="Arabic Typesetting"/>
                <w:i/>
                <w:noProof/>
                <w:sz w:val="28"/>
                <w:szCs w:val="28"/>
                <w:rtl/>
              </w:rPr>
              <w:t>)</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_Toc362519120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50</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23: </w:t>
            </w:r>
            <w:r w:rsidR="002A30CE" w:rsidRPr="00AC2CF3">
              <w:rPr>
                <w:rStyle w:val="Hyperlink"/>
                <w:rFonts w:ascii="Arabic Typesetting" w:hAnsi="Arabic Typesetting" w:cs="Arabic Typesetting" w:hint="eastAsia"/>
                <w:i/>
                <w:noProof/>
                <w:sz w:val="28"/>
                <w:szCs w:val="28"/>
                <w:rtl/>
              </w:rPr>
              <w:t>الإيرادات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_Toc362519121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52</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24: </w:t>
            </w:r>
            <w:r w:rsidR="002A30CE" w:rsidRPr="00AC2CF3">
              <w:rPr>
                <w:rStyle w:val="Hyperlink"/>
                <w:rFonts w:ascii="Arabic Typesetting" w:hAnsi="Arabic Typesetting" w:cs="Arabic Typesetting" w:hint="eastAsia"/>
                <w:i/>
                <w:noProof/>
                <w:sz w:val="28"/>
                <w:szCs w:val="28"/>
                <w:rtl/>
              </w:rPr>
              <w:t>المصروفات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_Toc362519122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53</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25: </w:t>
            </w:r>
            <w:r w:rsidR="002A30CE" w:rsidRPr="00AC2CF3">
              <w:rPr>
                <w:rStyle w:val="Hyperlink"/>
                <w:rFonts w:ascii="Arabic Typesetting" w:hAnsi="Arabic Typesetting" w:cs="Arabic Typesetting" w:hint="eastAsia"/>
                <w:i/>
                <w:noProof/>
                <w:sz w:val="28"/>
                <w:szCs w:val="28"/>
                <w:rtl/>
              </w:rPr>
              <w:t>مكاسب</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وخسائر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متعلقة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بسعر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صرف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العملات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_Toc362519123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53</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26: </w:t>
            </w:r>
            <w:r w:rsidR="002A30CE" w:rsidRPr="00AC2CF3">
              <w:rPr>
                <w:rStyle w:val="Hyperlink"/>
                <w:rFonts w:ascii="Arabic Typesetting" w:hAnsi="Arabic Typesetting" w:cs="Arabic Typesetting" w:hint="eastAsia"/>
                <w:i/>
                <w:noProof/>
                <w:sz w:val="28"/>
                <w:szCs w:val="28"/>
                <w:rtl/>
              </w:rPr>
              <w:t>أحداث</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طرأت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بعد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تاريخ</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تقديم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التقرير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_Toc362519124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54</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2"/>
            <w:spacing w:after="0" w:line="280" w:lineRule="exact"/>
            <w:rPr>
              <w:rFonts w:ascii="Arabic Typesetting" w:hAnsi="Arabic Typesetting" w:cs="Arabic Typesetting"/>
              <w:noProof/>
              <w:sz w:val="28"/>
              <w:szCs w:val="28"/>
              <w:lang w:eastAsia="en-US"/>
            </w:rPr>
          </w:pPr>
          <w:hyperlink w:anchor="_Toc36251912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27: </w:t>
            </w:r>
            <w:r w:rsidR="002A30CE" w:rsidRPr="00AC2CF3">
              <w:rPr>
                <w:rStyle w:val="Hyperlink"/>
                <w:rFonts w:ascii="Arabic Typesetting" w:hAnsi="Arabic Typesetting" w:cs="Arabic Typesetting" w:hint="eastAsia"/>
                <w:i/>
                <w:noProof/>
                <w:sz w:val="28"/>
                <w:szCs w:val="28"/>
                <w:rtl/>
              </w:rPr>
              <w:t>إعداد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تقارير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القطاعات</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_Toc362519125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54</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126" w:history="1">
            <w:r w:rsidR="002A30CE" w:rsidRPr="00AC2CF3">
              <w:rPr>
                <w:rStyle w:val="Hyperlink"/>
                <w:rFonts w:ascii="Arabic Typesetting" w:hAnsi="Arabic Typesetting" w:cs="Arabic Typesetting"/>
                <w:noProof/>
                <w:sz w:val="28"/>
                <w:szCs w:val="28"/>
                <w:rtl/>
              </w:rPr>
              <w:t>المرفق الأول</w:t>
            </w:r>
            <w:r w:rsidR="00AD43FA" w:rsidRPr="00AC2CF3">
              <w:rPr>
                <w:rStyle w:val="Hyperlink"/>
                <w:rFonts w:ascii="Arabic Typesetting" w:hAnsi="Arabic Typesetting" w:cs="Arabic Typesetting" w:hint="cs"/>
                <w:noProof/>
                <w:sz w:val="28"/>
                <w:szCs w:val="28"/>
                <w:rtl/>
              </w:rPr>
              <w:t xml:space="preserve"> - </w:t>
            </w:r>
          </w:hyperlink>
          <w:hyperlink w:anchor="_Toc36251912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_Toc362519127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57</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128"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AD43FA" w:rsidRPr="00AC2CF3">
              <w:rPr>
                <w:rStyle w:val="Hyperlink"/>
                <w:rFonts w:ascii="Arabic Typesetting" w:hAnsi="Arabic Typesetting" w:cs="Arabic Typesetting" w:hint="cs"/>
                <w:noProof/>
                <w:sz w:val="28"/>
                <w:szCs w:val="28"/>
                <w:rtl/>
              </w:rPr>
              <w:t xml:space="preserve"> - </w:t>
            </w:r>
          </w:hyperlink>
          <w:hyperlink w:anchor="_Toc36251912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_Toc362519129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58</w:t>
            </w:r>
            <w:r w:rsidR="002A30CE" w:rsidRPr="00AC2CF3">
              <w:rPr>
                <w:rFonts w:ascii="Arabic Typesetting" w:hAnsi="Arabic Typesetting" w:cs="Arabic Typesetting"/>
                <w:noProof/>
                <w:webHidden/>
                <w:sz w:val="28"/>
                <w:szCs w:val="28"/>
              </w:rPr>
              <w:fldChar w:fldCharType="end"/>
            </w:r>
          </w:hyperlink>
        </w:p>
        <w:p w:rsidR="002A30CE" w:rsidRPr="00AC2CF3" w:rsidRDefault="006371A4" w:rsidP="00DF4D6E">
          <w:pPr>
            <w:pStyle w:val="TOC1"/>
            <w:spacing w:after="0" w:line="280" w:lineRule="exact"/>
            <w:rPr>
              <w:rFonts w:ascii="Arabic Typesetting" w:hAnsi="Arabic Typesetting" w:cs="Arabic Typesetting"/>
              <w:noProof/>
              <w:sz w:val="28"/>
              <w:szCs w:val="28"/>
              <w:lang w:eastAsia="en-US"/>
            </w:rPr>
          </w:pPr>
          <w:hyperlink w:anchor="_Toc362519130"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AD43FA" w:rsidRPr="00AC2CF3">
              <w:rPr>
                <w:rStyle w:val="Hyperlink"/>
                <w:rFonts w:ascii="Arabic Typesetting" w:hAnsi="Arabic Typesetting" w:cs="Arabic Typesetting" w:hint="cs"/>
                <w:noProof/>
                <w:sz w:val="28"/>
                <w:szCs w:val="28"/>
                <w:rtl/>
              </w:rPr>
              <w:t xml:space="preserve"> - </w:t>
            </w:r>
          </w:hyperlink>
          <w:hyperlink w:anchor="_Toc362519131" w:history="1">
            <w:r w:rsidR="002A30CE" w:rsidRPr="00AC2CF3">
              <w:rPr>
                <w:rStyle w:val="Hyperlink"/>
                <w:rFonts w:ascii="Arabic Typesetting" w:hAnsi="Arabic Typesetting" w:cs="Arabic Typesetting" w:hint="eastAsia"/>
                <w:noProof/>
                <w:sz w:val="28"/>
                <w:szCs w:val="28"/>
                <w:rtl/>
              </w:rPr>
              <w:t>حسابات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خاصة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مساهمة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المانحين</w:t>
            </w:r>
            <w:r w:rsidR="002A30CE" w:rsidRPr="00AC2CF3">
              <w:rPr>
                <w:rFonts w:ascii="Arabic Typesetting" w:hAnsi="Arabic Typesetting" w:cs="Arabic Typesetting"/>
                <w:noProof/>
                <w:webHidden/>
                <w:sz w:val="28"/>
                <w:szCs w:val="28"/>
              </w:rPr>
              <w:tab/>
            </w:r>
            <w:r w:rsidR="002A30CE" w:rsidRPr="00AC2CF3">
              <w:rPr>
                <w:rFonts w:ascii="Arabic Typesetting" w:hAnsi="Arabic Typesetting" w:cs="Arabic Typesetting"/>
                <w:noProof/>
                <w:webHidden/>
                <w:sz w:val="28"/>
                <w:szCs w:val="28"/>
              </w:rPr>
              <w:fldChar w:fldCharType="begin"/>
            </w:r>
            <w:r w:rsidR="002A30CE" w:rsidRPr="00AC2CF3">
              <w:rPr>
                <w:rFonts w:ascii="Arabic Typesetting" w:hAnsi="Arabic Typesetting" w:cs="Arabic Typesetting"/>
                <w:noProof/>
                <w:webHidden/>
                <w:sz w:val="28"/>
                <w:szCs w:val="28"/>
              </w:rPr>
              <w:instrText xml:space="preserve"> PAGEREF _Toc362519131 \h </w:instrText>
            </w:r>
            <w:r w:rsidR="002A30CE" w:rsidRPr="00AC2CF3">
              <w:rPr>
                <w:rFonts w:ascii="Arabic Typesetting" w:hAnsi="Arabic Typesetting" w:cs="Arabic Typesetting"/>
                <w:noProof/>
                <w:webHidden/>
                <w:sz w:val="28"/>
                <w:szCs w:val="28"/>
              </w:rPr>
            </w:r>
            <w:r w:rsidR="002A30CE" w:rsidRPr="00AC2CF3">
              <w:rPr>
                <w:rFonts w:ascii="Arabic Typesetting" w:hAnsi="Arabic Typesetting" w:cs="Arabic Typesetting"/>
                <w:noProof/>
                <w:webHidden/>
                <w:sz w:val="28"/>
                <w:szCs w:val="28"/>
              </w:rPr>
              <w:fldChar w:fldCharType="separate"/>
            </w:r>
            <w:r w:rsidR="00F96BAD">
              <w:rPr>
                <w:rFonts w:ascii="Arabic Typesetting" w:hAnsi="Arabic Typesetting" w:cs="Arabic Typesetting"/>
                <w:noProof/>
                <w:webHidden/>
                <w:sz w:val="28"/>
                <w:szCs w:val="28"/>
                <w:rtl/>
              </w:rPr>
              <w:t>59</w:t>
            </w:r>
            <w:r w:rsidR="002A30CE" w:rsidRPr="00AC2CF3">
              <w:rPr>
                <w:rFonts w:ascii="Arabic Typesetting" w:hAnsi="Arabic Typesetting" w:cs="Arabic Typesetting"/>
                <w:noProof/>
                <w:webHidden/>
                <w:sz w:val="28"/>
                <w:szCs w:val="28"/>
              </w:rPr>
              <w:fldChar w:fldCharType="end"/>
            </w:r>
          </w:hyperlink>
        </w:p>
        <w:p w:rsidR="00780749" w:rsidRDefault="00780749">
          <w:r w:rsidRPr="00AC2CF3">
            <w:rPr>
              <w:rFonts w:ascii="Arabic Typesetting" w:hAnsi="Arabic Typesetting" w:cs="Arabic Typesetting"/>
              <w:b/>
              <w:bCs/>
              <w:noProof/>
              <w:sz w:val="28"/>
              <w:szCs w:val="28"/>
            </w:rPr>
            <w:fldChar w:fldCharType="end"/>
          </w:r>
        </w:p>
      </w:sdtContent>
    </w:sdt>
    <w:p w:rsidR="00215877" w:rsidRPr="00780749" w:rsidRDefault="00215877" w:rsidP="00215877">
      <w:pPr>
        <w:pStyle w:val="NormalParaAR"/>
        <w:rPr>
          <w:rtl/>
        </w:rPr>
      </w:pPr>
    </w:p>
    <w:p w:rsidR="00E16243" w:rsidRPr="0093096F" w:rsidRDefault="00215877" w:rsidP="0093096F">
      <w:pPr>
        <w:bidi/>
        <w:jc w:val="center"/>
        <w:rPr>
          <w:rFonts w:ascii="Arabic Typesetting" w:hAnsi="Arabic Typesetting" w:cs="Arabic Typesetting"/>
          <w:b/>
          <w:bCs/>
          <w:sz w:val="40"/>
          <w:szCs w:val="40"/>
          <w:rtl/>
          <w:lang w:bidi="ar-EG"/>
        </w:rPr>
      </w:pPr>
      <w:r>
        <w:rPr>
          <w:rtl/>
        </w:rPr>
        <w:br w:type="page"/>
      </w:r>
      <w:bookmarkStart w:id="2" w:name="_Toc362519085"/>
      <w:r w:rsidR="00E16243" w:rsidRPr="0093096F">
        <w:rPr>
          <w:rFonts w:ascii="Arabic Typesetting" w:hAnsi="Arabic Typesetting" w:cs="Arabic Typesetting" w:hint="cs"/>
          <w:b/>
          <w:bCs/>
          <w:sz w:val="40"/>
          <w:szCs w:val="40"/>
          <w:rtl/>
        </w:rPr>
        <w:lastRenderedPageBreak/>
        <w:t>التقرير المالي السنوي</w:t>
      </w:r>
      <w:bookmarkEnd w:id="2"/>
    </w:p>
    <w:p w:rsidR="00E16243" w:rsidRPr="00F17073" w:rsidRDefault="00E16243" w:rsidP="00780749">
      <w:pPr>
        <w:pStyle w:val="Heading1"/>
        <w:bidi/>
        <w:rPr>
          <w:rFonts w:ascii="Arabic Typesetting" w:hAnsi="Arabic Typesetting" w:cs="Arabic Typesetting"/>
          <w:sz w:val="36"/>
          <w:szCs w:val="36"/>
        </w:rPr>
      </w:pPr>
      <w:bookmarkStart w:id="3" w:name="_Toc362519086"/>
      <w:r w:rsidRPr="00F17073">
        <w:rPr>
          <w:rFonts w:ascii="Arabic Typesetting" w:hAnsi="Arabic Typesetting" w:cs="Arabic Typesetting" w:hint="cs"/>
          <w:sz w:val="36"/>
          <w:szCs w:val="36"/>
          <w:rtl/>
        </w:rPr>
        <w:t>مقدمة</w:t>
      </w:r>
      <w:bookmarkEnd w:id="3"/>
    </w:p>
    <w:p w:rsidR="00E16243" w:rsidRDefault="00E16243" w:rsidP="00C649DF">
      <w:pPr>
        <w:pStyle w:val="NumberedParaAR"/>
        <w:numPr>
          <w:ilvl w:val="0"/>
          <w:numId w:val="40"/>
        </w:numPr>
      </w:pPr>
      <w:r w:rsidRPr="00FF6506">
        <w:rPr>
          <w:rtl/>
        </w:rPr>
        <w:t xml:space="preserve">ترفع البيانات المالية للمنظمة العالمية للملكية الفكرية للسنة المالية المنتهية في 31 ديسمبر </w:t>
      </w:r>
      <w:r w:rsidRPr="00FF6506">
        <w:rPr>
          <w:rFonts w:hint="cs"/>
          <w:rtl/>
        </w:rPr>
        <w:t>2012</w:t>
      </w:r>
      <w:r w:rsidRPr="00FF6506">
        <w:rPr>
          <w:rtl/>
        </w:rPr>
        <w:t xml:space="preserve"> إلى جمعيات الدول الأعضاء في الويبو وفقا للمادة </w:t>
      </w:r>
      <w:r>
        <w:rPr>
          <w:rFonts w:hint="cs"/>
          <w:rtl/>
        </w:rPr>
        <w:t>7.6</w:t>
      </w:r>
      <w:r w:rsidRPr="00FF6506">
        <w:rPr>
          <w:rtl/>
        </w:rPr>
        <w:t xml:space="preserve"> من النظام المالي ولائحته.</w:t>
      </w:r>
      <w:r w:rsidRPr="00FF6506">
        <w:rPr>
          <w:rFonts w:hint="cs"/>
          <w:rtl/>
        </w:rPr>
        <w:t xml:space="preserve"> وأعدت هذه البيانات المالية وفقا للمعايير المحاسبية الدولية للقطاع العام، وهي المجموعة الثالثة من البيانات المالية التي تعد وفقا لتلك المعايير عقب تطبيقها في الويبو ابتداء من الأول من يناير</w:t>
      </w:r>
      <w:r>
        <w:rPr>
          <w:rFonts w:hint="eastAsia"/>
          <w:rtl/>
        </w:rPr>
        <w:t> </w:t>
      </w:r>
      <w:r w:rsidRPr="00FF6506">
        <w:rPr>
          <w:rFonts w:hint="cs"/>
          <w:rtl/>
        </w:rPr>
        <w:t>2010</w:t>
      </w:r>
      <w:r>
        <w:rPr>
          <w:rFonts w:hint="cs"/>
          <w:rtl/>
        </w:rPr>
        <w:t>.</w:t>
      </w:r>
    </w:p>
    <w:p w:rsidR="00E16243" w:rsidRPr="00FF6506" w:rsidRDefault="00E16243" w:rsidP="00E16243">
      <w:pPr>
        <w:pStyle w:val="NumberedParaAR"/>
        <w:rPr>
          <w:rtl/>
        </w:rPr>
      </w:pPr>
      <w:r w:rsidRPr="00FF6506">
        <w:rPr>
          <w:rtl/>
        </w:rPr>
        <w:t xml:space="preserve">ويرفع أيضا تقرير مراجع الحسابات الخارجي حول التدقيق في البيانات المالية لسنة </w:t>
      </w:r>
      <w:r w:rsidRPr="00FF6506">
        <w:rPr>
          <w:rFonts w:hint="cs"/>
          <w:rtl/>
        </w:rPr>
        <w:t>2012</w:t>
      </w:r>
      <w:r w:rsidRPr="00FF6506">
        <w:rPr>
          <w:rtl/>
        </w:rPr>
        <w:t xml:space="preserve"> بالإضافة إلى رأيه في البيانات المالية</w:t>
      </w:r>
      <w:r w:rsidRPr="00FF6506">
        <w:rPr>
          <w:rFonts w:hint="cs"/>
          <w:rtl/>
        </w:rPr>
        <w:t>،</w:t>
      </w:r>
      <w:r w:rsidRPr="00FF6506">
        <w:rPr>
          <w:rtl/>
        </w:rPr>
        <w:t xml:space="preserve"> إلى جمعيات الدول الأعضاء في الويبو كما نصت على ذلك المادة </w:t>
      </w:r>
      <w:r>
        <w:rPr>
          <w:rFonts w:hint="cs"/>
          <w:rtl/>
        </w:rPr>
        <w:t xml:space="preserve">11.8 </w:t>
      </w:r>
      <w:r w:rsidRPr="00FF6506">
        <w:rPr>
          <w:rtl/>
        </w:rPr>
        <w:t>والمرفق الثاني من النظام المالي</w:t>
      </w:r>
      <w:r>
        <w:rPr>
          <w:rFonts w:hint="cs"/>
          <w:rtl/>
        </w:rPr>
        <w:t> </w:t>
      </w:r>
      <w:r w:rsidRPr="00FF6506">
        <w:rPr>
          <w:rtl/>
        </w:rPr>
        <w:t>ولائحته.</w:t>
      </w:r>
    </w:p>
    <w:p w:rsidR="00E16243" w:rsidRPr="00FF6506" w:rsidRDefault="00E16243" w:rsidP="00E16243">
      <w:pPr>
        <w:pStyle w:val="NumberedParaAR"/>
        <w:rPr>
          <w:rtl/>
        </w:rPr>
      </w:pPr>
      <w:r w:rsidRPr="00FF6506">
        <w:rPr>
          <w:rFonts w:hint="cs"/>
          <w:rtl/>
        </w:rPr>
        <w:t>ويتضمن هذا التقرير المالي السنوي البيانات المالية إلى جانب مناقشة البيانات المالية وتحليلها.</w:t>
      </w:r>
    </w:p>
    <w:p w:rsidR="00E16243" w:rsidRPr="00F17073" w:rsidRDefault="00E16243" w:rsidP="00780749">
      <w:pPr>
        <w:pStyle w:val="Heading1"/>
        <w:bidi/>
        <w:rPr>
          <w:rFonts w:ascii="Arabic Typesetting" w:hAnsi="Arabic Typesetting" w:cs="Arabic Typesetting"/>
          <w:sz w:val="36"/>
          <w:szCs w:val="36"/>
          <w:rtl/>
        </w:rPr>
      </w:pPr>
      <w:bookmarkStart w:id="4" w:name="_Toc362519087"/>
      <w:r w:rsidRPr="00F17073">
        <w:rPr>
          <w:rFonts w:ascii="Arabic Typesetting" w:hAnsi="Arabic Typesetting" w:cs="Arabic Typesetting" w:hint="cs"/>
          <w:sz w:val="36"/>
          <w:szCs w:val="36"/>
          <w:rtl/>
        </w:rPr>
        <w:t>مناقشة البيانات المالية وتحليلها</w:t>
      </w:r>
      <w:bookmarkEnd w:id="4"/>
    </w:p>
    <w:p w:rsidR="00E16243" w:rsidRDefault="00E16243" w:rsidP="00E16243">
      <w:pPr>
        <w:pStyle w:val="NumberedParaAR"/>
        <w:rPr>
          <w:rtl/>
          <w:lang w:bidi="ar-EG"/>
        </w:rPr>
      </w:pPr>
      <w:r>
        <w:rPr>
          <w:rFonts w:hint="cs"/>
          <w:rtl/>
          <w:lang w:bidi="ar-EG"/>
        </w:rPr>
        <w:t>يعرض هذا القسم من تقرير الويبو المالي السنوي مناقشة وتحليل أداء المنظمة ووضعها الماليين خلال السنة المنتهية في 31 ديسمبر 2012. وليست هذه المناقشة والتحليل جزءا من بيانات الويبو المالية؛ ولكن ينبغي قراءتها مع بيانات الويبو المالية الواردة في الصفحات من 12 إلى 52.</w:t>
      </w:r>
    </w:p>
    <w:p w:rsidR="00E16243" w:rsidRPr="00F17073" w:rsidRDefault="00E16243" w:rsidP="00E16243">
      <w:pPr>
        <w:keepNext/>
        <w:bidi/>
        <w:spacing w:after="240" w:line="360" w:lineRule="exact"/>
        <w:rPr>
          <w:rFonts w:ascii="Arabic Typesetting" w:hAnsi="Arabic Typesetting" w:cs="Arabic Typesetting"/>
          <w:b/>
          <w:bCs/>
          <w:sz w:val="36"/>
          <w:szCs w:val="36"/>
          <w:lang w:bidi="ar-EG"/>
        </w:rPr>
      </w:pPr>
      <w:r w:rsidRPr="00F17073">
        <w:rPr>
          <w:rFonts w:ascii="Arabic Typesetting" w:hAnsi="Arabic Typesetting" w:cs="Arabic Typesetting" w:hint="cs"/>
          <w:b/>
          <w:bCs/>
          <w:sz w:val="36"/>
          <w:szCs w:val="36"/>
          <w:rtl/>
          <w:lang w:bidi="ar-EG"/>
        </w:rPr>
        <w:t>الانتقال إلى العمل با</w:t>
      </w:r>
      <w:r w:rsidRPr="00F17073">
        <w:rPr>
          <w:rFonts w:ascii="Arabic Typesetting" w:hAnsi="Arabic Typesetting" w:cs="Arabic Typesetting" w:hint="cs"/>
          <w:b/>
          <w:bCs/>
          <w:sz w:val="36"/>
          <w:szCs w:val="36"/>
          <w:rtl/>
        </w:rPr>
        <w:t>لمعايير المحاسبية الدولية للقطاع العام</w:t>
      </w:r>
    </w:p>
    <w:p w:rsidR="00E16243" w:rsidRDefault="00E16243" w:rsidP="00E16243">
      <w:pPr>
        <w:pStyle w:val="NumberedParaAR"/>
        <w:rPr>
          <w:rtl/>
          <w:lang w:bidi="ar-EG"/>
        </w:rPr>
      </w:pPr>
      <w:r>
        <w:rPr>
          <w:rFonts w:hint="cs"/>
          <w:rtl/>
          <w:lang w:bidi="ar-EG"/>
        </w:rPr>
        <w:t xml:space="preserve">في 30 نوفمبر 2005، أوصت </w:t>
      </w:r>
      <w:r w:rsidRPr="004B0638">
        <w:rPr>
          <w:rFonts w:hint="cs"/>
          <w:rtl/>
          <w:lang w:bidi="ar-EG"/>
        </w:rPr>
        <w:t>اللجنة الإدارية الرفيعة المستوى</w:t>
      </w:r>
      <w:r>
        <w:rPr>
          <w:rFonts w:hint="cs"/>
          <w:rtl/>
          <w:lang w:bidi="ar-EG"/>
        </w:rPr>
        <w:t xml:space="preserve"> بأن تطبق كل المنظمات التابعة لمنظومة الأمم المتحدة المعايير المحاسبية الدولية للقطاع العام كمعيار محاسبي لإعداد بياناتها المالية </w:t>
      </w:r>
      <w:r w:rsidRPr="00F3508F">
        <w:rPr>
          <w:rFonts w:hint="cs"/>
          <w:rtl/>
          <w:lang w:bidi="ar-EG"/>
        </w:rPr>
        <w:t>في موعد نهائي أقصاه 2010</w:t>
      </w:r>
      <w:r>
        <w:rPr>
          <w:rFonts w:hint="cs"/>
          <w:rtl/>
          <w:lang w:bidi="ar-EG"/>
        </w:rPr>
        <w:t>. وكان الباعث على هذه التوصية هو الحاجة المحددة الواضحة إلى أن تتحول منظومة الأمم المتحدة إلى معايير محاسبية محسَّنة ومستقلة ومقبولة قبولا عاما، بغية زيادة جودة التقارير المالية</w:t>
      </w:r>
      <w:r w:rsidRPr="00286DFA">
        <w:rPr>
          <w:rFonts w:hint="cs"/>
          <w:rtl/>
          <w:lang w:bidi="ar-EG"/>
        </w:rPr>
        <w:t xml:space="preserve"> </w:t>
      </w:r>
      <w:r>
        <w:rPr>
          <w:rFonts w:hint="cs"/>
          <w:rtl/>
          <w:lang w:bidi="ar-EG"/>
        </w:rPr>
        <w:t>ومصداقيتها. وقد وضع المعايير المحاسبية الدولية للقطاع العام مجلس المعايير المحاسبية للقطاع العام، وهو جزء من الاتحاد الدولي للمحاسبين.</w:t>
      </w:r>
    </w:p>
    <w:p w:rsidR="00E16243" w:rsidRDefault="00E16243" w:rsidP="00E16243">
      <w:pPr>
        <w:pStyle w:val="NumberedParaAR"/>
        <w:rPr>
          <w:lang w:bidi="ar-EG"/>
        </w:rPr>
      </w:pPr>
      <w:r>
        <w:rPr>
          <w:rFonts w:hint="cs"/>
          <w:rtl/>
          <w:lang w:bidi="ar-EG"/>
        </w:rPr>
        <w:t>واتفقت الدول الأعضاء في الدورة الثالثة والأربعين للجمعيات (من 24 سبتمبر إلى 3 أكتوبر 2007) من حيث المبدأ على أن تطبق الويبو المعايير المحاسبية الدولية للقطاع العام بحلول عام 2010. وكان مشروع تنفيذ هذه المعايير في الويبو ينطوي على الكثير من التطوير والتعديل في تكنولوجيا المعلومات، وتمت الموافقة على اقتراح هذا العمل في الدورة السادسة والأربعين للجمعيات في ديسمبر 2008. ورغم أن الكثير من منظمات الأمم المتحدة أخرت الموعد النهائي الأصلي لتنفيذ المعايير المحاسبية الدولية للقطاع العام، فإن الويبو حافظت على التاريخ المحدد بعام 2010. ومع تلقي الويبو لآراء غير مشفوعة بتحفظات من مراجعي الحسابات عن بياناتها المالية لعام 2010، أصبحت واحدة من تسع منظمات فقط تابعة للأمم المتحدة تطبق المعايير المحاسبية الدولية للقطاع العام في التاريخ الأصلي المحدد، وهو 1 يناير 2010.</w:t>
      </w:r>
    </w:p>
    <w:p w:rsidR="00E16243" w:rsidRDefault="00E16243" w:rsidP="00E16243">
      <w:pPr>
        <w:pStyle w:val="NumberedParaAR"/>
        <w:rPr>
          <w:lang w:bidi="ar-EG"/>
        </w:rPr>
      </w:pPr>
      <w:r>
        <w:rPr>
          <w:rFonts w:hint="cs"/>
          <w:rtl/>
          <w:lang w:bidi="ar-EG"/>
        </w:rPr>
        <w:t>ويتطلب تطبيق المعايير المحاسبية الدولية للقطاع العام تطبيق نظام الاستحقاق الكامل في المحاسبة. وينطوي نظام الاستحقاق في المحاسبة على الاعتراف بالعمليات والأحداث عند وقوعها، أي أنها يتم تدوينها في سجلات المحاسبة وفي البيانات المالية للفترات المالية التي تقع فيها، وليس عند تلقي النقدية أو ما يعادلها أو عند دفعها.</w:t>
      </w:r>
    </w:p>
    <w:p w:rsidR="00E16243" w:rsidRDefault="00E16243" w:rsidP="00E16243">
      <w:pPr>
        <w:pStyle w:val="NumberedParaAR"/>
        <w:rPr>
          <w:lang w:bidi="ar-EG"/>
        </w:rPr>
      </w:pPr>
      <w:r>
        <w:rPr>
          <w:rFonts w:hint="cs"/>
          <w:rtl/>
          <w:lang w:bidi="ar-EG"/>
        </w:rPr>
        <w:lastRenderedPageBreak/>
        <w:t>ولا يؤثر تنفيذ المعايير المحاسبية الدولية للقطاع العام حاليا على إعداد برنامج وميزانية الويبو، التي ما زالت تقدم على أساس الاستحقاق المعدل. وبما أن هذا الأساس يختلف عن أساس الاستحقاق الكامل المطبق في البيانات المالية، فإنه يتم عمل تسويات بين الميزانية والبيانات المالية وفقا لمتطلبات المعايير المحاسبية الدولية للقطاع العام.</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عرض البيانات المالية</w:t>
      </w:r>
    </w:p>
    <w:p w:rsidR="00E16243" w:rsidRDefault="00E16243" w:rsidP="00E16243">
      <w:pPr>
        <w:pStyle w:val="NumberedParaAR"/>
        <w:rPr>
          <w:lang w:bidi="ar-EG"/>
        </w:rPr>
      </w:pPr>
      <w:r>
        <w:rPr>
          <w:rFonts w:hint="cs"/>
          <w:rtl/>
          <w:lang w:bidi="ar-EG"/>
        </w:rPr>
        <w:t>تتألف البيانات المالية المعدة وفقا للمعايير المحاسبية الدولية للقطاع العام مما يلي:</w:t>
      </w:r>
    </w:p>
    <w:p w:rsidR="00E16243" w:rsidRDefault="00E16243" w:rsidP="00E16243">
      <w:pPr>
        <w:pStyle w:val="NumberedParaAR"/>
        <w:numPr>
          <w:ilvl w:val="0"/>
          <w:numId w:val="35"/>
        </w:numPr>
        <w:rPr>
          <w:lang w:bidi="ar-EG"/>
        </w:rPr>
      </w:pPr>
      <w:r>
        <w:rPr>
          <w:rFonts w:hint="cs"/>
          <w:rtl/>
          <w:lang w:bidi="ar-EG"/>
        </w:rPr>
        <w:t xml:space="preserve">بيان الوضع المالي </w:t>
      </w:r>
      <w:r>
        <w:rPr>
          <w:rtl/>
          <w:lang w:bidi="ar-EG"/>
        </w:rPr>
        <w:t>–</w:t>
      </w:r>
      <w:r>
        <w:rPr>
          <w:rFonts w:hint="cs"/>
          <w:rtl/>
          <w:lang w:bidi="ar-EG"/>
        </w:rPr>
        <w:t xml:space="preserve"> وهو يعرض تفاصيل صافي الأصول (الفرق بين مجموع الأصول ومجموع الخصوم) في المنظمة. ويوفر هذا البيان معلومات عن القوة المالية للمنظمة، والموارد المتاحة لدعم أهدافها في المستقبل؛</w:t>
      </w:r>
    </w:p>
    <w:p w:rsidR="00E16243" w:rsidRDefault="00E16243" w:rsidP="00E16243">
      <w:pPr>
        <w:pStyle w:val="NumberedParaAR"/>
        <w:numPr>
          <w:ilvl w:val="0"/>
          <w:numId w:val="35"/>
        </w:numPr>
        <w:rPr>
          <w:lang w:bidi="ar-EG"/>
        </w:rPr>
      </w:pPr>
      <w:r>
        <w:rPr>
          <w:rFonts w:hint="cs"/>
          <w:rtl/>
        </w:rPr>
        <w:t>و</w:t>
      </w:r>
      <w:r w:rsidRPr="00472576">
        <w:rPr>
          <w:rFonts w:hint="cs"/>
          <w:rtl/>
        </w:rPr>
        <w:t>بيان الأداء المالي</w:t>
      </w:r>
      <w:r>
        <w:rPr>
          <w:rFonts w:hint="cs"/>
          <w:rtl/>
          <w:lang w:bidi="ar-EG"/>
        </w:rPr>
        <w:t xml:space="preserve"> </w:t>
      </w:r>
      <w:r>
        <w:rPr>
          <w:rtl/>
          <w:lang w:bidi="ar-EG"/>
        </w:rPr>
        <w:t>–</w:t>
      </w:r>
      <w:r>
        <w:rPr>
          <w:rFonts w:hint="cs"/>
          <w:rtl/>
          <w:lang w:bidi="ar-EG"/>
        </w:rPr>
        <w:t xml:space="preserve"> وهو يقيس صافي الفائض أو العجز (الفرق بين مجموع الإيرادات ومجموع المصروفات) في كل سنة. ويوفر هذا البيان معلومات عن مصادر إيرادات المنظمة وتكلفة أنشطتها. ويتم عرض الفائض أو</w:t>
      </w:r>
      <w:r>
        <w:rPr>
          <w:rFonts w:hint="eastAsia"/>
          <w:rtl/>
          <w:lang w:bidi="ar-EG"/>
        </w:rPr>
        <w:t> </w:t>
      </w:r>
      <w:r>
        <w:rPr>
          <w:rFonts w:hint="cs"/>
          <w:rtl/>
          <w:lang w:bidi="ar-EG"/>
        </w:rPr>
        <w:t>العجز السنوي على أساس الاستحقاق الكامل في المحاسبة، أي أنه يتم الاعتراف بالإيراد في الفترة التي يكتسب فيها وبالمصروفات في الفترة التي يتم فيها تحملها، بصرف النظر عن وقت تلقي مبالغها النقدية أو</w:t>
      </w:r>
      <w:r>
        <w:rPr>
          <w:rFonts w:hint="eastAsia"/>
          <w:rtl/>
          <w:lang w:bidi="ar-EG"/>
        </w:rPr>
        <w:t> </w:t>
      </w:r>
      <w:r>
        <w:rPr>
          <w:rFonts w:hint="cs"/>
          <w:rtl/>
          <w:lang w:bidi="ar-EG"/>
        </w:rPr>
        <w:t>دفعها؛</w:t>
      </w:r>
    </w:p>
    <w:p w:rsidR="00E16243" w:rsidRDefault="00E16243" w:rsidP="00E16243">
      <w:pPr>
        <w:pStyle w:val="NumberedParaAR"/>
        <w:numPr>
          <w:ilvl w:val="0"/>
          <w:numId w:val="35"/>
        </w:numPr>
        <w:rPr>
          <w:lang w:bidi="ar-EG"/>
        </w:rPr>
      </w:pPr>
      <w:r>
        <w:rPr>
          <w:rFonts w:hint="cs"/>
          <w:rtl/>
        </w:rPr>
        <w:t>و</w:t>
      </w:r>
      <w:r w:rsidRPr="00472576">
        <w:rPr>
          <w:rFonts w:hint="cs"/>
          <w:rtl/>
        </w:rPr>
        <w:t>بيان التغييرات في صافي الأصول</w:t>
      </w:r>
      <w:r>
        <w:rPr>
          <w:rFonts w:hint="cs"/>
          <w:rtl/>
          <w:lang w:bidi="ar-EG"/>
        </w:rPr>
        <w:t xml:space="preserve"> </w:t>
      </w:r>
      <w:r>
        <w:rPr>
          <w:rtl/>
          <w:lang w:bidi="ar-EG"/>
        </w:rPr>
        <w:t>–</w:t>
      </w:r>
      <w:r>
        <w:rPr>
          <w:rFonts w:hint="cs"/>
          <w:rtl/>
          <w:lang w:bidi="ar-EG"/>
        </w:rPr>
        <w:t xml:space="preserve"> وهو يحدد التغير في وضع صافي الأصول خلال العام. ويوضح هذا البيان مصادر التغيرات في الوضع المالي العام للمنظمة، بما في ذلك التغيرات الراجعة إلى الفائض أو العجز المتحقق خلال الفترة؛</w:t>
      </w:r>
    </w:p>
    <w:p w:rsidR="00E16243" w:rsidRDefault="00E16243" w:rsidP="00E16243">
      <w:pPr>
        <w:pStyle w:val="NumberedParaAR"/>
        <w:numPr>
          <w:ilvl w:val="0"/>
          <w:numId w:val="35"/>
        </w:numPr>
        <w:rPr>
          <w:lang w:bidi="ar-EG"/>
        </w:rPr>
      </w:pPr>
      <w:r>
        <w:rPr>
          <w:rFonts w:hint="cs"/>
          <w:rtl/>
        </w:rPr>
        <w:t>و</w:t>
      </w:r>
      <w:r w:rsidRPr="00F9435D">
        <w:rPr>
          <w:rFonts w:hint="cs"/>
          <w:rtl/>
        </w:rPr>
        <w:t>بيان التدفق النقدي</w:t>
      </w:r>
      <w:r>
        <w:rPr>
          <w:rFonts w:hint="cs"/>
          <w:rtl/>
        </w:rPr>
        <w:t xml:space="preserve"> </w:t>
      </w:r>
      <w:r>
        <w:rPr>
          <w:rtl/>
        </w:rPr>
        <w:t>–</w:t>
      </w:r>
      <w:r>
        <w:rPr>
          <w:rFonts w:hint="cs"/>
          <w:rtl/>
        </w:rPr>
        <w:t xml:space="preserve"> وهو يعرض التحركات النقدية التي حدثت خلال العام والناجمة عن أنشطة التشغيل والاستثمار والتمويل. ويوفر هذا البيان معلومات عن كيفية توليد النقدية واستخدامها أثناء العام، بما في ذلك الاقتراض والقروض المستردة وشراء أصول ثابتة والتخلص منها. وعلى وجه النقيض مع بيان الأداء المالي، يقيس التدفق النقدي الصافي للمنظمة الفرق بين النقدية الداخلة إلى المنظمة والنقدية الخارجة منها؛</w:t>
      </w:r>
    </w:p>
    <w:p w:rsidR="00E16243" w:rsidRDefault="00E16243" w:rsidP="00E16243">
      <w:pPr>
        <w:pStyle w:val="NumberedParaAR"/>
        <w:numPr>
          <w:ilvl w:val="0"/>
          <w:numId w:val="35"/>
        </w:numPr>
        <w:rPr>
          <w:lang w:bidi="ar-EG"/>
        </w:rPr>
      </w:pPr>
      <w:r>
        <w:rPr>
          <w:rFonts w:hint="cs"/>
          <w:rtl/>
        </w:rPr>
        <w:t>و</w:t>
      </w:r>
      <w:r w:rsidRPr="00F42B0E">
        <w:rPr>
          <w:rFonts w:hint="cs"/>
          <w:rtl/>
        </w:rPr>
        <w:t>بيان مقارنة المبالغ المدرجة في الميزانية والمبالغ الفعلية</w:t>
      </w:r>
      <w:r>
        <w:rPr>
          <w:rFonts w:hint="cs"/>
          <w:rtl/>
          <w:lang w:bidi="ar-EG"/>
        </w:rPr>
        <w:t xml:space="preserve"> </w:t>
      </w:r>
      <w:r>
        <w:rPr>
          <w:rtl/>
          <w:lang w:bidi="ar-EG"/>
        </w:rPr>
        <w:t>–</w:t>
      </w:r>
      <w:r>
        <w:rPr>
          <w:rFonts w:hint="cs"/>
          <w:rtl/>
          <w:lang w:bidi="ar-EG"/>
        </w:rPr>
        <w:t xml:space="preserve"> وهو يعرض مقارنة بين المبالغ المدرجة في وثيقة البرنامج والميزانية، والمبالغ الفعلية للسنة. ويتم إعداد هذا البيان بناء على الأساس المستخدم في الميزانية، وهو أساس الاستحقاق المعدل. وهو يوفر معلومات عن مدى مطابقة الموارد من حيث الحصول عليها واستخدامها للميزانية المعتمدة؛</w:t>
      </w:r>
    </w:p>
    <w:p w:rsidR="00E16243" w:rsidRDefault="00E16243" w:rsidP="00E16243">
      <w:pPr>
        <w:pStyle w:val="NumberedParaAR"/>
        <w:numPr>
          <w:ilvl w:val="0"/>
          <w:numId w:val="35"/>
        </w:numPr>
        <w:rPr>
          <w:lang w:bidi="ar-EG"/>
        </w:rPr>
      </w:pPr>
      <w:r>
        <w:rPr>
          <w:rFonts w:hint="cs"/>
          <w:rtl/>
        </w:rPr>
        <w:t>و</w:t>
      </w:r>
      <w:r w:rsidRPr="005A1349">
        <w:rPr>
          <w:rFonts w:hint="cs"/>
          <w:rtl/>
        </w:rPr>
        <w:t>ملاحظات على البيانات المالية</w:t>
      </w:r>
      <w:r>
        <w:rPr>
          <w:rFonts w:hint="cs"/>
          <w:rtl/>
          <w:lang w:bidi="ar-EG"/>
        </w:rPr>
        <w:t xml:space="preserve"> </w:t>
      </w:r>
      <w:r>
        <w:rPr>
          <w:rtl/>
          <w:lang w:bidi="ar-EG"/>
        </w:rPr>
        <w:t>–</w:t>
      </w:r>
      <w:r>
        <w:rPr>
          <w:rFonts w:hint="cs"/>
          <w:rtl/>
          <w:lang w:bidi="ar-EG"/>
        </w:rPr>
        <w:t xml:space="preserve"> وهي تساعد في فهم البيانات المالية الرئيسية. وتتضمن ملخصا لأهم السياسات المحاسبية ومعلومات تفسيرية أخرى. كما تكشف عن معلومات تتطلبها المعايير المحاسبية الدولية للقطاع العام ولا تظهر على صفحات البيانات المالية الرئيسية.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أبرز معالم البيانات المالية</w:t>
      </w:r>
    </w:p>
    <w:p w:rsidR="00E16243" w:rsidRDefault="00E16243" w:rsidP="00E16243">
      <w:pPr>
        <w:pStyle w:val="NumberedParaAR"/>
        <w:rPr>
          <w:lang w:bidi="ar-EG"/>
        </w:rPr>
      </w:pPr>
      <w:r>
        <w:rPr>
          <w:rFonts w:hint="cs"/>
          <w:rtl/>
          <w:lang w:bidi="ar-EG"/>
        </w:rPr>
        <w:t>توضح بيانات الويبو المالية لعام 2012 والتي أعدت وفقا للمعايير المحاسبية الدولية للقطاع العام أن هناك فائضا قدره 15,7 مليون فرنك سويسري تحقق ذلك العام، وأن صافي الأصول زادت من 162,5 مليون فرنك سويسري في 2011 إلى</w:t>
      </w:r>
      <w:r>
        <w:rPr>
          <w:rFonts w:hint="eastAsia"/>
          <w:rtl/>
          <w:lang w:bidi="ar-EG"/>
        </w:rPr>
        <w:t> </w:t>
      </w:r>
      <w:r>
        <w:rPr>
          <w:rFonts w:hint="cs"/>
          <w:rtl/>
          <w:lang w:bidi="ar-EG"/>
        </w:rPr>
        <w:t>178,2 مليون فرنك سويسري في 31 ديسمبر 2012.</w:t>
      </w:r>
    </w:p>
    <w:p w:rsidR="00E16243" w:rsidRDefault="00E16243" w:rsidP="000C096B">
      <w:pPr>
        <w:pStyle w:val="NumberedParaAR"/>
        <w:rPr>
          <w:lang w:bidi="ar-EG"/>
        </w:rPr>
      </w:pPr>
      <w:r>
        <w:rPr>
          <w:rFonts w:hint="cs"/>
          <w:rtl/>
          <w:lang w:bidi="ar-EG"/>
        </w:rPr>
        <w:lastRenderedPageBreak/>
        <w:t>ويمكن مقارنة هذا الفائض بعجز بلغ 32,2 مليون فرنك سويسري في 2011. وقد زادت الإيرادات في 2012 بمبلغ</w:t>
      </w:r>
      <w:r>
        <w:rPr>
          <w:rFonts w:hint="eastAsia"/>
          <w:rtl/>
          <w:lang w:bidi="ar-EG"/>
        </w:rPr>
        <w:t> </w:t>
      </w:r>
      <w:r>
        <w:rPr>
          <w:rFonts w:hint="cs"/>
          <w:rtl/>
          <w:lang w:bidi="ar-EG"/>
        </w:rPr>
        <w:t>43,8 مليون فرنك سويسري عما كانت عليه في 2011، ويرجع ذلك بصورة رئيسية إلى الزيادة في نشاط نظام البراءات الدولي. وانخفض مجموع المصروفات بمبلغ 4,1 مليون فرنك سويسري أو 1,3 بالمائة مقارنة بعام 2011، رغم أن نفقات الموظفين زادت بنسبة 1,5 بالمائة.</w:t>
      </w:r>
    </w:p>
    <w:p w:rsidR="00E16243" w:rsidRDefault="00E16243" w:rsidP="00E16243">
      <w:pPr>
        <w:pStyle w:val="NumberedParaAR"/>
        <w:rPr>
          <w:lang w:bidi="ar-EG"/>
        </w:rPr>
      </w:pPr>
      <w:r>
        <w:rPr>
          <w:rFonts w:hint="cs"/>
          <w:rtl/>
          <w:lang w:bidi="ar-EG"/>
        </w:rPr>
        <w:t>وظل تركيب الأصول والخصوم لدى الويبو مماثلا له في عام 2011 إلى حد كبير. حيث بلغ مجموع النقدية وما</w:t>
      </w:r>
      <w:r>
        <w:rPr>
          <w:rFonts w:hint="eastAsia"/>
          <w:rtl/>
          <w:lang w:bidi="ar-EG"/>
        </w:rPr>
        <w:t> </w:t>
      </w:r>
      <w:r>
        <w:rPr>
          <w:rFonts w:hint="cs"/>
          <w:rtl/>
          <w:lang w:bidi="ar-EG"/>
        </w:rPr>
        <w:t>يعادلها</w:t>
      </w:r>
      <w:r>
        <w:rPr>
          <w:rFonts w:hint="eastAsia"/>
          <w:rtl/>
          <w:lang w:bidi="ar-EG"/>
        </w:rPr>
        <w:t> </w:t>
      </w:r>
      <w:r>
        <w:rPr>
          <w:rFonts w:hint="cs"/>
          <w:rtl/>
          <w:lang w:bidi="ar-EG"/>
        </w:rPr>
        <w:t>408,1 مليون فرنك سويسري في 31 ديسمبر 2012، وهي تمثل 49,1 بالمائة من مجموع الأصول. وما زالت المنظمة تحتفظ بقدر كبير من الاستثمارات في الأصول الثابتة، ولا سيما الأراضي والمباني والملكية الاستثمارية والأصول غير المادية التي بلغ مجموع قيمتها الدفترية الصافية 373,0 مليون فرنك سويسري، تعادل 44,9 بالمائة من مجموع الأصول.</w:t>
      </w:r>
    </w:p>
    <w:p w:rsidR="00E16243" w:rsidRDefault="00E16243" w:rsidP="00E16243">
      <w:pPr>
        <w:pStyle w:val="NumberedParaAR"/>
        <w:rPr>
          <w:lang w:bidi="ar-EG"/>
        </w:rPr>
      </w:pPr>
      <w:r>
        <w:rPr>
          <w:rFonts w:hint="cs"/>
          <w:rtl/>
          <w:lang w:bidi="ar-EG"/>
        </w:rPr>
        <w:t>وتتمثل الخصوم الرئيسية للمنظمة في 31 ديسمبر 2012 في المبالغ مستحقة الدفع والمبالغ المتسلمة قبل استحقاقها والبالغة قيمتها 303,0 مليون فرنك سويسري (وهي تمثل 46,4 بالمائة من مجموع الخصوم)، واستحقاقات الموظفين (21,7 بالمائة) والقروض (22,9 بالمائة).</w:t>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الأداء المالي</w:t>
      </w:r>
    </w:p>
    <w:p w:rsidR="00E16243" w:rsidRDefault="00E16243" w:rsidP="00E16243">
      <w:pPr>
        <w:pStyle w:val="NumberedParaAR"/>
        <w:rPr>
          <w:lang w:bidi="ar-EG"/>
        </w:rPr>
      </w:pPr>
      <w:r>
        <w:rPr>
          <w:rFonts w:hint="cs"/>
          <w:rtl/>
          <w:lang w:bidi="ar-EG"/>
        </w:rPr>
        <w:t xml:space="preserve">أظهرت نتائج المنظمة لعام 2012 تحقق فائض ذلك العام يبلغ 15,7 مليون فرنك سويسري، حيث بلغ مجموع الإيرادات 337,0 مليون فرنك سويسري ومجموع المصروفات 321,3 مليون فرنك سويسري. ويمكن مقارنة ذلك بالعجز الذي بلغ 32,2 مليون فرنك سويسري في 2011، </w:t>
      </w:r>
      <w:r>
        <w:rPr>
          <w:rFonts w:hint="cs"/>
          <w:rtl/>
        </w:rPr>
        <w:t xml:space="preserve">في </w:t>
      </w:r>
      <w:r>
        <w:rPr>
          <w:rFonts w:hint="cs"/>
          <w:rtl/>
          <w:lang w:bidi="ar-EG"/>
        </w:rPr>
        <w:t>حين بلغ مجموع الإيرادات 293,2 مليون فرنك سويسري ومجموع المصروفات 325,4 مليون فرنك سويسري.</w:t>
      </w:r>
    </w:p>
    <w:p w:rsidR="00E16243" w:rsidRDefault="00E16243" w:rsidP="00E16243">
      <w:pPr>
        <w:pStyle w:val="NumberedParaAR"/>
        <w:rPr>
          <w:lang w:bidi="ar-EG"/>
        </w:rPr>
      </w:pPr>
      <w:r>
        <w:rPr>
          <w:rFonts w:hint="cs"/>
          <w:rtl/>
          <w:lang w:bidi="ar-EG"/>
        </w:rPr>
        <w:t>وكانت نتيجة البرنامج والميزانية لعام 2012 والتي أعدت على أساس الاستحقاق المعدل (أي قبل تسويات المعايير المحاسبية الدولية للقطاع العام) فائضا قدره 51,0 مليون فرنك سويسري. وتشمل نتيجة المنظمة في 2012 وفقا للمعايير المحاسبية الدولية للقطاع العام حسابات خاصة، ومشروعات ممولة من الأموال الاحتياطية، وأثر التسويات المتصلة بنظام الاستحقاق الكامل في المحاسبة بما يتفق والمعايير المحاسبية الدولية للقطاع العام.</w:t>
      </w:r>
    </w:p>
    <w:p w:rsidR="00E16243" w:rsidRDefault="00E16243" w:rsidP="00E16243">
      <w:pPr>
        <w:pStyle w:val="NumberedParaAR"/>
        <w:keepNext/>
        <w:numPr>
          <w:ilvl w:val="0"/>
          <w:numId w:val="0"/>
        </w:numPr>
        <w:jc w:val="center"/>
        <w:rPr>
          <w:rtl/>
          <w:lang w:bidi="ar-EG"/>
        </w:rPr>
      </w:pPr>
      <w:r>
        <w:rPr>
          <w:rFonts w:hint="cs"/>
          <w:rtl/>
          <w:lang w:bidi="ar-EG"/>
        </w:rPr>
        <w:t>ملخص الأداء المالي حسب وحدات الأعمال</w:t>
      </w:r>
    </w:p>
    <w:p w:rsidR="00E16243" w:rsidRDefault="00BE76A4" w:rsidP="00C73B1C">
      <w:pPr>
        <w:pStyle w:val="NumberedParaAR"/>
        <w:numPr>
          <w:ilvl w:val="0"/>
          <w:numId w:val="0"/>
        </w:numPr>
        <w:spacing w:line="240" w:lineRule="auto"/>
        <w:jc w:val="center"/>
        <w:rPr>
          <w:rtl/>
          <w:lang w:bidi="ar-EG"/>
        </w:rPr>
      </w:pPr>
      <w:r w:rsidRPr="00BE76A4">
        <w:rPr>
          <w:noProof/>
          <w:rtl/>
        </w:rPr>
        <w:drawing>
          <wp:inline distT="0" distB="0" distL="0" distR="0" wp14:anchorId="2E011748" wp14:editId="7AE6E00C">
            <wp:extent cx="5940425" cy="181322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813229"/>
                    </a:xfrm>
                    <a:prstGeom prst="rect">
                      <a:avLst/>
                    </a:prstGeom>
                    <a:noFill/>
                    <a:ln>
                      <a:noFill/>
                    </a:ln>
                  </pic:spPr>
                </pic:pic>
              </a:graphicData>
            </a:graphic>
          </wp:inline>
        </w:drawing>
      </w:r>
    </w:p>
    <w:p w:rsidR="00E16243" w:rsidRDefault="00E16243" w:rsidP="00D91942">
      <w:pPr>
        <w:pStyle w:val="NumberedParaAR"/>
        <w:keepNext/>
        <w:rPr>
          <w:lang w:bidi="ar-EG"/>
        </w:rPr>
      </w:pPr>
      <w:r>
        <w:rPr>
          <w:rFonts w:hint="cs"/>
          <w:rtl/>
          <w:lang w:bidi="ar-EG"/>
        </w:rPr>
        <w:lastRenderedPageBreak/>
        <w:t>ويلخص الرسم البياني أدناه الفروق الرئيسية بين فائض البرنامج والميزانية البالغ 51,0 مليون فرنك سويسري، وفائض المنظمة كلها الناتج عن تطبيق المعايير المحاسبية الدولية للقطاع العام والبالغ 15,7 مليون فرنك سويسري:</w:t>
      </w:r>
    </w:p>
    <w:p w:rsidR="00E16243" w:rsidRDefault="00E16243" w:rsidP="00E16243">
      <w:pPr>
        <w:pStyle w:val="NumberedParaAR"/>
        <w:keepNext/>
        <w:numPr>
          <w:ilvl w:val="0"/>
          <w:numId w:val="0"/>
        </w:numPr>
        <w:jc w:val="center"/>
        <w:rPr>
          <w:rtl/>
          <w:lang w:bidi="ar-EG"/>
        </w:rPr>
      </w:pPr>
      <w:r>
        <w:rPr>
          <w:rFonts w:hint="cs"/>
          <w:rtl/>
          <w:lang w:bidi="ar-EG"/>
        </w:rPr>
        <w:t>الانتقال من النتيجة بناء على الميزانية إلى النتيجة بناء على المعايير المحاسبية الدولية للقطاع العام لعام 2012</w:t>
      </w:r>
    </w:p>
    <w:p w:rsidR="00E16243" w:rsidRDefault="00CB7D5F" w:rsidP="00C73B1C">
      <w:pPr>
        <w:pStyle w:val="NumberedParaAR"/>
        <w:numPr>
          <w:ilvl w:val="0"/>
          <w:numId w:val="0"/>
        </w:numPr>
        <w:spacing w:line="240" w:lineRule="auto"/>
        <w:jc w:val="center"/>
        <w:rPr>
          <w:rtl/>
          <w:lang w:bidi="ar-EG"/>
        </w:rPr>
      </w:pPr>
      <w:r w:rsidRPr="00CB7D5F">
        <w:rPr>
          <w:noProof/>
          <w:rtl/>
        </w:rPr>
        <w:drawing>
          <wp:inline distT="0" distB="0" distL="0" distR="0" wp14:anchorId="2031450F" wp14:editId="1D330713">
            <wp:extent cx="5940425" cy="339864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98643"/>
                    </a:xfrm>
                    <a:prstGeom prst="rect">
                      <a:avLst/>
                    </a:prstGeom>
                    <a:noFill/>
                    <a:ln>
                      <a:noFill/>
                    </a:ln>
                  </pic:spPr>
                </pic:pic>
              </a:graphicData>
            </a:graphic>
          </wp:inline>
        </w:drawing>
      </w:r>
    </w:p>
    <w:p w:rsidR="00E16243" w:rsidRDefault="00E16243" w:rsidP="00E16243">
      <w:pPr>
        <w:pStyle w:val="NumberedParaAR"/>
        <w:rPr>
          <w:lang w:bidi="ar-EG"/>
        </w:rPr>
      </w:pPr>
      <w:r>
        <w:rPr>
          <w:rFonts w:hint="cs"/>
          <w:rtl/>
          <w:lang w:bidi="ar-EG"/>
        </w:rPr>
        <w:t xml:space="preserve">وتشمل بيانات الويبو المالية المعدة وفقا للمعايير المحاسبية الدولية للقطاع العام كل مجالات وأنشطة المنظمة بأكملها. ويمثل إدراج النتائج قبل تسويات المعايير المحاسبية الدولية للقطاع العام فيما يتعلق بالحسابات الخاصة (فائض 2,4 مليون فرنك سويسري) والمشروعات الممولة من الأموال الاحتياطية (عجز 11,0 مليون فرنك سويسري) </w:t>
      </w:r>
      <w:r>
        <w:rPr>
          <w:rtl/>
          <w:lang w:bidi="ar-EG"/>
        </w:rPr>
        <w:t>’</w:t>
      </w:r>
      <w:r>
        <w:rPr>
          <w:rFonts w:hint="cs"/>
          <w:rtl/>
          <w:lang w:bidi="ar-EG"/>
        </w:rPr>
        <w:t>فوارق بحسب الجهة المعنية</w:t>
      </w:r>
      <w:r>
        <w:rPr>
          <w:rtl/>
          <w:lang w:bidi="ar-EG"/>
        </w:rPr>
        <w:t>‘</w:t>
      </w:r>
      <w:r>
        <w:rPr>
          <w:rFonts w:hint="cs"/>
          <w:rtl/>
          <w:lang w:bidi="ar-EG"/>
        </w:rPr>
        <w:t xml:space="preserve"> بين نتيجة ميزانية وفائض البيانات المالية.</w:t>
      </w:r>
    </w:p>
    <w:p w:rsidR="00E16243" w:rsidRDefault="00E16243" w:rsidP="00E16243">
      <w:pPr>
        <w:pStyle w:val="NumberedParaAR"/>
        <w:rPr>
          <w:lang w:bidi="ar-EG"/>
        </w:rPr>
      </w:pPr>
      <w:r>
        <w:rPr>
          <w:rFonts w:hint="cs"/>
          <w:rtl/>
          <w:lang w:bidi="ar-EG"/>
        </w:rPr>
        <w:t xml:space="preserve">ويؤدي تطبيق أساس الاستحقاق الكامل في المحاسبة وفقا للمعايير المحاسبية الدولية للقطاع العام إلى عدد من </w:t>
      </w:r>
      <w:r>
        <w:rPr>
          <w:rtl/>
          <w:lang w:bidi="ar-EG"/>
        </w:rPr>
        <w:t>’</w:t>
      </w:r>
      <w:r>
        <w:rPr>
          <w:rFonts w:hint="cs"/>
          <w:rtl/>
          <w:lang w:bidi="ar-EG"/>
        </w:rPr>
        <w:t>الفوارق الأساسية المحاسبية</w:t>
      </w:r>
      <w:r>
        <w:rPr>
          <w:rtl/>
          <w:lang w:bidi="ar-EG"/>
        </w:rPr>
        <w:t>‘</w:t>
      </w:r>
      <w:r>
        <w:rPr>
          <w:rFonts w:hint="cs"/>
          <w:rtl/>
          <w:lang w:bidi="ar-EG"/>
        </w:rPr>
        <w:t xml:space="preserve"> التي تؤثر على نتيجة السنة. وكما هو موضح في الجدول أعلاه، فإن الأثر الصافي لهذه التسويات للفترة الثنائية هو عجز قدره 26,6 مليون فرنك سويسري:</w:t>
      </w:r>
    </w:p>
    <w:p w:rsidR="00E16243" w:rsidRDefault="00E16243" w:rsidP="00E16243">
      <w:pPr>
        <w:pStyle w:val="NumberedParaAR"/>
        <w:numPr>
          <w:ilvl w:val="0"/>
          <w:numId w:val="36"/>
        </w:numPr>
        <w:rPr>
          <w:lang w:bidi="ar-EG"/>
        </w:rPr>
      </w:pPr>
      <w:r>
        <w:rPr>
          <w:rFonts w:hint="cs"/>
          <w:rtl/>
          <w:lang w:bidi="ar-EG"/>
        </w:rPr>
        <w:t xml:space="preserve">وفقا للمعايير المحاسبية الدولية للقطاع العام، فإن إيرادات المساهمات الطوعية في إطار الحسابات الخاصة يتم قيدها عند الوفاء بالشروط المحددة في اتفاقات المانحين وعند تحمل المصروفات بما يتماشى مع برنامج العمل. وإذا كانت المساهمات المتلقاة تزيد على تكلفة العمل الذي تم أداؤه، تعامَل المساهمات باعتبارها إيرادات مؤجلة ضمن الخصوم، وقد أدى ذلك إلى </w:t>
      </w:r>
      <w:r w:rsidRPr="0047140C">
        <w:rPr>
          <w:rFonts w:hint="cs"/>
          <w:rtl/>
          <w:lang w:bidi="ar-EG"/>
        </w:rPr>
        <w:t xml:space="preserve">انخفاض في نتيجة السنة </w:t>
      </w:r>
      <w:r>
        <w:rPr>
          <w:rFonts w:hint="cs"/>
          <w:rtl/>
          <w:lang w:bidi="ar-EG"/>
        </w:rPr>
        <w:t xml:space="preserve">قدره </w:t>
      </w:r>
      <w:r w:rsidRPr="0047140C">
        <w:rPr>
          <w:rFonts w:hint="cs"/>
          <w:rtl/>
          <w:lang w:bidi="ar-EG"/>
        </w:rPr>
        <w:t>2,4 مليون فرنك سويسري</w:t>
      </w:r>
      <w:r>
        <w:rPr>
          <w:rFonts w:hint="cs"/>
          <w:rtl/>
          <w:lang w:bidi="ar-EG"/>
        </w:rPr>
        <w:t>.</w:t>
      </w:r>
    </w:p>
    <w:p w:rsidR="00E16243" w:rsidRDefault="00E16243" w:rsidP="00E16243">
      <w:pPr>
        <w:pStyle w:val="NumberedParaAR"/>
        <w:numPr>
          <w:ilvl w:val="0"/>
          <w:numId w:val="36"/>
        </w:numPr>
        <w:rPr>
          <w:lang w:bidi="ar-EG"/>
        </w:rPr>
      </w:pPr>
      <w:r>
        <w:rPr>
          <w:rFonts w:hint="cs"/>
          <w:rtl/>
          <w:lang w:bidi="ar-EG"/>
        </w:rPr>
        <w:t xml:space="preserve">عند تطبيق المعايير المحاسبية الدولية للقطاع العام، يتم تأجيل إيرادات الرسوم إلى حين تحصيلها، وذلك في حالة الطلبات الدولية عند النشر النهائي للطلب. وإذا زاد رصيد خصوم الإيرادات المؤجلة، فإن تأثير المعايير المحاسبية الدولية للقطاع العام هو انخفاض الإيرادات. وقد زاد رصيد إيرادات الرسوم المؤجلة (نظام البراءات الدولي والعلامات التجارية والتصاميم الصناعية) من 156,3 مليون فرنك سويسري في 31 ديسمبر 2011 إلى 170,2 مليون فرنك سويسري في 31 ديسمبر 2012. وفي الفترة ذاتها، انخفضت مبالغ الرسوم المستحقة بناء على نظام البراءات الدولي من 15,1 مليون فرنك سويسري إلى 13,9 مليون فرنك سويسري. وكان </w:t>
      </w:r>
      <w:r>
        <w:rPr>
          <w:rFonts w:hint="cs"/>
          <w:rtl/>
          <w:lang w:bidi="ar-EG"/>
        </w:rPr>
        <w:lastRenderedPageBreak/>
        <w:t>التأثير الصافي لهذا الانخفاض هو انخفاض الإيرادات بمبلغ 15,1 مليون فرنك سويسري. وأثناء 2012، تم أيضا قيد إيرادات مؤجلة قدرها 0,7 مليون فرنك سويسري تتعلق بتمويل مباني الأمن من قبل مؤسسة مباني المنظمات الدولية.</w:t>
      </w:r>
    </w:p>
    <w:p w:rsidR="00E16243" w:rsidRDefault="00E16243" w:rsidP="00E16243">
      <w:pPr>
        <w:pStyle w:val="NumberedParaAR"/>
        <w:numPr>
          <w:ilvl w:val="0"/>
          <w:numId w:val="36"/>
        </w:numPr>
        <w:rPr>
          <w:lang w:bidi="ar-EG"/>
        </w:rPr>
      </w:pPr>
      <w:r>
        <w:rPr>
          <w:rFonts w:hint="cs"/>
          <w:rtl/>
          <w:lang w:bidi="ar-EG"/>
        </w:rPr>
        <w:t>وتشمل نتائج العام بناء على المعايير المحاسبية الدولية للقطاع العام مصروفات اهتلاك المباني والمعدات ومصروف استهلاك الأصول غير المادية، نظرا لأن تكاليف هذه الأصول موزعة على عمرها الإنتاجي. وقد بلغ مجموع تكاليف الاهتلاك والاستهلاك للسنة 8,1 مليون فرنك سويسري.</w:t>
      </w:r>
    </w:p>
    <w:p w:rsidR="00E16243" w:rsidRDefault="00E16243" w:rsidP="00E16243">
      <w:pPr>
        <w:pStyle w:val="NumberedParaAR"/>
        <w:numPr>
          <w:ilvl w:val="0"/>
          <w:numId w:val="36"/>
        </w:numPr>
        <w:rPr>
          <w:lang w:bidi="ar-EG"/>
        </w:rPr>
      </w:pPr>
      <w:r>
        <w:rPr>
          <w:rFonts w:hint="cs"/>
          <w:rtl/>
          <w:lang w:bidi="ar-EG"/>
        </w:rPr>
        <w:t>وتستلزم المعايير المحاسبية الدولية للقطاع العام قيد مستحقات الموظفين التي يحصل عليها الموظفون ولكنها لم</w:t>
      </w:r>
      <w:r>
        <w:rPr>
          <w:rFonts w:hint="eastAsia"/>
          <w:rtl/>
          <w:lang w:bidi="ar-EG"/>
        </w:rPr>
        <w:t> </w:t>
      </w:r>
      <w:r>
        <w:rPr>
          <w:rFonts w:hint="cs"/>
          <w:rtl/>
          <w:lang w:bidi="ar-EG"/>
        </w:rPr>
        <w:t>تسدد بعد باعتبارها خصوما على المنظمة. ونظرا لزيادة مجموع خصوم مستحقات الموظفين، وأكثرها زيادة كانت المستحقات الصحية لما بعد الخدمة، تكبدت المنظمة مصروفات مناظرة بلغ مجموعها 7,3 مليون فرنك</w:t>
      </w:r>
      <w:r>
        <w:rPr>
          <w:rFonts w:hint="eastAsia"/>
          <w:rtl/>
          <w:lang w:bidi="ar-EG"/>
        </w:rPr>
        <w:t> </w:t>
      </w:r>
      <w:r>
        <w:rPr>
          <w:rFonts w:hint="cs"/>
          <w:rtl/>
          <w:lang w:bidi="ar-EG"/>
        </w:rPr>
        <w:t>سويسري.</w:t>
      </w:r>
    </w:p>
    <w:p w:rsidR="00E16243" w:rsidRDefault="00E16243" w:rsidP="00E16243">
      <w:pPr>
        <w:pStyle w:val="NumberedParaAR"/>
        <w:numPr>
          <w:ilvl w:val="0"/>
          <w:numId w:val="36"/>
        </w:numPr>
        <w:rPr>
          <w:lang w:bidi="ar-EG"/>
        </w:rPr>
      </w:pPr>
      <w:r>
        <w:rPr>
          <w:rFonts w:hint="cs"/>
          <w:rtl/>
          <w:lang w:bidi="ar-EG"/>
        </w:rPr>
        <w:t>وقد رُسملت التكاليف المتعلقة بتشييد المباني وتحسينها وفقا للمعايير المحاسبية الدولية للقطاع العام، ما خفض المصروفات خلال العام 2012 بمبلغ قدره 5,9 ملايين فرنك سويسري. وعلى النسق ذاته رُسمل اقتناء بعض المعدات بناء على المعايير المحاسبية الدولية للقطاع العام، ما خفض مصروفات الثنائية بمبلغ قدره 0,6 ملايين فرنك سويسري.</w:t>
      </w:r>
    </w:p>
    <w:p w:rsidR="00E16243" w:rsidRDefault="00E16243" w:rsidP="00E16243">
      <w:pPr>
        <w:pStyle w:val="NumberedParaAR"/>
        <w:numPr>
          <w:ilvl w:val="0"/>
          <w:numId w:val="36"/>
        </w:numPr>
        <w:rPr>
          <w:lang w:bidi="ar-EG"/>
        </w:rPr>
      </w:pPr>
      <w:r>
        <w:rPr>
          <w:rFonts w:hint="cs"/>
          <w:rtl/>
          <w:lang w:bidi="ar-EG"/>
        </w:rPr>
        <w:t>وثمة فوارق أخرى للأساس المحاسبي تتعلق بصورة رئيسية بالملكية الاستثمارية التي في يد المنظمة، والمقيدة في البيانات المالية وفقا للمعايير المحاسبية الدولية للقطاع العام بقيمتها العادلة. وقد نتج عن إعادة تقييم هذه الملكية في 31 ديسمبر 2012 زيادة في القيمة العادلة قدرها 0,5 ملايين فرنك سويسري، وظهر أثر ذلك في الفائض الذي تحقق خلال العام.</w:t>
      </w:r>
    </w:p>
    <w:p w:rsidR="00E16243" w:rsidRPr="000E3B56" w:rsidRDefault="00E16243" w:rsidP="00E16243">
      <w:pPr>
        <w:pStyle w:val="NumberedParaAR"/>
        <w:keepNext/>
        <w:numPr>
          <w:ilvl w:val="0"/>
          <w:numId w:val="0"/>
        </w:numPr>
        <w:rPr>
          <w:i/>
          <w:iCs/>
          <w:rtl/>
          <w:lang w:bidi="ar-EG"/>
        </w:rPr>
      </w:pPr>
      <w:r w:rsidRPr="000E3B56">
        <w:rPr>
          <w:rFonts w:hint="cs"/>
          <w:i/>
          <w:iCs/>
          <w:rtl/>
          <w:lang w:bidi="ar-EG"/>
        </w:rPr>
        <w:t>تحليل الإيرادات</w:t>
      </w:r>
    </w:p>
    <w:p w:rsidR="00E16243" w:rsidRDefault="00E16243" w:rsidP="00E16243">
      <w:pPr>
        <w:pStyle w:val="NumberedParaAR"/>
        <w:numPr>
          <w:ilvl w:val="0"/>
          <w:numId w:val="0"/>
        </w:numPr>
        <w:jc w:val="center"/>
        <w:rPr>
          <w:rtl/>
          <w:lang w:bidi="ar-EG"/>
        </w:rPr>
      </w:pPr>
      <w:r>
        <w:rPr>
          <w:rFonts w:hint="cs"/>
          <w:rtl/>
          <w:lang w:bidi="ar-EG"/>
        </w:rPr>
        <w:t>مكونات الإيرادات في 2012 على أساس المعايير المحاسبية الدولية للقطاع العام</w:t>
      </w:r>
    </w:p>
    <w:p w:rsidR="00E16243" w:rsidRDefault="003179AB" w:rsidP="00C73B1C">
      <w:pPr>
        <w:pStyle w:val="NumberedParaAR"/>
        <w:numPr>
          <w:ilvl w:val="0"/>
          <w:numId w:val="0"/>
        </w:numPr>
        <w:spacing w:line="240" w:lineRule="auto"/>
        <w:jc w:val="center"/>
        <w:rPr>
          <w:rtl/>
          <w:lang w:bidi="ar-EG"/>
        </w:rPr>
      </w:pPr>
      <w:r>
        <w:rPr>
          <w:noProof/>
        </w:rPr>
        <w:drawing>
          <wp:inline distT="0" distB="0" distL="0" distR="0" wp14:anchorId="0462B0FE">
            <wp:extent cx="5676900" cy="3162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3162300"/>
                    </a:xfrm>
                    <a:prstGeom prst="rect">
                      <a:avLst/>
                    </a:prstGeom>
                    <a:noFill/>
                  </pic:spPr>
                </pic:pic>
              </a:graphicData>
            </a:graphic>
          </wp:inline>
        </w:drawing>
      </w:r>
    </w:p>
    <w:p w:rsidR="00E16243" w:rsidRDefault="00E16243" w:rsidP="00E16243">
      <w:pPr>
        <w:pStyle w:val="NumberedParaAR"/>
        <w:rPr>
          <w:lang w:bidi="ar-EG"/>
        </w:rPr>
      </w:pPr>
      <w:r>
        <w:rPr>
          <w:rFonts w:hint="cs"/>
          <w:rtl/>
          <w:lang w:bidi="ar-EG"/>
        </w:rPr>
        <w:lastRenderedPageBreak/>
        <w:t>بلغ مجموع إيرادات المنظمة 337,0 مليون فرنك سويسري في عام 2012، ويمثل ذلك زيادة قدرها 14,9 بالمائة مقارنة بعام 2011 الذي بلغ مجموع إيراداته 293,2 مليون فرنك سويسري.</w:t>
      </w:r>
    </w:p>
    <w:p w:rsidR="00E16243" w:rsidRDefault="00E16243" w:rsidP="00E16243">
      <w:pPr>
        <w:pStyle w:val="NumberedParaAR"/>
        <w:rPr>
          <w:lang w:bidi="ar-EG"/>
        </w:rPr>
      </w:pPr>
      <w:r>
        <w:rPr>
          <w:rFonts w:hint="cs"/>
          <w:rtl/>
          <w:lang w:bidi="ar-EG"/>
        </w:rPr>
        <w:t>وكان أكبر مصدر للإيرادات خلال 2012 هو رسوم نظام البراءات الدولي، التي بلغت 73,7 بالمائة من مجموع الإيرادات. وقد زادت إيرادات رسوم نظام البراءات الدولي بنسبة 20,1 بالمائة عما كانت عليه في 2011. ويقدر مجموع عدد الطلبات 400 194 في 2012، مقارنة بما مجموعه 500 181 طلب في 2011. ويلاحظ في البيانات المالية المعدة وفقا للمعايير المحاسبية الدولية للقطاع العام أن إيرادات الطلبات لا يتم قيدها إلا عند نشر الطلب. وقد سجلت الويبو أيضا مكاسب كبيرة ناتجة عن صرف العملات التي مصدرها الرسوم الدولية، بلغ مجموعها 7,5 مليون فرنك سويسري. ويمكن مقارنة ذلك بالخسارة الناتجة عن صرف العملات التي شهدها عام 2011 والتي بلغت 13,8 مليون فرنك سويسري.</w:t>
      </w:r>
    </w:p>
    <w:p w:rsidR="00E16243" w:rsidRDefault="00E16243" w:rsidP="00E16243">
      <w:pPr>
        <w:pStyle w:val="NumberedParaAR"/>
        <w:rPr>
          <w:lang w:bidi="ar-EG"/>
        </w:rPr>
      </w:pPr>
      <w:r>
        <w:rPr>
          <w:rFonts w:hint="cs"/>
          <w:rtl/>
          <w:lang w:bidi="ar-EG"/>
        </w:rPr>
        <w:t>وتمثل رسوم نظام مدريد ثاني أكبر مصدر لإيرادات المنظمة، حيث بلغت 15,3 بالمائة من مجموع الإيرادات. وقد زادت إيرادات رسوم نظام مدريد بنسبة 1,2 بالمائة مقارنة بعام 2011. وهنا أيضا لا يتم قيد إيرادات الرسوم في البيانات المالية وفقا للمعايير المحاسبية الدولية للقطاع العام إلا عند النشر. وقد شهد عام 2012 زيادة في عدد الطلبات والتجديدات، التي بلغ مجموعها 790</w:t>
      </w:r>
      <w:r>
        <w:rPr>
          <w:rFonts w:hint="eastAsia"/>
          <w:rtl/>
          <w:lang w:bidi="ar-EG"/>
        </w:rPr>
        <w:t> </w:t>
      </w:r>
      <w:r>
        <w:rPr>
          <w:rFonts w:hint="cs"/>
          <w:rtl/>
          <w:lang w:bidi="ar-EG"/>
        </w:rPr>
        <w:t>63 طلبا وتجديدا، مقارنة بعام 2011 الذي كان مجموعها فيه 455</w:t>
      </w:r>
      <w:r>
        <w:rPr>
          <w:rFonts w:hint="eastAsia"/>
          <w:rtl/>
          <w:lang w:bidi="ar-EG"/>
        </w:rPr>
        <w:t> </w:t>
      </w:r>
      <w:r>
        <w:rPr>
          <w:rFonts w:hint="cs"/>
          <w:rtl/>
          <w:lang w:bidi="ar-EG"/>
        </w:rPr>
        <w:t>62. وبقيت رسوم نظام لاهاي مستقرة مقارنة بعام 2011.</w:t>
      </w:r>
    </w:p>
    <w:p w:rsidR="00E16243" w:rsidRDefault="00E16243" w:rsidP="00E16243">
      <w:pPr>
        <w:pStyle w:val="NumberedParaAR"/>
        <w:rPr>
          <w:lang w:bidi="ar-EG"/>
        </w:rPr>
      </w:pPr>
      <w:r>
        <w:rPr>
          <w:rFonts w:hint="cs"/>
          <w:rtl/>
          <w:lang w:bidi="ar-EG"/>
        </w:rPr>
        <w:t xml:space="preserve">وكانت إيرادات الاشتراكات المقدرة والبالغة 17,6 مليون فرنك سويسري تمثل 5,2 بالمائة من مجموع الإيرادات، في حين كانت إيرادات المساهمات الطوعية المتسلمة في إطار الحسابات الخاصة والبالغة 7,7 ملايين فرنك سويسري تمثل 2,3 بالمائة من مجموع الإيرادات. أما </w:t>
      </w:r>
      <w:r w:rsidRPr="00D217A9">
        <w:rPr>
          <w:rFonts w:hint="cs"/>
          <w:rtl/>
          <w:lang w:bidi="ar-EG"/>
        </w:rPr>
        <w:t>إيرادات الالتزامات الطوعية</w:t>
      </w:r>
      <w:r>
        <w:rPr>
          <w:rFonts w:hint="cs"/>
          <w:rtl/>
          <w:lang w:bidi="ar-EG"/>
        </w:rPr>
        <w:t xml:space="preserve"> فيتم قيدها أثناء أداء العمل </w:t>
      </w:r>
      <w:r w:rsidRPr="00791348">
        <w:rPr>
          <w:rFonts w:hint="cs"/>
          <w:rtl/>
          <w:lang w:bidi="ar-EG"/>
        </w:rPr>
        <w:t>وتحمل التكاليف</w:t>
      </w:r>
      <w:r>
        <w:rPr>
          <w:rFonts w:hint="cs"/>
          <w:rtl/>
          <w:lang w:bidi="ar-EG"/>
        </w:rPr>
        <w:t xml:space="preserve"> بما يتماشى والاتفاق</w:t>
      </w:r>
      <w:r>
        <w:rPr>
          <w:rFonts w:hint="eastAsia"/>
          <w:rtl/>
          <w:lang w:bidi="ar-EG"/>
        </w:rPr>
        <w:t> </w:t>
      </w:r>
      <w:r>
        <w:rPr>
          <w:rFonts w:hint="cs"/>
          <w:rtl/>
          <w:lang w:bidi="ar-EG"/>
        </w:rPr>
        <w:t>المعني.</w:t>
      </w:r>
    </w:p>
    <w:p w:rsidR="00E16243" w:rsidRDefault="00E16243" w:rsidP="00E16243">
      <w:pPr>
        <w:pStyle w:val="NumberedParaAR"/>
        <w:rPr>
          <w:lang w:bidi="ar-EG"/>
        </w:rPr>
      </w:pPr>
      <w:r>
        <w:rPr>
          <w:rFonts w:hint="cs"/>
          <w:rtl/>
          <w:lang w:bidi="ar-EG"/>
        </w:rPr>
        <w:t>وبلغ مجموع إيرادات الاستثمار 1,8 مليون فرنك سويسري في 2012، أي أنه انخفض بنسبة 58,1 بالمائة مقارنة بعام</w:t>
      </w:r>
      <w:r>
        <w:rPr>
          <w:rFonts w:hint="eastAsia"/>
          <w:rtl/>
          <w:lang w:bidi="ar-EG"/>
        </w:rPr>
        <w:t> </w:t>
      </w:r>
      <w:r>
        <w:rPr>
          <w:rFonts w:hint="cs"/>
          <w:rtl/>
          <w:lang w:bidi="ar-EG"/>
        </w:rPr>
        <w:t xml:space="preserve">2011. وانخفضت إيرادات الفوائد انخفاضا كبيرا، نظرا إلى أن متوسط معدل </w:t>
      </w:r>
      <w:r w:rsidRPr="009079FC">
        <w:rPr>
          <w:rFonts w:hint="cs"/>
          <w:rtl/>
          <w:lang w:bidi="ar-EG"/>
        </w:rPr>
        <w:t>الفائدة المكتسبة</w:t>
      </w:r>
      <w:r>
        <w:rPr>
          <w:rFonts w:hint="cs"/>
          <w:rtl/>
          <w:lang w:bidi="ar-EG"/>
        </w:rPr>
        <w:t xml:space="preserve"> عن </w:t>
      </w:r>
      <w:r w:rsidRPr="00DC72D0">
        <w:rPr>
          <w:rFonts w:hint="cs"/>
          <w:rtl/>
          <w:lang w:bidi="ar-EG"/>
        </w:rPr>
        <w:t>الحسابات ذات الفوائد</w:t>
      </w:r>
      <w:r>
        <w:rPr>
          <w:rFonts w:hint="cs"/>
          <w:rtl/>
          <w:lang w:bidi="ar-EG"/>
        </w:rPr>
        <w:t xml:space="preserve"> والاستثمارات لدى البنك الوطني السويسري كان يبلغ 0,375 بالمائة في 2012 مقارنة بمعدل 1,24 بالمائة في 2011. وفي مقابل هذا الانخفاض كانت هناك زيادة طفيفة في تقييم ملكية الويبو الاستثمارية، وهو ما نتج عنه إيرادات استثمار قدرها 0,5 مليون فرنك سويسري.</w:t>
      </w:r>
    </w:p>
    <w:p w:rsidR="00E16243" w:rsidRDefault="00E16243" w:rsidP="00E16243">
      <w:pPr>
        <w:pStyle w:val="NumberedParaAR"/>
        <w:rPr>
          <w:lang w:bidi="ar-EG"/>
        </w:rPr>
      </w:pPr>
      <w:r>
        <w:rPr>
          <w:rFonts w:hint="cs"/>
          <w:rtl/>
          <w:lang w:bidi="ar-EG"/>
        </w:rPr>
        <w:t>وزادت إيرادات التحكيم والوساطة في 2012 بنسبة 13,3 بالمائة لتصل إلى 1,7 مليون فرنك سويسري مقارنة بعام</w:t>
      </w:r>
      <w:r>
        <w:rPr>
          <w:rFonts w:hint="eastAsia"/>
          <w:rtl/>
          <w:lang w:bidi="ar-EG"/>
        </w:rPr>
        <w:t> </w:t>
      </w:r>
      <w:r>
        <w:rPr>
          <w:rFonts w:hint="cs"/>
          <w:rtl/>
          <w:lang w:bidi="ar-EG"/>
        </w:rPr>
        <w:t>2011. وكانت الزيادة تتعلق أساسا بالرسوم الإدارية لأسماء الحقول، حيث زاد عدد قضاياها 115 قضية عما كانت عليه في 2011. وانخفضت إيرادات النشر انخفاضا طفيفا من 0,7 مليون فرنك سويسري عام 2011 ليبلغ مجموعها 0,6 مليون فرنك سويسري في 2012، حيث تتزايد درجة إتاحة النشر بالتحميل المجاني عبر الإنترنت.</w:t>
      </w:r>
    </w:p>
    <w:p w:rsidR="00E16243" w:rsidRDefault="00E16243" w:rsidP="00E16243">
      <w:pPr>
        <w:pStyle w:val="NumberedParaAR"/>
        <w:rPr>
          <w:lang w:bidi="ar-EG"/>
        </w:rPr>
      </w:pPr>
      <w:r>
        <w:rPr>
          <w:rFonts w:hint="cs"/>
          <w:rtl/>
          <w:lang w:bidi="ar-EG"/>
        </w:rPr>
        <w:t>وزادت الإيرادات الأخرى/المتنوعة زيادة كبيرة من 0,1 مليون فرنك سويسري في 2011 إلى 4,8 مليون فرنك سويسري في 2012. وأثناء 2012، قيدت المنظمة 2,2 مليون فرنك سويسري كإيرادات من جزاءات التسليم المتأخر المتعلقة بمشروعات البناء.</w:t>
      </w:r>
    </w:p>
    <w:p w:rsidR="00E16243" w:rsidRDefault="00E16243" w:rsidP="00E16243">
      <w:pPr>
        <w:pStyle w:val="NumberedParaAR"/>
        <w:keepNext/>
        <w:numPr>
          <w:ilvl w:val="0"/>
          <w:numId w:val="0"/>
        </w:numPr>
        <w:jc w:val="center"/>
        <w:rPr>
          <w:rtl/>
          <w:lang w:bidi="ar-EG"/>
        </w:rPr>
      </w:pPr>
      <w:r>
        <w:rPr>
          <w:rFonts w:hint="cs"/>
          <w:rtl/>
          <w:lang w:bidi="ar-EG"/>
        </w:rPr>
        <w:lastRenderedPageBreak/>
        <w:t>التغير في الإيرادات بين عامي 2012 و2011</w:t>
      </w:r>
    </w:p>
    <w:p w:rsidR="00E16243" w:rsidRDefault="00CB7D5F" w:rsidP="00C73B1C">
      <w:pPr>
        <w:pStyle w:val="NumberedParaAR"/>
        <w:numPr>
          <w:ilvl w:val="0"/>
          <w:numId w:val="0"/>
        </w:numPr>
        <w:spacing w:line="240" w:lineRule="auto"/>
        <w:jc w:val="center"/>
        <w:rPr>
          <w:rtl/>
          <w:lang w:bidi="ar-EG"/>
        </w:rPr>
      </w:pPr>
      <w:r w:rsidRPr="00CB7D5F">
        <w:rPr>
          <w:noProof/>
          <w:rtl/>
        </w:rPr>
        <w:drawing>
          <wp:inline distT="0" distB="0" distL="0" distR="0" wp14:anchorId="760712E6" wp14:editId="086CEAFC">
            <wp:extent cx="5940425" cy="3240232"/>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240232"/>
                    </a:xfrm>
                    <a:prstGeom prst="rect">
                      <a:avLst/>
                    </a:prstGeom>
                    <a:noFill/>
                    <a:ln>
                      <a:noFill/>
                    </a:ln>
                  </pic:spPr>
                </pic:pic>
              </a:graphicData>
            </a:graphic>
          </wp:inline>
        </w:drawing>
      </w:r>
    </w:p>
    <w:p w:rsidR="00E16243" w:rsidRPr="00765AEF" w:rsidRDefault="00E16243" w:rsidP="00E16243">
      <w:pPr>
        <w:pStyle w:val="NumberedParaAR"/>
        <w:keepNext/>
        <w:numPr>
          <w:ilvl w:val="0"/>
          <w:numId w:val="0"/>
        </w:numPr>
        <w:rPr>
          <w:i/>
          <w:iCs/>
          <w:rtl/>
          <w:lang w:bidi="ar-EG"/>
        </w:rPr>
      </w:pPr>
      <w:r w:rsidRPr="00765AEF">
        <w:rPr>
          <w:rFonts w:hint="cs"/>
          <w:i/>
          <w:iCs/>
          <w:rtl/>
          <w:lang w:bidi="ar-EG"/>
        </w:rPr>
        <w:t>تحليل المصروفات</w:t>
      </w:r>
    </w:p>
    <w:p w:rsidR="00E16243" w:rsidRDefault="00E16243" w:rsidP="00E16243">
      <w:pPr>
        <w:pStyle w:val="NumberedParaAR"/>
        <w:keepNext/>
        <w:numPr>
          <w:ilvl w:val="0"/>
          <w:numId w:val="0"/>
        </w:numPr>
        <w:jc w:val="center"/>
        <w:rPr>
          <w:rtl/>
          <w:lang w:bidi="ar-EG"/>
        </w:rPr>
      </w:pPr>
      <w:r>
        <w:rPr>
          <w:rFonts w:hint="cs"/>
          <w:rtl/>
          <w:lang w:bidi="ar-EG"/>
        </w:rPr>
        <w:t>تكوين مصروفات عام 2012 على أساس المعايير المحاسبية الدولية للقطاع العام</w:t>
      </w:r>
    </w:p>
    <w:p w:rsidR="00E16243" w:rsidRDefault="00EC660B" w:rsidP="00C73B1C">
      <w:pPr>
        <w:pStyle w:val="NumberedParaAR"/>
        <w:numPr>
          <w:ilvl w:val="0"/>
          <w:numId w:val="0"/>
        </w:numPr>
        <w:spacing w:line="240" w:lineRule="auto"/>
        <w:rPr>
          <w:rtl/>
          <w:lang w:bidi="ar-EG"/>
        </w:rPr>
      </w:pPr>
      <w:r>
        <w:rPr>
          <w:noProof/>
        </w:rPr>
        <w:drawing>
          <wp:inline distT="0" distB="0" distL="0" distR="0" wp14:anchorId="1B1BB207">
            <wp:extent cx="5761355" cy="33959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3395980"/>
                    </a:xfrm>
                    <a:prstGeom prst="rect">
                      <a:avLst/>
                    </a:prstGeom>
                    <a:noFill/>
                  </pic:spPr>
                </pic:pic>
              </a:graphicData>
            </a:graphic>
          </wp:inline>
        </w:drawing>
      </w:r>
    </w:p>
    <w:p w:rsidR="00E16243" w:rsidRDefault="00E16243" w:rsidP="00E16243">
      <w:pPr>
        <w:pStyle w:val="NumberedParaAR"/>
        <w:rPr>
          <w:lang w:bidi="ar-EG"/>
        </w:rPr>
      </w:pPr>
      <w:r>
        <w:rPr>
          <w:rFonts w:hint="cs"/>
          <w:rtl/>
          <w:lang w:bidi="ar-EG"/>
        </w:rPr>
        <w:t>وبلغ مجموع مصروفات المنظمة 321,3 مليون فرنك سويسري في عام 2012، وهو ما يمثل انخفاضا بنسبة 1,3 بالمائة مقارنة بمجموع مصروفات 2011 الذي بلغ 325,4 مليون فرنك سويسري.</w:t>
      </w:r>
    </w:p>
    <w:p w:rsidR="00E16243" w:rsidRDefault="00E16243" w:rsidP="00E16243">
      <w:pPr>
        <w:pStyle w:val="NumberedParaAR"/>
        <w:rPr>
          <w:lang w:bidi="ar-EG"/>
        </w:rPr>
      </w:pPr>
      <w:r>
        <w:rPr>
          <w:rFonts w:hint="cs"/>
          <w:rtl/>
          <w:lang w:bidi="ar-EG"/>
        </w:rPr>
        <w:lastRenderedPageBreak/>
        <w:t>وتشكل نفقات الموظفين أكبر مصروفات المنظمة، حيث تمثل 66,2 بالمائة من مجموع مصروفاتها. وقد زادت نفقات الموظفين بنسبة 1,5 بالمائة مقارنة بعام 2011. ويلاحظ أن المنظمة قامت أثناء عام 2012 بتنفيذ برنامج لإصلاح نظام التعاقد، يشمل تحويل العقود قصيرة الأجل إلى عقود توظيف مؤقتة. وخلال الثنائية 2010-2011، تضمنت الميزانية مبالغ إضافية بنسبة 6 بالمائة من تكاليف المرتبات، لتمويل مبالغ مستحقات إنهاء الخدمة المدفوعة نقدا إلى الموظفين، بما فيها المبالغ المدفوعة لقاء العطل السنوية غير المأخوذة ومبالغ منح الإعادة إلى الوطن وأسفار العودة إلى الوطن. وأتيحت الأرصدة المتبقية من هذا المبلغ لتخفيض التسويات اللازمة بناء على المعايير المحاسبية الدولية للقطاع العام لتقييد الزيادة في خصوم مستحقات الموظفين، ولا سيما المستحقات الصحية لما بعد الخدمة. ونظرا لزيادة مجموع خصوم مستحقات الموظفين، تكبدت المنظمة مصروفات بالقدر نفسه. وفي ميزانية الثنائية 2012-2013، تم تخفيض نسبة 6 بالمائة من تكاليف المرتبات التي تتضمنها الميزانية إلى نسبة 2 بالمائة نظرا للقيود المالية المفروضة. وبذلك تم تخفيض الأرصدة المتاحة لمواجهة التسويات بناء على المعايير المحاسبية الدولية للقطاع العام تخفيضا كبيرا.</w:t>
      </w:r>
    </w:p>
    <w:p w:rsidR="00E16243" w:rsidRDefault="00E16243" w:rsidP="00E16243">
      <w:pPr>
        <w:pStyle w:val="NumberedParaAR"/>
        <w:rPr>
          <w:lang w:bidi="ar-EG"/>
        </w:rPr>
      </w:pPr>
      <w:r>
        <w:rPr>
          <w:rFonts w:hint="cs"/>
          <w:rtl/>
          <w:lang w:bidi="ar-EG"/>
        </w:rPr>
        <w:t>وكانت الخدمات التعاقدية ثاني أكبر باب في مصروفات المنظمة عام 2012، حيث بلغت 55,0 مليون فرنك سويسري، وهو ما يمثل 17,1 بالمائة من مجموع المصروفات. وقد زادت الخدمات التعاقدية بنسبة 9,8 بالمائة مقارنة بعام 2011. ومن الجدير بالملاحظة أن المنظمة شهدت زيادة في المصروفات التي تحملتها في خدمات الترجمة التجارية، وفي الخدمات التي يقدمها المركز الدولي للحساب الإلكتروني.</w:t>
      </w:r>
    </w:p>
    <w:p w:rsidR="00E16243" w:rsidRDefault="00E16243" w:rsidP="00E16243">
      <w:pPr>
        <w:pStyle w:val="NumberedParaAR"/>
        <w:rPr>
          <w:lang w:bidi="ar-EG"/>
        </w:rPr>
      </w:pPr>
      <w:r>
        <w:rPr>
          <w:rFonts w:hint="cs"/>
          <w:rtl/>
          <w:lang w:bidi="ar-EG"/>
        </w:rPr>
        <w:t>وبلغت مصروفات التشغيل 24,6 مليون فرنك سويسري في 2012، وهو ما يمثل 7,6 بالمائة من مجموع المصروفات. وقد انخفضت مصروفات التشغيل بنسبة 20,1 بالمائة مقارنة بعام 2011، وكان العامل الأهم وراء ذلك هو الانخفاض في مصروفات إيجار المباني عقب نقل العمل إلى المبنى الجديد.</w:t>
      </w:r>
    </w:p>
    <w:p w:rsidR="00E16243" w:rsidRDefault="00E16243" w:rsidP="00E16243">
      <w:pPr>
        <w:pStyle w:val="NumberedParaAR"/>
        <w:rPr>
          <w:lang w:bidi="ar-EG"/>
        </w:rPr>
      </w:pPr>
      <w:r>
        <w:rPr>
          <w:rFonts w:hint="cs"/>
          <w:rtl/>
          <w:lang w:bidi="ar-EG"/>
        </w:rPr>
        <w:t>وبلغ مجموع مصروفات الأسفار والمنح 17,6 مليون فرنك سويسري عام 2012، أي 5,5 بالمائة من مجموع المصروفات. وقد انخفضت هذه المصروفات بنسبة 15,0 بالمائة مقارنة بعام 2011. حيث تم تخفيض مصروفات تكاليف البعثات والمؤتمرات (تكاليف المشاركين والمحاضرين)، في حين زادت تكاليف المنح في إطار الحسابات الخاصة.</w:t>
      </w:r>
    </w:p>
    <w:p w:rsidR="00E16243" w:rsidRDefault="00E16243" w:rsidP="00E16243">
      <w:pPr>
        <w:pStyle w:val="NumberedParaAR"/>
        <w:rPr>
          <w:lang w:bidi="ar-EG"/>
        </w:rPr>
      </w:pPr>
      <w:r>
        <w:rPr>
          <w:rFonts w:hint="cs"/>
          <w:rtl/>
          <w:lang w:bidi="ar-EG"/>
        </w:rPr>
        <w:t>وبلغت مصروفات الإمدادات والمواد 2,6 مليون فرنك سويسري، بزيادة بنسبة 13,0 بالمائة عما كانت عليه في</w:t>
      </w:r>
      <w:r>
        <w:rPr>
          <w:rFonts w:hint="eastAsia"/>
          <w:rtl/>
          <w:lang w:bidi="ar-EG"/>
        </w:rPr>
        <w:t> </w:t>
      </w:r>
      <w:r>
        <w:rPr>
          <w:rFonts w:hint="cs"/>
          <w:rtl/>
          <w:lang w:bidi="ar-EG"/>
        </w:rPr>
        <w:t>2011. حيث زادت التكاليف المتصلة بتراخيص البرمجيات، رغم أن بعض هذه المشتريات رُسملت باعتبارها أصولا غير</w:t>
      </w:r>
      <w:r>
        <w:rPr>
          <w:rFonts w:hint="eastAsia"/>
          <w:rtl/>
          <w:lang w:bidi="ar-EG"/>
        </w:rPr>
        <w:t> </w:t>
      </w:r>
      <w:r>
        <w:rPr>
          <w:rFonts w:hint="cs"/>
          <w:rtl/>
          <w:lang w:bidi="ar-EG"/>
        </w:rPr>
        <w:t>مادية وفقا للمعايير المحاسبية الدولية للقطاع العام. أما مصروفات الأثاث والمعدات فقد انخفضت انخفاضا كبيرا بنسبة</w:t>
      </w:r>
      <w:r>
        <w:rPr>
          <w:rFonts w:hint="eastAsia"/>
          <w:rtl/>
          <w:lang w:bidi="ar-EG"/>
        </w:rPr>
        <w:t> </w:t>
      </w:r>
      <w:r>
        <w:rPr>
          <w:rFonts w:hint="cs"/>
          <w:rtl/>
          <w:lang w:bidi="ar-EG"/>
        </w:rPr>
        <w:t xml:space="preserve">84,2 بالمائة لتصل إلى 0,6 مليون فرنك سويسري مقارنة بعام 2011. ويرجع ذلك بصورة رئيسية إلى </w:t>
      </w:r>
      <w:r w:rsidRPr="00411E99">
        <w:rPr>
          <w:rFonts w:hint="cs"/>
          <w:rtl/>
          <w:lang w:bidi="ar-EG"/>
        </w:rPr>
        <w:t>الطلب الكبير</w:t>
      </w:r>
      <w:r>
        <w:rPr>
          <w:rFonts w:hint="cs"/>
          <w:rtl/>
          <w:lang w:bidi="ar-EG"/>
        </w:rPr>
        <w:t xml:space="preserve"> على معدات تكنولوجيا المعلومات الذي شهده عام 2011.</w:t>
      </w:r>
    </w:p>
    <w:p w:rsidR="00E16243" w:rsidRDefault="00E16243" w:rsidP="00E16243">
      <w:pPr>
        <w:pStyle w:val="NumberedParaAR"/>
        <w:keepNext/>
        <w:numPr>
          <w:ilvl w:val="0"/>
          <w:numId w:val="0"/>
        </w:numPr>
        <w:jc w:val="center"/>
        <w:rPr>
          <w:rtl/>
          <w:lang w:bidi="ar-EG"/>
        </w:rPr>
      </w:pPr>
      <w:r>
        <w:rPr>
          <w:rFonts w:hint="cs"/>
          <w:rtl/>
          <w:lang w:bidi="ar-EG"/>
        </w:rPr>
        <w:t>التغير في المصروفات بين عامي 2012 و2011</w:t>
      </w:r>
    </w:p>
    <w:p w:rsidR="00E16243" w:rsidRDefault="00CB7D5F" w:rsidP="00C73B1C">
      <w:pPr>
        <w:pStyle w:val="NumberedParaAR"/>
        <w:numPr>
          <w:ilvl w:val="0"/>
          <w:numId w:val="0"/>
        </w:numPr>
        <w:spacing w:line="240" w:lineRule="auto"/>
        <w:jc w:val="center"/>
        <w:rPr>
          <w:rtl/>
          <w:lang w:bidi="ar-EG"/>
        </w:rPr>
      </w:pPr>
      <w:r w:rsidRPr="00CB7D5F">
        <w:rPr>
          <w:noProof/>
          <w:rtl/>
        </w:rPr>
        <w:drawing>
          <wp:inline distT="0" distB="0" distL="0" distR="0" wp14:anchorId="13C53A74" wp14:editId="1060339C">
            <wp:extent cx="5940425" cy="2046462"/>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046462"/>
                    </a:xfrm>
                    <a:prstGeom prst="rect">
                      <a:avLst/>
                    </a:prstGeom>
                    <a:noFill/>
                    <a:ln>
                      <a:noFill/>
                    </a:ln>
                  </pic:spPr>
                </pic:pic>
              </a:graphicData>
            </a:graphic>
          </wp:inline>
        </w:drawing>
      </w:r>
    </w:p>
    <w:p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lastRenderedPageBreak/>
        <w:t>الوضع المالي</w:t>
      </w:r>
    </w:p>
    <w:p w:rsidR="00E16243" w:rsidRDefault="00E16243" w:rsidP="00E16243">
      <w:pPr>
        <w:pStyle w:val="NumberedParaAR"/>
        <w:rPr>
          <w:lang w:bidi="ar-EG"/>
        </w:rPr>
      </w:pPr>
      <w:r>
        <w:rPr>
          <w:rFonts w:hint="cs"/>
          <w:rtl/>
          <w:lang w:bidi="ar-EG"/>
        </w:rPr>
        <w:t>في 31 ديسمبر 2012، بلغ صافي أصول المنظمة 178,2 مليون فرنك سويسري، حيث بلغ مجموع الأصول 830,7 مليون فرنك سويسري ومجموع الخصوم 652,5 مليون فرنك سويسري. فنتيجة لتحقق فائض قدره 15,7 مليون فرنك سويسري في 2012، زاد صافي الأصول عما كان عليه في 31 ديسمبر 2011، إذ كان يبلغ 162,5 مليون فرنك سويسري.</w:t>
      </w:r>
    </w:p>
    <w:p w:rsidR="00E16243" w:rsidRPr="007F180A" w:rsidRDefault="00E16243" w:rsidP="00E16243">
      <w:pPr>
        <w:pStyle w:val="NumberedParaAR"/>
        <w:keepNext/>
        <w:numPr>
          <w:ilvl w:val="0"/>
          <w:numId w:val="0"/>
        </w:numPr>
        <w:rPr>
          <w:i/>
          <w:iCs/>
          <w:rtl/>
          <w:lang w:bidi="ar-EG"/>
        </w:rPr>
      </w:pPr>
      <w:r w:rsidRPr="007F180A">
        <w:rPr>
          <w:rFonts w:hint="cs"/>
          <w:i/>
          <w:iCs/>
          <w:rtl/>
          <w:lang w:bidi="ar-EG"/>
        </w:rPr>
        <w:t>حركة صافي الأصول</w:t>
      </w:r>
    </w:p>
    <w:p w:rsidR="00E16243" w:rsidRDefault="00E16243" w:rsidP="00E16243">
      <w:pPr>
        <w:pStyle w:val="NumberedParaAR"/>
        <w:rPr>
          <w:lang w:bidi="ar-EG"/>
        </w:rPr>
      </w:pPr>
      <w:r>
        <w:rPr>
          <w:rFonts w:hint="cs"/>
          <w:rtl/>
          <w:lang w:bidi="ar-EG"/>
        </w:rPr>
        <w:t>يعتبر عام 2012 أول عام يتحقق فيه لدى الويبو زيادة في صافي الأصول منذ بدء العمل بالمعايير المحاسبية الدولية للقطاع العام في المنظمة. ففي سبيل تطبيق هذه المعايير عام 2010، كان على الويبو أن تعد بيانا مفتوحا مطابقا للمعايير المحاسبية الدولية للقطاع العام عن الوضع المالي في 1 يناير 2010. وكان ذلك يشمل قيد كل الأصول والخصوم التي يلزم إدراجها في بيان الوضع المالي وفقا للمعايير المحاسبية الدولية للقطاع العام. وكان الأثر الصافي لقيد هذه الأصول والخصوم انخفاضا في صافي الأصول بمبلغ 20,0 مليون فرنك سويسري. وفي عامي 2010 و2011، سجلت المنظمة عجزا في بياناتها المالية المعدة وفقا للمعايير المحاسبية الدولية للقطاع العام.</w:t>
      </w:r>
    </w:p>
    <w:p w:rsidR="00E16243" w:rsidRDefault="00E16243" w:rsidP="00E16243">
      <w:pPr>
        <w:pStyle w:val="NumberedParaAR"/>
        <w:keepNext/>
        <w:numPr>
          <w:ilvl w:val="0"/>
          <w:numId w:val="0"/>
        </w:numPr>
        <w:jc w:val="center"/>
        <w:rPr>
          <w:rtl/>
          <w:lang w:bidi="ar-EG"/>
        </w:rPr>
      </w:pPr>
      <w:r>
        <w:rPr>
          <w:rFonts w:hint="cs"/>
          <w:rtl/>
          <w:lang w:bidi="ar-EG"/>
        </w:rPr>
        <w:t>حركة صافي الأصول من 2009 إلى 2012</w:t>
      </w:r>
    </w:p>
    <w:p w:rsidR="00E16243" w:rsidRDefault="00EC660B" w:rsidP="00C73B1C">
      <w:pPr>
        <w:pStyle w:val="NumberedParaAR"/>
        <w:numPr>
          <w:ilvl w:val="0"/>
          <w:numId w:val="0"/>
        </w:numPr>
        <w:spacing w:line="240" w:lineRule="auto"/>
        <w:jc w:val="center"/>
        <w:rPr>
          <w:rtl/>
          <w:lang w:bidi="ar-EG"/>
        </w:rPr>
      </w:pPr>
      <w:r w:rsidRPr="00EC660B">
        <w:rPr>
          <w:noProof/>
          <w:rtl/>
        </w:rPr>
        <w:drawing>
          <wp:inline distT="0" distB="0" distL="0" distR="0" wp14:anchorId="1C70DF41" wp14:editId="31316FE5">
            <wp:extent cx="5940425" cy="3127346"/>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127346"/>
                    </a:xfrm>
                    <a:prstGeom prst="rect">
                      <a:avLst/>
                    </a:prstGeom>
                    <a:noFill/>
                    <a:ln>
                      <a:noFill/>
                    </a:ln>
                  </pic:spPr>
                </pic:pic>
              </a:graphicData>
            </a:graphic>
          </wp:inline>
        </w:drawing>
      </w:r>
    </w:p>
    <w:p w:rsidR="00E16243" w:rsidRPr="00773BAF" w:rsidRDefault="00E16243" w:rsidP="00E16243">
      <w:pPr>
        <w:pStyle w:val="NumberedParaAR"/>
        <w:keepNext/>
        <w:numPr>
          <w:ilvl w:val="0"/>
          <w:numId w:val="0"/>
        </w:numPr>
        <w:rPr>
          <w:i/>
          <w:iCs/>
          <w:rtl/>
          <w:lang w:bidi="ar-EG"/>
        </w:rPr>
      </w:pPr>
      <w:r w:rsidRPr="00773BAF">
        <w:rPr>
          <w:rFonts w:hint="cs"/>
          <w:i/>
          <w:iCs/>
          <w:rtl/>
          <w:lang w:bidi="ar-EG"/>
        </w:rPr>
        <w:lastRenderedPageBreak/>
        <w:t>ملخص الأصول والخصوم</w:t>
      </w:r>
    </w:p>
    <w:p w:rsidR="00E16243" w:rsidRDefault="00E16243" w:rsidP="00D91942">
      <w:pPr>
        <w:pStyle w:val="NumberedParaAR"/>
        <w:keepNext/>
        <w:rPr>
          <w:lang w:bidi="ar-EG"/>
        </w:rPr>
      </w:pPr>
      <w:r>
        <w:rPr>
          <w:rFonts w:hint="cs"/>
          <w:rtl/>
          <w:lang w:bidi="ar-EG"/>
        </w:rPr>
        <w:t>يعرض الرسم البياني الآتي ملخصا لبيان الوضع المالي للويبو حتى 31 ديسمبر 2012.</w:t>
      </w:r>
    </w:p>
    <w:p w:rsidR="00E16243" w:rsidRDefault="00E16243" w:rsidP="00E16243">
      <w:pPr>
        <w:pStyle w:val="NumberedParaAR"/>
        <w:keepNext/>
        <w:numPr>
          <w:ilvl w:val="0"/>
          <w:numId w:val="0"/>
        </w:numPr>
        <w:jc w:val="center"/>
        <w:rPr>
          <w:rtl/>
          <w:lang w:bidi="ar-EG"/>
        </w:rPr>
      </w:pPr>
      <w:r>
        <w:rPr>
          <w:rFonts w:hint="cs"/>
          <w:rtl/>
          <w:lang w:bidi="ar-EG"/>
        </w:rPr>
        <w:t>ملخص الأصول والخصوم في 31 ديسمبر 2012</w:t>
      </w:r>
    </w:p>
    <w:p w:rsidR="00E16243" w:rsidRDefault="00C777B1" w:rsidP="00C73B1C">
      <w:pPr>
        <w:pStyle w:val="NumberedParaAR"/>
        <w:numPr>
          <w:ilvl w:val="0"/>
          <w:numId w:val="0"/>
        </w:numPr>
        <w:spacing w:line="240" w:lineRule="auto"/>
        <w:jc w:val="center"/>
        <w:rPr>
          <w:rtl/>
          <w:lang w:bidi="ar-EG"/>
        </w:rPr>
      </w:pPr>
      <w:r w:rsidRPr="00C777B1">
        <w:rPr>
          <w:noProof/>
          <w:rtl/>
        </w:rPr>
        <w:drawing>
          <wp:inline distT="0" distB="0" distL="0" distR="0" wp14:anchorId="531BC691" wp14:editId="6B9D94A5">
            <wp:extent cx="5940425" cy="3615527"/>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615527"/>
                    </a:xfrm>
                    <a:prstGeom prst="rect">
                      <a:avLst/>
                    </a:prstGeom>
                    <a:noFill/>
                    <a:ln>
                      <a:noFill/>
                    </a:ln>
                  </pic:spPr>
                </pic:pic>
              </a:graphicData>
            </a:graphic>
          </wp:inline>
        </w:drawing>
      </w:r>
    </w:p>
    <w:p w:rsidR="00E16243" w:rsidRDefault="00E16243" w:rsidP="00E16243">
      <w:pPr>
        <w:pStyle w:val="NumberedParaAR"/>
        <w:rPr>
          <w:lang w:bidi="ar-EG"/>
        </w:rPr>
      </w:pPr>
      <w:r>
        <w:rPr>
          <w:rFonts w:hint="cs"/>
          <w:rtl/>
          <w:lang w:bidi="ar-EG"/>
        </w:rPr>
        <w:t xml:space="preserve">ويوجد لدى المنظمة أرصدة نقدية قدرها 408,1 مليون فرنك سويسري، تمثل 49,1 بالمائة من مجموع الأصول، رغم أنها تشمل مبالغ يصل مجموعها إلى 163,3 مليون فرنك سويسري مصنفة باعتبارها </w:t>
      </w:r>
      <w:r w:rsidRPr="00F63BFE">
        <w:rPr>
          <w:rFonts w:hint="cs"/>
          <w:rtl/>
          <w:lang w:bidi="ar-EG"/>
        </w:rPr>
        <w:t>مقيدة</w:t>
      </w:r>
      <w:r>
        <w:rPr>
          <w:rFonts w:hint="cs"/>
          <w:rtl/>
          <w:lang w:bidi="ar-EG"/>
        </w:rPr>
        <w:t xml:space="preserve"> وفقا للمعايير المحاسبية الدولية للقطاع العام. وقد زاد مجموع الأرصدة النقدية مقارنة برصيد 379,7 مليون فرنك سويسري الذي كان موجودا في 31 ديسمبر</w:t>
      </w:r>
      <w:r>
        <w:rPr>
          <w:rFonts w:hint="eastAsia"/>
          <w:rtl/>
          <w:lang w:bidi="ar-EG"/>
        </w:rPr>
        <w:t> </w:t>
      </w:r>
      <w:r>
        <w:rPr>
          <w:rFonts w:hint="cs"/>
          <w:rtl/>
          <w:lang w:bidi="ar-EG"/>
        </w:rPr>
        <w:t>2011، ويتم استثمار هذه الأرصدة على النحو الملائم بما يتماشى وسياسة الويبو الخاصة بالاستثمار.</w:t>
      </w:r>
    </w:p>
    <w:p w:rsidR="00E16243" w:rsidRDefault="00E16243" w:rsidP="00E16243">
      <w:pPr>
        <w:pStyle w:val="NumberedParaAR"/>
        <w:rPr>
          <w:lang w:bidi="ar-EG"/>
        </w:rPr>
      </w:pPr>
      <w:r>
        <w:rPr>
          <w:rFonts w:hint="cs"/>
          <w:rtl/>
          <w:lang w:bidi="ar-EG"/>
        </w:rPr>
        <w:t>وتمتلك المنظمة عددا كبيرا من الأصول الثابتة (أراضي ومباني وملكية استثمارية وأصول غير مادية ومعدات) يبلغ مجموع قيمتها الدفترية الصافية 373,0 مليون فرنك سويسري، مقارنة بمبلغ 374,1 مليون فرنك سويسري في 31 ديسمبر 2011. فخلال عام 2012، قامت المنظمة برسملة أعمال البناء في قاعة المؤتمرات الجديدة والإنشاءات الأمنية، وقيدت مشتريات معدات وبرمجيات كأصول ثابتة، وسجلت زيادة في قيمة ملكيتها الاستثمارية. إلا أن هذه الزيادات في مجموع الأصول الثابتة كانت أقل من مبلغ 8,1 مليون فرنك سويسري هو مجموع الاهتلاك والاستهلاك في العام، وهو ما أدى إلى نقص صاف في الأصول الثابتة مقارنة بعام 2011. وتشمل أصول المنظمة الأخرى والتي يبلغ مجموعها 49,6 مليون فرنك سويسري الحسابات المدينة وقوائم الموجودات والمبالغ المدفوعة مقدما.</w:t>
      </w:r>
    </w:p>
    <w:p w:rsidR="00E16243" w:rsidRDefault="00E16243" w:rsidP="00E16243">
      <w:pPr>
        <w:pStyle w:val="NumberedParaAR"/>
        <w:rPr>
          <w:lang w:bidi="ar-EG"/>
        </w:rPr>
      </w:pPr>
      <w:r>
        <w:rPr>
          <w:rFonts w:hint="cs"/>
          <w:rtl/>
          <w:lang w:bidi="ar-EG"/>
        </w:rPr>
        <w:t>ويبلغ مجموع المبالغ مستحقة الدفع (الحسابات الدائنة والتحويلات المستحقة الدفع) والمبالغ المتسلمة قبل استحقاقها</w:t>
      </w:r>
      <w:r>
        <w:rPr>
          <w:rFonts w:hint="eastAsia"/>
          <w:rtl/>
          <w:lang w:bidi="ar-EG"/>
        </w:rPr>
        <w:t> </w:t>
      </w:r>
      <w:r>
        <w:rPr>
          <w:rFonts w:hint="cs"/>
          <w:rtl/>
          <w:lang w:bidi="ar-EG"/>
        </w:rPr>
        <w:t>303,0 ملايين فرنك سويسري، وهي تشمل بصورة رئيسية إيرادات مؤجلة قدرها 183,6 مليون فرنك سويسري. ويمكن مقارنة ذلك بمجموع رصيد المبالغ مستحقة الدفع والمبالغ المتسلمة قبل استحقاقها في 31 ديسمبر 2011 والذي كان يبلغ 289,0 مليون فرنك سويسري.</w:t>
      </w:r>
    </w:p>
    <w:p w:rsidR="00E16243" w:rsidRDefault="00E16243" w:rsidP="00E16243">
      <w:pPr>
        <w:pStyle w:val="NumberedParaAR"/>
        <w:rPr>
          <w:lang w:bidi="ar-EG"/>
        </w:rPr>
      </w:pPr>
      <w:r>
        <w:rPr>
          <w:rFonts w:hint="cs"/>
          <w:rtl/>
          <w:lang w:bidi="ar-EG"/>
        </w:rPr>
        <w:lastRenderedPageBreak/>
        <w:t>وتتألف خصوم مستحقات الموظفين البالغة 141,4 مليون فرنك سويسري بصورة رئيسية من خصوم التأمين الصحي لما بعد الخدمة البالغ 110,9 مليون فرنك سويسري، والذي يمثل 78,4 بالمائة من مجموع خصوم مستحقات الموظفين في 31 ديسمبر 2012. وقد زادت خصوم التأمين الصحي لما بعد الخدمة بمبلغ 7,5 مليون فرنك سويسري مقارنة بعام</w:t>
      </w:r>
      <w:r>
        <w:rPr>
          <w:rFonts w:hint="eastAsia"/>
          <w:rtl/>
          <w:lang w:bidi="ar-EG"/>
        </w:rPr>
        <w:t> </w:t>
      </w:r>
      <w:r>
        <w:rPr>
          <w:rFonts w:hint="cs"/>
          <w:rtl/>
          <w:lang w:bidi="ar-EG"/>
        </w:rPr>
        <w:t>2011. ويضطلع أكتواري مستقل بحساب الخصوم ويسجل الكلفة المستقبلية لحصة الويبو في أقساط التأمين الصحي لمتقاعدي الويبو الحاليين والمتقاعدين المتوقعين في المستقبل. ولا تملك الويبو حاليا أية أموال متراكمة مخصصة على سبيل الحصر لتمويل هذه الخصوم في المستقبل.</w:t>
      </w:r>
    </w:p>
    <w:p w:rsidR="00E16243" w:rsidRDefault="00E16243" w:rsidP="00E16243">
      <w:pPr>
        <w:pStyle w:val="NumberedParaAR"/>
        <w:keepNext/>
        <w:numPr>
          <w:ilvl w:val="0"/>
          <w:numId w:val="0"/>
        </w:numPr>
        <w:jc w:val="center"/>
        <w:rPr>
          <w:rtl/>
          <w:lang w:bidi="ar-EG"/>
        </w:rPr>
      </w:pPr>
      <w:r>
        <w:rPr>
          <w:rFonts w:hint="cs"/>
          <w:rtl/>
          <w:lang w:bidi="ar-EG"/>
        </w:rPr>
        <w:t>مكونات خصوم مستحقات الموظفين</w:t>
      </w:r>
    </w:p>
    <w:p w:rsidR="00E16243" w:rsidRDefault="00EC660B" w:rsidP="00C73B1C">
      <w:pPr>
        <w:pStyle w:val="NumberedParaAR"/>
        <w:numPr>
          <w:ilvl w:val="0"/>
          <w:numId w:val="0"/>
        </w:numPr>
        <w:spacing w:line="240" w:lineRule="auto"/>
        <w:jc w:val="center"/>
        <w:rPr>
          <w:rtl/>
          <w:lang w:bidi="ar-EG"/>
        </w:rPr>
      </w:pPr>
      <w:r w:rsidRPr="00EC660B">
        <w:rPr>
          <w:noProof/>
          <w:rtl/>
        </w:rPr>
        <w:drawing>
          <wp:inline distT="0" distB="0" distL="0" distR="0">
            <wp:extent cx="5743575" cy="1990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3575" cy="1990725"/>
                    </a:xfrm>
                    <a:prstGeom prst="rect">
                      <a:avLst/>
                    </a:prstGeom>
                    <a:noFill/>
                    <a:ln>
                      <a:noFill/>
                    </a:ln>
                  </pic:spPr>
                </pic:pic>
              </a:graphicData>
            </a:graphic>
          </wp:inline>
        </w:drawing>
      </w:r>
    </w:p>
    <w:p w:rsidR="005A11C9" w:rsidRPr="005A11C9" w:rsidRDefault="00E16243" w:rsidP="005A11C9">
      <w:pPr>
        <w:pStyle w:val="NumberedParaAR"/>
        <w:rPr>
          <w:sz w:val="40"/>
          <w:szCs w:val="40"/>
        </w:rPr>
      </w:pPr>
      <w:r>
        <w:rPr>
          <w:rFonts w:hint="cs"/>
          <w:rtl/>
          <w:lang w:bidi="ar-EG"/>
        </w:rPr>
        <w:t xml:space="preserve">تتألف القروض من قرض مؤسسة مباني المنظمات الدولية (23,6 مليون فرنك سويسري) وقرض بنك كانتون جنيف </w:t>
      </w:r>
      <w:r>
        <w:rPr>
          <w:lang w:bidi="ar-EG"/>
        </w:rPr>
        <w:t>BCG</w:t>
      </w:r>
      <w:r>
        <w:rPr>
          <w:rFonts w:hint="cs"/>
          <w:rtl/>
          <w:lang w:bidi="ar-EG"/>
        </w:rPr>
        <w:t xml:space="preserve"> وبنك كانتون فو </w:t>
      </w:r>
      <w:r>
        <w:rPr>
          <w:lang w:bidi="ar-EG"/>
        </w:rPr>
        <w:t>BCV</w:t>
      </w:r>
      <w:r>
        <w:rPr>
          <w:rFonts w:hint="cs"/>
          <w:rtl/>
          <w:lang w:bidi="ar-EG"/>
        </w:rPr>
        <w:t xml:space="preserve"> لإنشاء المبنى الإداري الجديد (126,1 مليون فرنك سويسري). ويبلغ مجموع المبالغ المدفوعة سنويا لتسديد أصول هذه القروض 5,3 ملايين فرنك سويسري. ويصل مجموع الخصوم الأخرى إلى 58,4 مليون فرنك سويسري وهي تتضمن 55,6 مليون فرنك سويسري في صورة حسابات جارية لمودعي الطلبات والأطراف المتعاقدة.</w:t>
      </w:r>
    </w:p>
    <w:p w:rsidR="00E16243" w:rsidRPr="005A11C9" w:rsidRDefault="00E16243" w:rsidP="00D91942">
      <w:pPr>
        <w:pStyle w:val="Heading1"/>
        <w:bidi/>
        <w:spacing w:before="0"/>
        <w:jc w:val="center"/>
        <w:rPr>
          <w:rFonts w:ascii="Arabic Typesetting" w:hAnsi="Arabic Typesetting" w:cs="Arabic Typesetting"/>
          <w:sz w:val="40"/>
          <w:szCs w:val="40"/>
          <w:rtl/>
        </w:rPr>
      </w:pPr>
      <w:bookmarkStart w:id="5" w:name="_Toc362519088"/>
      <w:r w:rsidRPr="005A11C9">
        <w:rPr>
          <w:rFonts w:ascii="Arabic Typesetting" w:hAnsi="Arabic Typesetting" w:cs="Arabic Typesetting" w:hint="cs"/>
          <w:sz w:val="40"/>
          <w:szCs w:val="40"/>
          <w:rtl/>
        </w:rPr>
        <w:lastRenderedPageBreak/>
        <w:t>البيان المالي الأول</w:t>
      </w:r>
      <w:bookmarkEnd w:id="5"/>
    </w:p>
    <w:p w:rsidR="00E16243" w:rsidRPr="00780749" w:rsidRDefault="00E16243" w:rsidP="00D91942">
      <w:pPr>
        <w:pStyle w:val="Heading1"/>
        <w:bidi/>
        <w:spacing w:before="0"/>
        <w:jc w:val="center"/>
        <w:rPr>
          <w:rFonts w:ascii="Arabic Typesetting" w:hAnsi="Arabic Typesetting" w:cs="Arabic Typesetting"/>
          <w:sz w:val="40"/>
          <w:szCs w:val="40"/>
          <w:rtl/>
        </w:rPr>
      </w:pPr>
      <w:bookmarkStart w:id="6" w:name="_Toc362519089"/>
      <w:r w:rsidRPr="00780749">
        <w:rPr>
          <w:rFonts w:ascii="Arabic Typesetting" w:hAnsi="Arabic Typesetting" w:cs="Arabic Typesetting" w:hint="cs"/>
          <w:sz w:val="40"/>
          <w:szCs w:val="40"/>
          <w:rtl/>
        </w:rPr>
        <w:t>بيان الوضع المالي</w:t>
      </w:r>
      <w:bookmarkEnd w:id="6"/>
    </w:p>
    <w:p w:rsidR="00E16243" w:rsidRDefault="00E16243" w:rsidP="00D91942">
      <w:pPr>
        <w:pStyle w:val="NormalParaAR"/>
        <w:keepNext/>
        <w:spacing w:after="0"/>
        <w:jc w:val="center"/>
        <w:rPr>
          <w:b/>
          <w:bCs/>
          <w:rtl/>
        </w:rPr>
      </w:pPr>
      <w:r w:rsidRPr="001065F8">
        <w:rPr>
          <w:rFonts w:hint="cs"/>
          <w:b/>
          <w:bCs/>
          <w:rtl/>
        </w:rPr>
        <w:t>في 31 ديسمبر 201</w:t>
      </w:r>
      <w:r>
        <w:rPr>
          <w:rFonts w:hint="cs"/>
          <w:b/>
          <w:bCs/>
          <w:rtl/>
        </w:rPr>
        <w:t>2</w:t>
      </w:r>
    </w:p>
    <w:p w:rsidR="0072027F" w:rsidRDefault="0072027F" w:rsidP="00D91942">
      <w:pPr>
        <w:pStyle w:val="NormalParaAR"/>
        <w:keepNext/>
        <w:spacing w:after="60"/>
        <w:jc w:val="center"/>
        <w:rPr>
          <w:b/>
          <w:bCs/>
          <w:rtl/>
        </w:rPr>
      </w:pPr>
      <w:r w:rsidRPr="001065F8">
        <w:rPr>
          <w:rFonts w:hint="cs"/>
          <w:b/>
          <w:bCs/>
          <w:rtl/>
        </w:rPr>
        <w:t>(</w:t>
      </w:r>
      <w:r>
        <w:rPr>
          <w:rFonts w:hint="cs"/>
          <w:b/>
          <w:bCs/>
          <w:rtl/>
        </w:rPr>
        <w:t>بآلاف</w:t>
      </w:r>
      <w:r w:rsidRPr="001065F8">
        <w:rPr>
          <w:rFonts w:hint="cs"/>
          <w:b/>
          <w:bCs/>
          <w:rtl/>
        </w:rPr>
        <w:t xml:space="preserve"> الفرنكات السويسرية)</w:t>
      </w:r>
    </w:p>
    <w:p w:rsidR="00100DB8" w:rsidRDefault="00100DB8">
      <w:pPr>
        <w:rPr>
          <w:rFonts w:ascii="Arabic Typesetting" w:hAnsi="Arabic Typesetting" w:cs="Arabic Typesetting"/>
          <w:b/>
          <w:bCs/>
          <w:sz w:val="36"/>
          <w:szCs w:val="36"/>
          <w:rtl/>
        </w:rPr>
      </w:pPr>
      <w:r w:rsidRPr="00100DB8">
        <w:rPr>
          <w:rFonts w:hint="cs"/>
          <w:noProof/>
          <w:szCs w:val="22"/>
          <w:rtl/>
        </w:rPr>
        <w:drawing>
          <wp:inline distT="0" distB="0" distL="0" distR="0">
            <wp:extent cx="6096000" cy="72771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7277100"/>
                    </a:xfrm>
                    <a:prstGeom prst="rect">
                      <a:avLst/>
                    </a:prstGeom>
                    <a:noFill/>
                    <a:ln>
                      <a:noFill/>
                    </a:ln>
                  </pic:spPr>
                </pic:pic>
              </a:graphicData>
            </a:graphic>
          </wp:inline>
        </w:drawing>
      </w:r>
      <w:r w:rsidRPr="00100DB8">
        <w:rPr>
          <w:szCs w:val="22"/>
        </w:rPr>
        <w:t xml:space="preserve"> </w:t>
      </w:r>
      <w:r>
        <w:rPr>
          <w:rFonts w:ascii="Arabic Typesetting" w:hAnsi="Arabic Typesetting" w:cs="Arabic Typesetting"/>
          <w:b/>
          <w:bCs/>
          <w:sz w:val="36"/>
          <w:szCs w:val="36"/>
          <w:rtl/>
        </w:rPr>
        <w:br w:type="page"/>
      </w:r>
    </w:p>
    <w:p w:rsidR="00E16243" w:rsidRPr="00780749" w:rsidRDefault="00E16243" w:rsidP="00F17073">
      <w:pPr>
        <w:pStyle w:val="Heading1"/>
        <w:bidi/>
        <w:jc w:val="center"/>
        <w:rPr>
          <w:rFonts w:ascii="Arabic Typesetting" w:hAnsi="Arabic Typesetting" w:cs="Arabic Typesetting"/>
          <w:sz w:val="40"/>
          <w:szCs w:val="40"/>
          <w:rtl/>
        </w:rPr>
      </w:pPr>
      <w:bookmarkStart w:id="7" w:name="_Toc362519090"/>
      <w:r w:rsidRPr="00780749">
        <w:rPr>
          <w:rFonts w:ascii="Arabic Typesetting" w:hAnsi="Arabic Typesetting" w:cs="Arabic Typesetting" w:hint="cs"/>
          <w:sz w:val="40"/>
          <w:szCs w:val="40"/>
          <w:rtl/>
        </w:rPr>
        <w:lastRenderedPageBreak/>
        <w:t>البيان المالي الثاني</w:t>
      </w:r>
      <w:bookmarkEnd w:id="7"/>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8" w:name="_Toc362519091"/>
      <w:r w:rsidRPr="00780749">
        <w:rPr>
          <w:rFonts w:ascii="Arabic Typesetting" w:hAnsi="Arabic Typesetting" w:cs="Arabic Typesetting" w:hint="cs"/>
          <w:sz w:val="40"/>
          <w:szCs w:val="40"/>
          <w:rtl/>
        </w:rPr>
        <w:t>بيان الأداء المالي</w:t>
      </w:r>
      <w:bookmarkEnd w:id="8"/>
    </w:p>
    <w:p w:rsidR="00E16243" w:rsidRPr="00742EAF" w:rsidRDefault="00E16243" w:rsidP="00E16243">
      <w:pPr>
        <w:pStyle w:val="NormalParaAR"/>
        <w:spacing w:after="0"/>
        <w:jc w:val="center"/>
        <w:rPr>
          <w:b/>
          <w:bCs/>
          <w:rtl/>
          <w:lang w:bidi="ar-EG"/>
        </w:rPr>
      </w:pPr>
      <w:r w:rsidRPr="00742EAF">
        <w:rPr>
          <w:rFonts w:hint="cs"/>
          <w:b/>
          <w:bCs/>
          <w:rtl/>
        </w:rPr>
        <w:t>للسنة المنتهية في 31 ديسمبر 201</w:t>
      </w:r>
      <w:r>
        <w:rPr>
          <w:rFonts w:hint="cs"/>
          <w:b/>
          <w:bCs/>
          <w:rtl/>
        </w:rPr>
        <w:t>2</w:t>
      </w:r>
    </w:p>
    <w:p w:rsidR="00E16243" w:rsidRDefault="006371A4" w:rsidP="00E16243">
      <w:pPr>
        <w:pStyle w:val="NormalParaAR"/>
        <w:spacing w:after="480"/>
        <w:jc w:val="center"/>
        <w:rPr>
          <w:b/>
          <w:bCs/>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45pt;margin-top:55.15pt;width:442.9pt;height:531.1pt;z-index:251660288">
            <v:imagedata r:id="rId20" o:title=""/>
            <w10:wrap type="square"/>
          </v:shape>
        </w:pict>
      </w:r>
      <w:r w:rsidR="00E16243" w:rsidRPr="00742EAF">
        <w:rPr>
          <w:rFonts w:hint="cs"/>
          <w:b/>
          <w:bCs/>
          <w:rtl/>
        </w:rPr>
        <w:t>(</w:t>
      </w:r>
      <w:r w:rsidR="00E16243">
        <w:rPr>
          <w:rFonts w:hint="cs"/>
          <w:b/>
          <w:bCs/>
          <w:rtl/>
        </w:rPr>
        <w:t>بآلاف</w:t>
      </w:r>
      <w:r w:rsidR="00E16243" w:rsidRPr="00742EAF">
        <w:rPr>
          <w:rFonts w:hint="cs"/>
          <w:b/>
          <w:bCs/>
          <w:rtl/>
        </w:rPr>
        <w:t xml:space="preserve"> الفرنكات السويسرية)</w:t>
      </w:r>
    </w:p>
    <w:p w:rsidR="00E16243" w:rsidRPr="00780749" w:rsidRDefault="00E16243" w:rsidP="00F17073">
      <w:pPr>
        <w:pStyle w:val="Heading1"/>
        <w:bidi/>
        <w:jc w:val="center"/>
        <w:rPr>
          <w:rFonts w:ascii="Arabic Typesetting" w:hAnsi="Arabic Typesetting" w:cs="Arabic Typesetting"/>
          <w:sz w:val="40"/>
          <w:szCs w:val="40"/>
          <w:rtl/>
        </w:rPr>
      </w:pPr>
      <w:bookmarkStart w:id="9" w:name="_Toc362519092"/>
      <w:r w:rsidRPr="00780749">
        <w:rPr>
          <w:rFonts w:ascii="Arabic Typesetting" w:hAnsi="Arabic Typesetting" w:cs="Arabic Typesetting" w:hint="cs"/>
          <w:sz w:val="40"/>
          <w:szCs w:val="40"/>
          <w:rtl/>
        </w:rPr>
        <w:lastRenderedPageBreak/>
        <w:t>البيان المالي الثالث</w:t>
      </w:r>
      <w:bookmarkEnd w:id="9"/>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0" w:name="_Toc362519093"/>
      <w:r w:rsidRPr="00780749">
        <w:rPr>
          <w:rFonts w:ascii="Arabic Typesetting" w:hAnsi="Arabic Typesetting" w:cs="Arabic Typesetting" w:hint="cs"/>
          <w:sz w:val="40"/>
          <w:szCs w:val="40"/>
          <w:rtl/>
        </w:rPr>
        <w:t>بيان التغييرات في صافي الأصول</w:t>
      </w:r>
      <w:bookmarkEnd w:id="10"/>
    </w:p>
    <w:p w:rsidR="00E16243" w:rsidRDefault="00E16243" w:rsidP="0072027F">
      <w:pPr>
        <w:pStyle w:val="NormalParaAR"/>
        <w:keepNext/>
        <w:spacing w:after="0"/>
        <w:jc w:val="center"/>
        <w:rPr>
          <w:b/>
          <w:bCs/>
          <w:rtl/>
        </w:rPr>
      </w:pPr>
      <w:r>
        <w:rPr>
          <w:rFonts w:hint="cs"/>
          <w:b/>
          <w:bCs/>
          <w:rtl/>
        </w:rPr>
        <w:t>للسنة المنتهية في 31 ديسمبر 2012</w:t>
      </w:r>
    </w:p>
    <w:p w:rsidR="00E16243" w:rsidRDefault="00E16243" w:rsidP="0072027F">
      <w:pPr>
        <w:pStyle w:val="NormalParaAR"/>
        <w:keepNext/>
        <w:spacing w:after="480"/>
        <w:jc w:val="center"/>
        <w:rPr>
          <w:b/>
          <w:bCs/>
          <w:rtl/>
        </w:rPr>
      </w:pPr>
      <w:r>
        <w:rPr>
          <w:rFonts w:hint="cs"/>
          <w:b/>
          <w:bCs/>
          <w:rtl/>
        </w:rPr>
        <w:t>(بآلاف الفرنكات السويسرية)</w:t>
      </w:r>
    </w:p>
    <w:p w:rsidR="00E16243" w:rsidRPr="00E61187" w:rsidRDefault="0072027F" w:rsidP="00E16243">
      <w:pPr>
        <w:bidi/>
        <w:spacing w:after="240"/>
        <w:rPr>
          <w:rFonts w:ascii="Arabic Typesetting" w:hAnsi="Arabic Typesetting" w:cs="Arabic Typesetting"/>
          <w:sz w:val="36"/>
          <w:szCs w:val="36"/>
          <w:rtl/>
        </w:rPr>
      </w:pPr>
      <w:r w:rsidRPr="0072027F">
        <w:rPr>
          <w:noProof/>
          <w:szCs w:val="22"/>
          <w:rtl/>
        </w:rPr>
        <w:drawing>
          <wp:inline distT="0" distB="0" distL="0" distR="0" wp14:anchorId="11BFEC38" wp14:editId="0AD5D0AD">
            <wp:extent cx="5940425" cy="2983612"/>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983612"/>
                    </a:xfrm>
                    <a:prstGeom prst="rect">
                      <a:avLst/>
                    </a:prstGeom>
                    <a:noFill/>
                    <a:ln>
                      <a:noFill/>
                    </a:ln>
                  </pic:spPr>
                </pic:pic>
              </a:graphicData>
            </a:graphic>
          </wp:inline>
        </w:drawing>
      </w:r>
    </w:p>
    <w:p w:rsidR="00E16243" w:rsidRPr="002611FA" w:rsidRDefault="00E16243" w:rsidP="00F17073">
      <w:pPr>
        <w:pStyle w:val="Heading1"/>
        <w:bidi/>
        <w:jc w:val="center"/>
        <w:rPr>
          <w:rFonts w:ascii="Arabic Typesetting" w:hAnsi="Arabic Typesetting" w:cs="Arabic Typesetting"/>
          <w:sz w:val="40"/>
          <w:szCs w:val="40"/>
          <w:rtl/>
        </w:rPr>
      </w:pPr>
      <w:r>
        <w:rPr>
          <w:b w:val="0"/>
          <w:bCs w:val="0"/>
          <w:rtl/>
        </w:rPr>
        <w:br w:type="page"/>
      </w:r>
      <w:bookmarkStart w:id="11" w:name="_Toc362519094"/>
      <w:r w:rsidRPr="002611FA">
        <w:rPr>
          <w:rFonts w:ascii="Arabic Typesetting" w:hAnsi="Arabic Typesetting" w:cs="Arabic Typesetting" w:hint="cs"/>
          <w:sz w:val="40"/>
          <w:szCs w:val="40"/>
          <w:rtl/>
        </w:rPr>
        <w:lastRenderedPageBreak/>
        <w:t>البيان المالي الرابع</w:t>
      </w:r>
      <w:bookmarkEnd w:id="11"/>
    </w:p>
    <w:p w:rsidR="00E16243" w:rsidRPr="00780749" w:rsidRDefault="00E16243" w:rsidP="00F17073">
      <w:pPr>
        <w:pStyle w:val="Heading1"/>
        <w:bidi/>
        <w:spacing w:before="0"/>
        <w:jc w:val="center"/>
        <w:rPr>
          <w:rFonts w:ascii="Arabic Typesetting" w:hAnsi="Arabic Typesetting" w:cs="Arabic Typesetting"/>
          <w:sz w:val="40"/>
          <w:szCs w:val="40"/>
          <w:rtl/>
        </w:rPr>
      </w:pPr>
      <w:bookmarkStart w:id="12" w:name="_Toc362519095"/>
      <w:r w:rsidRPr="002611FA">
        <w:rPr>
          <w:rFonts w:ascii="Arabic Typesetting" w:hAnsi="Arabic Typesetting" w:cs="Arabic Typesetting" w:hint="cs"/>
          <w:sz w:val="40"/>
          <w:szCs w:val="40"/>
          <w:rtl/>
        </w:rPr>
        <w:t>بيان التدفق النقدي</w:t>
      </w:r>
      <w:bookmarkEnd w:id="12"/>
    </w:p>
    <w:p w:rsidR="00E16243" w:rsidRDefault="00E16243" w:rsidP="00E16243">
      <w:pPr>
        <w:pStyle w:val="NormalParaAR"/>
        <w:spacing w:after="0"/>
        <w:jc w:val="center"/>
        <w:rPr>
          <w:b/>
          <w:bCs/>
          <w:rtl/>
        </w:rPr>
      </w:pPr>
      <w:r>
        <w:rPr>
          <w:rFonts w:hint="cs"/>
          <w:b/>
          <w:bCs/>
          <w:rtl/>
        </w:rPr>
        <w:t>للسنة المنتهية في 31 ديسمبر 2012</w:t>
      </w:r>
    </w:p>
    <w:p w:rsidR="00E16243" w:rsidRDefault="00E16243" w:rsidP="001051A8">
      <w:pPr>
        <w:pStyle w:val="NormalParaAR"/>
        <w:spacing w:after="120"/>
        <w:jc w:val="center"/>
        <w:rPr>
          <w:b/>
          <w:bCs/>
          <w:rtl/>
        </w:rPr>
      </w:pPr>
      <w:r>
        <w:rPr>
          <w:rFonts w:hint="cs"/>
          <w:b/>
          <w:bCs/>
          <w:rtl/>
        </w:rPr>
        <w:t>(بآلاف الفرنكات السويسرية)</w:t>
      </w:r>
    </w:p>
    <w:p w:rsidR="00C649DF" w:rsidRDefault="00C649DF" w:rsidP="00884A28">
      <w:pPr>
        <w:pStyle w:val="NormalParaAR"/>
        <w:spacing w:after="480" w:line="240" w:lineRule="auto"/>
        <w:jc w:val="center"/>
        <w:rPr>
          <w:b/>
          <w:bCs/>
          <w:rtl/>
        </w:rPr>
      </w:pPr>
      <w:r w:rsidRPr="00C649DF">
        <w:rPr>
          <w:noProof/>
          <w:rtl/>
        </w:rPr>
        <w:drawing>
          <wp:inline distT="0" distB="0" distL="0" distR="0" wp14:anchorId="30558FB5" wp14:editId="5D76D284">
            <wp:extent cx="5940425" cy="644462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6444628"/>
                    </a:xfrm>
                    <a:prstGeom prst="rect">
                      <a:avLst/>
                    </a:prstGeom>
                    <a:noFill/>
                    <a:ln>
                      <a:noFill/>
                    </a:ln>
                  </pic:spPr>
                </pic:pic>
              </a:graphicData>
            </a:graphic>
          </wp:inline>
        </w:drawing>
      </w:r>
    </w:p>
    <w:p w:rsidR="00E16243" w:rsidRPr="008040C3" w:rsidRDefault="00E16243" w:rsidP="00E16243">
      <w:pPr>
        <w:bidi/>
        <w:spacing w:after="240"/>
        <w:rPr>
          <w:rFonts w:ascii="Arabic Typesetting" w:hAnsi="Arabic Typesetting" w:cs="Arabic Typesetting"/>
          <w:sz w:val="30"/>
          <w:szCs w:val="30"/>
          <w:rtl/>
          <w:lang w:bidi="ar-EG"/>
        </w:rPr>
      </w:pPr>
      <w:r w:rsidRPr="008040C3">
        <w:rPr>
          <w:rFonts w:ascii="Arabic Typesetting" w:hAnsi="Arabic Typesetting" w:cs="Arabic Typesetting" w:hint="cs"/>
          <w:sz w:val="30"/>
          <w:szCs w:val="30"/>
          <w:rtl/>
          <w:lang w:bidi="ar-EG"/>
        </w:rPr>
        <w:t>(1) باستثناء الفائدة المكتسبة والفائدة المدفوعة على القروض. والفائدة المكتسبة متضمنة في إيرادات الاستثمار (انظر الملاحظة 23). وللاطلاع على تفاصيل الفائدة المدفوعة على القروض، انظر الملاحظة 15.</w:t>
      </w:r>
    </w:p>
    <w:p w:rsidR="00E16243" w:rsidRPr="00780749" w:rsidRDefault="00E16243" w:rsidP="00F17073">
      <w:pPr>
        <w:pStyle w:val="Heading1"/>
        <w:bidi/>
        <w:jc w:val="center"/>
        <w:rPr>
          <w:rFonts w:ascii="Arabic Typesetting" w:hAnsi="Arabic Typesetting" w:cs="Arabic Typesetting"/>
          <w:sz w:val="40"/>
          <w:szCs w:val="40"/>
          <w:rtl/>
        </w:rPr>
      </w:pPr>
      <w:r>
        <w:rPr>
          <w:rtl/>
        </w:rPr>
        <w:br w:type="page"/>
      </w:r>
      <w:bookmarkStart w:id="13" w:name="_Toc362519096"/>
      <w:r w:rsidRPr="00780749">
        <w:rPr>
          <w:rFonts w:ascii="Arabic Typesetting" w:hAnsi="Arabic Typesetting" w:cs="Arabic Typesetting" w:hint="cs"/>
          <w:sz w:val="40"/>
          <w:szCs w:val="40"/>
          <w:rtl/>
        </w:rPr>
        <w:lastRenderedPageBreak/>
        <w:t>البيان المالي الخامس</w:t>
      </w:r>
      <w:bookmarkEnd w:id="13"/>
    </w:p>
    <w:p w:rsidR="00E16243" w:rsidRPr="00780749" w:rsidRDefault="00E16243" w:rsidP="00397533">
      <w:pPr>
        <w:pStyle w:val="Heading1"/>
        <w:bidi/>
        <w:spacing w:before="0"/>
        <w:jc w:val="center"/>
        <w:rPr>
          <w:rFonts w:ascii="Arabic Typesetting" w:hAnsi="Arabic Typesetting" w:cs="Arabic Typesetting"/>
          <w:sz w:val="40"/>
          <w:szCs w:val="40"/>
          <w:rtl/>
        </w:rPr>
      </w:pPr>
      <w:bookmarkStart w:id="14" w:name="_Toc362519097"/>
      <w:r w:rsidRPr="00780749">
        <w:rPr>
          <w:rFonts w:ascii="Arabic Typesetting" w:hAnsi="Arabic Typesetting" w:cs="Arabic Typesetting" w:hint="cs"/>
          <w:sz w:val="40"/>
          <w:szCs w:val="40"/>
          <w:rtl/>
        </w:rPr>
        <w:t xml:space="preserve">بيان مقارنة المبالغ المدرجة في الميزانية والمبالغ </w:t>
      </w:r>
      <w:r w:rsidR="00397533" w:rsidRPr="00780749">
        <w:rPr>
          <w:rFonts w:ascii="Arabic Typesetting" w:hAnsi="Arabic Typesetting" w:cs="Arabic Typesetting" w:hint="cs"/>
          <w:sz w:val="40"/>
          <w:szCs w:val="40"/>
          <w:rtl/>
        </w:rPr>
        <w:t>الفعلية</w:t>
      </w:r>
      <w:r w:rsidR="00397533" w:rsidRPr="00780749">
        <w:rPr>
          <w:rFonts w:ascii="Arabic Typesetting" w:hAnsi="Arabic Typesetting" w:cs="Arabic Typesetting"/>
          <w:sz w:val="40"/>
          <w:szCs w:val="40"/>
          <w:rtl/>
        </w:rPr>
        <w:t xml:space="preserve"> </w:t>
      </w:r>
      <w:r w:rsidRPr="00780749">
        <w:rPr>
          <w:rFonts w:ascii="Arabic Typesetting" w:hAnsi="Arabic Typesetting" w:cs="Arabic Typesetting"/>
          <w:sz w:val="40"/>
          <w:szCs w:val="40"/>
          <w:rtl/>
        </w:rPr>
        <w:t>–</w:t>
      </w:r>
      <w:r w:rsidRPr="00780749">
        <w:rPr>
          <w:rFonts w:ascii="Arabic Typesetting" w:hAnsi="Arabic Typesetting" w:cs="Arabic Typesetting" w:hint="cs"/>
          <w:sz w:val="40"/>
          <w:szCs w:val="40"/>
          <w:rtl/>
        </w:rPr>
        <w:t xml:space="preserve"> الإيرادات </w:t>
      </w:r>
      <w:bookmarkEnd w:id="14"/>
    </w:p>
    <w:p w:rsidR="00E16243" w:rsidRDefault="00E16243" w:rsidP="00E16243">
      <w:pPr>
        <w:pStyle w:val="NormalParaAR"/>
        <w:spacing w:after="0"/>
        <w:jc w:val="center"/>
        <w:rPr>
          <w:b/>
          <w:bCs/>
          <w:rtl/>
        </w:rPr>
      </w:pPr>
      <w:r>
        <w:rPr>
          <w:rFonts w:hint="cs"/>
          <w:b/>
          <w:bCs/>
          <w:rtl/>
        </w:rPr>
        <w:t>للسنة المنتهية في 31 ديسمبر 2012</w:t>
      </w:r>
    </w:p>
    <w:p w:rsidR="00E16243" w:rsidRDefault="006371A4" w:rsidP="00E16243">
      <w:pPr>
        <w:pStyle w:val="NormalParaAR"/>
        <w:spacing w:after="480"/>
        <w:jc w:val="center"/>
        <w:rPr>
          <w:b/>
          <w:bCs/>
          <w:rtl/>
        </w:rPr>
      </w:pPr>
      <w:r>
        <w:rPr>
          <w:noProof/>
          <w:rtl/>
        </w:rPr>
        <w:pict>
          <v:shape id="_x0000_s1031" type="#_x0000_t75" style="position:absolute;left:0;text-align:left;margin-left:.2pt;margin-top:49.45pt;width:467.35pt;height:269.35pt;z-index:251663360">
            <v:imagedata r:id="rId23" o:title=""/>
            <w10:wrap type="square"/>
          </v:shape>
        </w:pict>
      </w:r>
      <w:r w:rsidR="00E16243">
        <w:rPr>
          <w:rFonts w:hint="cs"/>
          <w:b/>
          <w:bCs/>
          <w:rtl/>
        </w:rPr>
        <w:t>(بآلاف الفرنكات السويسرية)</w:t>
      </w:r>
    </w:p>
    <w:p w:rsidR="00E16243" w:rsidRPr="00C76216" w:rsidRDefault="00E16243" w:rsidP="00E16243">
      <w:pPr>
        <w:bidi/>
        <w:spacing w:after="240"/>
        <w:rPr>
          <w:rFonts w:ascii="Arabic Typesetting" w:hAnsi="Arabic Typesetting" w:cs="Arabic Typesetting"/>
          <w:sz w:val="36"/>
          <w:szCs w:val="36"/>
          <w:rtl/>
          <w:lang w:bidi="ar-EG"/>
        </w:rPr>
      </w:pPr>
    </w:p>
    <w:p w:rsidR="00E16243" w:rsidRDefault="00E16243" w:rsidP="00E16243">
      <w:pPr>
        <w:bidi/>
        <w:rPr>
          <w:rFonts w:ascii="Arabic Typesetting" w:hAnsi="Arabic Typesetting" w:cs="Arabic Typesetting"/>
          <w:sz w:val="30"/>
          <w:szCs w:val="30"/>
          <w:rtl/>
          <w:lang w:bidi="ar-EG"/>
        </w:rPr>
      </w:pPr>
      <w:r>
        <w:rPr>
          <w:rFonts w:ascii="Arabic Typesetting" w:hAnsi="Arabic Typesetting" w:cs="Arabic Typesetting" w:hint="cs"/>
          <w:sz w:val="30"/>
          <w:szCs w:val="30"/>
          <w:rtl/>
        </w:rPr>
        <w:t>(1) يمثل عمود الميزانية الأصلية وعمود الميزانية "النهائية" السنة الأولى للميزانية المعتمدة للفترة 2012-2013.</w:t>
      </w:r>
    </w:p>
    <w:p w:rsidR="00E16243" w:rsidRPr="00C85DD1" w:rsidRDefault="00E16243" w:rsidP="00E16243">
      <w:pPr>
        <w:bidi/>
        <w:rPr>
          <w:rFonts w:ascii="Arabic Typesetting" w:hAnsi="Arabic Typesetting" w:cs="Arabic Typesetting"/>
          <w:sz w:val="30"/>
          <w:szCs w:val="30"/>
          <w:rtl/>
        </w:rPr>
      </w:pPr>
      <w:r>
        <w:rPr>
          <w:rFonts w:ascii="Arabic Typesetting" w:hAnsi="Arabic Typesetting" w:cs="Arabic Typesetting" w:hint="cs"/>
          <w:sz w:val="30"/>
          <w:szCs w:val="30"/>
          <w:rtl/>
        </w:rPr>
        <w:t>(2) هو الفارق بين الميزانية "النهائية" لسنة 2012 والإيرادات الفعلية على أساس قابل للمقارنة لسنة 2012.</w:t>
      </w:r>
    </w:p>
    <w:p w:rsidR="00E16243" w:rsidRPr="00E86ED5" w:rsidRDefault="00E16243" w:rsidP="00E16243">
      <w:pPr>
        <w:pStyle w:val="NormalParaAR"/>
        <w:spacing w:after="120"/>
        <w:jc w:val="center"/>
        <w:rPr>
          <w:b/>
          <w:bCs/>
          <w:sz w:val="40"/>
          <w:szCs w:val="40"/>
          <w:rtl/>
          <w:lang w:bidi="ar-EG"/>
        </w:rPr>
      </w:pPr>
      <w:r>
        <w:rPr>
          <w:rtl/>
        </w:rPr>
        <w:br w:type="page"/>
      </w:r>
      <w:r w:rsidRPr="00E86ED5">
        <w:rPr>
          <w:rFonts w:hint="cs"/>
          <w:b/>
          <w:bCs/>
          <w:sz w:val="40"/>
          <w:szCs w:val="40"/>
          <w:rtl/>
        </w:rPr>
        <w:lastRenderedPageBreak/>
        <w:t>البيان المالي الخامس</w:t>
      </w:r>
    </w:p>
    <w:p w:rsidR="00E16243" w:rsidRPr="00E86ED5" w:rsidRDefault="00E16243" w:rsidP="00570C38">
      <w:pPr>
        <w:pStyle w:val="NormalParaAR"/>
        <w:spacing w:after="120"/>
        <w:jc w:val="center"/>
        <w:rPr>
          <w:b/>
          <w:bCs/>
          <w:sz w:val="40"/>
          <w:szCs w:val="40"/>
          <w:rtl/>
        </w:rPr>
      </w:pPr>
      <w:r w:rsidRPr="00E86ED5">
        <w:rPr>
          <w:rFonts w:hint="cs"/>
          <w:b/>
          <w:bCs/>
          <w:sz w:val="40"/>
          <w:szCs w:val="40"/>
          <w:rtl/>
        </w:rPr>
        <w:t xml:space="preserve">بيان مقارنة المبالغ المدرجة في الميزانية والمبالغ </w:t>
      </w:r>
      <w:r w:rsidR="00570C38" w:rsidRPr="00E86ED5">
        <w:rPr>
          <w:rFonts w:hint="cs"/>
          <w:b/>
          <w:bCs/>
          <w:sz w:val="40"/>
          <w:szCs w:val="40"/>
          <w:rtl/>
        </w:rPr>
        <w:t>الفعلية</w:t>
      </w:r>
      <w:r w:rsidR="00570C38" w:rsidRPr="00E86ED5">
        <w:rPr>
          <w:b/>
          <w:bCs/>
          <w:sz w:val="40"/>
          <w:szCs w:val="40"/>
          <w:rtl/>
        </w:rPr>
        <w:t xml:space="preserve"> </w:t>
      </w:r>
      <w:r w:rsidRPr="00E86ED5">
        <w:rPr>
          <w:b/>
          <w:bCs/>
          <w:sz w:val="40"/>
          <w:szCs w:val="40"/>
          <w:rtl/>
        </w:rPr>
        <w:t>–</w:t>
      </w:r>
      <w:r w:rsidRPr="00E86ED5">
        <w:rPr>
          <w:rFonts w:hint="cs"/>
          <w:b/>
          <w:bCs/>
          <w:sz w:val="40"/>
          <w:szCs w:val="40"/>
          <w:rtl/>
        </w:rPr>
        <w:t xml:space="preserve"> المصروفات </w:t>
      </w:r>
    </w:p>
    <w:p w:rsidR="00E16243" w:rsidRDefault="00E16243" w:rsidP="00E16243">
      <w:pPr>
        <w:pStyle w:val="NormalParaAR"/>
        <w:spacing w:after="0"/>
        <w:jc w:val="center"/>
        <w:rPr>
          <w:b/>
          <w:bCs/>
          <w:rtl/>
        </w:rPr>
      </w:pPr>
      <w:r>
        <w:rPr>
          <w:rFonts w:hint="cs"/>
          <w:b/>
          <w:bCs/>
          <w:rtl/>
        </w:rPr>
        <w:t>للسنة المنتهية في 31 ديسمبر 2012</w:t>
      </w:r>
    </w:p>
    <w:p w:rsidR="00E16243" w:rsidRDefault="00E16243" w:rsidP="00F2662D">
      <w:pPr>
        <w:pStyle w:val="NormalParaAR"/>
        <w:spacing w:after="40"/>
        <w:jc w:val="center"/>
        <w:rPr>
          <w:b/>
          <w:bCs/>
          <w:rtl/>
        </w:rPr>
      </w:pPr>
      <w:r w:rsidRPr="00095BA1">
        <w:rPr>
          <w:rFonts w:hint="cs"/>
          <w:b/>
          <w:bCs/>
          <w:rtl/>
        </w:rPr>
        <w:t>(</w:t>
      </w:r>
      <w:r>
        <w:rPr>
          <w:rFonts w:hint="cs"/>
          <w:b/>
          <w:bCs/>
          <w:rtl/>
        </w:rPr>
        <w:t>بآلاف</w:t>
      </w:r>
      <w:r w:rsidRPr="00095BA1">
        <w:rPr>
          <w:rFonts w:hint="cs"/>
          <w:b/>
          <w:bCs/>
          <w:rtl/>
        </w:rPr>
        <w:t xml:space="preserve"> الفرنكات السويسرية)</w:t>
      </w:r>
    </w:p>
    <w:p w:rsidR="00F2662D" w:rsidRDefault="00F2662D" w:rsidP="00F2662D">
      <w:pPr>
        <w:pStyle w:val="NormalParaAR"/>
        <w:spacing w:after="0" w:line="240" w:lineRule="auto"/>
        <w:jc w:val="center"/>
        <w:rPr>
          <w:b/>
          <w:bCs/>
          <w:rtl/>
        </w:rPr>
      </w:pPr>
      <w:r>
        <w:rPr>
          <w:b/>
          <w:bCs/>
          <w:noProof/>
        </w:rPr>
        <w:drawing>
          <wp:inline distT="0" distB="0" distL="0" distR="0" wp14:anchorId="58712B51">
            <wp:extent cx="5943489" cy="6372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2965" cy="6371663"/>
                    </a:xfrm>
                    <a:prstGeom prst="rect">
                      <a:avLst/>
                    </a:prstGeom>
                    <a:noFill/>
                  </pic:spPr>
                </pic:pic>
              </a:graphicData>
            </a:graphic>
          </wp:inline>
        </w:drawing>
      </w:r>
    </w:p>
    <w:p w:rsidR="00E16243" w:rsidRPr="00F2662D" w:rsidRDefault="00E16243" w:rsidP="00407484">
      <w:pPr>
        <w:bidi/>
        <w:spacing w:before="40" w:line="240" w:lineRule="exact"/>
        <w:rPr>
          <w:rFonts w:ascii="Arabic Typesetting" w:hAnsi="Arabic Typesetting" w:cs="Arabic Typesetting"/>
          <w:sz w:val="24"/>
          <w:szCs w:val="24"/>
          <w:rtl/>
        </w:rPr>
      </w:pPr>
      <w:r w:rsidRPr="00F2662D">
        <w:rPr>
          <w:rFonts w:ascii="Arabic Typesetting" w:hAnsi="Arabic Typesetting" w:cs="Arabic Typesetting" w:hint="cs"/>
          <w:sz w:val="24"/>
          <w:szCs w:val="24"/>
          <w:rtl/>
        </w:rPr>
        <w:t>(1) يمثل عمود الميزانية الأصلية وعمود الميزانية "النهائية" السنة الأولى للميزانية المعتمدة للفترة 2012-2013. وتستند الميزانية الأصلية إلى ميزانية الثنائية البالغة 647,4 مليون فرنك سويسري، التي وافقت عليها جمعيات الدول الأعضاء في الويبو يوم 29 سبتمبر 2011، مع مراعاة:</w:t>
      </w:r>
    </w:p>
    <w:p w:rsidR="00E16243" w:rsidRPr="00F2662D" w:rsidRDefault="00E16243" w:rsidP="00F2662D">
      <w:pPr>
        <w:bidi/>
        <w:spacing w:line="240" w:lineRule="exact"/>
        <w:rPr>
          <w:rFonts w:ascii="Arabic Typesetting" w:hAnsi="Arabic Typesetting" w:cs="Arabic Typesetting"/>
          <w:sz w:val="24"/>
          <w:szCs w:val="24"/>
          <w:rtl/>
        </w:rPr>
      </w:pPr>
      <w:r w:rsidRPr="00F2662D">
        <w:rPr>
          <w:rFonts w:ascii="Arabic Typesetting" w:hAnsi="Arabic Typesetting" w:cs="Arabic Typesetting" w:hint="cs"/>
          <w:sz w:val="24"/>
          <w:szCs w:val="24"/>
          <w:rtl/>
        </w:rPr>
        <w:t>"الجهود التي تبذلها الأمانة لخفض النفقات من خلال تدابير كفاءة التكاليف بمبلغ 10,2 ملايين فرنك سويسري، لتنخفض من 647,4 مليون فرنك سويسري إلى 637,2 مليون فرنك سويسري، من خلال وسائل تشمل سياسات أسفار الموظفين وأسفار الغير، وإدارة المباني، وسياسات الدفع لعقود الخدمات الخاصة وأتعاب الخبراء والمحاضرين، وبرامج التدريب، وحفلات الاستقبال، وإيجار المباني والمعدات أثناء المؤتمرات وتخفيض نفقات الموظفين من خلال تحسين التصميم المؤسسي".</w:t>
      </w:r>
    </w:p>
    <w:p w:rsidR="00E16243" w:rsidRPr="00F2662D" w:rsidRDefault="00E16243" w:rsidP="00F2662D">
      <w:pPr>
        <w:bidi/>
        <w:spacing w:line="240" w:lineRule="exact"/>
        <w:rPr>
          <w:rFonts w:ascii="Arabic Typesetting" w:hAnsi="Arabic Typesetting" w:cs="Arabic Typesetting"/>
          <w:sz w:val="24"/>
          <w:szCs w:val="24"/>
          <w:rtl/>
        </w:rPr>
      </w:pPr>
      <w:r w:rsidRPr="00F2662D">
        <w:rPr>
          <w:rFonts w:ascii="Arabic Typesetting" w:hAnsi="Arabic Typesetting" w:cs="Arabic Typesetting" w:hint="cs"/>
          <w:sz w:val="24"/>
          <w:szCs w:val="24"/>
          <w:rtl/>
        </w:rPr>
        <w:t>وتوضح الميزانية "النهائية" الزيادة في البرنامج 5 (نظام البراءات الدولي) بمبلغ 344 ألف فرنك سويسري تتصل بإنشاء 5 مناصب، بسبب إيداع طلبات دولية بموجب إطار نظام البراءات الدولي فاق عددها الميزانية في 2012 (المادة 6.5 من النظام المالي المعنية بتسويات المرونة).</w:t>
      </w:r>
    </w:p>
    <w:p w:rsidR="00E16243" w:rsidRPr="00F2662D" w:rsidRDefault="00E16243" w:rsidP="00F2662D">
      <w:pPr>
        <w:bidi/>
        <w:spacing w:line="240" w:lineRule="exact"/>
        <w:rPr>
          <w:rFonts w:ascii="Arabic Typesetting" w:hAnsi="Arabic Typesetting" w:cs="Arabic Typesetting"/>
          <w:sz w:val="24"/>
          <w:szCs w:val="24"/>
          <w:rtl/>
        </w:rPr>
      </w:pPr>
      <w:r w:rsidRPr="00F2662D">
        <w:rPr>
          <w:rFonts w:ascii="Arabic Typesetting" w:hAnsi="Arabic Typesetting" w:cs="Arabic Typesetting" w:hint="cs"/>
          <w:sz w:val="24"/>
          <w:szCs w:val="24"/>
          <w:rtl/>
        </w:rPr>
        <w:t>(2) هو الفارق بين الميزانية "النهائية" لسنة 2012 والمصروفات الفعلية على أساس قابل للمقارنة لسنة 2012.</w:t>
      </w:r>
    </w:p>
    <w:p w:rsidR="00E16243" w:rsidRPr="00F2662D" w:rsidRDefault="00E16243" w:rsidP="00F2662D">
      <w:pPr>
        <w:bidi/>
        <w:spacing w:line="240" w:lineRule="exact"/>
        <w:rPr>
          <w:rFonts w:ascii="Arabic Typesetting" w:hAnsi="Arabic Typesetting" w:cs="Arabic Typesetting"/>
          <w:sz w:val="24"/>
          <w:szCs w:val="24"/>
          <w:rtl/>
          <w:lang w:bidi="ar-EG"/>
        </w:rPr>
      </w:pPr>
      <w:r w:rsidRPr="00F2662D">
        <w:rPr>
          <w:rFonts w:ascii="Arabic Typesetting" w:hAnsi="Arabic Typesetting" w:cs="Arabic Typesetting" w:hint="cs"/>
          <w:sz w:val="24"/>
          <w:szCs w:val="24"/>
          <w:rtl/>
          <w:lang w:bidi="ar-EG"/>
        </w:rPr>
        <w:t>(3) ترد تفاصيل تسويات الفائض وفقا للمعايير المحاسبية الدولية للقطاع العام في الملاحظة 22 من هذه البيانات المالية.</w:t>
      </w:r>
    </w:p>
    <w:p w:rsidR="00E16243" w:rsidRPr="00780749" w:rsidRDefault="00E16243" w:rsidP="00F17073">
      <w:pPr>
        <w:pStyle w:val="Heading1"/>
        <w:bidi/>
        <w:jc w:val="center"/>
        <w:rPr>
          <w:rFonts w:ascii="Arabic Typesetting" w:hAnsi="Arabic Typesetting" w:cs="Arabic Typesetting"/>
          <w:sz w:val="40"/>
          <w:szCs w:val="40"/>
          <w:rtl/>
        </w:rPr>
      </w:pPr>
      <w:r>
        <w:rPr>
          <w:sz w:val="30"/>
          <w:szCs w:val="30"/>
          <w:rtl/>
        </w:rPr>
        <w:br w:type="page"/>
      </w:r>
      <w:bookmarkStart w:id="15" w:name="_Toc362519098"/>
      <w:r w:rsidRPr="00780749">
        <w:rPr>
          <w:rFonts w:ascii="Arabic Typesetting" w:hAnsi="Arabic Typesetting" w:cs="Arabic Typesetting" w:hint="cs"/>
          <w:sz w:val="40"/>
          <w:szCs w:val="40"/>
          <w:rtl/>
        </w:rPr>
        <w:lastRenderedPageBreak/>
        <w:t>ملاحظات على البيانات المالية</w:t>
      </w:r>
      <w:bookmarkEnd w:id="15"/>
    </w:p>
    <w:p w:rsidR="00E16243" w:rsidRPr="00780749" w:rsidRDefault="00E16243" w:rsidP="00780749">
      <w:pPr>
        <w:pStyle w:val="Heading2"/>
        <w:bidi/>
        <w:rPr>
          <w:rFonts w:ascii="Arabic Typesetting" w:hAnsi="Arabic Typesetting" w:cs="Arabic Typesetting"/>
          <w:i/>
          <w:iCs w:val="0"/>
          <w:sz w:val="40"/>
          <w:szCs w:val="40"/>
          <w:rtl/>
        </w:rPr>
      </w:pPr>
      <w:bookmarkStart w:id="16" w:name="_Toc362519099"/>
      <w:r w:rsidRPr="00780749">
        <w:rPr>
          <w:rFonts w:ascii="Arabic Typesetting" w:hAnsi="Arabic Typesetting" w:cs="Arabic Typesetting" w:hint="cs"/>
          <w:i/>
          <w:iCs w:val="0"/>
          <w:sz w:val="40"/>
          <w:szCs w:val="40"/>
          <w:rtl/>
        </w:rPr>
        <w:t>الملاحظة 1: أهداف المنظمة وميزانيتها</w:t>
      </w:r>
      <w:bookmarkEnd w:id="16"/>
    </w:p>
    <w:p w:rsidR="00E16243" w:rsidRPr="00EA490D" w:rsidRDefault="00E16243" w:rsidP="00E16243">
      <w:pPr>
        <w:pStyle w:val="NormalParaAR"/>
        <w:rPr>
          <w:rtl/>
        </w:rPr>
      </w:pPr>
      <w:r>
        <w:rPr>
          <w:rFonts w:hint="cs"/>
          <w:rtl/>
        </w:rPr>
        <w:t>أنشئت المنظمة العالمية للملكية الفكرية في سنة 1967 وحلت محل مكتب حماية الملكية الفكرية الذي أنشئ في سنة 1893 ويعرف بمختصر</w:t>
      </w:r>
      <w:r>
        <w:rPr>
          <w:rtl/>
        </w:rPr>
        <w:t xml:space="preserve"> البربي</w:t>
      </w:r>
      <w:r>
        <w:rPr>
          <w:rFonts w:hint="cs"/>
          <w:rtl/>
        </w:rPr>
        <w:t xml:space="preserve">، </w:t>
      </w:r>
      <w:r>
        <w:t xml:space="preserve"> </w:t>
      </w:r>
      <w:r w:rsidRPr="00EA490D">
        <w:t>BIRPI</w:t>
      </w:r>
      <w:r>
        <w:t>)</w:t>
      </w:r>
      <w:r>
        <w:rPr>
          <w:rFonts w:hint="cs"/>
          <w:rtl/>
        </w:rPr>
        <w:t>مختصر باللغة الفرنسية</w:t>
      </w:r>
      <w:r w:rsidRPr="00EA490D">
        <w:rPr>
          <w:rtl/>
        </w:rPr>
        <w:t xml:space="preserve"> </w:t>
      </w:r>
      <w:r>
        <w:rPr>
          <w:rFonts w:hint="cs"/>
          <w:rtl/>
        </w:rPr>
        <w:t>يعني</w:t>
      </w:r>
      <w:r w:rsidRPr="00EA490D">
        <w:rPr>
          <w:rtl/>
        </w:rPr>
        <w:t xml:space="preserve"> </w:t>
      </w:r>
      <w:r w:rsidRPr="00520840">
        <w:rPr>
          <w:i/>
          <w:iCs/>
          <w:rtl/>
        </w:rPr>
        <w:t>المكاتب الدولية المتحدة لحماية الملكية الفكرية</w:t>
      </w:r>
      <w:r>
        <w:rPr>
          <w:rFonts w:hint="cs"/>
          <w:rtl/>
        </w:rPr>
        <w:t>) لإدارة اتفاقية باريس لحماية الملكية الصناعية (1883) واتفاقية برن لحماية المصنفات الأدبية والفنية (1886)</w:t>
      </w:r>
      <w:r w:rsidRPr="00EA490D">
        <w:rPr>
          <w:rtl/>
        </w:rPr>
        <w:t>.</w:t>
      </w:r>
      <w:r>
        <w:rPr>
          <w:rFonts w:hint="cs"/>
          <w:rtl/>
        </w:rPr>
        <w:t xml:space="preserve"> وفي سنة 1974، اعتُرف </w:t>
      </w:r>
      <w:r w:rsidRPr="00EA490D">
        <w:rPr>
          <w:rtl/>
        </w:rPr>
        <w:t>بالويبو كوكالة متخصصة في منظومة الأمم المتحدة</w:t>
      </w:r>
      <w:r>
        <w:rPr>
          <w:rFonts w:hint="cs"/>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EA490D">
        <w:rPr>
          <w:rFonts w:ascii="Arabic Typesetting" w:hAnsi="Arabic Typesetting" w:cs="Arabic Typesetting"/>
          <w:sz w:val="36"/>
          <w:szCs w:val="36"/>
          <w:rtl/>
        </w:rPr>
        <w:t xml:space="preserve">تضطلع الويبو </w:t>
      </w:r>
      <w:r>
        <w:rPr>
          <w:rFonts w:ascii="Arabic Typesetting" w:hAnsi="Arabic Typesetting" w:cs="Arabic Typesetting" w:hint="cs"/>
          <w:sz w:val="36"/>
          <w:szCs w:val="36"/>
          <w:rtl/>
        </w:rPr>
        <w:t>ب</w:t>
      </w:r>
      <w:r w:rsidRPr="00EA490D">
        <w:rPr>
          <w:rFonts w:ascii="Arabic Typesetting" w:hAnsi="Arabic Typesetting" w:cs="Arabic Typesetting"/>
          <w:sz w:val="36"/>
          <w:szCs w:val="36"/>
          <w:rtl/>
        </w:rPr>
        <w:t xml:space="preserve">طائفة واسعة من </w:t>
      </w:r>
      <w:r>
        <w:rPr>
          <w:rFonts w:ascii="Arabic Typesetting" w:hAnsi="Arabic Typesetting" w:cs="Arabic Typesetting" w:hint="cs"/>
          <w:sz w:val="36"/>
          <w:szCs w:val="36"/>
          <w:rtl/>
        </w:rPr>
        <w:t>المهام</w:t>
      </w:r>
      <w:r w:rsidRPr="00EA490D">
        <w:rPr>
          <w:rFonts w:ascii="Arabic Typesetting" w:hAnsi="Arabic Typesetting" w:cs="Arabic Typesetting"/>
          <w:sz w:val="36"/>
          <w:szCs w:val="36"/>
          <w:rtl/>
        </w:rPr>
        <w:t xml:space="preserve"> المتصلة بحماية </w:t>
      </w:r>
      <w:r>
        <w:rPr>
          <w:rFonts w:ascii="Arabic Typesetting" w:hAnsi="Arabic Typesetting" w:cs="Arabic Typesetting" w:hint="cs"/>
          <w:sz w:val="36"/>
          <w:szCs w:val="36"/>
          <w:rtl/>
        </w:rPr>
        <w:t xml:space="preserve">حقوق </w:t>
      </w:r>
      <w:r w:rsidRPr="00EA490D">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وتشمل هذه المهام ما يلي</w:t>
      </w:r>
      <w:r w:rsidRPr="00EA490D">
        <w:rPr>
          <w:rFonts w:ascii="Arabic Typesetting" w:hAnsi="Arabic Typesetting" w:cs="Arabic Typesetting"/>
          <w:sz w:val="36"/>
          <w:szCs w:val="36"/>
          <w:rtl/>
        </w:rPr>
        <w:t>:</w:t>
      </w:r>
      <w:r w:rsidRPr="005816C3">
        <w:rPr>
          <w:rFonts w:ascii="Arabic Typesetting" w:hAnsi="Arabic Typesetting" w:cs="Arabic Typesetting"/>
          <w:sz w:val="36"/>
          <w:szCs w:val="36"/>
          <w:rtl/>
        </w:rPr>
        <w:t xml:space="preserve"> </w:t>
      </w:r>
      <w:r w:rsidRPr="00EA490D">
        <w:rPr>
          <w:rFonts w:ascii="Arabic Typesetting" w:hAnsi="Arabic Typesetting" w:cs="Arabic Typesetting"/>
          <w:sz w:val="36"/>
          <w:szCs w:val="36"/>
          <w:rtl/>
        </w:rPr>
        <w:t xml:space="preserve">مساعدة الحكومات والمنظمات على </w:t>
      </w:r>
      <w:r>
        <w:rPr>
          <w:rFonts w:ascii="Arabic Typesetting" w:hAnsi="Arabic Typesetting" w:cs="Arabic Typesetting" w:hint="cs"/>
          <w:sz w:val="36"/>
          <w:szCs w:val="36"/>
          <w:rtl/>
        </w:rPr>
        <w:t>وضع</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A490D">
        <w:rPr>
          <w:rFonts w:ascii="Arabic Typesetting" w:hAnsi="Arabic Typesetting" w:cs="Arabic Typesetting"/>
          <w:sz w:val="36"/>
          <w:szCs w:val="36"/>
          <w:rtl/>
        </w:rPr>
        <w:t>سياسات و</w:t>
      </w:r>
      <w:r>
        <w:rPr>
          <w:rFonts w:ascii="Arabic Typesetting" w:hAnsi="Arabic Typesetting" w:cs="Arabic Typesetting" w:hint="cs"/>
          <w:sz w:val="36"/>
          <w:szCs w:val="36"/>
          <w:rtl/>
        </w:rPr>
        <w:t>إقامة ال</w:t>
      </w:r>
      <w:r w:rsidRPr="00EA490D">
        <w:rPr>
          <w:rFonts w:ascii="Arabic Typesetting" w:hAnsi="Arabic Typesetting" w:cs="Arabic Typesetting"/>
          <w:sz w:val="36"/>
          <w:szCs w:val="36"/>
          <w:rtl/>
        </w:rPr>
        <w:t>هياكل و</w:t>
      </w:r>
      <w:r>
        <w:rPr>
          <w:rFonts w:ascii="Arabic Typesetting" w:hAnsi="Arabic Typesetting" w:cs="Arabic Typesetting" w:hint="cs"/>
          <w:sz w:val="36"/>
          <w:szCs w:val="36"/>
          <w:rtl/>
        </w:rPr>
        <w:t>تطوير ال</w:t>
      </w:r>
      <w:r w:rsidRPr="00EA490D">
        <w:rPr>
          <w:rFonts w:ascii="Arabic Typesetting" w:hAnsi="Arabic Typesetting" w:cs="Arabic Typesetting"/>
          <w:sz w:val="36"/>
          <w:szCs w:val="36"/>
          <w:rtl/>
        </w:rPr>
        <w:t>مهارات</w:t>
      </w:r>
      <w:r>
        <w:rPr>
          <w:rFonts w:ascii="Arabic Typesetting" w:hAnsi="Arabic Typesetting" w:cs="Arabic Typesetting" w:hint="cs"/>
          <w:sz w:val="36"/>
          <w:szCs w:val="36"/>
          <w:rtl/>
        </w:rPr>
        <w:t xml:space="preserve"> اللازمة</w:t>
      </w:r>
      <w:r w:rsidRPr="00EA490D">
        <w:rPr>
          <w:rFonts w:ascii="Arabic Typesetting" w:hAnsi="Arabic Typesetting" w:cs="Arabic Typesetting"/>
          <w:sz w:val="36"/>
          <w:szCs w:val="36"/>
          <w:rtl/>
        </w:rPr>
        <w:t xml:space="preserve"> لتسخير إمكانات الملكية الفكرية لأغراض التنمية الاقتصادية</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 xml:space="preserve">العمل مع الدول الأعضاء </w:t>
      </w:r>
      <w:r>
        <w:rPr>
          <w:rFonts w:ascii="Arabic Typesetting" w:hAnsi="Arabic Typesetting" w:cs="Arabic Typesetting" w:hint="cs"/>
          <w:sz w:val="36"/>
          <w:szCs w:val="36"/>
          <w:rtl/>
        </w:rPr>
        <w:t>على</w:t>
      </w:r>
      <w:r w:rsidRPr="00EA490D">
        <w:rPr>
          <w:rFonts w:ascii="Arabic Typesetting" w:hAnsi="Arabic Typesetting" w:cs="Arabic Typesetting"/>
          <w:sz w:val="36"/>
          <w:szCs w:val="36"/>
          <w:rtl/>
        </w:rPr>
        <w:t xml:space="preserve"> تطو</w:t>
      </w:r>
      <w:r>
        <w:rPr>
          <w:rFonts w:ascii="Arabic Typesetting" w:hAnsi="Arabic Typesetting" w:cs="Arabic Typesetting" w:hint="cs"/>
          <w:sz w:val="36"/>
          <w:szCs w:val="36"/>
          <w:rtl/>
        </w:rPr>
        <w:t>ي</w:t>
      </w:r>
      <w:r w:rsidRPr="00EA490D">
        <w:rPr>
          <w:rFonts w:ascii="Arabic Typesetting" w:hAnsi="Arabic Typesetting" w:cs="Arabic Typesetting"/>
          <w:sz w:val="36"/>
          <w:szCs w:val="36"/>
          <w:rtl/>
        </w:rPr>
        <w:t>ر قانون الملكية الفكرية ا</w:t>
      </w:r>
      <w:r>
        <w:rPr>
          <w:rFonts w:ascii="Arabic Typesetting" w:hAnsi="Arabic Typesetting" w:cs="Arabic Typesetting"/>
          <w:sz w:val="36"/>
          <w:szCs w:val="36"/>
          <w:rtl/>
        </w:rPr>
        <w:t>لدولي</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إدارة المعاهدات</w:t>
      </w:r>
      <w:r>
        <w:rPr>
          <w:rFonts w:ascii="Arabic Typesetting" w:hAnsi="Arabic Typesetting" w:cs="Arabic Typesetting" w:hint="cs"/>
          <w:sz w:val="36"/>
          <w:szCs w:val="36"/>
          <w:rtl/>
        </w:rPr>
        <w:t xml:space="preserve">؛ وإدارة </w:t>
      </w:r>
      <w:r w:rsidRPr="005816C3">
        <w:rPr>
          <w:rFonts w:ascii="Arabic Typesetting" w:hAnsi="Arabic Typesetting" w:cs="Arabic Typesetting"/>
          <w:sz w:val="36"/>
          <w:szCs w:val="36"/>
          <w:rtl/>
        </w:rPr>
        <w:t>أنظمة</w:t>
      </w:r>
      <w:r>
        <w:rPr>
          <w:rFonts w:ascii="Arabic Typesetting" w:hAnsi="Arabic Typesetting" w:cs="Arabic Typesetting" w:hint="cs"/>
          <w:sz w:val="36"/>
          <w:szCs w:val="36"/>
          <w:rtl/>
        </w:rPr>
        <w:t xml:space="preserve"> ا</w:t>
      </w:r>
      <w:r w:rsidRPr="005816C3">
        <w:rPr>
          <w:rFonts w:ascii="Arabic Typesetting" w:hAnsi="Arabic Typesetting" w:cs="Arabic Typesetting"/>
          <w:sz w:val="36"/>
          <w:szCs w:val="36"/>
          <w:rtl/>
        </w:rPr>
        <w:t xml:space="preserve">لتسجيل </w:t>
      </w:r>
      <w:r>
        <w:rPr>
          <w:rFonts w:ascii="Arabic Typesetting" w:hAnsi="Arabic Typesetting" w:cs="Arabic Typesetting" w:hint="cs"/>
          <w:sz w:val="36"/>
          <w:szCs w:val="36"/>
          <w:rtl/>
        </w:rPr>
        <w:t>العالمية ل</w:t>
      </w:r>
      <w:r w:rsidRPr="005816C3">
        <w:rPr>
          <w:rFonts w:ascii="Arabic Typesetting" w:hAnsi="Arabic Typesetting" w:cs="Arabic Typesetting"/>
          <w:sz w:val="36"/>
          <w:szCs w:val="36"/>
          <w:rtl/>
        </w:rPr>
        <w:t>لعلامات التجارية والرسوم وا</w:t>
      </w:r>
      <w:r>
        <w:rPr>
          <w:rFonts w:ascii="Arabic Typesetting" w:hAnsi="Arabic Typesetting" w:cs="Arabic Typesetting"/>
          <w:sz w:val="36"/>
          <w:szCs w:val="36"/>
          <w:rtl/>
        </w:rPr>
        <w:t xml:space="preserve">لنماذج الصناعية وتسميات المنشأ </w:t>
      </w:r>
      <w:r>
        <w:rPr>
          <w:rFonts w:ascii="Arabic Typesetting" w:hAnsi="Arabic Typesetting" w:cs="Arabic Typesetting" w:hint="cs"/>
          <w:sz w:val="36"/>
          <w:szCs w:val="36"/>
          <w:rtl/>
        </w:rPr>
        <w:t xml:space="preserve">فضلا عن </w:t>
      </w:r>
      <w:r>
        <w:rPr>
          <w:rFonts w:ascii="Arabic Typesetting" w:hAnsi="Arabic Typesetting" w:cs="Arabic Typesetting"/>
          <w:sz w:val="36"/>
          <w:szCs w:val="36"/>
          <w:rtl/>
        </w:rPr>
        <w:t xml:space="preserve">نظام إيداع </w:t>
      </w:r>
      <w:r w:rsidRPr="005816C3">
        <w:rPr>
          <w:rFonts w:ascii="Arabic Typesetting" w:hAnsi="Arabic Typesetting" w:cs="Arabic Typesetting"/>
          <w:sz w:val="36"/>
          <w:szCs w:val="36"/>
          <w:rtl/>
        </w:rPr>
        <w:t>البراءات</w:t>
      </w:r>
      <w:r>
        <w:rPr>
          <w:rFonts w:ascii="Arabic Typesetting" w:hAnsi="Arabic Typesetting" w:cs="Arabic Typesetting" w:hint="cs"/>
          <w:sz w:val="36"/>
          <w:szCs w:val="36"/>
          <w:rtl/>
        </w:rPr>
        <w:t>؛ وتوفير خدمات تسوية المنازعات؛ والاضطلاع بدور المحفل لإجراء الحوار المستنير وتبادل الخبرات.</w:t>
      </w:r>
    </w:p>
    <w:p w:rsidR="00E16243" w:rsidRPr="007A01D6"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وتعمل المنظمة وفقا لاتفاقية الويبو الموقعة في استوكهولم في 14 يوليو 1967 والمعدلة في 28 سبتمبر 1979. وتضم الويبو حاليا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185 بلدا عضوا. ويقع مقر الويبو الرئيسي في جنيف بسويسرا ولديها مكاتب تمثلها في نيويورك وريو دي جانيرو وسنغافورة وطوكيو. وتتمتع المنظمة ب</w:t>
      </w:r>
      <w:r>
        <w:rPr>
          <w:rFonts w:ascii="Arabic Typesetting" w:hAnsi="Arabic Typesetting" w:cs="Arabic Typesetting"/>
          <w:sz w:val="36"/>
          <w:szCs w:val="36"/>
          <w:rtl/>
        </w:rPr>
        <w:t xml:space="preserve">امتيازات </w:t>
      </w:r>
      <w:r>
        <w:rPr>
          <w:rFonts w:ascii="Arabic Typesetting" w:hAnsi="Arabic Typesetting" w:cs="Arabic Typesetting" w:hint="cs"/>
          <w:sz w:val="36"/>
          <w:szCs w:val="36"/>
          <w:rtl/>
        </w:rPr>
        <w:t>و</w:t>
      </w:r>
      <w:r w:rsidRPr="004A1E8E">
        <w:rPr>
          <w:rFonts w:ascii="Arabic Typesetting" w:hAnsi="Arabic Typesetting" w:cs="Arabic Typesetting"/>
          <w:sz w:val="36"/>
          <w:szCs w:val="36"/>
          <w:rtl/>
        </w:rPr>
        <w:t xml:space="preserve">حصانات </w:t>
      </w:r>
      <w:r>
        <w:rPr>
          <w:rFonts w:ascii="Arabic Typesetting" w:hAnsi="Arabic Typesetting" w:cs="Arabic Typesetting" w:hint="cs"/>
          <w:sz w:val="36"/>
          <w:szCs w:val="36"/>
          <w:rtl/>
        </w:rPr>
        <w:t>بناء</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على </w:t>
      </w:r>
      <w:r w:rsidRPr="004A1E8E">
        <w:rPr>
          <w:rFonts w:ascii="Arabic Typesetting" w:hAnsi="Arabic Typesetting" w:cs="Arabic Typesetting"/>
          <w:sz w:val="36"/>
          <w:szCs w:val="36"/>
          <w:rtl/>
        </w:rPr>
        <w:t xml:space="preserve">اتفاقية امتيازات الوكالات المتخصصة </w:t>
      </w:r>
      <w:r>
        <w:rPr>
          <w:rFonts w:ascii="Arabic Typesetting" w:hAnsi="Arabic Typesetting" w:cs="Arabic Typesetting" w:hint="cs"/>
          <w:sz w:val="36"/>
          <w:szCs w:val="36"/>
          <w:rtl/>
        </w:rPr>
        <w:t xml:space="preserve">للأمم المتحدة </w:t>
      </w:r>
      <w:r w:rsidRPr="004A1E8E">
        <w:rPr>
          <w:rFonts w:ascii="Arabic Typesetting" w:hAnsi="Arabic Typesetting" w:cs="Arabic Typesetting"/>
          <w:sz w:val="36"/>
          <w:szCs w:val="36"/>
          <w:rtl/>
        </w:rPr>
        <w:t xml:space="preserve">وحصاناتها، كما أقرتها الجمعية العامة للأمم المتحدة في </w:t>
      </w:r>
      <w:r>
        <w:rPr>
          <w:rFonts w:ascii="Arabic Typesetting" w:hAnsi="Arabic Typesetting" w:cs="Arabic Typesetting" w:hint="cs"/>
          <w:sz w:val="36"/>
          <w:szCs w:val="36"/>
          <w:rtl/>
        </w:rPr>
        <w:t>سنة</w:t>
      </w:r>
      <w:r w:rsidRPr="004A1E8E">
        <w:rPr>
          <w:rFonts w:ascii="Arabic Typesetting" w:hAnsi="Arabic Typesetting" w:cs="Arabic Typesetting"/>
          <w:sz w:val="36"/>
          <w:szCs w:val="36"/>
          <w:rtl/>
        </w:rPr>
        <w:t xml:space="preserve"> 1947</w:t>
      </w:r>
      <w:r>
        <w:rPr>
          <w:rFonts w:ascii="Arabic Typesetting" w:hAnsi="Arabic Typesetting" w:cs="Arabic Typesetting" w:hint="cs"/>
          <w:sz w:val="36"/>
          <w:szCs w:val="36"/>
          <w:rtl/>
        </w:rPr>
        <w:t>، و</w:t>
      </w:r>
      <w:r w:rsidRPr="007A01D6">
        <w:rPr>
          <w:rFonts w:ascii="Arabic Typesetting" w:hAnsi="Arabic Typesetting" w:cs="Arabic Typesetting"/>
          <w:sz w:val="36"/>
          <w:szCs w:val="36"/>
          <w:rtl/>
        </w:rPr>
        <w:t xml:space="preserve">اتفاق </w:t>
      </w:r>
      <w:r>
        <w:rPr>
          <w:rFonts w:ascii="Arabic Typesetting" w:hAnsi="Arabic Typesetting" w:cs="Arabic Typesetting" w:hint="cs"/>
          <w:sz w:val="36"/>
          <w:szCs w:val="36"/>
          <w:rtl/>
        </w:rPr>
        <w:t>ال</w:t>
      </w:r>
      <w:r w:rsidRPr="007A01D6">
        <w:rPr>
          <w:rFonts w:ascii="Arabic Typesetting" w:hAnsi="Arabic Typesetting" w:cs="Arabic Typesetting"/>
          <w:sz w:val="36"/>
          <w:szCs w:val="36"/>
          <w:rtl/>
        </w:rPr>
        <w:t xml:space="preserve">مقر المبرم مع المجلس </w:t>
      </w:r>
      <w:r>
        <w:rPr>
          <w:rFonts w:ascii="Arabic Typesetting" w:hAnsi="Arabic Typesetting" w:cs="Arabic Typesetting" w:hint="cs"/>
          <w:sz w:val="36"/>
          <w:szCs w:val="36"/>
          <w:rtl/>
        </w:rPr>
        <w:t>الفدرالي</w:t>
      </w:r>
      <w:r w:rsidRPr="007A01D6">
        <w:rPr>
          <w:rFonts w:ascii="Arabic Typesetting" w:hAnsi="Arabic Typesetting" w:cs="Arabic Typesetting"/>
          <w:sz w:val="36"/>
          <w:szCs w:val="36"/>
          <w:rtl/>
        </w:rPr>
        <w:t xml:space="preserve"> السويسري</w:t>
      </w:r>
      <w:r>
        <w:rPr>
          <w:rFonts w:ascii="Arabic Typesetting" w:hAnsi="Arabic Typesetting" w:cs="Arabic Typesetting" w:hint="cs"/>
          <w:sz w:val="36"/>
          <w:szCs w:val="36"/>
          <w:rtl/>
        </w:rPr>
        <w:t xml:space="preserve"> في سنة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1970 ولا سيما فيما يتعلق بالإعفاء من دفع معظم أنواع الضرائب المباشرة وغير المباشرة.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وتخضع الويبو للهيئات الرئاسية التالية التي أنشئت بموجب اتفاقية الويبو وتجتمع في دورات عادية مرة كل سنتين على الأقل ولها أن تجتمع في دورات استثنائية </w:t>
      </w:r>
      <w:r>
        <w:rPr>
          <w:rFonts w:ascii="Arabic Typesetting" w:hAnsi="Arabic Typesetting" w:cs="Arabic Typesetting"/>
          <w:sz w:val="36"/>
          <w:szCs w:val="36"/>
          <w:rtl/>
        </w:rPr>
        <w:t>في السن</w:t>
      </w:r>
      <w:r>
        <w:rPr>
          <w:rFonts w:ascii="Arabic Typesetting" w:hAnsi="Arabic Typesetting" w:cs="Arabic Typesetting" w:hint="cs"/>
          <w:sz w:val="36"/>
          <w:szCs w:val="36"/>
          <w:rtl/>
        </w:rPr>
        <w:t>وات الأخرى:</w:t>
      </w:r>
    </w:p>
    <w:p w:rsidR="00E16243" w:rsidRPr="00BE5378" w:rsidRDefault="00E16243" w:rsidP="00E16243">
      <w:pPr>
        <w:bidi/>
        <w:spacing w:after="240" w:line="360" w:lineRule="exact"/>
        <w:rPr>
          <w:rFonts w:ascii="Arabic Typesetting" w:hAnsi="Arabic Typesetting" w:cs="Arabic Typesetting"/>
          <w:sz w:val="36"/>
          <w:szCs w:val="36"/>
          <w:rtl/>
        </w:rPr>
      </w:pPr>
      <w:r w:rsidRPr="00BA0A8C">
        <w:rPr>
          <w:rFonts w:ascii="Arabic Typesetting" w:hAnsi="Arabic Typesetting" w:cs="Arabic Typesetting"/>
          <w:sz w:val="36"/>
          <w:szCs w:val="36"/>
          <w:rtl/>
        </w:rPr>
        <w:t>الجمعية العامة</w:t>
      </w:r>
      <w:r>
        <w:rPr>
          <w:rFonts w:ascii="Arabic Typesetting" w:hAnsi="Arabic Typesetting" w:cs="Arabic Typesetting" w:hint="cs"/>
          <w:sz w:val="36"/>
          <w:szCs w:val="36"/>
          <w:rtl/>
        </w:rPr>
        <w:t>، والتي تتألف</w:t>
      </w:r>
      <w:r w:rsidRPr="00BA0A8C">
        <w:rPr>
          <w:rFonts w:ascii="Arabic Typesetting" w:hAnsi="Arabic Typesetting" w:cs="Arabic Typesetting"/>
          <w:sz w:val="36"/>
          <w:szCs w:val="36"/>
          <w:rtl/>
        </w:rPr>
        <w:t xml:space="preserve"> من الدول </w:t>
      </w:r>
      <w:r>
        <w:rPr>
          <w:rFonts w:ascii="Arabic Typesetting" w:hAnsi="Arabic Typesetting" w:cs="Arabic Typesetting" w:hint="cs"/>
          <w:sz w:val="36"/>
          <w:szCs w:val="36"/>
          <w:rtl/>
        </w:rPr>
        <w:t>الأطراف</w:t>
      </w:r>
      <w:r w:rsidRPr="00BA0A8C">
        <w:rPr>
          <w:rFonts w:ascii="Arabic Typesetting" w:hAnsi="Arabic Typesetting" w:cs="Arabic Typesetting"/>
          <w:sz w:val="36"/>
          <w:szCs w:val="36"/>
          <w:rtl/>
        </w:rPr>
        <w:t xml:space="preserve"> في</w:t>
      </w:r>
      <w:r>
        <w:rPr>
          <w:rFonts w:ascii="Arabic Typesetting" w:hAnsi="Arabic Typesetting" w:cs="Arabic Typesetting" w:hint="cs"/>
          <w:sz w:val="36"/>
          <w:szCs w:val="36"/>
          <w:rtl/>
        </w:rPr>
        <w:t xml:space="preserve"> اتفاقية</w:t>
      </w:r>
      <w:r w:rsidRPr="00BA0A8C">
        <w:rPr>
          <w:rFonts w:ascii="Arabic Typesetting" w:hAnsi="Arabic Typesetting" w:cs="Arabic Typesetting"/>
          <w:sz w:val="36"/>
          <w:szCs w:val="36"/>
          <w:rtl/>
        </w:rPr>
        <w:t xml:space="preserve"> الويبو و</w:t>
      </w:r>
      <w:r>
        <w:rPr>
          <w:rFonts w:ascii="Arabic Typesetting" w:hAnsi="Arabic Typesetting" w:cs="Arabic Typesetting" w:hint="cs"/>
          <w:sz w:val="36"/>
          <w:szCs w:val="36"/>
          <w:rtl/>
        </w:rPr>
        <w:t xml:space="preserve">الأعضاء </w:t>
      </w:r>
      <w:r w:rsidRPr="00BA0A8C">
        <w:rPr>
          <w:rFonts w:ascii="Arabic Typesetting" w:hAnsi="Arabic Typesetting" w:cs="Arabic Typesetting"/>
          <w:sz w:val="36"/>
          <w:szCs w:val="36"/>
          <w:rtl/>
        </w:rPr>
        <w:t>في أي من الاتحادات</w:t>
      </w:r>
      <w:r>
        <w:rPr>
          <w:rFonts w:ascii="Arabic Typesetting" w:hAnsi="Arabic Typesetting" w:cs="Arabic Typesetting" w:hint="cs"/>
          <w:sz w:val="36"/>
          <w:szCs w:val="36"/>
          <w:rtl/>
        </w:rPr>
        <w:t>،</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وهي مسؤولة عن</w:t>
      </w:r>
      <w:r w:rsidRPr="00BA0A8C">
        <w:rPr>
          <w:rFonts w:ascii="Arabic Typesetting" w:hAnsi="Arabic Typesetting" w:cs="Arabic Typesetting"/>
          <w:sz w:val="36"/>
          <w:szCs w:val="36"/>
          <w:rtl/>
        </w:rPr>
        <w:t xml:space="preserve"> تعيين المدير العام </w:t>
      </w:r>
      <w:r>
        <w:rPr>
          <w:rFonts w:ascii="Arabic Typesetting" w:hAnsi="Arabic Typesetting" w:cs="Arabic Typesetting" w:hint="cs"/>
          <w:sz w:val="36"/>
          <w:szCs w:val="36"/>
          <w:rtl/>
        </w:rPr>
        <w:t>لفترة محددة لا تقل عن ست سنوات،</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BA0A8C">
        <w:rPr>
          <w:rFonts w:ascii="Arabic Typesetting" w:hAnsi="Arabic Typesetting" w:cs="Arabic Typesetting"/>
          <w:sz w:val="36"/>
          <w:szCs w:val="36"/>
          <w:rtl/>
        </w:rPr>
        <w:t xml:space="preserve">ميزانية </w:t>
      </w:r>
      <w:r>
        <w:rPr>
          <w:rFonts w:ascii="Arabic Typesetting" w:hAnsi="Arabic Typesetting" w:cs="Arabic Typesetting" w:hint="cs"/>
          <w:sz w:val="36"/>
          <w:szCs w:val="36"/>
          <w:rtl/>
        </w:rPr>
        <w:t>للمصروفات</w:t>
      </w:r>
      <w:r w:rsidRPr="00BE5378">
        <w:rPr>
          <w:rFonts w:ascii="Arabic Typesetting" w:hAnsi="Arabic Typesetting" w:cs="Arabic Typesetting"/>
          <w:sz w:val="36"/>
          <w:szCs w:val="36"/>
          <w:rtl/>
        </w:rPr>
        <w:t xml:space="preserve"> </w:t>
      </w:r>
      <w:r w:rsidRPr="00BA0A8C">
        <w:rPr>
          <w:rFonts w:ascii="Arabic Typesetting" w:hAnsi="Arabic Typesetting" w:cs="Arabic Typesetting"/>
          <w:sz w:val="36"/>
          <w:szCs w:val="36"/>
          <w:rtl/>
        </w:rPr>
        <w:t xml:space="preserve">المشتركة بين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الاتحادات </w:t>
      </w:r>
      <w:r>
        <w:rPr>
          <w:rFonts w:ascii="Arabic Typesetting" w:hAnsi="Arabic Typesetting" w:cs="Arabic Typesetting" w:hint="cs"/>
          <w:sz w:val="36"/>
          <w:szCs w:val="36"/>
          <w:rtl/>
        </w:rPr>
        <w:t>واعتماد</w:t>
      </w:r>
      <w:r w:rsidRPr="00BA0A8C">
        <w:rPr>
          <w:rFonts w:ascii="Arabic Typesetting" w:hAnsi="Arabic Typesetting" w:cs="Arabic Typesetting"/>
          <w:sz w:val="36"/>
          <w:szCs w:val="36"/>
          <w:rtl/>
        </w:rPr>
        <w:t xml:space="preserve"> النظام المالي للمنظمة</w:t>
      </w:r>
      <w:r>
        <w:rPr>
          <w:rFonts w:ascii="Arabic Typesetting" w:hAnsi="Arabic Typesetting" w:cs="Arabic Typesetting" w:hint="cs"/>
          <w:sz w:val="36"/>
          <w:szCs w:val="36"/>
          <w:rtl/>
        </w:rPr>
        <w:t>، ودعوة الدول إلى أن تصبح أعضاء في المنظمة وغيرها من الوظائف التي حددتها الاتفاقية.</w:t>
      </w:r>
    </w:p>
    <w:p w:rsidR="00E16243" w:rsidRPr="00BA0A8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مؤتمر الويبو </w:t>
      </w:r>
      <w:r>
        <w:rPr>
          <w:rFonts w:ascii="Arabic Typesetting" w:hAnsi="Arabic Typesetting" w:cs="Arabic Typesetting" w:hint="cs"/>
          <w:sz w:val="36"/>
          <w:szCs w:val="36"/>
          <w:rtl/>
        </w:rPr>
        <w:t>الذي يتألف</w:t>
      </w:r>
      <w:r w:rsidRPr="00BA0A8C">
        <w:rPr>
          <w:rFonts w:ascii="Arabic Typesetting" w:hAnsi="Arabic Typesetting" w:cs="Arabic Typesetting"/>
          <w:sz w:val="36"/>
          <w:szCs w:val="36"/>
          <w:rtl/>
        </w:rPr>
        <w:t xml:space="preserve"> من </w:t>
      </w:r>
      <w:r>
        <w:rPr>
          <w:rFonts w:ascii="Arabic Typesetting" w:hAnsi="Arabic Typesetting" w:cs="Arabic Typesetting" w:hint="cs"/>
          <w:sz w:val="36"/>
          <w:szCs w:val="36"/>
          <w:rtl/>
        </w:rPr>
        <w:t xml:space="preserve">جميع </w:t>
      </w:r>
      <w:r w:rsidRPr="00BA0A8C">
        <w:rPr>
          <w:rFonts w:ascii="Arabic Typesetting" w:hAnsi="Arabic Typesetting" w:cs="Arabic Typesetting"/>
          <w:sz w:val="36"/>
          <w:szCs w:val="36"/>
          <w:rtl/>
        </w:rPr>
        <w:t xml:space="preserve">الدول </w:t>
      </w:r>
      <w:r>
        <w:rPr>
          <w:rFonts w:ascii="Arabic Typesetting" w:hAnsi="Arabic Typesetting" w:cs="Arabic Typesetting" w:hint="cs"/>
          <w:sz w:val="36"/>
          <w:szCs w:val="36"/>
          <w:rtl/>
        </w:rPr>
        <w:t>الأعضاء،</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سواء كانت أعضاء في أي من الاتحادات أو لم تكن.</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ويعتمد المؤتمر ميزانيته</w:t>
      </w:r>
      <w:r w:rsidRPr="00BA0A8C">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التعديلات على الاتفاقية </w:t>
      </w:r>
      <w:r>
        <w:rPr>
          <w:rFonts w:ascii="Arabic Typesetting" w:hAnsi="Arabic Typesetting" w:cs="Arabic Typesetting" w:hint="cs"/>
          <w:sz w:val="36"/>
          <w:szCs w:val="36"/>
          <w:rtl/>
        </w:rPr>
        <w:t>فضلا عن وظائف أخرى حسب الاقتضاء.</w:t>
      </w:r>
    </w:p>
    <w:p w:rsidR="00E16243" w:rsidRPr="00BA0A8C" w:rsidRDefault="00E16243" w:rsidP="00E16243">
      <w:pPr>
        <w:bidi/>
        <w:rPr>
          <w:rFonts w:ascii="Arabic Typesetting" w:hAnsi="Arabic Typesetting" w:cs="Arabic Typesetting"/>
          <w:sz w:val="36"/>
          <w:szCs w:val="36"/>
          <w:rtl/>
        </w:rPr>
      </w:pPr>
      <w:r w:rsidRPr="00BA0A8C">
        <w:rPr>
          <w:rFonts w:ascii="Arabic Typesetting" w:hAnsi="Arabic Typesetting" w:cs="Arabic Typesetting"/>
          <w:sz w:val="36"/>
          <w:szCs w:val="36"/>
          <w:rtl/>
        </w:rPr>
        <w:t>ولجنة الويبو لل</w:t>
      </w:r>
      <w:r>
        <w:rPr>
          <w:rFonts w:ascii="Arabic Typesetting" w:hAnsi="Arabic Typesetting" w:cs="Arabic Typesetting"/>
          <w:sz w:val="36"/>
          <w:szCs w:val="36"/>
          <w:rtl/>
        </w:rPr>
        <w:t xml:space="preserve">تنسيق </w:t>
      </w:r>
      <w:r>
        <w:rPr>
          <w:rFonts w:ascii="Arabic Typesetting" w:hAnsi="Arabic Typesetting" w:cs="Arabic Typesetting" w:hint="cs"/>
          <w:sz w:val="36"/>
          <w:szCs w:val="36"/>
          <w:rtl/>
        </w:rPr>
        <w:t xml:space="preserve">التي </w:t>
      </w:r>
      <w:r w:rsidRPr="00BA0A8C">
        <w:rPr>
          <w:rFonts w:ascii="Arabic Typesetting" w:hAnsi="Arabic Typesetting" w:cs="Arabic Typesetting"/>
          <w:sz w:val="36"/>
          <w:szCs w:val="36"/>
          <w:rtl/>
        </w:rPr>
        <w:t xml:space="preserve">تتألف </w:t>
      </w:r>
      <w:r>
        <w:rPr>
          <w:rFonts w:ascii="Arabic Typesetting" w:hAnsi="Arabic Typesetting" w:cs="Arabic Typesetting"/>
          <w:sz w:val="36"/>
          <w:szCs w:val="36"/>
          <w:rtl/>
        </w:rPr>
        <w:t>من أعضاء اللجن</w:t>
      </w:r>
      <w:r>
        <w:rPr>
          <w:rFonts w:ascii="Arabic Typesetting" w:hAnsi="Arabic Typesetting" w:cs="Arabic Typesetting" w:hint="cs"/>
          <w:sz w:val="36"/>
          <w:szCs w:val="36"/>
          <w:rtl/>
        </w:rPr>
        <w:t>تين</w:t>
      </w:r>
      <w:r>
        <w:rPr>
          <w:rFonts w:ascii="Arabic Typesetting" w:hAnsi="Arabic Typesetting" w:cs="Arabic Typesetting"/>
          <w:sz w:val="36"/>
          <w:szCs w:val="36"/>
          <w:rtl/>
        </w:rPr>
        <w:t xml:space="preserve"> التنفيذي</w:t>
      </w:r>
      <w:r>
        <w:rPr>
          <w:rFonts w:ascii="Arabic Typesetting" w:hAnsi="Arabic Typesetting" w:cs="Arabic Typesetting" w:hint="cs"/>
          <w:sz w:val="36"/>
          <w:szCs w:val="36"/>
          <w:rtl/>
        </w:rPr>
        <w:t>تين</w:t>
      </w:r>
      <w:r w:rsidRPr="00BA0A8C">
        <w:rPr>
          <w:rFonts w:ascii="Arabic Typesetting" w:hAnsi="Arabic Typesetting" w:cs="Arabic Typesetting"/>
          <w:sz w:val="36"/>
          <w:szCs w:val="36"/>
          <w:rtl/>
        </w:rPr>
        <w:t xml:space="preserve"> لاتحاد</w:t>
      </w:r>
      <w:r>
        <w:rPr>
          <w:rFonts w:ascii="Arabic Typesetting" w:hAnsi="Arabic Typesetting" w:cs="Arabic Typesetting" w:hint="cs"/>
          <w:sz w:val="36"/>
          <w:szCs w:val="36"/>
          <w:rtl/>
        </w:rPr>
        <w:t>ي</w:t>
      </w:r>
      <w:r w:rsidRPr="00BA0A8C">
        <w:rPr>
          <w:rFonts w:ascii="Arabic Typesetting" w:hAnsi="Arabic Typesetting" w:cs="Arabic Typesetting"/>
          <w:sz w:val="36"/>
          <w:szCs w:val="36"/>
          <w:rtl/>
        </w:rPr>
        <w:t xml:space="preserve"> بار</w:t>
      </w:r>
      <w:r>
        <w:rPr>
          <w:rFonts w:ascii="Arabic Typesetting" w:hAnsi="Arabic Typesetting" w:cs="Arabic Typesetting"/>
          <w:sz w:val="36"/>
          <w:szCs w:val="36"/>
          <w:rtl/>
        </w:rPr>
        <w:t>يس وبرن</w:t>
      </w:r>
      <w:r>
        <w:rPr>
          <w:rFonts w:ascii="Arabic Typesetting" w:hAnsi="Arabic Typesetting" w:cs="Arabic Typesetting" w:hint="cs"/>
          <w:sz w:val="36"/>
          <w:szCs w:val="36"/>
          <w:rtl/>
        </w:rPr>
        <w:t>. وتختار اللجنة أسماء مرشحين ل</w:t>
      </w:r>
      <w:r w:rsidRPr="00BA0A8C">
        <w:rPr>
          <w:rFonts w:ascii="Arabic Typesetting" w:hAnsi="Arabic Typesetting" w:cs="Arabic Typesetting"/>
          <w:sz w:val="36"/>
          <w:szCs w:val="36"/>
          <w:rtl/>
        </w:rPr>
        <w:t xml:space="preserve">منصب المدير العام </w:t>
      </w:r>
      <w:r>
        <w:rPr>
          <w:rFonts w:ascii="Arabic Typesetting" w:hAnsi="Arabic Typesetting" w:cs="Arabic Typesetting" w:hint="cs"/>
          <w:sz w:val="36"/>
          <w:szCs w:val="36"/>
          <w:rtl/>
        </w:rPr>
        <w:t>و</w:t>
      </w:r>
      <w:r>
        <w:rPr>
          <w:rFonts w:ascii="Arabic Typesetting" w:hAnsi="Arabic Typesetting" w:cs="Arabic Typesetting"/>
          <w:sz w:val="36"/>
          <w:szCs w:val="36"/>
          <w:rtl/>
        </w:rPr>
        <w:t>ت</w:t>
      </w:r>
      <w:r>
        <w:rPr>
          <w:rFonts w:ascii="Arabic Typesetting" w:hAnsi="Arabic Typesetting" w:cs="Arabic Typesetting" w:hint="cs"/>
          <w:sz w:val="36"/>
          <w:szCs w:val="36"/>
          <w:rtl/>
        </w:rPr>
        <w:t xml:space="preserve">صوغ </w:t>
      </w:r>
      <w:r w:rsidRPr="00BA0A8C">
        <w:rPr>
          <w:rFonts w:ascii="Arabic Typesetting" w:hAnsi="Arabic Typesetting" w:cs="Arabic Typesetting"/>
          <w:sz w:val="36"/>
          <w:szCs w:val="36"/>
          <w:rtl/>
        </w:rPr>
        <w:t>جد</w:t>
      </w:r>
      <w:r>
        <w:rPr>
          <w:rFonts w:ascii="Arabic Typesetting" w:hAnsi="Arabic Typesetting" w:cs="Arabic Typesetting" w:hint="cs"/>
          <w:sz w:val="36"/>
          <w:szCs w:val="36"/>
          <w:rtl/>
        </w:rPr>
        <w:t>ا</w:t>
      </w:r>
      <w:r w:rsidRPr="00BA0A8C">
        <w:rPr>
          <w:rFonts w:ascii="Arabic Typesetting" w:hAnsi="Arabic Typesetting" w:cs="Arabic Typesetting"/>
          <w:sz w:val="36"/>
          <w:szCs w:val="36"/>
          <w:rtl/>
        </w:rPr>
        <w:t xml:space="preserve">ول أعمال الجمعية العامة </w:t>
      </w:r>
      <w:r>
        <w:rPr>
          <w:rFonts w:ascii="Arabic Typesetting" w:hAnsi="Arabic Typesetting" w:cs="Arabic Typesetting" w:hint="cs"/>
          <w:sz w:val="36"/>
          <w:szCs w:val="36"/>
          <w:rtl/>
        </w:rPr>
        <w:t>و</w:t>
      </w:r>
      <w:r w:rsidRPr="00BA0A8C">
        <w:rPr>
          <w:rFonts w:ascii="Arabic Typesetting" w:hAnsi="Arabic Typesetting" w:cs="Arabic Typesetting"/>
          <w:sz w:val="36"/>
          <w:szCs w:val="36"/>
          <w:rtl/>
        </w:rPr>
        <w:t xml:space="preserve">البرنامج والميزانية </w:t>
      </w:r>
      <w:r>
        <w:rPr>
          <w:rFonts w:ascii="Arabic Typesetting" w:hAnsi="Arabic Typesetting" w:cs="Arabic Typesetting" w:hint="cs"/>
          <w:sz w:val="36"/>
          <w:szCs w:val="36"/>
          <w:rtl/>
        </w:rPr>
        <w:t>لل</w:t>
      </w:r>
      <w:r w:rsidRPr="00BA0A8C">
        <w:rPr>
          <w:rFonts w:ascii="Arabic Typesetting" w:hAnsi="Arabic Typesetting" w:cs="Arabic Typesetting"/>
          <w:sz w:val="36"/>
          <w:szCs w:val="36"/>
          <w:rtl/>
        </w:rPr>
        <w:t xml:space="preserve">مؤتمر </w:t>
      </w:r>
      <w:r>
        <w:rPr>
          <w:rFonts w:ascii="Arabic Typesetting" w:hAnsi="Arabic Typesetting" w:cs="Arabic Typesetting" w:hint="cs"/>
          <w:sz w:val="36"/>
          <w:szCs w:val="36"/>
          <w:rtl/>
        </w:rPr>
        <w:t>وتؤدي واجبات أخرى تكلّف بها بموجب اتفاقية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الويبو.</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وتجتمع جمعيات اتحادات برن ولاهاي ونيس وليشبونة ولوكارنو وفيينا وبودابست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وباريس بمقتضى المعاهدات التي أنشئ بموجبها كلٌ من الاتحادات التي تديرها الويبو وتعتمد تلك الأجزاء من ميزانية الويبو المرتبطة بالإيرادات والنفقات المنسوبة حصرياً إلى كل منها وتحدد مستوى الرسوم الواجب دفعها إلى الويبو لقاء الخدمات المقدمة </w:t>
      </w:r>
      <w:r w:rsidRPr="00EC1C3B">
        <w:rPr>
          <w:rFonts w:ascii="Arabic Typesetting" w:hAnsi="Arabic Typesetting" w:cs="Arabic Typesetting" w:hint="cs"/>
          <w:sz w:val="36"/>
          <w:szCs w:val="36"/>
          <w:rtl/>
        </w:rPr>
        <w:t>بموجب كل</w:t>
      </w:r>
      <w:r>
        <w:rPr>
          <w:rFonts w:ascii="Arabic Typesetting" w:hAnsi="Arabic Typesetting" w:cs="Arabic Typesetting" w:hint="eastAsia"/>
          <w:sz w:val="36"/>
          <w:szCs w:val="36"/>
          <w:rtl/>
        </w:rPr>
        <w:t> </w:t>
      </w:r>
      <w:r w:rsidRPr="00EC1C3B">
        <w:rPr>
          <w:rFonts w:ascii="Arabic Typesetting" w:hAnsi="Arabic Typesetting" w:cs="Arabic Typesetting" w:hint="cs"/>
          <w:sz w:val="36"/>
          <w:szCs w:val="36"/>
          <w:rtl/>
        </w:rPr>
        <w:t>معاهدة</w:t>
      </w:r>
      <w:r>
        <w:rPr>
          <w:rFonts w:ascii="Arabic Typesetting" w:hAnsi="Arabic Typesetting" w:cs="Arabic Typesetting" w:hint="cs"/>
          <w:sz w:val="36"/>
          <w:szCs w:val="36"/>
          <w:rtl/>
        </w:rPr>
        <w:t>.</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وتحصل الويبو على تمويلها من الرسوم المحصلة لقاء الخدمات التي تقدمها المنظمة ومن الاشتراكات التي تدفعها الدول الأعضاء ومن الإسهامات الطوعية من الدول الأعضاء وسائر الجهات المانحة. وتعمل المنظمة في إطار برنامج وميزانية لفترة سنتين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يضمن اعتمادات تمثل ال</w:t>
      </w:r>
      <w:r w:rsidRPr="00F95E1E">
        <w:rPr>
          <w:rFonts w:ascii="Arabic Typesetting" w:hAnsi="Arabic Typesetting" w:cs="Arabic Typesetting"/>
          <w:sz w:val="36"/>
          <w:szCs w:val="36"/>
          <w:rtl/>
        </w:rPr>
        <w:t xml:space="preserve">تصريحات </w:t>
      </w:r>
      <w:r>
        <w:rPr>
          <w:rFonts w:ascii="Arabic Typesetting" w:hAnsi="Arabic Typesetting" w:cs="Arabic Typesetting" w:hint="cs"/>
          <w:sz w:val="36"/>
          <w:szCs w:val="36"/>
          <w:rtl/>
        </w:rPr>
        <w:t>بالإنفاق</w:t>
      </w:r>
      <w:r w:rsidRPr="00F95E1E">
        <w:rPr>
          <w:rFonts w:ascii="Arabic Typesetting" w:hAnsi="Arabic Typesetting" w:cs="Arabic Typesetting"/>
          <w:sz w:val="36"/>
          <w:szCs w:val="36"/>
          <w:rtl/>
        </w:rPr>
        <w:t xml:space="preserve"> من الميزانية التي توافق عليها الجمعية العامة ل</w:t>
      </w:r>
      <w:r>
        <w:rPr>
          <w:rFonts w:ascii="Arabic Typesetting" w:hAnsi="Arabic Typesetting" w:cs="Arabic Typesetting" w:hint="cs"/>
          <w:sz w:val="36"/>
          <w:szCs w:val="36"/>
          <w:rtl/>
        </w:rPr>
        <w:t xml:space="preserve">كل </w:t>
      </w:r>
      <w:r w:rsidRPr="00F95E1E">
        <w:rPr>
          <w:rFonts w:ascii="Arabic Typesetting" w:hAnsi="Arabic Typesetting" w:cs="Arabic Typesetting"/>
          <w:sz w:val="36"/>
          <w:szCs w:val="36"/>
          <w:rtl/>
        </w:rPr>
        <w:t>فترة مالية</w:t>
      </w:r>
      <w:r>
        <w:rPr>
          <w:rFonts w:ascii="Arabic Typesetting" w:hAnsi="Arabic Typesetting" w:cs="Arabic Typesetting" w:hint="cs"/>
          <w:sz w:val="36"/>
          <w:szCs w:val="36"/>
          <w:rtl/>
        </w:rPr>
        <w:t xml:space="preserve"> ما. وبفضل الموافقة على الاعتمادات يخوَّل المدير العام صلاحية التعهد بالمصروفات والتصريح بها وتسديد المدفوعات للأغراض المحددة لها في حدود الاعتمادات. </w:t>
      </w:r>
    </w:p>
    <w:p w:rsidR="00E16243" w:rsidRPr="00780749" w:rsidRDefault="00E16243" w:rsidP="00780749">
      <w:pPr>
        <w:pStyle w:val="Heading2"/>
        <w:bidi/>
        <w:rPr>
          <w:rFonts w:ascii="Arabic Typesetting" w:hAnsi="Arabic Typesetting" w:cs="Arabic Typesetting"/>
          <w:i/>
          <w:iCs w:val="0"/>
          <w:sz w:val="40"/>
          <w:szCs w:val="40"/>
          <w:rtl/>
        </w:rPr>
      </w:pPr>
      <w:bookmarkStart w:id="17" w:name="_Toc362519100"/>
      <w:r w:rsidRPr="00780749">
        <w:rPr>
          <w:rFonts w:ascii="Arabic Typesetting" w:hAnsi="Arabic Typesetting" w:cs="Arabic Typesetting" w:hint="cs"/>
          <w:i/>
          <w:iCs w:val="0"/>
          <w:sz w:val="40"/>
          <w:szCs w:val="40"/>
          <w:rtl/>
        </w:rPr>
        <w:t>الملاحظة 2: السياسات المحاسبية المهمة</w:t>
      </w:r>
      <w:bookmarkEnd w:id="17"/>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أساس الإعداد</w:t>
      </w:r>
    </w:p>
    <w:p w:rsidR="00E16243" w:rsidRDefault="00E16243" w:rsidP="00E16243">
      <w:pPr>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أعدت هذه البيانات المالية على أساس الاستمرارية وملازمة الاستحقاق</w:t>
      </w:r>
      <w:r>
        <w:rPr>
          <w:rFonts w:ascii="Arabic Typesetting" w:hAnsi="Arabic Typesetting" w:cs="Arabic Typesetting" w:hint="cs"/>
          <w:sz w:val="36"/>
          <w:szCs w:val="36"/>
          <w:rtl/>
        </w:rPr>
        <w:t xml:space="preserve"> وطبقت المبادئ المحاسبية بانتظام طيلة الفترة. وتستوفي هذه البيانات متطلبات المعايير المحاسبية الدولية للقطاع العام.</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ووفقاً لتاريخ نفاذ المعيار </w:t>
      </w:r>
      <w:r w:rsidRPr="004A448F">
        <w:rPr>
          <w:rFonts w:ascii="Arabic Typesetting" w:hAnsi="Arabic Typesetting" w:cs="Arabic Typesetting"/>
          <w:sz w:val="36"/>
          <w:szCs w:val="36"/>
          <w:rtl/>
        </w:rPr>
        <w:t xml:space="preserve">31 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المتعلق بالأصول غير المادية</w:t>
      </w:r>
      <w:r>
        <w:rPr>
          <w:rFonts w:ascii="Arabic Typesetting" w:hAnsi="Arabic Typesetting" w:cs="Arabic Typesetting" w:hint="cs"/>
          <w:sz w:val="36"/>
          <w:szCs w:val="36"/>
          <w:rtl/>
        </w:rPr>
        <w:t>، طبقت الويبو هذا المعيار تطبيقاً كاملاً لأول مرة في بياناتها المالية لسنة 2012. وعلى ذلك فقد رسملت تكاليف برامج الحاسوب التي اقتنيت خارجياً والبرامج المطورة داخلياً بوصفها أصولاً للمنظمة خلال سنة 2012. وكان المعيار 31 قد طُبِّق في البيانات المالية السابقة للويبو التي أعدت وفقاً للمعايير المحاسبية الدولية للقطاع العام استثنائياً على حقوق مساحات الأراضي الواقعة في حيازة المنظمة. ولا تطبق المنظمة المعيار 31 بأثر رجعي على أصول غير مادية أخرى لأن ذلك يعتبر غير عملي.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تكاليف الاقتراض</w:t>
      </w:r>
    </w:p>
    <w:p w:rsidR="00E16243" w:rsidRPr="00751CFA" w:rsidRDefault="00E16243" w:rsidP="00E16243">
      <w:pPr>
        <w:keepNext/>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751CFA">
        <w:rPr>
          <w:rFonts w:ascii="Arabic Typesetting" w:hAnsi="Arabic Typesetting" w:cs="Arabic Typesetting" w:hint="cs"/>
          <w:sz w:val="36"/>
          <w:szCs w:val="36"/>
          <w:rtl/>
        </w:rPr>
        <w:t xml:space="preserve">د كل التكاليف المقترنة بالاقتراض </w:t>
      </w:r>
      <w:r>
        <w:rPr>
          <w:rFonts w:ascii="Arabic Typesetting" w:hAnsi="Arabic Typesetting" w:cs="Arabic Typesetting" w:hint="cs"/>
          <w:sz w:val="36"/>
          <w:szCs w:val="36"/>
          <w:rtl/>
        </w:rPr>
        <w:t xml:space="preserve">في باب المصروفات في الفترة التي تكبدتها المنظمة. وقد رسملت تكاليف الاقتراض (الفوائد والرسوم) المرتبطة ببناء المبنى الجديد بوصفها عملا جاريا أثناء مرحلة البناء (انظر الملاحظة 9). وأما تكاليف الاقتراض (الفوائد والرسوم) المرتبطة باقتناء حق المساحة من المنظمة العالمية للأرصاد الجوية فيما يتعلق بالموقع الذي شيد عليه مبنى </w:t>
      </w:r>
      <w:r w:rsidRPr="00EF5C12">
        <w:rPr>
          <w:rFonts w:ascii="Arabic Typesetting" w:hAnsi="Arabic Typesetting" w:cs="Arabic Typesetting"/>
          <w:sz w:val="36"/>
          <w:szCs w:val="36"/>
          <w:rtl/>
        </w:rPr>
        <w:t>معاهدة التعاون بشأن البراءات</w:t>
      </w:r>
      <w:r>
        <w:rPr>
          <w:rFonts w:ascii="Arabic Typesetting" w:hAnsi="Arabic Typesetting" w:cs="Arabic Typesetting" w:hint="cs"/>
          <w:sz w:val="36"/>
          <w:szCs w:val="36"/>
          <w:rtl/>
        </w:rPr>
        <w:t>، فقد رسملت بوصفها جزءا من قيمة الأصول واستهلكت طيلة المدة المتبقية من سريان الحقوق على الأرض (انظر الملاحظة 8).</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السيولة والاستثمارات وغيرها من الأصول المالية</w:t>
      </w:r>
    </w:p>
    <w:p w:rsidR="00E16243" w:rsidRPr="00751CFA"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السيولة وما يعادلها المبالغ النقدية المتوفرة والإيداعات المستأمنة رهن الإشارة لدى المصارف والإيداعات المستأمنة لمدة تصل إلى 90 يوما وغيرها من الاستثمارات النقدية على الأجل القصير سهلة التحويل إلى نقد والمعرضة إلى خطر قليل للتقلب في القيمة.</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مستحقات الموظفين</w:t>
      </w:r>
    </w:p>
    <w:p w:rsidR="00E16243" w:rsidRDefault="00E16243" w:rsidP="00E16243">
      <w:pPr>
        <w:bidi/>
        <w:spacing w:after="240" w:line="360" w:lineRule="exact"/>
        <w:rPr>
          <w:rFonts w:ascii="Arabic Typesetting" w:hAnsi="Arabic Typesetting" w:cs="Arabic Typesetting"/>
          <w:sz w:val="36"/>
          <w:szCs w:val="36"/>
          <w:rtl/>
        </w:rPr>
      </w:pPr>
      <w:r w:rsidRPr="00D17F47">
        <w:rPr>
          <w:rFonts w:ascii="Arabic Typesetting" w:hAnsi="Arabic Typesetting" w:cs="Arabic Typesetting" w:hint="cs"/>
          <w:sz w:val="36"/>
          <w:szCs w:val="36"/>
          <w:rtl/>
        </w:rPr>
        <w:t>تحد</w:t>
      </w:r>
      <w:r>
        <w:rPr>
          <w:rFonts w:ascii="Arabic Typesetting" w:hAnsi="Arabic Typesetting" w:cs="Arabic Typesetting" w:hint="cs"/>
          <w:sz w:val="36"/>
          <w:szCs w:val="36"/>
          <w:rtl/>
        </w:rPr>
        <w:t>ّ</w:t>
      </w:r>
      <w:r w:rsidRPr="00D17F47">
        <w:rPr>
          <w:rFonts w:ascii="Arabic Typesetting" w:hAnsi="Arabic Typesetting" w:cs="Arabic Typesetting" w:hint="cs"/>
          <w:sz w:val="36"/>
          <w:szCs w:val="36"/>
          <w:rtl/>
        </w:rPr>
        <w:t xml:space="preserve">د </w:t>
      </w:r>
      <w:r>
        <w:rPr>
          <w:rFonts w:ascii="Arabic Typesetting" w:hAnsi="Arabic Typesetting" w:cs="Arabic Typesetting" w:hint="cs"/>
          <w:sz w:val="36"/>
          <w:szCs w:val="36"/>
          <w:rtl/>
        </w:rPr>
        <w:t>الخصوم المتعلقة بالتأمين الصحي ما بعد الخدمة ومستحقات نهاية الخدمة (منحة العودة إلى الوطن والسفر) المدفوعة وفقا لما يحدده الأكتواري المستقل على أساس سنويّ وبتطبيق منهجية تقييم وحدة الاعتمادات المتوقعة. وتقيّد ال</w:t>
      </w:r>
      <w:r>
        <w:rPr>
          <w:rFonts w:ascii="Arabic Typesetting" w:hAnsi="Arabic Typesetting" w:cs="Arabic Typesetting"/>
          <w:sz w:val="36"/>
          <w:szCs w:val="36"/>
          <w:rtl/>
        </w:rPr>
        <w:t xml:space="preserve">أرباح </w:t>
      </w:r>
      <w:r w:rsidRPr="00D060AC">
        <w:rPr>
          <w:rFonts w:ascii="Arabic Typesetting" w:hAnsi="Arabic Typesetting" w:cs="Arabic Typesetting"/>
          <w:sz w:val="36"/>
          <w:szCs w:val="36"/>
          <w:rtl/>
        </w:rPr>
        <w:t>و</w:t>
      </w:r>
      <w:r>
        <w:rPr>
          <w:rFonts w:ascii="Arabic Typesetting" w:hAnsi="Arabic Typesetting" w:cs="Arabic Typesetting" w:hint="cs"/>
          <w:sz w:val="36"/>
          <w:szCs w:val="36"/>
          <w:rtl/>
        </w:rPr>
        <w:t>ال</w:t>
      </w:r>
      <w:r w:rsidRPr="00D060AC">
        <w:rPr>
          <w:rFonts w:ascii="Arabic Typesetting" w:hAnsi="Arabic Typesetting" w:cs="Arabic Typesetting"/>
          <w:sz w:val="36"/>
          <w:szCs w:val="36"/>
          <w:rtl/>
        </w:rPr>
        <w:t>خسائر</w:t>
      </w:r>
      <w:r w:rsidRPr="00A03352">
        <w:rPr>
          <w:rtl/>
        </w:rPr>
        <w:t xml:space="preserve"> </w:t>
      </w:r>
      <w:r>
        <w:rPr>
          <w:rFonts w:ascii="Arabic Typesetting" w:hAnsi="Arabic Typesetting" w:cs="Arabic Typesetting" w:hint="cs"/>
          <w:sz w:val="36"/>
          <w:szCs w:val="36"/>
          <w:rtl/>
        </w:rPr>
        <w:t xml:space="preserve">الأكتوارية باستخدام </w:t>
      </w:r>
      <w:r w:rsidRPr="00DD10D3">
        <w:rPr>
          <w:rFonts w:ascii="Arabic Typesetting" w:hAnsi="Arabic Typesetting" w:cs="Arabic Typesetting" w:hint="cs"/>
          <w:sz w:val="36"/>
          <w:szCs w:val="36"/>
          <w:rtl/>
        </w:rPr>
        <w:t>منهجية الممرات</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ويتم استهلاك</w:t>
      </w:r>
      <w:r>
        <w:rPr>
          <w:rFonts w:ascii="Arabic Typesetting" w:hAnsi="Arabic Typesetting" w:cs="Arabic Typesetting" w:hint="cs"/>
          <w:sz w:val="36"/>
          <w:szCs w:val="36"/>
          <w:rtl/>
        </w:rPr>
        <w:t xml:space="preserve">ها </w:t>
      </w:r>
      <w:r w:rsidRPr="00A03352">
        <w:rPr>
          <w:rFonts w:ascii="Arabic Typesetting" w:hAnsi="Arabic Typesetting" w:cs="Arabic Typesetting"/>
          <w:sz w:val="36"/>
          <w:szCs w:val="36"/>
          <w:rtl/>
        </w:rPr>
        <w:t>على مدى</w:t>
      </w:r>
      <w:r w:rsidRPr="00616E43">
        <w:rPr>
          <w:rtl/>
        </w:rPr>
        <w:t xml:space="preserve"> </w:t>
      </w:r>
      <w:r>
        <w:rPr>
          <w:rFonts w:ascii="Arabic Typesetting" w:hAnsi="Arabic Typesetting" w:cs="Arabic Typesetting"/>
          <w:sz w:val="36"/>
          <w:szCs w:val="36"/>
          <w:rtl/>
        </w:rPr>
        <w:t>متوسط سنوات خدم</w:t>
      </w:r>
      <w:r>
        <w:rPr>
          <w:rFonts w:ascii="Arabic Typesetting" w:hAnsi="Arabic Typesetting" w:cs="Arabic Typesetting" w:hint="cs"/>
          <w:sz w:val="36"/>
          <w:szCs w:val="36"/>
          <w:rtl/>
        </w:rPr>
        <w:t xml:space="preserve">ة الموظف في المستقبل. وعلاوة على ذلك، تحدد الخصوم بالنسبة إلى قيمة العطل السنوية المتراكمة وعطل زيارة الوطن المؤجلة وساعات العمل الإضافية المستحقة غير المسددة إلى حد تاريخ التقرير المالي ومنح التعليم المستحقة في تاريخ التقرير المالي والتي لم تدرج في بند النفقات المتداولة.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والويبو منظمة عضو تشارك في </w:t>
      </w:r>
      <w:r w:rsidRPr="0080250D">
        <w:rPr>
          <w:rFonts w:ascii="Arabic Typesetting" w:hAnsi="Arabic Typesetting" w:cs="Arabic Typesetting"/>
          <w:sz w:val="36"/>
          <w:szCs w:val="36"/>
          <w:rtl/>
        </w:rPr>
        <w:t>الصندوق المشترك للمعاشات التقاعدية لموظفي الأمم المتحدة</w:t>
      </w:r>
      <w:r>
        <w:rPr>
          <w:rFonts w:ascii="Arabic Typesetting" w:hAnsi="Arabic Typesetting" w:cs="Arabic Typesetting" w:hint="cs"/>
          <w:sz w:val="36"/>
          <w:szCs w:val="36"/>
          <w:rtl/>
        </w:rPr>
        <w:t xml:space="preserve"> الذي أنشأته الجمعية العامة للأمم المتحدة لتوفير منافع تتعلق بالتقاعد والوفاة والإعاقة للموظفين. وصندوق المعاشات التقاعدية عبارة عن خطة منافع ممولة محددة من قِبل أرباب عمل متعددين. وتنص المادة 3(ب) من اللائحة التنفيذية للصندوق على فتح باب العضوية في الصندوق أمام الوكالات المتخصصة ولأي منظمة حكومية دولية أخرى تشارك في النظام المشترك للرواتب والبدلات وظروف الخدمة الأخرى للأمم المتحدة والوكالات المتخصصة.</w:t>
      </w:r>
    </w:p>
    <w:p w:rsidR="00E16243" w:rsidRPr="008245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وتعرض الخطة المنظمات المشاركة لمخاطر أكتوارية مقترنة بالموظفين الحاليين والسابقين للمنظمات الأخرى المشاركة في الصندوق، مما يؤدي إلى غياب أساس متسق وموثوق لتخصيص الالتزام وأصول الخطة والتكاليف لكلٍ من المنظمات المشاركة في الخطة. ويتعذر على الويبو والصندوق المشترك، شأنهما في ذلك شأن سائر المنظمات المشاركة في الصندوق، في الوضع الحالي تعيين حصة الويبو التناسبية من التزام المنافع المحدد وأصول الخطة والتكاليف المقترنة بالخطة على نحو يتسم بقدر كافٍ من الموثوقية للأغراض المحاسبية. ولذلك فقد تعاملت الويبو مع هذه الخطة على أنها خطة إسهام موضوعة وفق المعيار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25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للقطاع العام. وتُقيد إسهامات الويبو في الخطة خلال الفترة المالية بوصفها مصروفات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قيد المصروفات</w:t>
      </w:r>
    </w:p>
    <w:p w:rsidR="00E16243" w:rsidRPr="007306E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المصروفات عند استلام السلع وتقديم الخدمات.</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المخاطر المالية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المنظمة معرضة لمخاطر معينة ناتجة عن صرف العملات الأجنبية والقروض ومعدل الفائدة والسيولة. وتحقق المنظمة إيراداتها من الرسوم والإسهامات الطوعية بعملات معينة وتتكبد مصروفات بعملات غير العملة التي تعمل بها وهي الفرنك السويسري، وهي معرضة لمخاطر صرف العملات الأجنبية الناتجة عن تقلب أسعار الصرف.</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والمنظمة معرضة أيضا لمخاطر تتعلق بسعر الصرف الناتجة عن الفوارق بين عملات المبالغ المدفوعة لإدارات البحث الدولي بناء </w:t>
      </w:r>
      <w:r w:rsidRPr="00403B10">
        <w:rPr>
          <w:rFonts w:ascii="Arabic Typesetting" w:hAnsi="Arabic Typesetting" w:cs="Arabic Typesetting" w:hint="cs"/>
          <w:i/>
          <w:iCs/>
          <w:sz w:val="36"/>
          <w:szCs w:val="36"/>
          <w:rtl/>
        </w:rPr>
        <w:t>على اللائحة التنفيذية لمعاهدة التعاون بشأن البراءات</w:t>
      </w:r>
      <w:r>
        <w:rPr>
          <w:rFonts w:ascii="Arabic Typesetting" w:hAnsi="Arabic Typesetting" w:cs="Arabic Typesetting" w:hint="cs"/>
          <w:sz w:val="36"/>
          <w:szCs w:val="36"/>
          <w:rtl/>
        </w:rPr>
        <w:t xml:space="preserve"> والمبالغ التي تحصلها مكاتب البراءات الوطنية لرسوم البحث الدولي من مودعي طلبات البراءات الدولية.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والمنظمة معرضة كذلك لمخاطر سعر صرف العملات فيما يتعلق بتكلفة المعاش التقاعدي للموظفين الذين كانوا قد دخلوا في صندوق الويبو المقفل للمعاش التقاعدي وأصبحوا الآن أعضاء في الصندوق المشترك للمعاشات التقاعدية لموظفي الأمم المتحدة. ويضاف إلى ذلك وجود مكاتب تمثيل للويبو في البرازيل واليابان وسنغافورة والولايات المتحدة الأمريكية لديها أصول محدودة بالعملة المحلية.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ولا تستعمل المنظمة أدوات مالية لاستيعاب المخاطر الناتجة عن صرف العملات إلا في حدود ضيقة، وذلك على وجه التحديد للاستثمارات قصيرة الأجل والتي تحول في إطارها الفرنكات السويسرية إلى يورو لفترة تصل إلى شهر.</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والمنظمة غير معرضة لخطر جسيم يتعلق بالسيولة حيث إنها تملك موارد نقدية معتبرة غير مقيدة تغذى من نتائج عملياتها. وقد طورت سياسة المنظمة الاستثمارية لضمان إدارة الاستثمارات بالأساس في شكل ودائع سيولة قصيرة الأجل.</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والمنظمة معرضة إلى حد يسير لخطر انخفاض سعر الفائدة، حيث إن 1,26 بالمائة فحسب من ميزانيتها التشغيلية ممولة من إيرادات محصلة من عائدات الاستثمارات. ولا تستخدم المنظمة أدوات مالية لتجنب المخاطر المتعلقة بسعر الفائدة.</w:t>
      </w:r>
    </w:p>
    <w:p w:rsidR="00E16243" w:rsidRPr="00227D67"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وتتأتى حسابات المنظمة المدينة بشكل حصري تقريبا من الدول الأعضاء التي تمثل حكومات ذات سيادة وبالتالي فإن المخاطر المتعلقة بالقروض تعتبر مخاطر صغيرة. ويحتفظ بأموال الاستثمار في بنوك</w:t>
      </w:r>
      <w:r w:rsidRPr="00227D67">
        <w:rPr>
          <w:rFonts w:ascii="Arabic Typesetting" w:hAnsi="Arabic Typesetting" w:cs="Arabic Typesetting"/>
          <w:sz w:val="36"/>
          <w:szCs w:val="36"/>
          <w:rtl/>
        </w:rPr>
        <w:t xml:space="preserve"> ذات مخاطر سيادية ومعدلات ثقة </w:t>
      </w:r>
      <w:r>
        <w:rPr>
          <w:rFonts w:ascii="Arabic Typesetting" w:hAnsi="Arabic Typesetting" w:cs="Arabic Typesetting" w:hint="cs"/>
          <w:sz w:val="36"/>
          <w:szCs w:val="36"/>
          <w:rtl/>
        </w:rPr>
        <w:t>لا تقل عن ألف ألف. وقد خصصت أموال مقابل قيمة أصول الحسابات المدينة لإبراز الأموال المستحقة التي لا يتوقع أن تسدد في الأجل</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القصير.</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معاملات بالعملات الأجنبية</w:t>
      </w:r>
    </w:p>
    <w:p w:rsidR="00E16243" w:rsidRPr="002F5474"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الفرنك السويسري هو العملة التي تعمل بها الويبو وبه تعرض هذه البيانات المالية. وتحول كل المعاملات التي تتم بعملات أخرى إلى مبالغ بالفرنك السويسري وفقا لأسعار صرف الأمم المتحدة التي تمثل تلك السائدة في تاريخ إجراء تلك المعاملات. وتقيد في بيان الأداء المالي كل المكاسب والخسائر المحققة وغير المحققة والناتجة عن تسوية تلك المعاملات وعن عملية التحويل في تاريخ التقرير المالي عن الأصول والخصوم التي تمت بعملات خلاف العملة التي تعمل بها الويب</w:t>
      </w:r>
      <w:r>
        <w:rPr>
          <w:rFonts w:ascii="Arabic Typesetting" w:hAnsi="Arabic Typesetting" w:cs="Arabic Typesetting" w:hint="eastAsia"/>
          <w:sz w:val="36"/>
          <w:szCs w:val="36"/>
          <w:rtl/>
        </w:rPr>
        <w:t>و</w:t>
      </w:r>
      <w:r>
        <w:rPr>
          <w:rFonts w:ascii="Arabic Typesetting" w:hAnsi="Arabic Typesetting" w:cs="Arabic Typesetting" w:hint="cs"/>
          <w:sz w:val="36"/>
          <w:szCs w:val="36"/>
          <w:rtl/>
        </w:rPr>
        <w:t>.</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الثابتة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تقيّم المعدات بحسب تكلفتها ناقص اهتلاكها التراكمي والأضرار التي تلحق بها. وتقيد المعدات بوصفها أصولا إذا كانت تكلفة الوحدة الواحدة منها تساوي 000 5 فرنك سويسري أو أكثر. وتقيد الأراضي والممتلكات الاستثمارية بقيمتها العادلة كما تحددها عملية تقييم مستقلة تجرى وفقا لمعايير التقييم الدولية. وتقدر قيمة المباني المشغولة بتكلفة المبنى عندما كان جديدا زائد تكاليف التحسينات اللاحقة كما يحددها خبير مستقل ناقص الاهتلاك التراكمي. وبالنسبة إلى القيد الأولي للمباني المشغولة في الأول من يناير 2010، وهو تاريخ الانتقال إلى المعايير المحاسبية الدولية للقطاع العام، فتحدد قيمتها في حالتها الجديدة بالرجوع إلى تكلفة تقديرية يحسبها خبير استشاري خارجي وتمثل قيمة كل عنصر في مرحلة البناء زائد أعمال التحسين القائمة في تاريخ القيد الأولي ناقص الاهتلاك التراكمي المستند إلى العمر الإنتاجي المقدر المتبقي لكل عنصر. وتوضع التكاليف اللاحقة لأعمال التجديد والتحسين الكبيرة التي تجرى على الأصول الثابتة والتي تزيد أو تمدد المنافع الاقتصادية أو قدرة الخدمة بقيمتها. وتقدر أرباح وخسائر التصرف بمقارنة العائدات بمبلغ الأصول المرحّلة وتدرج في بيان الأداء المالي. ولا تقيّد قيمة الأصول التاريخية،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فيها المصنفات الفنية المتبرع بها، في البيانات المالية. </w:t>
      </w:r>
    </w:p>
    <w:p w:rsidR="00E16243" w:rsidRDefault="00E16243" w:rsidP="006E5D6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ويسجّل الاهتلاك بحيث تشطب التكلفة الكاملة للأصول الثابتة بخلاف الأراضي والمباني الجاري تشييدها أثناء عمرها الإنتاجي المقدر بتطبيق منهجية تأثر القيمة المباشر. وفي حالة استخدام أصول ثابتة لجزء من السنة فقط (نتيجة لاقتنائها أو التصرف فيها أو الاستغناء عنها خلال السنة)، لا يقيد الاهتلاك إلا مقابل الشهور التي استخدم خلالها الأصل. وتطبق قيم العمر الإنتاجي التالية على مختلف أصناف الأصول الثابتة:</w:t>
      </w:r>
    </w:p>
    <w:tbl>
      <w:tblPr>
        <w:tblW w:w="7710" w:type="dxa"/>
        <w:jc w:val="center"/>
        <w:tblInd w:w="1640" w:type="dxa"/>
        <w:tblLook w:val="0000" w:firstRow="0" w:lastRow="0" w:firstColumn="0" w:lastColumn="0" w:noHBand="0" w:noVBand="0"/>
      </w:tblPr>
      <w:tblGrid>
        <w:gridCol w:w="2715"/>
        <w:gridCol w:w="2340"/>
        <w:gridCol w:w="2655"/>
      </w:tblGrid>
      <w:tr w:rsidR="00E16243" w:rsidRPr="00F059BA" w:rsidTr="00E16243">
        <w:trPr>
          <w:trHeight w:val="345"/>
          <w:jc w:val="center"/>
        </w:trPr>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tl/>
              </w:rPr>
            </w:pPr>
            <w:r w:rsidRPr="00F059BA">
              <w:rPr>
                <w:rFonts w:ascii="Arabic Typesetting" w:hAnsi="Arabic Typesetting" w:cs="Arabic Typesetting"/>
                <w:bCs/>
                <w:sz w:val="28"/>
                <w:szCs w:val="28"/>
                <w:rtl/>
              </w:rPr>
              <w:lastRenderedPageBreak/>
              <w:t>العمر الإنتاجي المقدر</w:t>
            </w:r>
          </w:p>
        </w:tc>
        <w:tc>
          <w:tcPr>
            <w:tcW w:w="2340"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sz w:val="28"/>
                <w:szCs w:val="28"/>
              </w:rPr>
            </w:pPr>
            <w:r w:rsidRPr="00F059BA">
              <w:rPr>
                <w:rFonts w:ascii="Arabic Typesetting" w:hAnsi="Arabic Typesetting" w:cs="Arabic Typesetting"/>
                <w:bCs/>
                <w:sz w:val="28"/>
                <w:szCs w:val="28"/>
                <w:rtl/>
              </w:rPr>
              <w:t>العنصر</w:t>
            </w:r>
          </w:p>
        </w:tc>
        <w:tc>
          <w:tcPr>
            <w:tcW w:w="2655" w:type="dxa"/>
            <w:tcBorders>
              <w:top w:val="single" w:sz="4" w:space="0" w:color="auto"/>
              <w:left w:val="nil"/>
              <w:bottom w:val="single" w:sz="4" w:space="0" w:color="auto"/>
              <w:right w:val="nil"/>
            </w:tcBorders>
            <w:shd w:val="clear" w:color="auto" w:fill="auto"/>
            <w:vAlign w:val="center"/>
          </w:tcPr>
          <w:p w:rsidR="00E16243" w:rsidRPr="00F059BA" w:rsidRDefault="00E16243" w:rsidP="006E5D68">
            <w:pPr>
              <w:keepNext/>
              <w:bidi/>
              <w:spacing w:line="280" w:lineRule="exact"/>
              <w:jc w:val="center"/>
              <w:rPr>
                <w:rFonts w:ascii="Arabic Typesetting" w:hAnsi="Arabic Typesetting" w:cs="Arabic Typesetting"/>
                <w:bCs/>
                <w:color w:val="333333"/>
                <w:sz w:val="28"/>
                <w:szCs w:val="28"/>
              </w:rPr>
            </w:pPr>
            <w:r w:rsidRPr="00F059BA">
              <w:rPr>
                <w:rFonts w:ascii="Arabic Typesetting" w:hAnsi="Arabic Typesetting" w:cs="Arabic Typesetting"/>
                <w:bCs/>
                <w:color w:val="333333"/>
                <w:sz w:val="28"/>
                <w:szCs w:val="28"/>
                <w:rtl/>
              </w:rPr>
              <w:t>الصنف</w:t>
            </w:r>
          </w:p>
        </w:tc>
      </w:tr>
      <w:tr w:rsidR="00E16243" w:rsidRPr="00F059BA" w:rsidTr="00E16243">
        <w:trPr>
          <w:trHeight w:val="563"/>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bottom"/>
          </w:tcPr>
          <w:p w:rsidR="00E16243" w:rsidRPr="00F059BA" w:rsidRDefault="00E16243" w:rsidP="006E5D68">
            <w:pPr>
              <w:keepNext/>
              <w:bidi/>
              <w:spacing w:line="280" w:lineRule="exact"/>
              <w:jc w:val="center"/>
              <w:rPr>
                <w:rFonts w:ascii="Arabic Typesetting" w:hAnsi="Arabic Typesetting" w:cs="Arabic Typesetting"/>
                <w:sz w:val="28"/>
                <w:szCs w:val="28"/>
                <w:rtl/>
              </w:rPr>
            </w:pPr>
            <w:r w:rsidRPr="00F059BA">
              <w:rPr>
                <w:rFonts w:ascii="Arabic Typesetting" w:hAnsi="Arabic Typesetting" w:cs="Arabic Typesetting"/>
                <w:sz w:val="28"/>
                <w:szCs w:val="28"/>
                <w:rtl/>
              </w:rPr>
              <w:t>معدات الاتصالات وتكنولوجيا المعلومات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المركبات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10 سنوات</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الأثاث والتثبيتات</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100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الهيكل والأساسات</w:t>
            </w: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المباني</w:t>
            </w: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الواجهة</w:t>
            </w: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أعمال تحسين الأرض</w:t>
            </w: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60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السطح</w:t>
            </w:r>
          </w:p>
        </w:tc>
        <w:tc>
          <w:tcPr>
            <w:tcW w:w="2655"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3"/>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الطوابق والجدران والسلالم</w:t>
            </w:r>
          </w:p>
        </w:tc>
        <w:tc>
          <w:tcPr>
            <w:tcW w:w="2655" w:type="dxa"/>
            <w:tcBorders>
              <w:top w:val="nil"/>
              <w:left w:val="nil"/>
              <w:bottom w:val="nil"/>
              <w:right w:val="nil"/>
            </w:tcBorders>
            <w:shd w:val="clear" w:color="auto" w:fill="auto"/>
            <w:vAlign w:val="bottom"/>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الأرضية وتغطية الجدران</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tl/>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تجهيزات المطابخ</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قاعات المؤتمرات</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30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التدفئة والتهوية</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المرافق الصحية</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التجهيزات الكهربائية</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المصاعد</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r w:rsidR="00E16243" w:rsidRPr="00F059BA" w:rsidTr="00E16243">
        <w:trPr>
          <w:trHeight w:val="285"/>
          <w:jc w:val="center"/>
        </w:trPr>
        <w:tc>
          <w:tcPr>
            <w:tcW w:w="2715" w:type="dxa"/>
            <w:tcBorders>
              <w:top w:val="nil"/>
              <w:left w:val="nil"/>
              <w:bottom w:val="nil"/>
              <w:right w:val="nil"/>
            </w:tcBorders>
            <w:shd w:val="clear" w:color="auto" w:fill="auto"/>
            <w:noWrap/>
            <w:vAlign w:val="bottom"/>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45 سنة</w:t>
            </w:r>
          </w:p>
        </w:tc>
        <w:tc>
          <w:tcPr>
            <w:tcW w:w="2340" w:type="dxa"/>
            <w:tcBorders>
              <w:top w:val="nil"/>
              <w:left w:val="nil"/>
              <w:bottom w:val="nil"/>
              <w:right w:val="nil"/>
            </w:tcBorders>
            <w:shd w:val="clear" w:color="auto" w:fill="auto"/>
            <w:vAlign w:val="center"/>
          </w:tcPr>
          <w:p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معدات التنظيف الخارجي</w:t>
            </w:r>
          </w:p>
        </w:tc>
        <w:tc>
          <w:tcPr>
            <w:tcW w:w="2655" w:type="dxa"/>
            <w:tcBorders>
              <w:top w:val="nil"/>
              <w:left w:val="nil"/>
              <w:bottom w:val="nil"/>
              <w:right w:val="nil"/>
            </w:tcBorders>
            <w:shd w:val="clear" w:color="auto" w:fill="auto"/>
          </w:tcPr>
          <w:p w:rsidR="00E16243" w:rsidRPr="00F059BA" w:rsidRDefault="00E16243" w:rsidP="006E5D68">
            <w:pPr>
              <w:keepNext/>
              <w:bidi/>
              <w:spacing w:line="280" w:lineRule="exact"/>
              <w:rPr>
                <w:rFonts w:ascii="Arabic Typesetting" w:hAnsi="Arabic Typesetting" w:cs="Arabic Typesetting"/>
                <w:sz w:val="28"/>
                <w:szCs w:val="28"/>
              </w:rPr>
            </w:pPr>
          </w:p>
        </w:tc>
      </w:tr>
    </w:tbl>
    <w:p w:rsidR="00E16243" w:rsidRPr="00DB3D2C" w:rsidRDefault="00E16243" w:rsidP="00E16243">
      <w:pPr>
        <w:bidi/>
        <w:spacing w:before="12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وتخضع القيم</w:t>
      </w:r>
      <w:r w:rsidRPr="00DB3D2C">
        <w:rPr>
          <w:rFonts w:ascii="Arabic Typesetting" w:hAnsi="Arabic Typesetting" w:cs="Arabic Typesetting" w:hint="cs"/>
          <w:sz w:val="36"/>
          <w:szCs w:val="36"/>
          <w:rtl/>
        </w:rPr>
        <w:t xml:space="preserve"> المرح</w:t>
      </w:r>
      <w:r>
        <w:rPr>
          <w:rFonts w:ascii="Arabic Typesetting" w:hAnsi="Arabic Typesetting" w:cs="Arabic Typesetting" w:hint="cs"/>
          <w:sz w:val="36"/>
          <w:szCs w:val="36"/>
          <w:rtl/>
        </w:rPr>
        <w:t>ّ</w:t>
      </w:r>
      <w:r w:rsidRPr="00DB3D2C">
        <w:rPr>
          <w:rFonts w:ascii="Arabic Typesetting" w:hAnsi="Arabic Typesetting" w:cs="Arabic Typesetting" w:hint="cs"/>
          <w:sz w:val="36"/>
          <w:szCs w:val="36"/>
          <w:rtl/>
        </w:rPr>
        <w:t xml:space="preserve">لة للأصول الثابتة للمراجعة </w:t>
      </w:r>
      <w:r>
        <w:rPr>
          <w:rFonts w:ascii="Arabic Typesetting" w:hAnsi="Arabic Typesetting" w:cs="Arabic Typesetting" w:hint="cs"/>
          <w:sz w:val="36"/>
          <w:szCs w:val="36"/>
          <w:rtl/>
        </w:rPr>
        <w:t>لخفضها إذا ما بينت أحداث أو تغيرات ما في الظروف إلى أن القيمة الدفترية للأصول قد لا تستردّ. وإذا ما ثبت ذلك، يقدّر المبلغ القابل للاسترداد من الأصول بهدف تحديد مدى خسارة الأضرار المتكبدة، إن وجدت. وتقيد كل الخسائر بسبب الأضرار في بيان الأداء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قوائم الموجودات</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قوائم الموجودات قيمة المنشورات المعدّة للبيع والمنشورات الموزّعة مجّانا، وقيمة الإمدادات والمعدّات المستخدمة في إنتاج المنشورات وقيمة السّلع المحفوظة في متجر الويبو. وتحدّد القيمة الإجمالية للمنشورات في صيغتها النهائية باستخدام تكلفة الصّفحة المطبوعة في المتوسّط (باستثناء تكاليف التّسويق والتّوزيع) مضروبة في عدد صفحات المنشورات الواردة في قائمة المنشورات وتسويتها للأخذ بالقيمة الأدنى من بين التكلفة وصافي القيمة الممكن تحقيقها. وتشطب قيمة المنشورات التي تسحب من البيع أو التوزيع المجاني خلال السنة التي تصبح فيها قديمة.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وتجرى عملية جرد مادي سنويّا لجميع الإمدادات المخزّنة للمنشورات والسلع المعدّة للبيع في متجر  الويبو. وتعدّ</w:t>
      </w:r>
      <w:r w:rsidRPr="002318C1">
        <w:rPr>
          <w:rFonts w:ascii="Arabic Typesetting" w:hAnsi="Arabic Typesetting" w:cs="Arabic Typesetting" w:hint="cs"/>
          <w:sz w:val="36"/>
          <w:szCs w:val="36"/>
          <w:rtl/>
        </w:rPr>
        <w:t xml:space="preserve"> قائمة المنشورات المعد</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ة للبي</w:t>
      </w:r>
      <w:r>
        <w:rPr>
          <w:rFonts w:ascii="Arabic Typesetting" w:hAnsi="Arabic Typesetting" w:cs="Arabic Typesetting" w:hint="cs"/>
          <w:sz w:val="36"/>
          <w:szCs w:val="36"/>
          <w:rtl/>
        </w:rPr>
        <w:t xml:space="preserve">ع باستمرار وتجرى بعض عمليات الإحصاء المادي الاختبارية طوال السنة للتحقق </w:t>
      </w:r>
      <w:r w:rsidRPr="00976808">
        <w:rPr>
          <w:rFonts w:ascii="Arabic Typesetting" w:hAnsi="Arabic Typesetting" w:cs="Arabic Typesetting" w:hint="cs"/>
          <w:sz w:val="36"/>
          <w:szCs w:val="36"/>
          <w:rtl/>
        </w:rPr>
        <w:t>من أرصدة قائمة الموجودات</w:t>
      </w:r>
      <w:r>
        <w:rPr>
          <w:rFonts w:ascii="Arabic Typesetting" w:hAnsi="Arabic Typesetting" w:cs="Arabic Typesetting" w:hint="cs"/>
          <w:sz w:val="36"/>
          <w:szCs w:val="36"/>
          <w:rtl/>
        </w:rPr>
        <w:t>. وفي نهاية كل سنة، تشطب السلع التي تحذف من مجلة المنشورات المعدة للبيع أو التوزيع المجاني إلى جانب السلع التي يتوقع عدم إمكانية مواصلة توزيعها بالمجان أو بيعها وتخفّض قيمتها لتصل إلى الصّفر.</w:t>
      </w:r>
    </w:p>
    <w:p w:rsidR="00E16243" w:rsidRDefault="00E16243" w:rsidP="00E16243">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sz w:val="36"/>
          <w:szCs w:val="36"/>
          <w:rtl/>
        </w:rPr>
        <w:t xml:space="preserve">وقدّرت تكلفة الأوراق والإمدادات الأخرى المستخدمة في عملية الإنتاج باستخدام طريقة </w:t>
      </w:r>
      <w:r>
        <w:rPr>
          <w:rFonts w:ascii="Arabic Typesetting" w:hAnsi="Arabic Typesetting" w:cs="Arabic Typesetting"/>
          <w:sz w:val="36"/>
          <w:szCs w:val="36"/>
          <w:rtl/>
        </w:rPr>
        <w:t>ال</w:t>
      </w:r>
      <w:r>
        <w:rPr>
          <w:rFonts w:ascii="Arabic Typesetting" w:hAnsi="Arabic Typesetting" w:cs="Arabic Typesetting" w:hint="cs"/>
          <w:sz w:val="36"/>
          <w:szCs w:val="36"/>
          <w:rtl/>
        </w:rPr>
        <w:t>أ</w:t>
      </w:r>
      <w:r>
        <w:rPr>
          <w:rFonts w:ascii="Arabic Typesetting" w:hAnsi="Arabic Typesetting" w:cs="Arabic Typesetting"/>
          <w:sz w:val="36"/>
          <w:szCs w:val="36"/>
          <w:rtl/>
        </w:rPr>
        <w:t>و</w:t>
      </w:r>
      <w:r>
        <w:rPr>
          <w:rFonts w:ascii="Arabic Typesetting" w:hAnsi="Arabic Typesetting" w:cs="Arabic Typesetting" w:hint="cs"/>
          <w:sz w:val="36"/>
          <w:szCs w:val="36"/>
          <w:rtl/>
        </w:rPr>
        <w:t>ّ</w:t>
      </w:r>
      <w:r>
        <w:rPr>
          <w:rFonts w:ascii="Arabic Typesetting" w:hAnsi="Arabic Typesetting" w:cs="Arabic Typesetting"/>
          <w:sz w:val="36"/>
          <w:szCs w:val="36"/>
          <w:rtl/>
        </w:rPr>
        <w:t>ل في الد</w:t>
      </w:r>
      <w:r>
        <w:rPr>
          <w:rFonts w:ascii="Arabic Typesetting" w:hAnsi="Arabic Typesetting" w:cs="Arabic Typesetting" w:hint="cs"/>
          <w:sz w:val="36"/>
          <w:szCs w:val="36"/>
          <w:rtl/>
        </w:rPr>
        <w:t>ّ</w:t>
      </w:r>
      <w:r>
        <w:rPr>
          <w:rFonts w:ascii="Arabic Typesetting" w:hAnsi="Arabic Typesetting" w:cs="Arabic Typesetting"/>
          <w:sz w:val="36"/>
          <w:szCs w:val="36"/>
          <w:rtl/>
        </w:rPr>
        <w:t>خول هو ال</w:t>
      </w:r>
      <w:r>
        <w:rPr>
          <w:rFonts w:ascii="Arabic Typesetting" w:hAnsi="Arabic Typesetting" w:cs="Arabic Typesetting" w:hint="cs"/>
          <w:sz w:val="36"/>
          <w:szCs w:val="36"/>
          <w:rtl/>
        </w:rPr>
        <w:t>أ</w:t>
      </w:r>
      <w:r w:rsidRPr="00A80BA0">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A80BA0">
        <w:rPr>
          <w:rFonts w:ascii="Arabic Typesetting" w:hAnsi="Arabic Typesetting" w:cs="Arabic Typesetting"/>
          <w:sz w:val="36"/>
          <w:szCs w:val="36"/>
          <w:rtl/>
        </w:rPr>
        <w:t>ل في الخروج</w:t>
      </w:r>
      <w:r>
        <w:rPr>
          <w:rFonts w:ascii="Arabic Typesetting" w:hAnsi="Arabic Typesetting" w:cs="Arabic Typesetting" w:hint="cs"/>
          <w:sz w:val="36"/>
          <w:szCs w:val="36"/>
          <w:rtl/>
        </w:rPr>
        <w:t>. وتقدّر قيمة السّلع المحفوظة في متجر الويبو بتكلفتها التي تكبّدتها المنظّمة. وتخفّض قيمتها لتعكس صافي قيمتها القابلة للتحقيق إذا ما لحقتها أضرار أو أصبحت قديمة. ولا يمكن رهن الموجودات بوصفها ضمانا للخصوم.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غير المادية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ترحل الأصول غير المادية بتكلفتها مخصوماً منها الاستهلاك التراكمي والتلفيات. ويطبق الاستهلاك على أساس خط مستقيم على جميع الأصول غير المادية ذات العمر المحدد بمعدلات تكفل شطب التكلفة أو القيمة على مدى أعمارها الإنتاجية. وقد قدرت الأعمار الإنتاجية للأصناف الرئيسية على النحو التالي:</w:t>
      </w:r>
    </w:p>
    <w:tbl>
      <w:tblPr>
        <w:bidiVisual/>
        <w:tblW w:w="5430" w:type="dxa"/>
        <w:jc w:val="center"/>
        <w:tblInd w:w="1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2715"/>
      </w:tblGrid>
      <w:tr w:rsidR="00E16243" w:rsidRPr="00F059BA" w:rsidTr="00E16243">
        <w:trPr>
          <w:trHeight w:val="345"/>
          <w:jc w:val="center"/>
        </w:trPr>
        <w:tc>
          <w:tcPr>
            <w:tcW w:w="2715" w:type="dxa"/>
            <w:tcBorders>
              <w:top w:val="single" w:sz="4" w:space="0" w:color="auto"/>
              <w:left w:val="nil"/>
              <w:bottom w:val="single" w:sz="4" w:space="0" w:color="auto"/>
              <w:right w:val="nil"/>
            </w:tcBorders>
            <w:vAlign w:val="center"/>
          </w:tcPr>
          <w:p w:rsidR="00E16243" w:rsidRPr="00F059BA" w:rsidRDefault="00E16243" w:rsidP="00E16243">
            <w:pPr>
              <w:bidi/>
              <w:spacing w:line="280" w:lineRule="exact"/>
              <w:jc w:val="center"/>
              <w:rPr>
                <w:rFonts w:ascii="Arabic Typesetting" w:hAnsi="Arabic Typesetting" w:cs="Arabic Typesetting"/>
                <w:bCs/>
                <w:color w:val="333333"/>
                <w:sz w:val="30"/>
                <w:szCs w:val="30"/>
              </w:rPr>
            </w:pPr>
            <w:r w:rsidRPr="00F059BA">
              <w:rPr>
                <w:rFonts w:ascii="Arabic Typesetting" w:hAnsi="Arabic Typesetting" w:cs="Arabic Typesetting"/>
                <w:bCs/>
                <w:color w:val="333333"/>
                <w:sz w:val="30"/>
                <w:szCs w:val="30"/>
                <w:rtl/>
              </w:rPr>
              <w:lastRenderedPageBreak/>
              <w:t>الصنف</w:t>
            </w:r>
          </w:p>
        </w:tc>
        <w:tc>
          <w:tcPr>
            <w:tcW w:w="2715" w:type="dxa"/>
            <w:tcBorders>
              <w:top w:val="single" w:sz="4" w:space="0" w:color="auto"/>
              <w:left w:val="nil"/>
              <w:bottom w:val="single" w:sz="4" w:space="0" w:color="auto"/>
              <w:right w:val="nil"/>
            </w:tcBorders>
            <w:shd w:val="clear" w:color="auto" w:fill="auto"/>
            <w:noWrap/>
            <w:vAlign w:val="center"/>
          </w:tcPr>
          <w:p w:rsidR="00E16243" w:rsidRPr="00F059BA" w:rsidRDefault="00E16243" w:rsidP="00E16243">
            <w:pPr>
              <w:bidi/>
              <w:spacing w:line="280" w:lineRule="exact"/>
              <w:jc w:val="center"/>
              <w:rPr>
                <w:rFonts w:ascii="Arabic Typesetting" w:hAnsi="Arabic Typesetting" w:cs="Arabic Typesetting"/>
                <w:bCs/>
                <w:sz w:val="30"/>
                <w:szCs w:val="30"/>
                <w:rtl/>
              </w:rPr>
            </w:pPr>
            <w:r w:rsidRPr="00F059BA">
              <w:rPr>
                <w:rFonts w:ascii="Arabic Typesetting" w:hAnsi="Arabic Typesetting" w:cs="Arabic Typesetting"/>
                <w:bCs/>
                <w:sz w:val="30"/>
                <w:szCs w:val="30"/>
                <w:rtl/>
              </w:rPr>
              <w:t>العمر الإنتاجي المقدر</w:t>
            </w:r>
          </w:p>
        </w:tc>
      </w:tr>
      <w:tr w:rsidR="00E16243" w:rsidRPr="00F059BA" w:rsidTr="00E16243">
        <w:trPr>
          <w:trHeight w:val="367"/>
          <w:jc w:val="center"/>
        </w:trPr>
        <w:tc>
          <w:tcPr>
            <w:tcW w:w="2715" w:type="dxa"/>
            <w:tcBorders>
              <w:top w:val="single" w:sz="4" w:space="0" w:color="auto"/>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tl/>
              </w:rPr>
            </w:pPr>
            <w:r w:rsidRPr="00F059BA">
              <w:rPr>
                <w:rFonts w:ascii="Arabic Typesetting" w:hAnsi="Arabic Typesetting" w:cs="Arabic Typesetting"/>
                <w:sz w:val="30"/>
                <w:szCs w:val="30"/>
                <w:rtl/>
              </w:rPr>
              <w:t>برامج حاسوب اقتنيت خارجياً</w:t>
            </w:r>
          </w:p>
        </w:tc>
        <w:tc>
          <w:tcPr>
            <w:tcW w:w="2715" w:type="dxa"/>
            <w:tcBorders>
              <w:top w:val="single" w:sz="4" w:space="0" w:color="auto"/>
              <w:left w:val="nil"/>
              <w:bottom w:val="nil"/>
              <w:right w:val="nil"/>
            </w:tcBorders>
            <w:shd w:val="clear" w:color="auto" w:fill="auto"/>
            <w:noWrap/>
          </w:tcPr>
          <w:p w:rsidR="00E16243" w:rsidRPr="00F059BA" w:rsidRDefault="00E16243" w:rsidP="00E16243">
            <w:pPr>
              <w:bidi/>
              <w:spacing w:line="280" w:lineRule="exact"/>
              <w:jc w:val="center"/>
              <w:rPr>
                <w:rFonts w:ascii="Arabic Typesetting" w:hAnsi="Arabic Typesetting" w:cs="Arabic Typesetting"/>
                <w:sz w:val="30"/>
                <w:szCs w:val="30"/>
                <w:rtl/>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برامج مطورة داخلياً</w:t>
            </w:r>
          </w:p>
        </w:tc>
        <w:tc>
          <w:tcPr>
            <w:tcW w:w="2715" w:type="dxa"/>
            <w:tcBorders>
              <w:top w:val="nil"/>
              <w:left w:val="nil"/>
              <w:bottom w:val="nil"/>
              <w:right w:val="nil"/>
            </w:tcBorders>
            <w:shd w:val="clear" w:color="auto" w:fill="auto"/>
            <w:noWrap/>
          </w:tcPr>
          <w:p w:rsidR="00E16243" w:rsidRPr="00F059BA" w:rsidRDefault="00E16243" w:rsidP="00E16243">
            <w:pPr>
              <w:bidi/>
              <w:spacing w:line="280" w:lineRule="exact"/>
              <w:jc w:val="center"/>
              <w:rPr>
                <w:rFonts w:ascii="Arabic Typesetting" w:hAnsi="Arabic Typesetting" w:cs="Arabic Typesetting"/>
                <w:sz w:val="30"/>
                <w:szCs w:val="30"/>
              </w:rPr>
            </w:pPr>
            <w:r w:rsidRPr="00F059BA">
              <w:rPr>
                <w:rFonts w:ascii="Arabic Typesetting" w:hAnsi="Arabic Typesetting" w:cs="Arabic Typesetting"/>
                <w:sz w:val="30"/>
                <w:szCs w:val="30"/>
                <w:rtl/>
              </w:rPr>
              <w:t>5 سنوات</w:t>
            </w:r>
          </w:p>
        </w:tc>
      </w:tr>
      <w:tr w:rsidR="00E16243" w:rsidRPr="00F059BA" w:rsidTr="00E16243">
        <w:trPr>
          <w:trHeight w:val="285"/>
          <w:jc w:val="center"/>
        </w:trPr>
        <w:tc>
          <w:tcPr>
            <w:tcW w:w="2715" w:type="dxa"/>
            <w:tcBorders>
              <w:top w:val="nil"/>
              <w:left w:val="nil"/>
              <w:bottom w:val="nil"/>
              <w:right w:val="nil"/>
            </w:tcBorders>
          </w:tcPr>
          <w:p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تراخيص وحقوق</w:t>
            </w:r>
          </w:p>
        </w:tc>
        <w:tc>
          <w:tcPr>
            <w:tcW w:w="2715" w:type="dxa"/>
            <w:tcBorders>
              <w:top w:val="nil"/>
              <w:left w:val="nil"/>
              <w:bottom w:val="nil"/>
              <w:right w:val="nil"/>
            </w:tcBorders>
            <w:shd w:val="clear" w:color="auto" w:fill="auto"/>
            <w:noWrap/>
          </w:tcPr>
          <w:p w:rsidR="00E16243" w:rsidRPr="00F059BA" w:rsidRDefault="00E16243" w:rsidP="00E16243">
            <w:pPr>
              <w:bidi/>
              <w:spacing w:line="280" w:lineRule="exact"/>
              <w:jc w:val="center"/>
              <w:rPr>
                <w:rFonts w:ascii="Arabic Typesetting" w:hAnsi="Arabic Typesetting" w:cs="Arabic Typesetting"/>
                <w:sz w:val="30"/>
                <w:szCs w:val="30"/>
              </w:rPr>
            </w:pPr>
            <w:r w:rsidRPr="00F059BA">
              <w:rPr>
                <w:rFonts w:ascii="Arabic Typesetting" w:hAnsi="Arabic Typesetting" w:cs="Arabic Typesetting"/>
                <w:sz w:val="30"/>
                <w:szCs w:val="30"/>
                <w:rtl/>
              </w:rPr>
              <w:t>مدة الترخيص/الحق</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وترسمل تراخيص برامج الحاسوب المقتناة على أساس التكاليف المتكبدة لاقتناء البرنامج المعني وتجهيزه للاستخدام. وترسمل التكاليف المقترنة بشكل مباشر بتطوير برامج لاستخدامها في الويبو بوصفها أصولاً غير مادية. وتتضمن التكاليف المباشرة تكاليف الموظفين القائمين على تطوير البرامج.</w:t>
      </w:r>
    </w:p>
    <w:p w:rsidR="00E16243" w:rsidRPr="00AC145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AC1453">
        <w:rPr>
          <w:rFonts w:ascii="Arabic Typesetting" w:hAnsi="Arabic Typesetting" w:cs="Arabic Typesetting" w:hint="cs"/>
          <w:sz w:val="36"/>
          <w:szCs w:val="36"/>
          <w:rtl/>
        </w:rPr>
        <w:t>قي</w:t>
      </w:r>
      <w:r>
        <w:rPr>
          <w:rFonts w:ascii="Arabic Typesetting" w:hAnsi="Arabic Typesetting" w:cs="Arabic Typesetting" w:hint="cs"/>
          <w:sz w:val="36"/>
          <w:szCs w:val="36"/>
          <w:rtl/>
        </w:rPr>
        <w:t>ّ</w:t>
      </w:r>
      <w:r w:rsidRPr="00AC1453">
        <w:rPr>
          <w:rFonts w:ascii="Arabic Typesetting" w:hAnsi="Arabic Typesetting" w:cs="Arabic Typesetting" w:hint="cs"/>
          <w:sz w:val="36"/>
          <w:szCs w:val="36"/>
          <w:rtl/>
        </w:rPr>
        <w:t xml:space="preserve">دت </w:t>
      </w:r>
      <w:r>
        <w:rPr>
          <w:rFonts w:ascii="Arabic Typesetting" w:hAnsi="Arabic Typesetting" w:cs="Arabic Typesetting" w:hint="cs"/>
          <w:sz w:val="36"/>
          <w:szCs w:val="36"/>
          <w:rtl/>
        </w:rPr>
        <w:t xml:space="preserve">حقوق استخدام الأملاك في كانتون جنيف التي اقتنتها المنظمة بطريق الشراء بتكلفتها التاريخية ويتم استهلاكها طيلة الفترة المتبقية من مدّة الحق الممنوح. ولا تقيّد في البيانات المالية قيمة حقوق استخدام الملكيّة التي منحها كانتون جنيف بدون تكلفة والتي يستعيد ملكيّتها في نهاية فترة المنح. </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المخصّصات</w:t>
      </w:r>
    </w:p>
    <w:p w:rsidR="00E16243" w:rsidRPr="002318C1" w:rsidRDefault="00E16243" w:rsidP="00E16243">
      <w:pPr>
        <w:bidi/>
        <w:spacing w:after="240" w:line="360" w:lineRule="exact"/>
        <w:rPr>
          <w:rFonts w:ascii="Arabic Typesetting" w:hAnsi="Arabic Typesetting" w:cs="Arabic Typesetting"/>
          <w:sz w:val="36"/>
          <w:szCs w:val="36"/>
          <w:rtl/>
        </w:rPr>
      </w:pPr>
      <w:r w:rsidRPr="002318C1">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د المخص</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 xml:space="preserve">صات </w:t>
      </w:r>
      <w:r>
        <w:rPr>
          <w:rFonts w:ascii="Arabic Typesetting" w:hAnsi="Arabic Typesetting" w:cs="Arabic Typesetting" w:hint="cs"/>
          <w:sz w:val="36"/>
          <w:szCs w:val="36"/>
          <w:rtl/>
        </w:rPr>
        <w:t>عندما يكون للويبو التزام قانوني أو إسنادي ناتج عن حدث سابق قد يقتضي إخراج موارد من أجل تسوية الالتزام متى ما أمكن التوصّل إلى تقدير موثوق لمبلغ ذلك الالتزام.</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المبالغ المستحقّة للمنظمة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تقاس المبالغ المستحقّة من المعاملات التبادليّة، والتي تشمل الرّسوم المحصّلة من البراءات الدّولية والتسجيل الدولي للعلامات التجارية والرسوم والنماذج الصناعية وغيرها من الخدمات والمنشورات، على القيمة العادلة للعوض المحصل أو الممكن تحصيله مقابل رسوم العلامات التجارية ومعاهدة التعاون بشأن البراءات متى ما سجل الطلب الدولي وعندما تستلم أموال تحت باب إيرادات أخرى.</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وتقيد الاشتراكات المقرّرة كإيرادات في بداية السنة المالية. ويدوّن مبلغ بديل بالنسبة إلى المبالغ المستحقة التي يتعذر استردادها تساوي الاشتراكات المقررة التي جمدتها الجمعية العامة زائد الاشتراكات المستحقة من الدول الأعضاء التي فقدت حق التصويت بناء على المادة 11 من اتفاقية إنشاء المنظمة العالمية للملكية الفكرية.</w:t>
      </w:r>
    </w:p>
    <w:p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وبالنسبة إلى باقي المبالغ المستحقة تحدد بدائل عدم استرداد بالاستناد إلى استعراض المبالغ غير المستلمة حتى تاريخ إعداد التقرير المالي.</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قيد </w:t>
      </w:r>
      <w:r w:rsidRPr="000D6AC4">
        <w:rPr>
          <w:rFonts w:ascii="Arabic Typesetting" w:hAnsi="Arabic Typesetting" w:cs="Arabic Typesetting"/>
          <w:b/>
          <w:bCs/>
          <w:sz w:val="36"/>
          <w:szCs w:val="36"/>
          <w:rtl/>
        </w:rPr>
        <w:t>الإيرادات</w:t>
      </w:r>
    </w:p>
    <w:p w:rsidR="00E16243" w:rsidRDefault="00E16243" w:rsidP="00E16243">
      <w:pPr>
        <w:pStyle w:val="NormalParaAR"/>
        <w:rPr>
          <w:rtl/>
        </w:rPr>
      </w:pPr>
      <w:r>
        <w:rPr>
          <w:rFonts w:hint="cs"/>
          <w:rtl/>
        </w:rPr>
        <w:t xml:space="preserve">تقيّد الإيرادات المحقّقة من المعاملات التبادليّة التي تشمل الرسوم المحصلة على طلبات البراءات الدولية، بما في ذلك الرسوم المحصلة على الصفحات الإضافية بالنسبة إلى الطلبات المودعة على الورق أو </w:t>
      </w:r>
      <w:r w:rsidRPr="006E25C8">
        <w:rPr>
          <w:rtl/>
        </w:rPr>
        <w:t xml:space="preserve">بنسق نظام </w:t>
      </w:r>
      <w:r w:rsidRPr="006E25C8">
        <w:t>PCT-EASY</w:t>
      </w:r>
      <w:r>
        <w:rPr>
          <w:rFonts w:hint="cs"/>
          <w:rtl/>
        </w:rPr>
        <w:t>، والتسجيل الدولي للعلامات التجارية والرسوم والنماذج الصناعية في تاريخ النشر. ويؤجل قيد الإيرادات المحصلة من الرسوم المستلمة على الطلبات غير المنشورة خلال الفترة المشمولة بالتقرير إلى حين استكمال النشر. ويؤجل أيضا قيد الجزء من رسم طلب البراءة الذي يغطي تكاليف ترجمة تقارير الأهلية للبراءة الواردة بغير اللغة الإنكليزية المستلمة بعد النشر إلى حين استكمال الترجمة. وتقيد جميع الرسوم الأخرى المرتبطة بطلبات البراءات والعلامات التجارية والرسوم والنماذج الصناعية، بما في ذلك حالات التجديد، عندما تقدم الخدمات التي تغطيها الرسوم. وتقيد الإيرادات المتأتية من المنشورات وخدمات التحكيم والوساطة عند تسليم السلع أو أداء الخدمات بالكامل.</w:t>
      </w:r>
    </w:p>
    <w:p w:rsidR="00E16243" w:rsidRDefault="00E16243" w:rsidP="00E16243">
      <w:pPr>
        <w:pStyle w:val="NormalParaAR"/>
        <w:rPr>
          <w:rtl/>
        </w:rPr>
      </w:pPr>
      <w:r>
        <w:rPr>
          <w:rFonts w:hint="cs"/>
          <w:rtl/>
        </w:rPr>
        <w:lastRenderedPageBreak/>
        <w:t>أما الإيرادات المحققّة من المعاملات غير التبادلية مثل الإسهامات الطوعية المودعة في حسابات خاصة تستند إلى اتفاقات قابلة للإنفاذ، فتقيد كإيرادات في الوقت الذي يصبح فيه الاتفاق ملزما ما لم يشمل الاتفاق شروطا تتعلق بأداء معين أو رد الأرصدة غير المنفقة. وتقتضي تلك الاتفاقات قيد خصوم في البداية لتأجيل قيد الإيرادات ومن ثم تقيد الإيرادات حيث تشطب الخصوم من خلال أداء الشروط الخاصة الواردة في الاتفاق.</w:t>
      </w:r>
    </w:p>
    <w:p w:rsidR="00E16243" w:rsidRPr="006E25C8" w:rsidRDefault="00E16243" w:rsidP="00E16243">
      <w:pPr>
        <w:pStyle w:val="NormalParaAR"/>
        <w:rPr>
          <w:rtl/>
        </w:rPr>
      </w:pPr>
      <w:r>
        <w:rPr>
          <w:rFonts w:hint="cs"/>
          <w:rtl/>
        </w:rPr>
        <w:t>وتقيّد الاشتراكات المقررة كإيرادات في بداية كل سنة من فترة الميزانية التي يسري عليها تقرير تلك الاشتراكات.</w:t>
      </w:r>
    </w:p>
    <w:p w:rsidR="00E16243" w:rsidRDefault="00E16243" w:rsidP="00E16243">
      <w:pPr>
        <w:keepNext/>
        <w:bidi/>
        <w:spacing w:after="240" w:line="360" w:lineRule="exact"/>
        <w:rPr>
          <w:rFonts w:ascii="Arabic Typesetting" w:hAnsi="Arabic Typesetting" w:cs="Arabic Typesetting"/>
          <w:b/>
          <w:bCs/>
          <w:sz w:val="36"/>
          <w:szCs w:val="36"/>
          <w:rtl/>
        </w:rPr>
      </w:pPr>
      <w:r w:rsidRPr="00F03C73">
        <w:rPr>
          <w:rFonts w:ascii="Arabic Typesetting" w:hAnsi="Arabic Typesetting" w:cs="Arabic Typesetting"/>
          <w:b/>
          <w:bCs/>
          <w:sz w:val="36"/>
          <w:szCs w:val="36"/>
          <w:rtl/>
        </w:rPr>
        <w:t>إعداد تقارير القطاعات</w:t>
      </w:r>
    </w:p>
    <w:p w:rsidR="00E16243" w:rsidRPr="00311557" w:rsidRDefault="00E16243" w:rsidP="00E16243">
      <w:pPr>
        <w:bidi/>
        <w:spacing w:after="240" w:line="360" w:lineRule="exact"/>
        <w:rPr>
          <w:rFonts w:ascii="Arabic Typesetting" w:hAnsi="Arabic Typesetting" w:cs="Arabic Typesetting"/>
          <w:sz w:val="36"/>
          <w:szCs w:val="36"/>
          <w:rtl/>
        </w:rPr>
      </w:pPr>
      <w:r w:rsidRPr="007350C4">
        <w:rPr>
          <w:rFonts w:ascii="Arabic Typesetting" w:hAnsi="Arabic Typesetting" w:cs="Arabic Typesetting" w:hint="cs"/>
          <w:sz w:val="36"/>
          <w:szCs w:val="36"/>
          <w:rtl/>
        </w:rPr>
        <w:t xml:space="preserve">تتولى الاتحادات التي تشكل المنظمة العالمية للملكية الفكرية إعداد تقارير القطاعات. </w:t>
      </w:r>
      <w:r>
        <w:rPr>
          <w:rFonts w:ascii="Arabic Typesetting" w:hAnsi="Arabic Typesetting" w:cs="Arabic Typesetting" w:hint="cs"/>
          <w:sz w:val="36"/>
          <w:szCs w:val="36"/>
          <w:rtl/>
        </w:rPr>
        <w:t xml:space="preserve">وتقسم إيرادات </w:t>
      </w:r>
      <w:r>
        <w:rPr>
          <w:rFonts w:ascii="Arabic Typesetting" w:hAnsi="Arabic Typesetting" w:cs="Arabic Typesetting" w:hint="cs"/>
          <w:sz w:val="36"/>
          <w:szCs w:val="36"/>
          <w:rtl/>
          <w:lang w:bidi="ar-EG"/>
        </w:rPr>
        <w:t xml:space="preserve">المنظمة </w:t>
      </w:r>
      <w:r>
        <w:rPr>
          <w:rFonts w:ascii="Arabic Typesetting" w:hAnsi="Arabic Typesetting" w:cs="Arabic Typesetting" w:hint="cs"/>
          <w:sz w:val="36"/>
          <w:szCs w:val="36"/>
          <w:rtl/>
        </w:rPr>
        <w:t xml:space="preserve">ونفقاتها فيما بين الاتحادات وفقا لطريقة تقسيم أقرتها جمعية الويبو [المرفق الثالث من </w:t>
      </w:r>
      <w:r w:rsidRPr="00311557">
        <w:rPr>
          <w:rFonts w:ascii="Arabic Typesetting" w:hAnsi="Arabic Typesetting" w:cs="Arabic Typesetting"/>
          <w:sz w:val="36"/>
          <w:szCs w:val="36"/>
          <w:rtl/>
        </w:rPr>
        <w:t>الصيغة المعدلة لوثيقة البرنامج والميزانية</w:t>
      </w:r>
      <w:r>
        <w:rPr>
          <w:rFonts w:ascii="Arabic Typesetting" w:hAnsi="Arabic Typesetting" w:cs="Arabic Typesetting" w:hint="cs"/>
          <w:sz w:val="36"/>
          <w:szCs w:val="36"/>
          <w:rtl/>
        </w:rPr>
        <w:t xml:space="preserve"> للفترة 2012/2013]. وتقسم الطريقة المذكورة الإيرادات والنفقات على كل برنامج ومن ثم على كل اتحاد بالاستناد إلى الجمع بين الإيرادات والنفقات المباشرة وعدد الموظفين وقدرة كل اتحاد على السداد، وتحدَد تلك القدرة ذاتها بناء على عملية تجمع بين الإيرادات والأموال المتداولة والاحتياطيات. ولا تخصص أصول الويبو وخصومها على القطاعات الفردية لأن المنظمة ككل تحتفظ بملكيتها، إلا أن حصة كل اتحاد في صافي أصول المنظمة بما فيها أرصدة الأموال المتجمعة وفائض إعادة التقييم وصناديق رؤوس الأموال العاملة، تقيّد حسب كل قطاع (انظر الملاحظة 27).</w:t>
      </w:r>
    </w:p>
    <w:p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الاستعانة ب</w:t>
      </w:r>
      <w:r w:rsidRPr="001C5721">
        <w:rPr>
          <w:rFonts w:ascii="Arabic Typesetting" w:hAnsi="Arabic Typesetting" w:cs="Arabic Typesetting" w:hint="cs"/>
          <w:b/>
          <w:bCs/>
          <w:sz w:val="36"/>
          <w:szCs w:val="36"/>
          <w:rtl/>
        </w:rPr>
        <w:t>التقديرات</w:t>
      </w:r>
    </w:p>
    <w:p w:rsidR="00E16243" w:rsidRDefault="00E16243" w:rsidP="00E16243">
      <w:pPr>
        <w:pStyle w:val="NormalParaAR"/>
        <w:rPr>
          <w:rtl/>
        </w:rPr>
      </w:pPr>
      <w:r w:rsidRPr="001C5721">
        <w:rPr>
          <w:rFonts w:hint="cs"/>
          <w:rtl/>
        </w:rPr>
        <w:t xml:space="preserve">تحتوي البيانات المالية </w:t>
      </w:r>
      <w:r>
        <w:rPr>
          <w:rFonts w:hint="cs"/>
          <w:rtl/>
        </w:rPr>
        <w:t>بالضرورة على عدد من المبالغ المالية القائمة على التقديرات والافتراضات التي تضعها الإدارة. وتشمل التقديرات عددا من العناصر من بينها على سبيل المثال لا الحصر ما يلي: التزامات تتعلق بمستحقات التأمين الصحي المحددة وغيرها من مستحقات ما بعد الخدمة (التي يحسب قيمتها أكتواري مستقل) والمبالغ المخصصة للتقاضي وتقدير قيمة قوائم الموجودات من المنشورات والمخاطر المالية المتصلة بالحسابات المدينة والتكاليف المتراكمة ودرجة تلف الأصول الثابتة. وتكون النتائج الفعلية أحيانا مختلفة عن هذه التقديرات. وتقيد التغيرات في التقديرات خلال الفترة التي تصبح معروفة فيها.</w:t>
      </w:r>
    </w:p>
    <w:p w:rsidR="00E16243" w:rsidRDefault="00E16243" w:rsidP="00E16243">
      <w:pPr>
        <w:pStyle w:val="NormalParaAR"/>
      </w:pPr>
      <w:r>
        <w:rPr>
          <w:rFonts w:hint="cs"/>
          <w:rtl/>
        </w:rPr>
        <w:t>وقد تقع بعض الفروق التقريبية الصغيرة نظرا لعرض جميع الأرصدة بآلاف الفرنكات السويسرية.</w:t>
      </w:r>
    </w:p>
    <w:p w:rsidR="00C73B1C" w:rsidRDefault="00C73B1C">
      <w:pPr>
        <w:rPr>
          <w:rFonts w:ascii="Arabic Typesetting" w:hAnsi="Arabic Typesetting" w:cs="Arabic Typesetting"/>
          <w:sz w:val="36"/>
          <w:szCs w:val="36"/>
        </w:rPr>
      </w:pPr>
      <w:r>
        <w:br w:type="page"/>
      </w:r>
    </w:p>
    <w:p w:rsidR="00E16243" w:rsidRPr="00780749" w:rsidRDefault="00E16243" w:rsidP="00780749">
      <w:pPr>
        <w:pStyle w:val="Heading2"/>
        <w:bidi/>
        <w:rPr>
          <w:rFonts w:ascii="Arabic Typesetting" w:hAnsi="Arabic Typesetting" w:cs="Arabic Typesetting"/>
          <w:i/>
          <w:iCs w:val="0"/>
          <w:sz w:val="40"/>
          <w:szCs w:val="40"/>
          <w:rtl/>
        </w:rPr>
      </w:pPr>
      <w:bookmarkStart w:id="18" w:name="_Toc362519101"/>
      <w:r w:rsidRPr="00780749">
        <w:rPr>
          <w:rFonts w:ascii="Arabic Typesetting" w:hAnsi="Arabic Typesetting" w:cs="Arabic Typesetting" w:hint="cs"/>
          <w:i/>
          <w:iCs w:val="0"/>
          <w:sz w:val="40"/>
          <w:szCs w:val="40"/>
          <w:rtl/>
        </w:rPr>
        <w:lastRenderedPageBreak/>
        <w:t>الملاحظة 3: السيولة وما يعادلها</w:t>
      </w:r>
      <w:bookmarkEnd w:id="18"/>
    </w:p>
    <w:p w:rsidR="00780749" w:rsidRDefault="00780749" w:rsidP="00780749">
      <w:pPr>
        <w:pStyle w:val="NormalParaAR"/>
        <w:spacing w:before="240" w:line="240" w:lineRule="auto"/>
        <w:jc w:val="center"/>
        <w:rPr>
          <w:rtl/>
        </w:rPr>
      </w:pPr>
      <w:r>
        <w:rPr>
          <w:noProof/>
        </w:rPr>
        <w:drawing>
          <wp:inline distT="0" distB="0" distL="0" distR="0" wp14:anchorId="0C09F0F6">
            <wp:extent cx="5914390" cy="31330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14390" cy="3133090"/>
                    </a:xfrm>
                    <a:prstGeom prst="rect">
                      <a:avLst/>
                    </a:prstGeom>
                    <a:noFill/>
                  </pic:spPr>
                </pic:pic>
              </a:graphicData>
            </a:graphic>
          </wp:inline>
        </w:drawing>
      </w:r>
    </w:p>
    <w:p w:rsidR="00E16243" w:rsidRDefault="00E16243" w:rsidP="00E16243">
      <w:pPr>
        <w:pStyle w:val="NormalParaAR"/>
        <w:spacing w:before="240"/>
        <w:rPr>
          <w:rtl/>
        </w:rPr>
      </w:pPr>
      <w:r>
        <w:rPr>
          <w:rFonts w:hint="cs"/>
          <w:rtl/>
        </w:rPr>
        <w:t>تحفظ الودائع النقدية عموما في حسابات بنكية بنفاذ مباشر وحسابات بالفائدة. وبلغت أسعار الفائدة المحققة في المتوسط من الحسابات بالفائدة والاستثمارات المحفوظة لدى البنك الوطني السويسري 0,375 بالمائة في سنة 2012 [1,24 بالمائة في سنة 2011].</w:t>
      </w:r>
    </w:p>
    <w:p w:rsidR="00E16243" w:rsidRDefault="00E16243" w:rsidP="00E16243">
      <w:pPr>
        <w:pStyle w:val="NormalParaAR"/>
        <w:rPr>
          <w:rtl/>
        </w:rPr>
      </w:pPr>
      <w:r>
        <w:rPr>
          <w:rFonts w:hint="cs"/>
          <w:rtl/>
        </w:rPr>
        <w:t>والأموال المقيدة تشمل أموال الغير بالفرنك السويسري الممسوكة لأغراض تسجيل العلامات التجارية أو الرسوم والنماذج الصناعية والاشتراك في دوريات الويبو وغير ذلك. وتشمل أيضا الرسوم المحصلة نيابةً عن الأطراف المتعاقدة بموجب اتفاق مدريد وبروتوكوله واتفاق لاهاي ونيابةً عن إدارات البحث الدولي في إطار معاهدة التعاون بشأن البراءات من قبل المكتب الدولي للويبو العامل كمكتب لتسلم الطلبات. وعلاوة على ذلك، تمثل الودائع المستلمة في إطار الإجراءات الجارية بشأن العلامات التجارية، خلاف القسط منها الذي يقدر كمبالغ استلمتها المنظمة قبل استحقاقها، أموالاً محصلة نيابةً عن الغير وتعتبر كأموال محدودة النفاذ. وجميع هذه الأموال ممسوكة بالفرنك السويسري.</w:t>
      </w:r>
    </w:p>
    <w:p w:rsidR="00E16243" w:rsidRDefault="00E16243" w:rsidP="00E16243">
      <w:pPr>
        <w:pStyle w:val="NormalParaAR"/>
        <w:rPr>
          <w:rtl/>
        </w:rPr>
      </w:pPr>
      <w:r>
        <w:rPr>
          <w:rFonts w:hint="cs"/>
          <w:rtl/>
        </w:rPr>
        <w:t>وتعمل المنظمة على تقليص المخاطر الائتمانية بحفظ الغالبية العظمى من أموالها في بنوك تتمتع بأعلى درجة أو بأعلى درجة متوسطة من الثقة، ومع ذلك تمسك الأموال في بضع الحالات في بنوك تتمتع بأدنى درجة متوسطة من الثقة لأغراض تشغيلية خاصة، وذلك على النحو التالي:</w:t>
      </w:r>
    </w:p>
    <w:p w:rsidR="00E16243" w:rsidRPr="007F6B70" w:rsidRDefault="006371A4" w:rsidP="00E16243">
      <w:pPr>
        <w:bidi/>
        <w:spacing w:after="240"/>
        <w:jc w:val="center"/>
        <w:rPr>
          <w:rFonts w:ascii="Arabic Typesetting" w:hAnsi="Arabic Typesetting" w:cs="Arabic Typesetting"/>
          <w:sz w:val="36"/>
          <w:szCs w:val="36"/>
          <w:rtl/>
        </w:rPr>
      </w:pPr>
      <w:r>
        <w:rPr>
          <w:noProof/>
          <w:szCs w:val="22"/>
        </w:rPr>
        <w:pict>
          <v:shape id="_x0000_i1025" type="#_x0000_t75" style="width:426.6pt;height:84pt;visibility:visible">
            <v:imagedata r:id="rId26" o:title=""/>
          </v:shape>
        </w:pict>
      </w:r>
    </w:p>
    <w:p w:rsidR="00E16243" w:rsidRDefault="00E16243" w:rsidP="00E16243">
      <w:pPr>
        <w:pStyle w:val="NormalParaAR"/>
        <w:rPr>
          <w:rtl/>
        </w:rPr>
      </w:pPr>
      <w:r w:rsidRPr="00BD5EF8">
        <w:rPr>
          <w:rFonts w:hint="cs"/>
          <w:rtl/>
        </w:rPr>
        <w:t xml:space="preserve">وأما الحسابات الخاصة التي تمسكها المنظمة </w:t>
      </w:r>
      <w:r>
        <w:rPr>
          <w:rFonts w:hint="cs"/>
          <w:rtl/>
        </w:rPr>
        <w:t>نيابةً عن</w:t>
      </w:r>
      <w:r w:rsidRPr="00BD5EF8">
        <w:rPr>
          <w:rFonts w:hint="cs"/>
          <w:rtl/>
        </w:rPr>
        <w:t xml:space="preserve"> المتبرعين بالإسهامات الطوعية فتودع بالعملة التي ستقيد بها النفقات المعنية، بالاستناد إلى الاتفاقات مع المانحين. وتبرم المنظمة اتفاقات محدودة وغير رسمية مع البنوك التي تودع فيها أموالها لأغراض السحب على المكشوف. ويمكن للبنوك أن تسحب هذه الترتيبات في أي وقت.</w:t>
      </w:r>
    </w:p>
    <w:p w:rsidR="00E16243" w:rsidRPr="00780749" w:rsidRDefault="006371A4" w:rsidP="00780749">
      <w:pPr>
        <w:pStyle w:val="Heading2"/>
        <w:bidi/>
        <w:rPr>
          <w:rFonts w:ascii="Arabic Typesetting" w:hAnsi="Arabic Typesetting" w:cs="Arabic Typesetting"/>
          <w:i/>
          <w:iCs w:val="0"/>
          <w:sz w:val="40"/>
          <w:szCs w:val="40"/>
          <w:rtl/>
        </w:rPr>
      </w:pPr>
      <w:bookmarkStart w:id="19" w:name="_Toc362519102"/>
      <w:r>
        <w:rPr>
          <w:rFonts w:ascii="Arabic Typesetting" w:hAnsi="Arabic Typesetting" w:cs="Arabic Typesetting"/>
          <w:i/>
          <w:iCs w:val="0"/>
          <w:sz w:val="40"/>
          <w:szCs w:val="40"/>
          <w:rtl/>
        </w:rPr>
        <w:lastRenderedPageBreak/>
        <w:pict>
          <v:shape id="Picture 15" o:spid="_x0000_s1034" type="#_x0000_t75" style="position:absolute;left:0;text-align:left;margin-left:31.1pt;margin-top:36.4pt;width:436.5pt;height:560.35pt;z-index:251666432;visibility:visible">
            <v:imagedata r:id="rId27" o:title=""/>
            <w10:wrap type="topAndBottom"/>
          </v:shape>
        </w:pict>
      </w:r>
      <w:r w:rsidR="00E16243" w:rsidRPr="00780749">
        <w:rPr>
          <w:rFonts w:ascii="Arabic Typesetting" w:hAnsi="Arabic Typesetting" w:cs="Arabic Typesetting" w:hint="cs"/>
          <w:i/>
          <w:iCs w:val="0"/>
          <w:sz w:val="40"/>
          <w:szCs w:val="40"/>
          <w:rtl/>
        </w:rPr>
        <w:t>الملاحظة 4: الحسابات</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المدينة</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والمبالغ</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المدفوعة</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مقدّما</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والمبالغ</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المدفوعة</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قبل</w:t>
      </w:r>
      <w:r w:rsidR="00E16243" w:rsidRPr="00780749">
        <w:rPr>
          <w:rFonts w:ascii="Arabic Typesetting" w:hAnsi="Arabic Typesetting" w:cs="Arabic Typesetting"/>
          <w:i/>
          <w:iCs w:val="0"/>
          <w:sz w:val="40"/>
          <w:szCs w:val="40"/>
        </w:rPr>
        <w:t xml:space="preserve"> </w:t>
      </w:r>
      <w:r w:rsidR="00E16243" w:rsidRPr="00780749">
        <w:rPr>
          <w:rFonts w:ascii="Arabic Typesetting" w:hAnsi="Arabic Typesetting" w:cs="Arabic Typesetting" w:hint="cs"/>
          <w:i/>
          <w:iCs w:val="0"/>
          <w:sz w:val="40"/>
          <w:szCs w:val="40"/>
          <w:rtl/>
        </w:rPr>
        <w:t>استحقاقها</w:t>
      </w:r>
      <w:bookmarkEnd w:id="19"/>
    </w:p>
    <w:p w:rsidR="00E16243" w:rsidRDefault="00E16243" w:rsidP="00E16243">
      <w:pPr>
        <w:pStyle w:val="NormalParaAR"/>
        <w:spacing w:before="240"/>
        <w:rPr>
          <w:rtl/>
        </w:rPr>
      </w:pPr>
      <w:r>
        <w:rPr>
          <w:rFonts w:hint="cs"/>
          <w:rtl/>
        </w:rPr>
        <w:t>تمثل الاشتراكات المقررة إيرادات غير محصّلة تتصل بنظام الويبو أحادي الاشتراكات الذي وافقت عليه جمعيات الدول الأعضاء في الويبو والاتحادات التي تديرها الويبو. وتحدّد الجمعيات قيمة وحدة الاشتراك بالفرنك السويسري عند إعداد الميزانية للفترة المالية التي تدوم سنتين. وتقسم الاشتراكات إلى فئات وعلى كل فئة أن تساهم بعدد محدد من وحدات الاشتراك. وتترك للدول الأعضاء حرية اختيار الفئة التي تحدد أساس اشتراكها، فيما عدا البلدان النامية التي تنتمي تلقائيا إلى واحدة من فئات ثلاث خاصة. وتتعلق إسهامات رؤوس الأموال العاملة بمبالغ تضعها عدة اتحادات.</w:t>
      </w:r>
    </w:p>
    <w:p w:rsidR="00E16243" w:rsidRPr="00A01328" w:rsidRDefault="00E16243" w:rsidP="00E16243">
      <w:pPr>
        <w:pStyle w:val="NormalParaAR"/>
        <w:rPr>
          <w:rtl/>
        </w:rPr>
      </w:pPr>
      <w:r>
        <w:rPr>
          <w:rFonts w:hint="cs"/>
          <w:rtl/>
        </w:rPr>
        <w:lastRenderedPageBreak/>
        <w:t xml:space="preserve">وتشمل الحسابات المدينة لنظام معاهدة التعاون بشأن البراءات المبلغ المقدر للرسوم المفروضة على طلبات البراءات الدولية التي استلمتها </w:t>
      </w:r>
      <w:r w:rsidRPr="00A01328">
        <w:rPr>
          <w:rtl/>
        </w:rPr>
        <w:t>مكاتب تسلّم الطلبات الوطنية</w:t>
      </w:r>
      <w:r>
        <w:rPr>
          <w:rFonts w:hint="cs"/>
          <w:rtl/>
        </w:rPr>
        <w:t xml:space="preserve"> قبل تاريخ صدور التقرير المالي ولم تحويلها إلى المكتب الدولي لنظام المعاهدة بحلول تاريخ صدور التقرير المالي.</w:t>
      </w:r>
    </w:p>
    <w:p w:rsidR="00E16243" w:rsidRPr="00B14650" w:rsidRDefault="00E16243" w:rsidP="00E16243">
      <w:pPr>
        <w:pStyle w:val="NormalParaAR"/>
        <w:rPr>
          <w:rtl/>
        </w:rPr>
      </w:pPr>
      <w:r>
        <w:rPr>
          <w:rFonts w:hint="cs"/>
          <w:rtl/>
        </w:rPr>
        <w:t>وقد خصص بدل يقابل قيمة الأموال المدينة المستحقة من الاشتراكات المقررة وإسهامات صناديق رؤوس الأموال العاملة المستحقة من الاتحادات والمتعلقة بفترات تسبق بدء العمل ب</w:t>
      </w:r>
      <w:r w:rsidRPr="00B14650">
        <w:rPr>
          <w:rtl/>
        </w:rPr>
        <w:t>النظام أحادي الاشتراكات</w:t>
      </w:r>
      <w:r>
        <w:rPr>
          <w:rFonts w:hint="cs"/>
          <w:rtl/>
        </w:rPr>
        <w:t xml:space="preserve"> في سنة 1994. ويغطي هذا البدل مبالغ مستحقة من الدول الأعضاء التي فقدت حق التصويت بموجب الفقرة 5 من المادة 11 من اتفاقية الويبو واشتراكات البلدان الأقل نموا التي جمدت بقرار من الجمعيات.</w:t>
      </w:r>
    </w:p>
    <w:p w:rsidR="00E16243" w:rsidRDefault="00E16243" w:rsidP="00E16243">
      <w:pPr>
        <w:pStyle w:val="NormalParaAR"/>
        <w:rPr>
          <w:rtl/>
        </w:rPr>
      </w:pPr>
      <w:r>
        <w:rPr>
          <w:rFonts w:hint="cs"/>
          <w:rtl/>
        </w:rPr>
        <w:t>ويحق للموظفين المعينين دوليا، خلاف الموظفين الذين يعيشون في أوطانهم، الحصول على منحة تغطي تكاليف تعليم الأبناء المعالين بنسبة 75 بالمائة إلى حين انتهاء السنة الدراسية التي يبلغ فيها الابن أو الابنة سن 25 سنة. وتحدد مبالغ قصوى للمنح لكل بلد. ويحق للموظفين الدوليين الحصول على مبلغ مدفوع مقدما يساوي المبلغ المقدر لمنحة التعليم لكل ابن في بداية السنة الدراسية. وتمثل المبالغ المدفوعة مقدما للموظفين قسط المنح المدفوعة مقدما للسنة الدراسية 2012-2013 وهي غير مسددة إلى تاريخ 31 ديسمبر 2012.</w:t>
      </w:r>
    </w:p>
    <w:p w:rsidR="00E16243" w:rsidRDefault="00E16243" w:rsidP="00E16243">
      <w:pPr>
        <w:pStyle w:val="NormalParaAR"/>
        <w:rPr>
          <w:rtl/>
        </w:rPr>
      </w:pPr>
      <w:r>
        <w:rPr>
          <w:rFonts w:hint="cs"/>
          <w:rtl/>
        </w:rPr>
        <w:t>وتستعمل الأموال المدفوعة مقدما إلى برنامج الأمم المتحدة الإنمائي للدفع بالنيابة عن المنظمة. ويشمل المبلغ المدين الإجمالي المبين المبالغ الخاصة بطلبات الدفع المقدمة إلى البرنامج التي لم تستلم الموافقة عليها بعد أو التي لا تزال الموافقة عليها قيد البحث. وتمثل المبالغ المدفوعة مقدما إلى الاتحاد الدولي لحماية الأصناف النباتية الجديدة (الأوبوف) مبالغ تدفعها المنظمة بالنيابة عن الأوبوف ولم تسدد لها بعد.</w:t>
      </w:r>
    </w:p>
    <w:p w:rsidR="00E16243" w:rsidRDefault="00E16243" w:rsidP="00E16243">
      <w:pPr>
        <w:pStyle w:val="NormalParaAR"/>
        <w:rPr>
          <w:rtl/>
        </w:rPr>
      </w:pPr>
      <w:r>
        <w:rPr>
          <w:rFonts w:hint="cs"/>
          <w:rtl/>
        </w:rPr>
        <w:t>وتمثل الحسابات المدينة من ضرائب الولايات المتحدة الأمريكية مبالغ مدفوعة مقدما إلى الموظفين لتعويضهم عن الضرائب على الدخل التي يدفعونها للولايات المتحدة الأمريكية. وبناء على اتفاقات مبرمة بين المنظمة والولايات المتحدة الأمريكية، تردّ هذه المبالغ إلى المنظمة. وتشمل الضرائب السويسرية المستردّة المدفوعات الخاصة بضريبة القيمة المضافة وضريبة الدمغة والضريبة الفيدرالية السويسرية المقتطعة من المنبع التي يحق للمنظمة استردادها بناء على اتفاق المقر الذي أبرمته مع حكومة سويسرا.</w:t>
      </w:r>
    </w:p>
    <w:p w:rsidR="00E16243" w:rsidRPr="00780749" w:rsidRDefault="006371A4" w:rsidP="00780749">
      <w:pPr>
        <w:pStyle w:val="Heading2"/>
        <w:bidi/>
        <w:rPr>
          <w:rFonts w:ascii="Arabic Typesetting" w:hAnsi="Arabic Typesetting" w:cs="Arabic Typesetting"/>
          <w:i/>
          <w:iCs w:val="0"/>
          <w:sz w:val="40"/>
          <w:szCs w:val="40"/>
          <w:rtl/>
        </w:rPr>
      </w:pPr>
      <w:bookmarkStart w:id="20" w:name="_Toc362519103"/>
      <w:r>
        <w:rPr>
          <w:rFonts w:ascii="Arabic Typesetting" w:hAnsi="Arabic Typesetting" w:cs="Arabic Typesetting"/>
          <w:i/>
          <w:iCs w:val="0"/>
          <w:sz w:val="40"/>
          <w:szCs w:val="40"/>
          <w:rtl/>
        </w:rPr>
        <w:pict>
          <v:shape id="Picture 16" o:spid="_x0000_s1035" type="#_x0000_t75" style="position:absolute;left:0;text-align:left;margin-left:14.6pt;margin-top:37.65pt;width:436.5pt;height:106.5pt;z-index:251667456;visibility:visible">
            <v:imagedata r:id="rId28" o:title=""/>
            <w10:wrap type="topAndBottom"/>
          </v:shape>
        </w:pict>
      </w:r>
      <w:r w:rsidR="00E16243" w:rsidRPr="00780749">
        <w:rPr>
          <w:rFonts w:ascii="Arabic Typesetting" w:hAnsi="Arabic Typesetting" w:cs="Arabic Typesetting" w:hint="cs"/>
          <w:i/>
          <w:iCs w:val="0"/>
          <w:sz w:val="40"/>
          <w:szCs w:val="40"/>
          <w:rtl/>
        </w:rPr>
        <w:t>الملاحظة 5: قوائم الموجودات</w:t>
      </w:r>
      <w:bookmarkEnd w:id="20"/>
    </w:p>
    <w:p w:rsidR="00E16243" w:rsidRDefault="00E16243" w:rsidP="00E16243">
      <w:pPr>
        <w:pStyle w:val="NormalParaAR"/>
        <w:spacing w:before="240"/>
        <w:rPr>
          <w:rtl/>
        </w:rPr>
      </w:pPr>
    </w:p>
    <w:p w:rsidR="00E16243" w:rsidRPr="006918D3" w:rsidRDefault="00E16243" w:rsidP="00E16243">
      <w:pPr>
        <w:pStyle w:val="NormalParaAR"/>
        <w:rPr>
          <w:sz w:val="30"/>
          <w:szCs w:val="30"/>
        </w:rPr>
      </w:pPr>
      <w:r>
        <w:rPr>
          <w:rFonts w:hint="cs"/>
          <w:rtl/>
        </w:rPr>
        <w:t>خفضت قيمة المنشورات الكاملة إلى القيمة الصافية القابلة للتحقيق وقدرها 0,2 مليون فرنك سويسري (0,4 مليون فرنك سويسري في سنة 2011). ولم يسجل أي عكس لهذا الخفض.</w:t>
      </w:r>
    </w:p>
    <w:p w:rsidR="00E16243" w:rsidRPr="00BB35FE" w:rsidRDefault="00E16243" w:rsidP="00780749">
      <w:pPr>
        <w:pStyle w:val="Heading2"/>
        <w:bidi/>
        <w:rPr>
          <w:rFonts w:ascii="Arabic Typesetting" w:hAnsi="Arabic Typesetting" w:cs="Arabic Typesetting"/>
          <w:b/>
          <w:bCs w:val="0"/>
          <w:sz w:val="40"/>
          <w:szCs w:val="40"/>
          <w:rtl/>
        </w:rPr>
      </w:pPr>
      <w:bookmarkStart w:id="21" w:name="_Toc362519104"/>
      <w:r w:rsidRPr="00780749">
        <w:rPr>
          <w:rFonts w:ascii="Arabic Typesetting" w:hAnsi="Arabic Typesetting" w:cs="Arabic Typesetting" w:hint="cs"/>
          <w:i/>
          <w:iCs w:val="0"/>
          <w:sz w:val="40"/>
          <w:szCs w:val="40"/>
          <w:rtl/>
        </w:rPr>
        <w:lastRenderedPageBreak/>
        <w:t>الملاحظة 6: المعدات</w:t>
      </w:r>
      <w:bookmarkEnd w:id="21"/>
    </w:p>
    <w:tbl>
      <w:tblPr>
        <w:bidiVisual/>
        <w:tblW w:w="0" w:type="auto"/>
        <w:jc w:val="center"/>
        <w:tblLook w:val="04A0" w:firstRow="1" w:lastRow="0" w:firstColumn="1" w:lastColumn="0" w:noHBand="0" w:noVBand="1"/>
      </w:tblPr>
      <w:tblGrid>
        <w:gridCol w:w="3294"/>
        <w:gridCol w:w="1391"/>
        <w:gridCol w:w="601"/>
        <w:gridCol w:w="1282"/>
        <w:gridCol w:w="584"/>
        <w:gridCol w:w="1824"/>
      </w:tblGrid>
      <w:tr w:rsidR="00E16243" w:rsidRPr="00AA1F26" w:rsidTr="00E16243">
        <w:trPr>
          <w:jc w:val="center"/>
        </w:trPr>
        <w:tc>
          <w:tcPr>
            <w:tcW w:w="3294" w:type="dxa"/>
            <w:vAlign w:val="center"/>
          </w:tcPr>
          <w:p w:rsidR="00E16243" w:rsidRPr="00AA1F26" w:rsidRDefault="00E16243" w:rsidP="00D91942">
            <w:pPr>
              <w:keepNext/>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التحركات خلال عام 2012</w:t>
            </w:r>
          </w:p>
        </w:tc>
        <w:tc>
          <w:tcPr>
            <w:tcW w:w="1391" w:type="dxa"/>
          </w:tcPr>
          <w:p w:rsidR="00E16243" w:rsidRPr="00AA1F26" w:rsidRDefault="00E16243" w:rsidP="00D91942">
            <w:pPr>
              <w:keepNext/>
              <w:tabs>
                <w:tab w:val="center" w:pos="4320"/>
                <w:tab w:val="right" w:pos="8640"/>
              </w:tabs>
              <w:bidi/>
              <w:spacing w:line="280" w:lineRule="exact"/>
              <w:jc w:val="center"/>
              <w:rPr>
                <w:rFonts w:ascii="Arabic Typesetting" w:hAnsi="Arabic Typesetting" w:cs="Arabic Typesetting"/>
                <w:sz w:val="28"/>
                <w:szCs w:val="28"/>
                <w:rtl/>
                <w:lang w:bidi="ar-EG"/>
              </w:rPr>
            </w:pPr>
            <w:r w:rsidRPr="00AA1F26">
              <w:rPr>
                <w:rFonts w:ascii="Arabic Typesetting" w:hAnsi="Arabic Typesetting" w:cs="Arabic Typesetting"/>
                <w:b/>
                <w:bCs/>
                <w:sz w:val="28"/>
                <w:szCs w:val="28"/>
                <w:rtl/>
              </w:rPr>
              <w:t>المعدات</w:t>
            </w:r>
          </w:p>
        </w:tc>
        <w:tc>
          <w:tcPr>
            <w:tcW w:w="601" w:type="dxa"/>
          </w:tcPr>
          <w:p w:rsidR="00E16243" w:rsidRPr="00AA1F26" w:rsidRDefault="00E16243" w:rsidP="00D91942">
            <w:pPr>
              <w:keepNext/>
              <w:tabs>
                <w:tab w:val="center" w:pos="4320"/>
                <w:tab w:val="right" w:pos="8640"/>
              </w:tabs>
              <w:bidi/>
              <w:spacing w:line="280" w:lineRule="exact"/>
              <w:jc w:val="center"/>
              <w:rPr>
                <w:rFonts w:ascii="Arabic Typesetting" w:hAnsi="Arabic Typesetting" w:cs="Arabic Typesetting"/>
                <w:b/>
                <w:bCs/>
                <w:sz w:val="28"/>
                <w:szCs w:val="28"/>
                <w:rtl/>
              </w:rPr>
            </w:pPr>
          </w:p>
        </w:tc>
        <w:tc>
          <w:tcPr>
            <w:tcW w:w="1282" w:type="dxa"/>
            <w:vAlign w:val="center"/>
          </w:tcPr>
          <w:p w:rsidR="00E16243" w:rsidRPr="00AA1F26" w:rsidRDefault="00E16243" w:rsidP="00D91942">
            <w:pPr>
              <w:keepNext/>
              <w:tabs>
                <w:tab w:val="center" w:pos="4320"/>
                <w:tab w:val="right" w:pos="8640"/>
              </w:tabs>
              <w:bidi/>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الأثاث والتجهيزات</w:t>
            </w:r>
          </w:p>
        </w:tc>
        <w:tc>
          <w:tcPr>
            <w:tcW w:w="584" w:type="dxa"/>
          </w:tcPr>
          <w:p w:rsidR="00E16243" w:rsidRPr="00AA1F26" w:rsidRDefault="00E16243" w:rsidP="00D91942">
            <w:pPr>
              <w:keepNext/>
              <w:tabs>
                <w:tab w:val="center" w:pos="4320"/>
                <w:tab w:val="right" w:pos="8640"/>
              </w:tabs>
              <w:bidi/>
              <w:spacing w:line="280" w:lineRule="exact"/>
              <w:jc w:val="center"/>
              <w:rPr>
                <w:rFonts w:ascii="Arabic Typesetting" w:hAnsi="Arabic Typesetting" w:cs="Arabic Typesetting"/>
                <w:b/>
                <w:bCs/>
                <w:sz w:val="28"/>
                <w:szCs w:val="28"/>
                <w:rtl/>
              </w:rPr>
            </w:pPr>
          </w:p>
        </w:tc>
        <w:tc>
          <w:tcPr>
            <w:tcW w:w="1824" w:type="dxa"/>
          </w:tcPr>
          <w:p w:rsidR="00E16243" w:rsidRPr="00AA1F26" w:rsidRDefault="00E16243" w:rsidP="00D91942">
            <w:pPr>
              <w:keepNext/>
              <w:tabs>
                <w:tab w:val="center" w:pos="4320"/>
                <w:tab w:val="right" w:pos="8640"/>
              </w:tabs>
              <w:bidi/>
              <w:spacing w:line="280" w:lineRule="exact"/>
              <w:jc w:val="center"/>
              <w:rPr>
                <w:rFonts w:ascii="Arabic Typesetting" w:hAnsi="Arabic Typesetting" w:cs="Arabic Typesetting"/>
                <w:sz w:val="28"/>
                <w:szCs w:val="28"/>
                <w:rtl/>
                <w:lang w:bidi="ar-EG"/>
              </w:rPr>
            </w:pPr>
            <w:r w:rsidRPr="00AA1F26">
              <w:rPr>
                <w:rFonts w:ascii="Arabic Typesetting" w:hAnsi="Arabic Typesetting" w:cs="Arabic Typesetting"/>
                <w:b/>
                <w:bCs/>
                <w:sz w:val="28"/>
                <w:szCs w:val="28"/>
                <w:rtl/>
              </w:rPr>
              <w:t>المجموع</w:t>
            </w:r>
          </w:p>
        </w:tc>
      </w:tr>
      <w:tr w:rsidR="00E16243" w:rsidRPr="00AA1F26" w:rsidTr="00E16243">
        <w:trPr>
          <w:jc w:val="center"/>
        </w:trPr>
        <w:tc>
          <w:tcPr>
            <w:tcW w:w="3294" w:type="dxa"/>
            <w:vAlign w:val="center"/>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tl/>
              </w:rPr>
            </w:pPr>
          </w:p>
        </w:tc>
        <w:tc>
          <w:tcPr>
            <w:tcW w:w="5682" w:type="dxa"/>
            <w:gridSpan w:val="5"/>
            <w:tcBorders>
              <w:bottom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AA1F26">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AA1F26">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AA1F26">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AA1F26">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AA1F26">
              <w:rPr>
                <w:rFonts w:ascii="Arabic Typesetting" w:hAnsi="Arabic Typesetting" w:cs="Arabic Typesetting"/>
                <w:sz w:val="28"/>
                <w:szCs w:val="28"/>
                <w:rtl/>
              </w:rPr>
              <w:t>)</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1 يناير 2012</w:t>
            </w:r>
          </w:p>
        </w:tc>
        <w:tc>
          <w:tcPr>
            <w:tcW w:w="1391"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601"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282" w:type="dxa"/>
            <w:tcBorders>
              <w:top w:val="single" w:sz="4" w:space="0" w:color="auto"/>
            </w:tcBorders>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584"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824"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مبلغ الترحيل الإجمالي</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15,698</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2,877</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18,575</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الاهتلاك المتراكم</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-12,688</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-2,157</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-14,845</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صافي مبلغ الترحيل</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3,010</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720</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3,730</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spacing w:line="280" w:lineRule="exact"/>
              <w:jc w:val="right"/>
              <w:rPr>
                <w:rFonts w:ascii="Arabic Typesetting" w:hAnsi="Arabic Typesetting" w:cs="Arabic Typesetting"/>
                <w:b/>
                <w:bCs/>
                <w:sz w:val="28"/>
                <w:szCs w:val="28"/>
              </w:rPr>
            </w:pPr>
          </w:p>
        </w:tc>
        <w:tc>
          <w:tcPr>
            <w:tcW w:w="1391" w:type="dxa"/>
            <w:tcBorders>
              <w:top w:val="single" w:sz="12" w:space="0" w:color="auto"/>
            </w:tcBorders>
            <w:vAlign w:val="bottom"/>
          </w:tcPr>
          <w:p w:rsidR="00E16243" w:rsidRPr="00AA1F26"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601"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التحركات خلال عام 2012</w:t>
            </w:r>
          </w:p>
        </w:tc>
        <w:tc>
          <w:tcPr>
            <w:tcW w:w="1391" w:type="dxa"/>
            <w:vAlign w:val="bottom"/>
          </w:tcPr>
          <w:p w:rsidR="00E16243" w:rsidRPr="00AA1F26"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الإضافات</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125</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125</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التصرف في الممتلكات</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-903</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-41</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-944</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اهتلاك الممتلكات المستبعدة</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893</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40</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933</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الاستهلاك</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-1,220</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-107</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-1,327</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مجموع التحركات في عام 2012</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-1,105</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-108</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-1,213</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spacing w:line="280" w:lineRule="exact"/>
              <w:jc w:val="right"/>
              <w:rPr>
                <w:rFonts w:ascii="Arabic Typesetting" w:hAnsi="Arabic Typesetting" w:cs="Arabic Typesetting"/>
                <w:sz w:val="28"/>
                <w:szCs w:val="28"/>
              </w:rPr>
            </w:pPr>
          </w:p>
        </w:tc>
        <w:tc>
          <w:tcPr>
            <w:tcW w:w="1391"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601"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trHeight w:val="143"/>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31 ديسمبر 2012</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مبلغ الترحيل الإجمالي</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14,920</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2,836</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17,756</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الاهتلاك المتراكم</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-13,015</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-2,224</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-15,239</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صافي مبلغ الترحيل</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1,905</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612</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2,517</w:t>
            </w:r>
          </w:p>
        </w:tc>
      </w:tr>
    </w:tbl>
    <w:p w:rsidR="00E16243" w:rsidRDefault="00E16243" w:rsidP="00E541CD">
      <w:pPr>
        <w:bidi/>
        <w:spacing w:after="240" w:line="360" w:lineRule="exact"/>
        <w:rPr>
          <w:rFonts w:ascii="Arabic Typesetting" w:hAnsi="Arabic Typesetting" w:cs="Arabic Typesetting"/>
          <w:sz w:val="36"/>
          <w:szCs w:val="36"/>
          <w:rtl/>
          <w:lang w:bidi="ar-EG"/>
        </w:rPr>
      </w:pPr>
    </w:p>
    <w:tbl>
      <w:tblPr>
        <w:bidiVisual/>
        <w:tblW w:w="0" w:type="auto"/>
        <w:jc w:val="center"/>
        <w:tblLook w:val="04A0" w:firstRow="1" w:lastRow="0" w:firstColumn="1" w:lastColumn="0" w:noHBand="0" w:noVBand="1"/>
      </w:tblPr>
      <w:tblGrid>
        <w:gridCol w:w="3294"/>
        <w:gridCol w:w="1391"/>
        <w:gridCol w:w="601"/>
        <w:gridCol w:w="1282"/>
        <w:gridCol w:w="584"/>
        <w:gridCol w:w="1824"/>
      </w:tblGrid>
      <w:tr w:rsidR="00E16243" w:rsidRPr="00AA1F26" w:rsidTr="00E16243">
        <w:trPr>
          <w:jc w:val="center"/>
        </w:trPr>
        <w:tc>
          <w:tcPr>
            <w:tcW w:w="3294" w:type="dxa"/>
            <w:vAlign w:val="center"/>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التحركات خلال عام 2011</w:t>
            </w:r>
          </w:p>
        </w:tc>
        <w:tc>
          <w:tcPr>
            <w:tcW w:w="1391" w:type="dxa"/>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AA1F26">
              <w:rPr>
                <w:rFonts w:ascii="Arabic Typesetting" w:hAnsi="Arabic Typesetting" w:cs="Arabic Typesetting"/>
                <w:b/>
                <w:bCs/>
                <w:sz w:val="28"/>
                <w:szCs w:val="28"/>
                <w:rtl/>
              </w:rPr>
              <w:t>المعدات</w:t>
            </w:r>
          </w:p>
        </w:tc>
        <w:tc>
          <w:tcPr>
            <w:tcW w:w="601" w:type="dxa"/>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282" w:type="dxa"/>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الأثاث والتجهيزات</w:t>
            </w:r>
          </w:p>
        </w:tc>
        <w:tc>
          <w:tcPr>
            <w:tcW w:w="584" w:type="dxa"/>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824" w:type="dxa"/>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AA1F26">
              <w:rPr>
                <w:rFonts w:ascii="Arabic Typesetting" w:hAnsi="Arabic Typesetting" w:cs="Arabic Typesetting"/>
                <w:b/>
                <w:bCs/>
                <w:sz w:val="28"/>
                <w:szCs w:val="28"/>
                <w:rtl/>
              </w:rPr>
              <w:t>المجموع</w:t>
            </w:r>
          </w:p>
        </w:tc>
      </w:tr>
      <w:tr w:rsidR="00E16243" w:rsidRPr="00AA1F26" w:rsidTr="00E16243">
        <w:trPr>
          <w:jc w:val="center"/>
        </w:trPr>
        <w:tc>
          <w:tcPr>
            <w:tcW w:w="3294" w:type="dxa"/>
            <w:vAlign w:val="center"/>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tl/>
              </w:rPr>
            </w:pPr>
          </w:p>
        </w:tc>
        <w:tc>
          <w:tcPr>
            <w:tcW w:w="5682" w:type="dxa"/>
            <w:gridSpan w:val="5"/>
            <w:tcBorders>
              <w:bottom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AA1F26">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AA1F26">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AA1F26">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AA1F26">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AA1F26">
              <w:rPr>
                <w:rFonts w:ascii="Arabic Typesetting" w:hAnsi="Arabic Typesetting" w:cs="Arabic Typesetting"/>
                <w:sz w:val="28"/>
                <w:szCs w:val="28"/>
                <w:rtl/>
              </w:rPr>
              <w:t>)</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1 يناير 2011</w:t>
            </w:r>
          </w:p>
        </w:tc>
        <w:tc>
          <w:tcPr>
            <w:tcW w:w="1391"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lang w:bidi="ar-EG"/>
              </w:rPr>
            </w:pPr>
          </w:p>
        </w:tc>
        <w:tc>
          <w:tcPr>
            <w:tcW w:w="601"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282" w:type="dxa"/>
            <w:tcBorders>
              <w:top w:val="single" w:sz="4" w:space="0" w:color="auto"/>
            </w:tcBorders>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584"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824" w:type="dxa"/>
            <w:tcBorders>
              <w:top w:val="single" w:sz="4" w:space="0" w:color="auto"/>
            </w:tcBorders>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مبلغ الترحيل الإجمالي</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15,290</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2,363</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17,653</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الاهتلاك المتراكم</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-11,817</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-2,175</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-13,992</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صافي مبلغ الترحيل</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3,473</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188</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3,661</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spacing w:line="280" w:lineRule="exact"/>
              <w:jc w:val="right"/>
              <w:rPr>
                <w:rFonts w:ascii="Arabic Typesetting" w:hAnsi="Arabic Typesetting" w:cs="Arabic Typesetting"/>
                <w:b/>
                <w:bCs/>
                <w:sz w:val="28"/>
                <w:szCs w:val="28"/>
              </w:rPr>
            </w:pPr>
          </w:p>
        </w:tc>
        <w:tc>
          <w:tcPr>
            <w:tcW w:w="1391" w:type="dxa"/>
            <w:tcBorders>
              <w:top w:val="single" w:sz="12" w:space="0" w:color="auto"/>
            </w:tcBorders>
            <w:vAlign w:val="bottom"/>
          </w:tcPr>
          <w:p w:rsidR="00E16243" w:rsidRPr="00AA1F26"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601"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التحركات خلال عام 2011</w:t>
            </w:r>
          </w:p>
        </w:tc>
        <w:tc>
          <w:tcPr>
            <w:tcW w:w="1391" w:type="dxa"/>
            <w:vAlign w:val="bottom"/>
          </w:tcPr>
          <w:p w:rsidR="00E16243" w:rsidRPr="00AA1F26"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الإضافات</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905</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624</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1,529</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Pr>
                <w:rFonts w:ascii="Arabic Typesetting" w:hAnsi="Arabic Typesetting" w:cs="Arabic Typesetting" w:hint="cs"/>
                <w:sz w:val="28"/>
                <w:szCs w:val="28"/>
                <w:rtl/>
              </w:rPr>
              <w:t xml:space="preserve"> </w:t>
            </w:r>
            <w:r w:rsidRPr="00AA1F26">
              <w:rPr>
                <w:rFonts w:ascii="Arabic Typesetting" w:hAnsi="Arabic Typesetting" w:cs="Arabic Typesetting"/>
                <w:sz w:val="28"/>
                <w:szCs w:val="28"/>
                <w:rtl/>
              </w:rPr>
              <w:t xml:space="preserve">  التصرف في الممتلكات</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-497</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-110</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-607</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اهتلاك الممتلكات المستبعدة</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284</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104</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388</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الاستهلاك</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-1,155</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-86</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-1,241</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مجموع التحركات في عام 2011</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-463</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532</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69</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spacing w:line="280" w:lineRule="exact"/>
              <w:jc w:val="right"/>
              <w:rPr>
                <w:rFonts w:ascii="Arabic Typesetting" w:hAnsi="Arabic Typesetting" w:cs="Arabic Typesetting"/>
                <w:sz w:val="28"/>
                <w:szCs w:val="28"/>
              </w:rPr>
            </w:pPr>
          </w:p>
        </w:tc>
        <w:tc>
          <w:tcPr>
            <w:tcW w:w="1391"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601"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Borders>
              <w:top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trHeight w:val="143"/>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31 ديسمبر 2011</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Pr>
                <w:rFonts w:ascii="Arabic Typesetting" w:hAnsi="Arabic Typesetting" w:cs="Arabic Typesetting" w:hint="cs"/>
                <w:sz w:val="28"/>
                <w:szCs w:val="28"/>
                <w:rtl/>
              </w:rPr>
              <w:t xml:space="preserve"> </w:t>
            </w:r>
            <w:r w:rsidRPr="00AA1F26">
              <w:rPr>
                <w:rFonts w:ascii="Arabic Typesetting" w:hAnsi="Arabic Typesetting" w:cs="Arabic Typesetting"/>
                <w:sz w:val="28"/>
                <w:szCs w:val="28"/>
                <w:rtl/>
              </w:rPr>
              <w:t xml:space="preserve">  مبلغ الترحيل الإجمالي</w:t>
            </w:r>
          </w:p>
        </w:tc>
        <w:tc>
          <w:tcPr>
            <w:tcW w:w="1391"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15,698</w:t>
            </w:r>
          </w:p>
        </w:tc>
        <w:tc>
          <w:tcPr>
            <w:tcW w:w="601"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2,877</w:t>
            </w:r>
          </w:p>
        </w:tc>
        <w:tc>
          <w:tcPr>
            <w:tcW w:w="584" w:type="dxa"/>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18,575</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AA1F26">
              <w:rPr>
                <w:rFonts w:ascii="Arabic Typesetting" w:hAnsi="Arabic Typesetting" w:cs="Arabic Typesetting"/>
                <w:sz w:val="28"/>
                <w:szCs w:val="28"/>
                <w:rtl/>
              </w:rPr>
              <w:t xml:space="preserve">   الاهتلاك المتراكم</w:t>
            </w:r>
          </w:p>
        </w:tc>
        <w:tc>
          <w:tcPr>
            <w:tcW w:w="1391"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-12,688</w:t>
            </w:r>
          </w:p>
        </w:tc>
        <w:tc>
          <w:tcPr>
            <w:tcW w:w="601"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82"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-2,157</w:t>
            </w:r>
          </w:p>
        </w:tc>
        <w:tc>
          <w:tcPr>
            <w:tcW w:w="584" w:type="dxa"/>
            <w:tcBorders>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-14,845</w:t>
            </w:r>
          </w:p>
        </w:tc>
      </w:tr>
      <w:tr w:rsidR="00E16243" w:rsidRPr="00AA1F26" w:rsidTr="00E16243">
        <w:trPr>
          <w:jc w:val="center"/>
        </w:trPr>
        <w:tc>
          <w:tcPr>
            <w:tcW w:w="3294"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صافي مبلغ الترحيل</w:t>
            </w:r>
          </w:p>
        </w:tc>
        <w:tc>
          <w:tcPr>
            <w:tcW w:w="1391"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3,010</w:t>
            </w:r>
          </w:p>
        </w:tc>
        <w:tc>
          <w:tcPr>
            <w:tcW w:w="601"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282"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720</w:t>
            </w:r>
          </w:p>
        </w:tc>
        <w:tc>
          <w:tcPr>
            <w:tcW w:w="584" w:type="dxa"/>
            <w:tcBorders>
              <w:top w:val="single" w:sz="12" w:space="0" w:color="auto"/>
              <w:bottom w:val="single" w:sz="12" w:space="0" w:color="auto"/>
            </w:tcBorders>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24" w:type="dxa"/>
            <w:tcBorders>
              <w:top w:val="single" w:sz="12" w:space="0" w:color="auto"/>
              <w:bottom w:val="single" w:sz="12"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3,730</w:t>
            </w:r>
          </w:p>
        </w:tc>
      </w:tr>
    </w:tbl>
    <w:p w:rsidR="00E16243" w:rsidRPr="00BD64D0" w:rsidRDefault="00E16243" w:rsidP="00E16243">
      <w:pPr>
        <w:bidi/>
        <w:spacing w:after="240"/>
        <w:rPr>
          <w:rFonts w:ascii="Arabic Typesetting" w:hAnsi="Arabic Typesetting" w:cs="Arabic Typesetting"/>
          <w:sz w:val="36"/>
          <w:szCs w:val="36"/>
          <w:rtl/>
        </w:rPr>
      </w:pP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تُقدر جميع</w:t>
      </w:r>
      <w:r w:rsidRPr="00E84975">
        <w:rPr>
          <w:rFonts w:ascii="Arabic Typesetting" w:hAnsi="Arabic Typesetting" w:cs="Arabic Typesetting"/>
          <w:color w:val="000000"/>
          <w:sz w:val="36"/>
          <w:szCs w:val="36"/>
          <w:rtl/>
        </w:rPr>
        <w:t xml:space="preserve"> المعدات في المخزون على أساس التكلفة بعد خ</w:t>
      </w:r>
      <w:r w:rsidRPr="00E84975">
        <w:rPr>
          <w:rFonts w:ascii="Arabic Typesetting" w:hAnsi="Arabic Typesetting" w:cs="Arabic Typesetting"/>
          <w:color w:val="000000"/>
          <w:sz w:val="36"/>
          <w:szCs w:val="36"/>
          <w:rtl/>
          <w:lang w:bidi="ar-EG"/>
        </w:rPr>
        <w:t>ص</w:t>
      </w:r>
      <w:r w:rsidRPr="00E84975">
        <w:rPr>
          <w:rFonts w:ascii="Arabic Typesetting" w:hAnsi="Arabic Typesetting" w:cs="Arabic Typesetting"/>
          <w:color w:val="000000"/>
          <w:sz w:val="36"/>
          <w:szCs w:val="36"/>
          <w:rtl/>
        </w:rPr>
        <w:t>م الإهلاك على أساس القسط الثابت. ي</w:t>
      </w:r>
      <w:r>
        <w:rPr>
          <w:rFonts w:ascii="Arabic Typesetting" w:hAnsi="Arabic Typesetting" w:cs="Arabic Typesetting" w:hint="cs"/>
          <w:color w:val="000000"/>
          <w:sz w:val="36"/>
          <w:szCs w:val="36"/>
          <w:rtl/>
        </w:rPr>
        <w:t>ُ</w:t>
      </w:r>
      <w:r w:rsidRPr="00E84975">
        <w:rPr>
          <w:rFonts w:ascii="Arabic Typesetting" w:hAnsi="Arabic Typesetting" w:cs="Arabic Typesetting"/>
          <w:color w:val="000000"/>
          <w:sz w:val="36"/>
          <w:szCs w:val="36"/>
          <w:rtl/>
        </w:rPr>
        <w:t xml:space="preserve">ستهلك الأثاث والمفروشات </w:t>
      </w:r>
      <w:r w:rsidRPr="00E84975">
        <w:rPr>
          <w:rFonts w:ascii="Arabic Typesetting" w:hAnsi="Arabic Typesetting" w:cs="Arabic Typesetting"/>
          <w:color w:val="000000"/>
          <w:sz w:val="36"/>
          <w:szCs w:val="36"/>
          <w:rtl/>
          <w:lang w:bidi="ar-EG"/>
        </w:rPr>
        <w:t>بعد الاستخدام النافع لمدة</w:t>
      </w:r>
      <w:r w:rsidRPr="00E84975">
        <w:rPr>
          <w:rFonts w:ascii="Arabic Typesetting" w:hAnsi="Arabic Typesetting" w:cs="Arabic Typesetting"/>
          <w:color w:val="000000"/>
          <w:sz w:val="36"/>
          <w:szCs w:val="36"/>
          <w:rtl/>
        </w:rPr>
        <w:t xml:space="preserve"> عشر سنوات. تستهلك جميع المعدات الأخرى على مدى خمس سنوات </w:t>
      </w:r>
      <w:r w:rsidRPr="00E84975">
        <w:rPr>
          <w:rFonts w:ascii="Arabic Typesetting" w:hAnsi="Arabic Typesetting" w:cs="Arabic Typesetting"/>
          <w:color w:val="000000"/>
          <w:sz w:val="36"/>
          <w:szCs w:val="36"/>
          <w:rtl/>
          <w:lang w:bidi="ar-EG"/>
        </w:rPr>
        <w:t>من العمر التشغيلي</w:t>
      </w:r>
      <w:r w:rsidRPr="00E84975">
        <w:rPr>
          <w:rFonts w:ascii="Arabic Typesetting" w:hAnsi="Arabic Typesetting" w:cs="Arabic Typesetting"/>
          <w:color w:val="000000"/>
          <w:sz w:val="36"/>
          <w:szCs w:val="36"/>
          <w:rtl/>
        </w:rPr>
        <w:t xml:space="preserve">. لا تُقَيّد الأصول التراثية بما فيها المصنفات الفنية المتبرع بها في بيان الموقف </w:t>
      </w:r>
      <w:r>
        <w:rPr>
          <w:rFonts w:ascii="Arabic Typesetting" w:hAnsi="Arabic Typesetting" w:cs="Arabic Typesetting" w:hint="cs"/>
          <w:sz w:val="36"/>
          <w:szCs w:val="36"/>
          <w:rtl/>
        </w:rPr>
        <w:t>المالي.</w:t>
      </w:r>
    </w:p>
    <w:p w:rsidR="00E16243" w:rsidRPr="007E7C2D" w:rsidRDefault="00E16243" w:rsidP="00780749">
      <w:pPr>
        <w:pStyle w:val="Heading2"/>
        <w:bidi/>
        <w:rPr>
          <w:rFonts w:ascii="Arabic Typesetting" w:hAnsi="Arabic Typesetting" w:cs="Arabic Typesetting"/>
          <w:b/>
          <w:bCs w:val="0"/>
          <w:sz w:val="40"/>
          <w:szCs w:val="40"/>
          <w:rtl/>
        </w:rPr>
      </w:pPr>
      <w:bookmarkStart w:id="22" w:name="_Toc362519105"/>
      <w:r w:rsidRPr="00780749">
        <w:rPr>
          <w:rFonts w:ascii="Arabic Typesetting" w:hAnsi="Arabic Typesetting" w:cs="Arabic Typesetting" w:hint="cs"/>
          <w:i/>
          <w:iCs w:val="0"/>
          <w:sz w:val="40"/>
          <w:szCs w:val="40"/>
          <w:rtl/>
        </w:rPr>
        <w:lastRenderedPageBreak/>
        <w:t>الملاحظة 7: ملكية استثمارية: الويبو كمؤجر</w:t>
      </w:r>
      <w:bookmarkEnd w:id="22"/>
    </w:p>
    <w:tbl>
      <w:tblPr>
        <w:bidiVisual/>
        <w:tblW w:w="0" w:type="auto"/>
        <w:jc w:val="center"/>
        <w:tblLook w:val="04A0" w:firstRow="1" w:lastRow="0" w:firstColumn="1" w:lastColumn="0" w:noHBand="0" w:noVBand="1"/>
      </w:tblPr>
      <w:tblGrid>
        <w:gridCol w:w="4428"/>
        <w:gridCol w:w="2070"/>
        <w:gridCol w:w="630"/>
        <w:gridCol w:w="2070"/>
      </w:tblGrid>
      <w:tr w:rsidR="00E16243" w:rsidRPr="003279E1" w:rsidTr="00E16243">
        <w:trPr>
          <w:jc w:val="center"/>
        </w:trPr>
        <w:tc>
          <w:tcPr>
            <w:tcW w:w="4428" w:type="dxa"/>
          </w:tcPr>
          <w:p w:rsidR="00E16243" w:rsidRPr="003279E1" w:rsidRDefault="00E16243" w:rsidP="00E16243">
            <w:pPr>
              <w:tabs>
                <w:tab w:val="center" w:pos="4320"/>
                <w:tab w:val="left" w:pos="6217"/>
                <w:tab w:val="right" w:pos="7312"/>
                <w:tab w:val="right" w:pos="8640"/>
              </w:tabs>
              <w:bidi/>
              <w:spacing w:line="280" w:lineRule="exact"/>
              <w:rPr>
                <w:rFonts w:ascii="Arabic Typesetting" w:hAnsi="Arabic Typesetting" w:cs="Arabic Typesetting"/>
                <w:b/>
                <w:bCs/>
                <w:sz w:val="28"/>
                <w:szCs w:val="28"/>
                <w:rtl/>
              </w:rPr>
            </w:pPr>
            <w:r w:rsidRPr="003279E1">
              <w:rPr>
                <w:rFonts w:ascii="Arabic Typesetting" w:hAnsi="Arabic Typesetting" w:cs="Arabic Typesetting"/>
                <w:b/>
                <w:bCs/>
                <w:sz w:val="28"/>
                <w:szCs w:val="28"/>
                <w:rtl/>
              </w:rPr>
              <w:t>مبنى اتحاد مدريد،</w:t>
            </w:r>
          </w:p>
          <w:p w:rsidR="00E16243" w:rsidRPr="006371A4" w:rsidRDefault="00E16243" w:rsidP="00E16243">
            <w:pPr>
              <w:tabs>
                <w:tab w:val="center" w:pos="4320"/>
                <w:tab w:val="right" w:pos="8640"/>
              </w:tabs>
              <w:bidi/>
              <w:spacing w:line="280" w:lineRule="exact"/>
              <w:rPr>
                <w:rFonts w:ascii="Arabic Typesetting" w:hAnsi="Arabic Typesetting" w:cs="Arabic Typesetting"/>
                <w:sz w:val="28"/>
                <w:szCs w:val="28"/>
                <w:lang w:val="fr-CH" w:bidi="ar-EG"/>
              </w:rPr>
            </w:pPr>
            <w:r w:rsidRPr="006371A4">
              <w:rPr>
                <w:rFonts w:ascii="Arabic Typesetting" w:hAnsi="Arabic Typesetting" w:cs="Arabic Typesetting"/>
                <w:sz w:val="28"/>
                <w:szCs w:val="28"/>
                <w:lang w:val="fr-CH" w:bidi="ar-EG"/>
              </w:rPr>
              <w:t xml:space="preserve">Rue de la </w:t>
            </w:r>
            <w:proofErr w:type="spellStart"/>
            <w:r w:rsidRPr="006371A4">
              <w:rPr>
                <w:rFonts w:ascii="Arabic Typesetting" w:hAnsi="Arabic Typesetting" w:cs="Arabic Typesetting"/>
                <w:sz w:val="28"/>
                <w:szCs w:val="28"/>
                <w:lang w:val="fr-CH" w:bidi="ar-EG"/>
              </w:rPr>
              <w:t>Prulay</w:t>
            </w:r>
            <w:proofErr w:type="spellEnd"/>
            <w:r w:rsidRPr="006371A4">
              <w:rPr>
                <w:rFonts w:ascii="Arabic Typesetting" w:hAnsi="Arabic Typesetting" w:cs="Arabic Typesetting"/>
                <w:sz w:val="28"/>
                <w:szCs w:val="28"/>
                <w:lang w:val="fr-CH" w:bidi="ar-EG"/>
              </w:rPr>
              <w:t xml:space="preserve"> 40,</w:t>
            </w:r>
          </w:p>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roofErr w:type="spellStart"/>
            <w:r w:rsidRPr="003279E1">
              <w:rPr>
                <w:rFonts w:ascii="Arabic Typesetting" w:hAnsi="Arabic Typesetting" w:cs="Arabic Typesetting"/>
                <w:sz w:val="28"/>
                <w:szCs w:val="28"/>
                <w:lang w:bidi="ar-EG"/>
              </w:rPr>
              <w:t>Meyrin</w:t>
            </w:r>
            <w:proofErr w:type="spellEnd"/>
          </w:p>
        </w:tc>
        <w:tc>
          <w:tcPr>
            <w:tcW w:w="2070" w:type="dxa"/>
            <w:vAlign w:val="center"/>
          </w:tcPr>
          <w:p w:rsidR="00E16243" w:rsidRPr="003279E1"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3279E1">
              <w:rPr>
                <w:rFonts w:ascii="Arabic Typesetting" w:hAnsi="Arabic Typesetting" w:cs="Arabic Typesetting"/>
                <w:b/>
                <w:bCs/>
                <w:sz w:val="28"/>
                <w:szCs w:val="28"/>
                <w:rtl/>
              </w:rPr>
              <w:t>31 ديسمبر 2012</w:t>
            </w:r>
          </w:p>
        </w:tc>
        <w:tc>
          <w:tcPr>
            <w:tcW w:w="630" w:type="dxa"/>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vAlign w:val="center"/>
          </w:tcPr>
          <w:p w:rsidR="00E16243" w:rsidRPr="003279E1"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3279E1">
              <w:rPr>
                <w:rFonts w:ascii="Arabic Typesetting" w:hAnsi="Arabic Typesetting" w:cs="Arabic Typesetting"/>
                <w:b/>
                <w:bCs/>
                <w:sz w:val="28"/>
                <w:szCs w:val="28"/>
                <w:rtl/>
              </w:rPr>
              <w:t>31 ديسمبر 2011</w:t>
            </w:r>
          </w:p>
        </w:tc>
      </w:tr>
      <w:tr w:rsidR="00E16243" w:rsidRPr="003279E1" w:rsidTr="00E16243">
        <w:trPr>
          <w:jc w:val="center"/>
        </w:trPr>
        <w:tc>
          <w:tcPr>
            <w:tcW w:w="4428" w:type="dxa"/>
          </w:tcPr>
          <w:p w:rsidR="00E16243" w:rsidRPr="003279E1" w:rsidRDefault="00E16243" w:rsidP="00E16243">
            <w:pPr>
              <w:tabs>
                <w:tab w:val="center" w:pos="4320"/>
                <w:tab w:val="left" w:pos="6217"/>
                <w:tab w:val="right" w:pos="7312"/>
                <w:tab w:val="right" w:pos="8640"/>
              </w:tabs>
              <w:bidi/>
              <w:spacing w:line="280" w:lineRule="exact"/>
              <w:rPr>
                <w:rFonts w:ascii="Arabic Typesetting" w:hAnsi="Arabic Typesetting" w:cs="Arabic Typesetting"/>
                <w:b/>
                <w:bCs/>
                <w:sz w:val="28"/>
                <w:szCs w:val="28"/>
                <w:rtl/>
                <w:lang w:bidi="ar-EG"/>
              </w:rPr>
            </w:pPr>
            <w:r w:rsidRPr="003279E1">
              <w:rPr>
                <w:rFonts w:ascii="Arabic Typesetting" w:hAnsi="Arabic Typesetting" w:cs="Arabic Typesetting"/>
                <w:b/>
                <w:bCs/>
                <w:sz w:val="28"/>
                <w:szCs w:val="28"/>
                <w:rtl/>
              </w:rPr>
              <w:t>القيمة العادلة</w:t>
            </w:r>
          </w:p>
        </w:tc>
        <w:tc>
          <w:tcPr>
            <w:tcW w:w="4770" w:type="dxa"/>
            <w:gridSpan w:val="3"/>
            <w:vAlign w:val="center"/>
          </w:tcPr>
          <w:p w:rsidR="00E16243" w:rsidRPr="003279E1"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آ</w:t>
            </w:r>
            <w:r>
              <w:rPr>
                <w:rFonts w:ascii="Arabic Typesetting" w:hAnsi="Arabic Typesetting" w:cs="Arabic Typesetting"/>
                <w:sz w:val="28"/>
                <w:szCs w:val="28"/>
                <w:rtl/>
                <w:lang w:bidi="ar-EG"/>
              </w:rPr>
              <w:t>ل</w:t>
            </w:r>
            <w:r>
              <w:rPr>
                <w:rFonts w:ascii="Arabic Typesetting" w:hAnsi="Arabic Typesetting" w:cs="Arabic Typesetting" w:hint="cs"/>
                <w:sz w:val="28"/>
                <w:szCs w:val="28"/>
                <w:rtl/>
                <w:lang w:bidi="ar-EG"/>
              </w:rPr>
              <w:t>ا</w:t>
            </w:r>
            <w:r w:rsidRPr="003279E1">
              <w:rPr>
                <w:rFonts w:ascii="Arabic Typesetting" w:hAnsi="Arabic Typesetting" w:cs="Arabic Typesetting"/>
                <w:sz w:val="28"/>
                <w:szCs w:val="28"/>
                <w:rtl/>
                <w:lang w:bidi="ar-EG"/>
              </w:rPr>
              <w:t xml:space="preserve">ف </w:t>
            </w:r>
            <w:r>
              <w:rPr>
                <w:rFonts w:ascii="Arabic Typesetting" w:hAnsi="Arabic Typesetting" w:cs="Arabic Typesetting" w:hint="cs"/>
                <w:sz w:val="28"/>
                <w:szCs w:val="28"/>
                <w:rtl/>
                <w:lang w:bidi="ar-EG"/>
              </w:rPr>
              <w:t>ال</w:t>
            </w:r>
            <w:r w:rsidRPr="003279E1">
              <w:rPr>
                <w:rFonts w:ascii="Arabic Typesetting" w:hAnsi="Arabic Typesetting" w:cs="Arabic Typesetting"/>
                <w:sz w:val="28"/>
                <w:szCs w:val="28"/>
                <w:rtl/>
                <w:lang w:bidi="ar-EG"/>
              </w:rPr>
              <w:t>فرنك</w:t>
            </w:r>
            <w:r>
              <w:rPr>
                <w:rFonts w:ascii="Arabic Typesetting" w:hAnsi="Arabic Typesetting" w:cs="Arabic Typesetting" w:hint="cs"/>
                <w:sz w:val="28"/>
                <w:szCs w:val="28"/>
                <w:rtl/>
                <w:lang w:bidi="ar-EG"/>
              </w:rPr>
              <w:t>ات</w:t>
            </w:r>
            <w:r w:rsidRPr="003279E1">
              <w:rPr>
                <w:rFonts w:ascii="Arabic Typesetting" w:hAnsi="Arabic Typesetting" w:cs="Arabic Typesetting"/>
                <w:sz w:val="28"/>
                <w:szCs w:val="28"/>
                <w:rtl/>
                <w:lang w:bidi="ar-EG"/>
              </w:rPr>
              <w:t xml:space="preserve"> </w:t>
            </w:r>
            <w:r>
              <w:rPr>
                <w:rFonts w:ascii="Arabic Typesetting" w:hAnsi="Arabic Typesetting" w:cs="Arabic Typesetting" w:hint="cs"/>
                <w:sz w:val="28"/>
                <w:szCs w:val="28"/>
                <w:rtl/>
                <w:lang w:bidi="ar-EG"/>
              </w:rPr>
              <w:t>ال</w:t>
            </w:r>
            <w:r w:rsidRPr="003279E1">
              <w:rPr>
                <w:rFonts w:ascii="Arabic Typesetting" w:hAnsi="Arabic Typesetting" w:cs="Arabic Typesetting"/>
                <w:sz w:val="28"/>
                <w:szCs w:val="28"/>
                <w:rtl/>
                <w:lang w:bidi="ar-EG"/>
              </w:rPr>
              <w:t>سويسري</w:t>
            </w:r>
            <w:r>
              <w:rPr>
                <w:rFonts w:ascii="Arabic Typesetting" w:hAnsi="Arabic Typesetting" w:cs="Arabic Typesetting" w:hint="cs"/>
                <w:sz w:val="28"/>
                <w:szCs w:val="28"/>
                <w:rtl/>
                <w:lang w:bidi="ar-EG"/>
              </w:rPr>
              <w:t>ة</w:t>
            </w:r>
            <w:r w:rsidRPr="003279E1">
              <w:rPr>
                <w:rFonts w:ascii="Arabic Typesetting" w:hAnsi="Arabic Typesetting" w:cs="Arabic Typesetting"/>
                <w:sz w:val="28"/>
                <w:szCs w:val="28"/>
                <w:rtl/>
                <w:lang w:bidi="ar-EG"/>
              </w:rPr>
              <w:t>)</w:t>
            </w:r>
          </w:p>
        </w:tc>
      </w:tr>
      <w:tr w:rsidR="00E16243" w:rsidRPr="003279E1" w:rsidTr="00E16243">
        <w:trPr>
          <w:jc w:val="center"/>
        </w:trPr>
        <w:tc>
          <w:tcPr>
            <w:tcW w:w="4428" w:type="dxa"/>
            <w:vAlign w:val="bottom"/>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lang w:bidi="ar-EG"/>
              </w:rPr>
            </w:pPr>
            <w:r w:rsidRPr="003279E1">
              <w:rPr>
                <w:rFonts w:ascii="Arabic Typesetting" w:hAnsi="Arabic Typesetting" w:cs="Arabic Typesetting"/>
                <w:sz w:val="28"/>
                <w:szCs w:val="28"/>
                <w:rtl/>
              </w:rPr>
              <w:t>الرصيد في بداية الفترة</w:t>
            </w:r>
          </w:p>
        </w:tc>
        <w:tc>
          <w:tcPr>
            <w:tcW w:w="2070" w:type="dxa"/>
            <w:tcBorders>
              <w:top w:val="single" w:sz="4" w:space="0" w:color="auto"/>
              <w:bottom w:val="single" w:sz="4" w:space="0" w:color="auto"/>
            </w:tcBorders>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3279E1">
              <w:rPr>
                <w:rFonts w:ascii="Arabic Typesetting" w:hAnsi="Arabic Typesetting" w:cs="Arabic Typesetting"/>
                <w:sz w:val="28"/>
                <w:szCs w:val="28"/>
              </w:rPr>
              <w:t>4,316</w:t>
            </w:r>
          </w:p>
        </w:tc>
        <w:tc>
          <w:tcPr>
            <w:tcW w:w="630" w:type="dxa"/>
            <w:tcBorders>
              <w:top w:val="single" w:sz="4" w:space="0" w:color="auto"/>
              <w:bottom w:val="single" w:sz="4" w:space="0" w:color="auto"/>
            </w:tcBorders>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tcBorders>
              <w:top w:val="single" w:sz="4" w:space="0" w:color="auto"/>
              <w:bottom w:val="single" w:sz="4" w:space="0" w:color="auto"/>
            </w:tcBorders>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3279E1">
              <w:rPr>
                <w:rFonts w:ascii="Arabic Typesetting" w:hAnsi="Arabic Typesetting" w:cs="Arabic Typesetting"/>
                <w:sz w:val="28"/>
                <w:szCs w:val="28"/>
              </w:rPr>
              <w:t>4,316</w:t>
            </w:r>
          </w:p>
        </w:tc>
      </w:tr>
      <w:tr w:rsidR="00E16243" w:rsidRPr="003279E1" w:rsidTr="00E16243">
        <w:trPr>
          <w:trHeight w:val="324"/>
          <w:jc w:val="center"/>
        </w:trPr>
        <w:tc>
          <w:tcPr>
            <w:tcW w:w="4428" w:type="dxa"/>
            <w:vAlign w:val="bottom"/>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r w:rsidRPr="003279E1">
              <w:rPr>
                <w:rFonts w:ascii="Arabic Typesetting" w:hAnsi="Arabic Typesetting" w:cs="Arabic Typesetting"/>
                <w:sz w:val="28"/>
                <w:szCs w:val="28"/>
                <w:rtl/>
              </w:rPr>
              <w:t>مكاسب</w:t>
            </w:r>
            <w:r>
              <w:rPr>
                <w:rFonts w:ascii="Arabic Typesetting" w:hAnsi="Arabic Typesetting" w:cs="Arabic Typesetting"/>
                <w:sz w:val="28"/>
                <w:szCs w:val="28"/>
                <w:rtl/>
              </w:rPr>
              <w:t>/</w:t>
            </w:r>
            <w:r w:rsidRPr="003279E1">
              <w:rPr>
                <w:rFonts w:ascii="Arabic Typesetting" w:hAnsi="Arabic Typesetting" w:cs="Arabic Typesetting"/>
                <w:sz w:val="28"/>
                <w:szCs w:val="28"/>
                <w:rtl/>
              </w:rPr>
              <w:t>خسائر القيمة العادلة عند التقييم</w:t>
            </w:r>
          </w:p>
        </w:tc>
        <w:tc>
          <w:tcPr>
            <w:tcW w:w="2070" w:type="dxa"/>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3279E1">
              <w:rPr>
                <w:rFonts w:ascii="Arabic Typesetting" w:hAnsi="Arabic Typesetting" w:cs="Arabic Typesetting"/>
                <w:sz w:val="28"/>
                <w:szCs w:val="28"/>
              </w:rPr>
              <w:t>469</w:t>
            </w:r>
          </w:p>
        </w:tc>
        <w:tc>
          <w:tcPr>
            <w:tcW w:w="630" w:type="dxa"/>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3279E1">
              <w:rPr>
                <w:rFonts w:ascii="Arabic Typesetting" w:hAnsi="Arabic Typesetting" w:cs="Arabic Typesetting"/>
                <w:sz w:val="28"/>
                <w:szCs w:val="28"/>
              </w:rPr>
              <w:t>-</w:t>
            </w:r>
          </w:p>
        </w:tc>
      </w:tr>
      <w:tr w:rsidR="00E16243" w:rsidRPr="003279E1" w:rsidTr="00E16243">
        <w:trPr>
          <w:jc w:val="center"/>
        </w:trPr>
        <w:tc>
          <w:tcPr>
            <w:tcW w:w="4428" w:type="dxa"/>
            <w:vAlign w:val="bottom"/>
          </w:tcPr>
          <w:p w:rsidR="00E16243" w:rsidRPr="003279E1"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3279E1">
              <w:rPr>
                <w:rFonts w:ascii="Arabic Typesetting" w:hAnsi="Arabic Typesetting" w:cs="Arabic Typesetting"/>
                <w:b/>
                <w:bCs/>
                <w:sz w:val="28"/>
                <w:szCs w:val="28"/>
                <w:rtl/>
              </w:rPr>
              <w:t>الرصيد في نهاية الفترة</w:t>
            </w:r>
          </w:p>
        </w:tc>
        <w:tc>
          <w:tcPr>
            <w:tcW w:w="2070" w:type="dxa"/>
            <w:tcBorders>
              <w:top w:val="single" w:sz="18" w:space="0" w:color="auto"/>
              <w:bottom w:val="single" w:sz="18" w:space="0" w:color="auto"/>
            </w:tcBorders>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3279E1">
              <w:rPr>
                <w:rFonts w:ascii="Arabic Typesetting" w:hAnsi="Arabic Typesetting" w:cs="Arabic Typesetting"/>
                <w:b/>
                <w:bCs/>
                <w:sz w:val="28"/>
                <w:szCs w:val="28"/>
              </w:rPr>
              <w:t>4,785</w:t>
            </w:r>
          </w:p>
        </w:tc>
        <w:tc>
          <w:tcPr>
            <w:tcW w:w="630" w:type="dxa"/>
          </w:tcPr>
          <w:p w:rsidR="00E16243" w:rsidRPr="003279E1"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tcBorders>
              <w:top w:val="single" w:sz="18" w:space="0" w:color="auto"/>
              <w:bottom w:val="single" w:sz="18" w:space="0" w:color="auto"/>
            </w:tcBorders>
            <w:vAlign w:val="bottom"/>
          </w:tcPr>
          <w:p w:rsidR="00E16243" w:rsidRPr="003279E1"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3279E1">
              <w:rPr>
                <w:rFonts w:ascii="Arabic Typesetting" w:hAnsi="Arabic Typesetting" w:cs="Arabic Typesetting"/>
                <w:b/>
                <w:bCs/>
                <w:sz w:val="28"/>
                <w:szCs w:val="28"/>
              </w:rPr>
              <w:t>4,316</w:t>
            </w:r>
          </w:p>
        </w:tc>
      </w:tr>
    </w:tbl>
    <w:p w:rsidR="00E16243" w:rsidRPr="00325785" w:rsidRDefault="00E16243" w:rsidP="00E16243">
      <w:pPr>
        <w:pStyle w:val="NormalParaAR"/>
        <w:spacing w:line="240" w:lineRule="auto"/>
        <w:rPr>
          <w:rtl/>
          <w:lang w:bidi="ar-EG"/>
        </w:rPr>
      </w:pPr>
    </w:p>
    <w:p w:rsidR="00E16243" w:rsidRDefault="00E16243" w:rsidP="00E16243">
      <w:pPr>
        <w:pStyle w:val="NormalParaAR"/>
        <w:rPr>
          <w:rtl/>
        </w:rPr>
      </w:pPr>
      <w:r w:rsidRPr="00F57F24">
        <w:rPr>
          <w:rFonts w:hint="cs"/>
          <w:rtl/>
        </w:rPr>
        <w:t xml:space="preserve">اشترت </w:t>
      </w:r>
      <w:r w:rsidRPr="00CD19C3">
        <w:rPr>
          <w:color w:val="000000"/>
          <w:rtl/>
        </w:rPr>
        <w:t>"المنظمة" في عام 1974 مبنى اتحاد مدريد، وهو مبنى استثماري في ميران</w:t>
      </w:r>
      <w:r>
        <w:rPr>
          <w:rFonts w:hint="cs"/>
          <w:color w:val="000000"/>
          <w:rtl/>
        </w:rPr>
        <w:t>،</w:t>
      </w:r>
      <w:r w:rsidRPr="00CD19C3">
        <w:rPr>
          <w:color w:val="000000"/>
          <w:rtl/>
        </w:rPr>
        <w:t xml:space="preserve"> ك</w:t>
      </w:r>
      <w:r>
        <w:rPr>
          <w:rFonts w:hint="cs"/>
          <w:color w:val="000000"/>
          <w:rtl/>
        </w:rPr>
        <w:t>ا</w:t>
      </w:r>
      <w:r>
        <w:rPr>
          <w:color w:val="000000"/>
          <w:rtl/>
        </w:rPr>
        <w:t>نتون جنيف بسويسرا.</w:t>
      </w:r>
      <w:r w:rsidRPr="00CD19C3">
        <w:rPr>
          <w:color w:val="000000"/>
          <w:rtl/>
        </w:rPr>
        <w:t xml:space="preserve"> </w:t>
      </w:r>
      <w:r>
        <w:rPr>
          <w:rFonts w:hint="cs"/>
          <w:color w:val="000000"/>
          <w:rtl/>
        </w:rPr>
        <w:t>و</w:t>
      </w:r>
      <w:r w:rsidRPr="00CD19C3">
        <w:rPr>
          <w:color w:val="000000"/>
          <w:rtl/>
        </w:rPr>
        <w:t>تم تشغيل المبنى لأول مرة في عام 1964. يُقدّر العقار بالقيمة العادلة على أساس التقييم الذي تم في 31 ديسمبر 2012 من قبل خبير مستقل يتمتع بمؤهلات مهنية معترف بها ومناسبة وله تجربة حديثة في مجال تقييم العقارات في ك</w:t>
      </w:r>
      <w:r>
        <w:rPr>
          <w:rFonts w:hint="cs"/>
          <w:color w:val="000000"/>
          <w:rtl/>
        </w:rPr>
        <w:t>ا</w:t>
      </w:r>
      <w:r w:rsidRPr="00CD19C3">
        <w:rPr>
          <w:color w:val="000000"/>
          <w:rtl/>
        </w:rPr>
        <w:t xml:space="preserve">نتون جنيف. </w:t>
      </w:r>
      <w:r>
        <w:rPr>
          <w:rFonts w:hint="cs"/>
          <w:color w:val="000000"/>
          <w:rtl/>
        </w:rPr>
        <w:t>و</w:t>
      </w:r>
      <w:r w:rsidRPr="00CD19C3">
        <w:rPr>
          <w:color w:val="000000"/>
          <w:rtl/>
        </w:rPr>
        <w:t xml:space="preserve">تم تحديد القيمة العادلة على أساس تقييم استثماري، حيث يُرَسْمَل تدفق الدخل المستقبلي من العقار بمستوى ريع مناسب. </w:t>
      </w:r>
      <w:r>
        <w:rPr>
          <w:rFonts w:hint="cs"/>
          <w:color w:val="000000"/>
          <w:rtl/>
        </w:rPr>
        <w:t>و</w:t>
      </w:r>
      <w:r w:rsidRPr="00CD19C3">
        <w:rPr>
          <w:color w:val="000000"/>
          <w:rtl/>
        </w:rPr>
        <w:t xml:space="preserve">يُختار مبلغ الريع استناداً على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r>
        <w:rPr>
          <w:rFonts w:hint="cs"/>
          <w:color w:val="000000"/>
          <w:rtl/>
        </w:rPr>
        <w:t>و</w:t>
      </w:r>
      <w:r w:rsidRPr="00CD19C3">
        <w:rPr>
          <w:color w:val="000000"/>
          <w:rtl/>
        </w:rPr>
        <w:t>أسفر التقييم في 31 ديسمبر 2012 عن زيادة في القيمة العادلة للمبنى بقيمة 0</w:t>
      </w:r>
      <w:r>
        <w:rPr>
          <w:rFonts w:hint="cs"/>
          <w:color w:val="000000"/>
          <w:rtl/>
        </w:rPr>
        <w:t>,</w:t>
      </w:r>
      <w:r w:rsidRPr="00CD19C3">
        <w:rPr>
          <w:color w:val="000000"/>
          <w:rtl/>
        </w:rPr>
        <w:t xml:space="preserve">5 مليون فرنك سويسري. </w:t>
      </w:r>
      <w:r>
        <w:rPr>
          <w:rFonts w:hint="cs"/>
          <w:color w:val="000000"/>
          <w:rtl/>
        </w:rPr>
        <w:t>و</w:t>
      </w:r>
      <w:r w:rsidRPr="00CD19C3">
        <w:rPr>
          <w:color w:val="000000"/>
          <w:rtl/>
        </w:rPr>
        <w:t>تُقَيّد الزيادة في بيان الأداء المالي لعام 2012 كإيرادات استثمارية</w:t>
      </w:r>
      <w:r w:rsidRPr="00B17190">
        <w:rPr>
          <w:rFonts w:hint="cs"/>
          <w:rtl/>
        </w:rPr>
        <w:t>.</w:t>
      </w:r>
    </w:p>
    <w:p w:rsidR="00E16243" w:rsidRDefault="00E16243" w:rsidP="00E16243">
      <w:pPr>
        <w:pStyle w:val="NormalParaAR"/>
        <w:rPr>
          <w:rtl/>
        </w:rPr>
      </w:pPr>
      <w:r>
        <w:rPr>
          <w:rFonts w:hint="cs"/>
          <w:color w:val="000000"/>
          <w:rtl/>
        </w:rPr>
        <w:t>و</w:t>
      </w:r>
      <w:r w:rsidRPr="002C20CB">
        <w:rPr>
          <w:color w:val="000000"/>
          <w:rtl/>
        </w:rPr>
        <w:t>يتولى إدارة تأجير الشقق وموقف السيارات وسائر المرافق في مبنى</w:t>
      </w:r>
      <w:r>
        <w:rPr>
          <w:color w:val="000000"/>
          <w:rtl/>
        </w:rPr>
        <w:t xml:space="preserve"> اتحاد مدريد وكيل تأجير، وهو مس</w:t>
      </w:r>
      <w:r>
        <w:rPr>
          <w:rFonts w:hint="cs"/>
          <w:color w:val="000000"/>
          <w:rtl/>
        </w:rPr>
        <w:t>ؤ</w:t>
      </w:r>
      <w:r w:rsidRPr="002C20CB">
        <w:rPr>
          <w:color w:val="000000"/>
          <w:rtl/>
        </w:rPr>
        <w:t xml:space="preserve">ول عن تحصيل جميع إيرادات الإيجار ودفع كل المصروفات اللازمة لتشغيل المبنى. </w:t>
      </w:r>
      <w:r>
        <w:rPr>
          <w:rFonts w:hint="cs"/>
          <w:color w:val="000000"/>
          <w:rtl/>
        </w:rPr>
        <w:t>و</w:t>
      </w:r>
      <w:r w:rsidRPr="002C20CB">
        <w:rPr>
          <w:color w:val="000000"/>
          <w:rtl/>
        </w:rPr>
        <w:t>تصل مدة الإيجار في العادة إلى سنتين، وتستند على نموذج عقد الإيجار المعتمد من ك</w:t>
      </w:r>
      <w:r>
        <w:rPr>
          <w:rFonts w:hint="cs"/>
          <w:color w:val="000000"/>
          <w:rtl/>
        </w:rPr>
        <w:t>ا</w:t>
      </w:r>
      <w:r>
        <w:rPr>
          <w:color w:val="000000"/>
          <w:rtl/>
        </w:rPr>
        <w:t xml:space="preserve">نتون </w:t>
      </w:r>
      <w:r w:rsidRPr="002C20CB">
        <w:rPr>
          <w:color w:val="000000"/>
          <w:rtl/>
        </w:rPr>
        <w:t xml:space="preserve">جنيف. وجميع عقود الإيجار غير قابلة للإلغاء خلال فترة الإيجار. </w:t>
      </w:r>
      <w:r>
        <w:rPr>
          <w:rFonts w:hint="cs"/>
          <w:color w:val="000000"/>
          <w:rtl/>
        </w:rPr>
        <w:t>و</w:t>
      </w:r>
      <w:r w:rsidRPr="002C20CB">
        <w:rPr>
          <w:color w:val="000000"/>
          <w:rtl/>
        </w:rPr>
        <w:t xml:space="preserve">يُخصص للوكيل نسبة </w:t>
      </w:r>
      <w:r w:rsidRPr="002C20CB">
        <w:rPr>
          <w:color w:val="000000"/>
          <w:rtl/>
          <w:lang w:bidi="ar-EG"/>
        </w:rPr>
        <w:t xml:space="preserve">تعادل </w:t>
      </w:r>
      <w:r w:rsidRPr="002C20CB">
        <w:rPr>
          <w:color w:val="000000"/>
          <w:rtl/>
        </w:rPr>
        <w:t>3.9</w:t>
      </w:r>
      <w:r>
        <w:rPr>
          <w:rFonts w:hint="cs"/>
          <w:color w:val="000000"/>
          <w:rtl/>
        </w:rPr>
        <w:t xml:space="preserve"> بالمائة</w:t>
      </w:r>
      <w:r w:rsidRPr="002C20CB">
        <w:rPr>
          <w:color w:val="000000"/>
          <w:rtl/>
        </w:rPr>
        <w:t xml:space="preserve"> من إجمالي إيرادات الإيجار في مقابل خدماته. </w:t>
      </w:r>
      <w:r>
        <w:rPr>
          <w:rFonts w:hint="cs"/>
          <w:color w:val="000000"/>
          <w:rtl/>
        </w:rPr>
        <w:t>و</w:t>
      </w:r>
      <w:r w:rsidRPr="002C20CB">
        <w:rPr>
          <w:color w:val="000000"/>
          <w:rtl/>
        </w:rPr>
        <w:t xml:space="preserve">بلغت قيمة الإيجارات غير الملغاة في 31 ديسمبر 2012 على النحو </w:t>
      </w:r>
      <w:r>
        <w:rPr>
          <w:rFonts w:hint="cs"/>
          <w:color w:val="000000"/>
          <w:rtl/>
        </w:rPr>
        <w:t>التالي:</w:t>
      </w:r>
    </w:p>
    <w:tbl>
      <w:tblPr>
        <w:bidiVisual/>
        <w:tblW w:w="0" w:type="auto"/>
        <w:jc w:val="center"/>
        <w:tblLook w:val="04A0" w:firstRow="1" w:lastRow="0" w:firstColumn="1" w:lastColumn="0" w:noHBand="0" w:noVBand="1"/>
      </w:tblPr>
      <w:tblGrid>
        <w:gridCol w:w="4428"/>
        <w:gridCol w:w="2070"/>
        <w:gridCol w:w="630"/>
        <w:gridCol w:w="2070"/>
      </w:tblGrid>
      <w:tr w:rsidR="00E16243" w:rsidRPr="00AA1F26" w:rsidTr="00E16243">
        <w:trPr>
          <w:jc w:val="center"/>
        </w:trPr>
        <w:tc>
          <w:tcPr>
            <w:tcW w:w="4428" w:type="dxa"/>
          </w:tcPr>
          <w:p w:rsidR="00E16243" w:rsidRPr="00AA1F26" w:rsidRDefault="00E16243" w:rsidP="00E16243">
            <w:pPr>
              <w:tabs>
                <w:tab w:val="center" w:pos="4320"/>
                <w:tab w:val="left" w:pos="6217"/>
                <w:tab w:val="right" w:pos="7312"/>
                <w:tab w:val="right" w:pos="8640"/>
              </w:tabs>
              <w:bidi/>
              <w:spacing w:line="280" w:lineRule="exact"/>
              <w:rPr>
                <w:rFonts w:ascii="Arabic Typesetting" w:hAnsi="Arabic Typesetting" w:cs="Arabic Typesetting"/>
                <w:b/>
                <w:bCs/>
                <w:sz w:val="28"/>
                <w:szCs w:val="28"/>
                <w:rtl/>
              </w:rPr>
            </w:pPr>
            <w:r w:rsidRPr="00AA1F26">
              <w:rPr>
                <w:rFonts w:ascii="Arabic Typesetting" w:hAnsi="Arabic Typesetting" w:cs="Arabic Typesetting"/>
                <w:b/>
                <w:bCs/>
                <w:sz w:val="28"/>
                <w:szCs w:val="28"/>
                <w:rtl/>
              </w:rPr>
              <w:t>مبنى اتحاد مدريد،</w:t>
            </w:r>
          </w:p>
          <w:p w:rsidR="00E16243" w:rsidRPr="006371A4" w:rsidRDefault="00E16243" w:rsidP="00E16243">
            <w:pPr>
              <w:tabs>
                <w:tab w:val="center" w:pos="4320"/>
                <w:tab w:val="right" w:pos="8640"/>
              </w:tabs>
              <w:bidi/>
              <w:spacing w:line="280" w:lineRule="exact"/>
              <w:rPr>
                <w:rFonts w:ascii="Arabic Typesetting" w:hAnsi="Arabic Typesetting" w:cs="Arabic Typesetting"/>
                <w:sz w:val="28"/>
                <w:szCs w:val="28"/>
                <w:lang w:val="fr-CH" w:bidi="ar-EG"/>
              </w:rPr>
            </w:pPr>
            <w:r w:rsidRPr="006371A4">
              <w:rPr>
                <w:rFonts w:ascii="Arabic Typesetting" w:hAnsi="Arabic Typesetting" w:cs="Arabic Typesetting"/>
                <w:sz w:val="28"/>
                <w:szCs w:val="28"/>
                <w:lang w:val="fr-CH" w:bidi="ar-EG"/>
              </w:rPr>
              <w:t xml:space="preserve">Rue de la </w:t>
            </w:r>
            <w:proofErr w:type="spellStart"/>
            <w:r w:rsidRPr="006371A4">
              <w:rPr>
                <w:rFonts w:ascii="Arabic Typesetting" w:hAnsi="Arabic Typesetting" w:cs="Arabic Typesetting"/>
                <w:sz w:val="28"/>
                <w:szCs w:val="28"/>
                <w:lang w:val="fr-CH" w:bidi="ar-EG"/>
              </w:rPr>
              <w:t>Prulay</w:t>
            </w:r>
            <w:proofErr w:type="spellEnd"/>
            <w:r w:rsidRPr="006371A4">
              <w:rPr>
                <w:rFonts w:ascii="Arabic Typesetting" w:hAnsi="Arabic Typesetting" w:cs="Arabic Typesetting"/>
                <w:sz w:val="28"/>
                <w:szCs w:val="28"/>
                <w:lang w:val="fr-CH" w:bidi="ar-EG"/>
              </w:rPr>
              <w:t xml:space="preserve"> 40,</w:t>
            </w:r>
          </w:p>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roofErr w:type="spellStart"/>
            <w:r w:rsidRPr="00AA1F26">
              <w:rPr>
                <w:rFonts w:ascii="Arabic Typesetting" w:hAnsi="Arabic Typesetting" w:cs="Arabic Typesetting"/>
                <w:sz w:val="28"/>
                <w:szCs w:val="28"/>
                <w:lang w:bidi="ar-EG"/>
              </w:rPr>
              <w:t>Meyrin</w:t>
            </w:r>
            <w:proofErr w:type="spellEnd"/>
          </w:p>
        </w:tc>
        <w:tc>
          <w:tcPr>
            <w:tcW w:w="2070" w:type="dxa"/>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tl/>
              </w:rPr>
              <w:t>31 ديسمبر 2012</w:t>
            </w:r>
          </w:p>
        </w:tc>
        <w:tc>
          <w:tcPr>
            <w:tcW w:w="630" w:type="dxa"/>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tl/>
              </w:rPr>
              <w:t>31 ديسمبر 2011</w:t>
            </w:r>
          </w:p>
        </w:tc>
      </w:tr>
      <w:tr w:rsidR="00E16243" w:rsidRPr="00AA1F26" w:rsidTr="00E16243">
        <w:trPr>
          <w:jc w:val="center"/>
        </w:trPr>
        <w:tc>
          <w:tcPr>
            <w:tcW w:w="4428" w:type="dxa"/>
          </w:tcPr>
          <w:p w:rsidR="00E16243" w:rsidRPr="00AA1F26" w:rsidRDefault="00E16243" w:rsidP="00E16243">
            <w:pPr>
              <w:tabs>
                <w:tab w:val="center" w:pos="4320"/>
                <w:tab w:val="left" w:pos="6217"/>
                <w:tab w:val="right" w:pos="7312"/>
                <w:tab w:val="right" w:pos="8640"/>
              </w:tabs>
              <w:bidi/>
              <w:spacing w:line="280" w:lineRule="exact"/>
              <w:rPr>
                <w:rFonts w:ascii="Arabic Typesetting" w:hAnsi="Arabic Typesetting" w:cs="Arabic Typesetting"/>
                <w:b/>
                <w:bCs/>
                <w:sz w:val="28"/>
                <w:szCs w:val="28"/>
                <w:rtl/>
              </w:rPr>
            </w:pPr>
            <w:r w:rsidRPr="00AA1F26">
              <w:rPr>
                <w:rFonts w:ascii="Arabic Typesetting" w:hAnsi="Arabic Typesetting" w:cs="Arabic Typesetting"/>
                <w:b/>
                <w:bCs/>
                <w:sz w:val="28"/>
                <w:szCs w:val="28"/>
                <w:rtl/>
              </w:rPr>
              <w:t>عقود التأجير غير القابلة للإلغاء</w:t>
            </w:r>
          </w:p>
        </w:tc>
        <w:tc>
          <w:tcPr>
            <w:tcW w:w="4770" w:type="dxa"/>
            <w:gridSpan w:val="3"/>
            <w:tcBorders>
              <w:bottom w:val="single" w:sz="4" w:space="0" w:color="auto"/>
            </w:tcBorders>
            <w:vAlign w:val="center"/>
          </w:tcPr>
          <w:p w:rsidR="00E16243" w:rsidRPr="00AA1F26"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آ</w:t>
            </w:r>
            <w:r>
              <w:rPr>
                <w:rFonts w:ascii="Arabic Typesetting" w:hAnsi="Arabic Typesetting" w:cs="Arabic Typesetting"/>
                <w:sz w:val="28"/>
                <w:szCs w:val="28"/>
                <w:rtl/>
                <w:lang w:bidi="ar-EG"/>
              </w:rPr>
              <w:t>ل</w:t>
            </w:r>
            <w:r>
              <w:rPr>
                <w:rFonts w:ascii="Arabic Typesetting" w:hAnsi="Arabic Typesetting" w:cs="Arabic Typesetting" w:hint="cs"/>
                <w:sz w:val="28"/>
                <w:szCs w:val="28"/>
                <w:rtl/>
                <w:lang w:bidi="ar-EG"/>
              </w:rPr>
              <w:t>ا</w:t>
            </w:r>
            <w:r w:rsidRPr="00AA1F26">
              <w:rPr>
                <w:rFonts w:ascii="Arabic Typesetting" w:hAnsi="Arabic Typesetting" w:cs="Arabic Typesetting"/>
                <w:sz w:val="28"/>
                <w:szCs w:val="28"/>
                <w:rtl/>
                <w:lang w:bidi="ar-EG"/>
              </w:rPr>
              <w:t xml:space="preserve">ف </w:t>
            </w:r>
            <w:r>
              <w:rPr>
                <w:rFonts w:ascii="Arabic Typesetting" w:hAnsi="Arabic Typesetting" w:cs="Arabic Typesetting" w:hint="cs"/>
                <w:sz w:val="28"/>
                <w:szCs w:val="28"/>
                <w:rtl/>
                <w:lang w:bidi="ar-EG"/>
              </w:rPr>
              <w:t>ال</w:t>
            </w:r>
            <w:r w:rsidRPr="00AA1F26">
              <w:rPr>
                <w:rFonts w:ascii="Arabic Typesetting" w:hAnsi="Arabic Typesetting" w:cs="Arabic Typesetting"/>
                <w:sz w:val="28"/>
                <w:szCs w:val="28"/>
                <w:rtl/>
                <w:lang w:bidi="ar-EG"/>
              </w:rPr>
              <w:t>فرنك</w:t>
            </w:r>
            <w:r>
              <w:rPr>
                <w:rFonts w:ascii="Arabic Typesetting" w:hAnsi="Arabic Typesetting" w:cs="Arabic Typesetting" w:hint="cs"/>
                <w:sz w:val="28"/>
                <w:szCs w:val="28"/>
                <w:rtl/>
                <w:lang w:bidi="ar-EG"/>
              </w:rPr>
              <w:t>ات</w:t>
            </w:r>
            <w:r w:rsidRPr="00AA1F26">
              <w:rPr>
                <w:rFonts w:ascii="Arabic Typesetting" w:hAnsi="Arabic Typesetting" w:cs="Arabic Typesetting"/>
                <w:sz w:val="28"/>
                <w:szCs w:val="28"/>
                <w:rtl/>
                <w:lang w:bidi="ar-EG"/>
              </w:rPr>
              <w:t xml:space="preserve"> </w:t>
            </w:r>
            <w:r>
              <w:rPr>
                <w:rFonts w:ascii="Arabic Typesetting" w:hAnsi="Arabic Typesetting" w:cs="Arabic Typesetting" w:hint="cs"/>
                <w:sz w:val="28"/>
                <w:szCs w:val="28"/>
                <w:rtl/>
                <w:lang w:bidi="ar-EG"/>
              </w:rPr>
              <w:t>ال</w:t>
            </w:r>
            <w:r w:rsidRPr="00AA1F26">
              <w:rPr>
                <w:rFonts w:ascii="Arabic Typesetting" w:hAnsi="Arabic Typesetting" w:cs="Arabic Typesetting"/>
                <w:sz w:val="28"/>
                <w:szCs w:val="28"/>
                <w:rtl/>
                <w:lang w:bidi="ar-EG"/>
              </w:rPr>
              <w:t>سويسري</w:t>
            </w:r>
            <w:r>
              <w:rPr>
                <w:rFonts w:ascii="Arabic Typesetting" w:hAnsi="Arabic Typesetting" w:cs="Arabic Typesetting" w:hint="cs"/>
                <w:sz w:val="28"/>
                <w:szCs w:val="28"/>
                <w:rtl/>
                <w:lang w:bidi="ar-EG"/>
              </w:rPr>
              <w:t>ة</w:t>
            </w:r>
            <w:r w:rsidRPr="00AA1F26">
              <w:rPr>
                <w:rFonts w:ascii="Arabic Typesetting" w:hAnsi="Arabic Typesetting" w:cs="Arabic Typesetting"/>
                <w:sz w:val="28"/>
                <w:szCs w:val="28"/>
                <w:rtl/>
                <w:lang w:bidi="ar-EG"/>
              </w:rPr>
              <w:t>)</w:t>
            </w:r>
          </w:p>
        </w:tc>
      </w:tr>
      <w:tr w:rsidR="00E16243" w:rsidRPr="00AA1F26" w:rsidTr="00E16243">
        <w:trPr>
          <w:jc w:val="center"/>
        </w:trPr>
        <w:tc>
          <w:tcPr>
            <w:tcW w:w="4428"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Pr>
            </w:pPr>
            <w:r>
              <w:rPr>
                <w:rFonts w:ascii="Arabic Typesetting" w:hAnsi="Arabic Typesetting" w:cs="Arabic Typesetting"/>
                <w:sz w:val="28"/>
                <w:szCs w:val="28"/>
                <w:rtl/>
              </w:rPr>
              <w:t>قبل</w:t>
            </w:r>
            <w:r w:rsidRPr="00AA1F26">
              <w:rPr>
                <w:rFonts w:ascii="Arabic Typesetting" w:hAnsi="Arabic Typesetting" w:cs="Arabic Typesetting"/>
                <w:sz w:val="28"/>
                <w:szCs w:val="28"/>
                <w:rtl/>
              </w:rPr>
              <w:t xml:space="preserve"> سنة واحدة</w:t>
            </w:r>
          </w:p>
        </w:tc>
        <w:tc>
          <w:tcPr>
            <w:tcW w:w="2070"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312</w:t>
            </w:r>
          </w:p>
        </w:tc>
        <w:tc>
          <w:tcPr>
            <w:tcW w:w="630" w:type="dxa"/>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319</w:t>
            </w:r>
          </w:p>
        </w:tc>
      </w:tr>
      <w:tr w:rsidR="00E16243" w:rsidRPr="00AA1F26" w:rsidTr="00E16243">
        <w:trPr>
          <w:jc w:val="center"/>
        </w:trPr>
        <w:tc>
          <w:tcPr>
            <w:tcW w:w="4428"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Pr>
            </w:pPr>
            <w:r w:rsidRPr="00AA1F26">
              <w:rPr>
                <w:rFonts w:ascii="Arabic Typesetting" w:hAnsi="Arabic Typesetting" w:cs="Arabic Typesetting"/>
                <w:sz w:val="28"/>
                <w:szCs w:val="28"/>
                <w:rtl/>
              </w:rPr>
              <w:t>بعد سنة واحدة ولكن قبل خمس سنوات</w:t>
            </w:r>
          </w:p>
        </w:tc>
        <w:tc>
          <w:tcPr>
            <w:tcW w:w="2070"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195</w:t>
            </w:r>
          </w:p>
        </w:tc>
        <w:tc>
          <w:tcPr>
            <w:tcW w:w="630" w:type="dxa"/>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342</w:t>
            </w:r>
          </w:p>
        </w:tc>
      </w:tr>
      <w:tr w:rsidR="00E16243" w:rsidRPr="00AA1F26" w:rsidTr="00E16243">
        <w:trPr>
          <w:jc w:val="center"/>
        </w:trPr>
        <w:tc>
          <w:tcPr>
            <w:tcW w:w="4428"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Pr>
            </w:pPr>
            <w:r w:rsidRPr="00AA1F26">
              <w:rPr>
                <w:rFonts w:ascii="Arabic Typesetting" w:hAnsi="Arabic Typesetting" w:cs="Arabic Typesetting"/>
                <w:sz w:val="28"/>
                <w:szCs w:val="28"/>
                <w:rtl/>
              </w:rPr>
              <w:t>بعد  خمس سنوات</w:t>
            </w:r>
          </w:p>
        </w:tc>
        <w:tc>
          <w:tcPr>
            <w:tcW w:w="2070" w:type="dxa"/>
            <w:tcBorders>
              <w:bottom w:val="single" w:sz="18"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w:t>
            </w:r>
          </w:p>
        </w:tc>
        <w:tc>
          <w:tcPr>
            <w:tcW w:w="630" w:type="dxa"/>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tcBorders>
              <w:bottom w:val="single" w:sz="18"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AA1F26">
              <w:rPr>
                <w:rFonts w:ascii="Arabic Typesetting" w:hAnsi="Arabic Typesetting" w:cs="Arabic Typesetting"/>
                <w:sz w:val="28"/>
                <w:szCs w:val="28"/>
              </w:rPr>
              <w:t>-</w:t>
            </w:r>
          </w:p>
        </w:tc>
      </w:tr>
      <w:tr w:rsidR="00E16243" w:rsidRPr="00AA1F26" w:rsidTr="00E16243">
        <w:trPr>
          <w:jc w:val="center"/>
        </w:trPr>
        <w:tc>
          <w:tcPr>
            <w:tcW w:w="4428" w:type="dxa"/>
            <w:vAlign w:val="bottom"/>
          </w:tcPr>
          <w:p w:rsidR="00E16243" w:rsidRPr="00AA1F26"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AA1F26">
              <w:rPr>
                <w:rFonts w:ascii="Arabic Typesetting" w:hAnsi="Arabic Typesetting" w:cs="Arabic Typesetting"/>
                <w:b/>
                <w:bCs/>
                <w:sz w:val="28"/>
                <w:szCs w:val="28"/>
                <w:rtl/>
              </w:rPr>
              <w:t>مجموع عقود التأجير التشغيلية غير القابلة للإلغاء</w:t>
            </w:r>
          </w:p>
        </w:tc>
        <w:tc>
          <w:tcPr>
            <w:tcW w:w="2070" w:type="dxa"/>
            <w:tcBorders>
              <w:top w:val="single" w:sz="18" w:space="0" w:color="auto"/>
              <w:bottom w:val="single" w:sz="18"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507</w:t>
            </w:r>
          </w:p>
        </w:tc>
        <w:tc>
          <w:tcPr>
            <w:tcW w:w="630" w:type="dxa"/>
          </w:tcPr>
          <w:p w:rsidR="00E16243" w:rsidRPr="00AA1F26"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070" w:type="dxa"/>
            <w:tcBorders>
              <w:top w:val="single" w:sz="18" w:space="0" w:color="auto"/>
              <w:bottom w:val="single" w:sz="18" w:space="0" w:color="auto"/>
            </w:tcBorders>
            <w:vAlign w:val="bottom"/>
          </w:tcPr>
          <w:p w:rsidR="00E16243" w:rsidRPr="00AA1F26"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AA1F26">
              <w:rPr>
                <w:rFonts w:ascii="Arabic Typesetting" w:hAnsi="Arabic Typesetting" w:cs="Arabic Typesetting"/>
                <w:b/>
                <w:bCs/>
                <w:sz w:val="28"/>
                <w:szCs w:val="28"/>
              </w:rPr>
              <w:t>661</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لا </w:t>
      </w:r>
      <w:r w:rsidRPr="00EF79D7">
        <w:rPr>
          <w:rFonts w:ascii="Arabic Typesetting" w:hAnsi="Arabic Typesetting" w:cs="Arabic Typesetting"/>
          <w:color w:val="000000"/>
          <w:sz w:val="36"/>
          <w:szCs w:val="36"/>
          <w:rtl/>
        </w:rPr>
        <w:t>تُقيد إيرادات الإيجارات والتي بلغت 364 ألف فرنك سويسري ومصروفات تشغيل المبنى والتي بلغت 221 ألف فرنك سويسري بشكل منفصل في حسابات الويبو. ويقيد فقط صافي الإيرادات الواردة من وكيل الإدارة والتي بلغت 860</w:t>
      </w:r>
      <w:r>
        <w:rPr>
          <w:rFonts w:ascii="Arabic Typesetting" w:hAnsi="Arabic Typesetting" w:cs="Arabic Typesetting" w:hint="cs"/>
          <w:color w:val="000000"/>
          <w:sz w:val="36"/>
          <w:szCs w:val="36"/>
          <w:rtl/>
        </w:rPr>
        <w:t> </w:t>
      </w:r>
      <w:r w:rsidRPr="00EF79D7">
        <w:rPr>
          <w:rFonts w:ascii="Arabic Typesetting" w:hAnsi="Arabic Typesetting" w:cs="Arabic Typesetting"/>
          <w:color w:val="000000"/>
          <w:sz w:val="36"/>
          <w:szCs w:val="36"/>
          <w:rtl/>
        </w:rPr>
        <w:t xml:space="preserve">142 فرنك سويسري كإيرادات إيجار في بيان الأداء المالي. </w:t>
      </w:r>
      <w:r>
        <w:rPr>
          <w:rFonts w:ascii="Arabic Typesetting" w:hAnsi="Arabic Typesetting" w:cs="Arabic Typesetting" w:hint="cs"/>
          <w:color w:val="000000"/>
          <w:sz w:val="36"/>
          <w:szCs w:val="36"/>
          <w:rtl/>
        </w:rPr>
        <w:t>و</w:t>
      </w:r>
      <w:r w:rsidRPr="00EF79D7">
        <w:rPr>
          <w:rFonts w:ascii="Arabic Typesetting" w:hAnsi="Arabic Typesetting" w:cs="Arabic Typesetting"/>
          <w:color w:val="000000"/>
          <w:sz w:val="36"/>
          <w:szCs w:val="36"/>
          <w:rtl/>
        </w:rPr>
        <w:t xml:space="preserve">لا يوجد هناك أي قيود </w:t>
      </w:r>
      <w:r>
        <w:rPr>
          <w:rFonts w:ascii="Arabic Typesetting" w:hAnsi="Arabic Typesetting" w:cs="Arabic Typesetting" w:hint="cs"/>
          <w:color w:val="000000"/>
          <w:sz w:val="36"/>
          <w:szCs w:val="36"/>
          <w:rtl/>
        </w:rPr>
        <w:t>تحد من القدرة</w:t>
      </w:r>
      <w:r w:rsidRPr="00EF79D7">
        <w:rPr>
          <w:rFonts w:ascii="Arabic Typesetting" w:hAnsi="Arabic Typesetting" w:cs="Arabic Typesetting"/>
          <w:color w:val="000000"/>
          <w:sz w:val="36"/>
          <w:szCs w:val="36"/>
          <w:rtl/>
        </w:rPr>
        <w:t xml:space="preserve"> على تحقيق </w:t>
      </w:r>
      <w:r>
        <w:rPr>
          <w:rFonts w:ascii="Arabic Typesetting" w:hAnsi="Arabic Typesetting" w:cs="Arabic Typesetting" w:hint="cs"/>
          <w:color w:val="000000"/>
          <w:sz w:val="36"/>
          <w:szCs w:val="36"/>
          <w:rtl/>
        </w:rPr>
        <w:t>إيرادات</w:t>
      </w:r>
      <w:r w:rsidRPr="00EF79D7">
        <w:rPr>
          <w:rFonts w:ascii="Arabic Typesetting" w:hAnsi="Arabic Typesetting" w:cs="Arabic Typesetting"/>
          <w:color w:val="000000"/>
          <w:sz w:val="36"/>
          <w:szCs w:val="36"/>
          <w:rtl/>
        </w:rPr>
        <w:t xml:space="preserve"> أو تحويل</w:t>
      </w:r>
      <w:r>
        <w:rPr>
          <w:rFonts w:ascii="Arabic Typesetting" w:hAnsi="Arabic Typesetting" w:cs="Arabic Typesetting" w:hint="cs"/>
          <w:color w:val="000000"/>
          <w:sz w:val="36"/>
          <w:szCs w:val="36"/>
          <w:rtl/>
        </w:rPr>
        <w:t xml:space="preserve"> تلك الإيرادات </w:t>
      </w:r>
      <w:r w:rsidRPr="00EF79D7">
        <w:rPr>
          <w:rFonts w:ascii="Arabic Typesetting" w:hAnsi="Arabic Typesetting" w:cs="Arabic Typesetting"/>
          <w:color w:val="000000"/>
          <w:sz w:val="36"/>
          <w:szCs w:val="36"/>
          <w:rtl/>
        </w:rPr>
        <w:t xml:space="preserve">من الملكية الاستثمارية على حد علم "المنظمة". </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w:t>
      </w:r>
      <w:r w:rsidRPr="00EF79D7">
        <w:rPr>
          <w:rFonts w:ascii="Arabic Typesetting" w:hAnsi="Arabic Typesetting" w:cs="Arabic Typesetting"/>
          <w:color w:val="000000"/>
          <w:sz w:val="36"/>
          <w:szCs w:val="36"/>
          <w:rtl/>
        </w:rPr>
        <w:t>تشمل النفقات المحصلة من الدخل بواسطة الوكيل على استه</w:t>
      </w:r>
      <w:r>
        <w:rPr>
          <w:rFonts w:ascii="Arabic Typesetting" w:hAnsi="Arabic Typesetting" w:cs="Arabic Typesetting"/>
          <w:color w:val="000000"/>
          <w:sz w:val="36"/>
          <w:szCs w:val="36"/>
          <w:rtl/>
        </w:rPr>
        <w:t xml:space="preserve">لاك المبنى. </w:t>
      </w:r>
      <w:r>
        <w:rPr>
          <w:rFonts w:ascii="Arabic Typesetting" w:hAnsi="Arabic Typesetting" w:cs="Arabic Typesetting" w:hint="cs"/>
          <w:color w:val="000000"/>
          <w:sz w:val="36"/>
          <w:szCs w:val="36"/>
          <w:rtl/>
        </w:rPr>
        <w:t xml:space="preserve">ولا يوجد هناك </w:t>
      </w:r>
      <w:r w:rsidRPr="00EF79D7">
        <w:rPr>
          <w:rFonts w:ascii="Arabic Typesetting" w:hAnsi="Arabic Typesetting" w:cs="Arabic Typesetting"/>
          <w:color w:val="000000"/>
          <w:sz w:val="36"/>
          <w:szCs w:val="36"/>
          <w:rtl/>
        </w:rPr>
        <w:t>أية التزامات تعاقدية لشراء أو بناء أو تطوير أي استثمارات عقارية، أو أي التزامات أخرى لإجراء إصلاحات أو صيانة أو رفع إمكانيات العقارات الحالية</w:t>
      </w:r>
      <w:r>
        <w:rPr>
          <w:rFonts w:ascii="Arabic Typesetting" w:hAnsi="Arabic Typesetting" w:cs="Arabic Typesetting" w:hint="cs"/>
          <w:color w:val="000000"/>
          <w:sz w:val="36"/>
          <w:szCs w:val="36"/>
          <w:rtl/>
        </w:rPr>
        <w:t xml:space="preserve"> في تاريخ التقرير المالي</w:t>
      </w:r>
      <w:r>
        <w:rPr>
          <w:rFonts w:ascii="Arabic Typesetting" w:hAnsi="Arabic Typesetting" w:cs="Arabic Typesetting" w:hint="cs"/>
          <w:sz w:val="36"/>
          <w:szCs w:val="36"/>
          <w:rtl/>
        </w:rPr>
        <w:t>.</w:t>
      </w:r>
    </w:p>
    <w:p w:rsidR="00E16243" w:rsidRPr="007E7C2D" w:rsidRDefault="00E16243" w:rsidP="002869C3">
      <w:pPr>
        <w:pStyle w:val="Heading2"/>
        <w:bidi/>
        <w:rPr>
          <w:rFonts w:ascii="Arabic Typesetting" w:hAnsi="Arabic Typesetting" w:cs="Arabic Typesetting"/>
          <w:sz w:val="40"/>
          <w:szCs w:val="40"/>
          <w:rtl/>
        </w:rPr>
      </w:pPr>
      <w:bookmarkStart w:id="23" w:name="_Toc362519106"/>
      <w:r w:rsidRPr="002869C3">
        <w:rPr>
          <w:rFonts w:ascii="Arabic Typesetting" w:hAnsi="Arabic Typesetting" w:cs="Arabic Typesetting" w:hint="cs"/>
          <w:i/>
          <w:iCs w:val="0"/>
          <w:sz w:val="40"/>
          <w:szCs w:val="40"/>
          <w:rtl/>
        </w:rPr>
        <w:lastRenderedPageBreak/>
        <w:t>الملاحظة 8: الأصول غير المادية</w:t>
      </w:r>
      <w:bookmarkEnd w:id="23"/>
    </w:p>
    <w:tbl>
      <w:tblPr>
        <w:bidiVisual/>
        <w:tblW w:w="0" w:type="auto"/>
        <w:jc w:val="center"/>
        <w:tblLook w:val="04A0" w:firstRow="1" w:lastRow="0" w:firstColumn="1" w:lastColumn="0" w:noHBand="0" w:noVBand="1"/>
      </w:tblPr>
      <w:tblGrid>
        <w:gridCol w:w="2862"/>
        <w:gridCol w:w="1276"/>
        <w:gridCol w:w="1303"/>
        <w:gridCol w:w="1377"/>
        <w:gridCol w:w="1447"/>
        <w:gridCol w:w="1306"/>
      </w:tblGrid>
      <w:tr w:rsidR="00E16243" w:rsidRPr="000002A4" w:rsidTr="00E16243">
        <w:trPr>
          <w:jc w:val="center"/>
        </w:trPr>
        <w:tc>
          <w:tcPr>
            <w:tcW w:w="2862" w:type="dxa"/>
            <w:vAlign w:val="center"/>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التحركات خلال عام 2012</w:t>
            </w:r>
          </w:p>
        </w:tc>
        <w:tc>
          <w:tcPr>
            <w:tcW w:w="1276" w:type="dxa"/>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002A4">
              <w:rPr>
                <w:rFonts w:ascii="Arabic Typesetting" w:hAnsi="Arabic Typesetting" w:cs="Arabic Typesetting"/>
                <w:b/>
                <w:bCs/>
                <w:sz w:val="28"/>
                <w:szCs w:val="28"/>
                <w:rtl/>
              </w:rPr>
              <w:t>حقوق استغلال الأراضي</w:t>
            </w:r>
          </w:p>
        </w:tc>
        <w:tc>
          <w:tcPr>
            <w:tcW w:w="1303"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tl/>
              </w:rPr>
              <w:t>برمجيات يحصل عليها من الخارج</w:t>
            </w:r>
          </w:p>
        </w:tc>
        <w:tc>
          <w:tcPr>
            <w:tcW w:w="1377"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tl/>
              </w:rPr>
              <w:t>برمجيات معدة داخليا</w:t>
            </w:r>
          </w:p>
        </w:tc>
        <w:tc>
          <w:tcPr>
            <w:tcW w:w="1447"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tl/>
              </w:rPr>
              <w:t>أصول غير مادية تحت التطوير</w:t>
            </w:r>
          </w:p>
        </w:tc>
        <w:tc>
          <w:tcPr>
            <w:tcW w:w="1306" w:type="dxa"/>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002A4">
              <w:rPr>
                <w:rFonts w:ascii="Arabic Typesetting" w:hAnsi="Arabic Typesetting" w:cs="Arabic Typesetting"/>
                <w:b/>
                <w:bCs/>
                <w:sz w:val="28"/>
                <w:szCs w:val="28"/>
                <w:rtl/>
              </w:rPr>
              <w:t>المجموع</w:t>
            </w:r>
          </w:p>
        </w:tc>
      </w:tr>
      <w:tr w:rsidR="00E16243" w:rsidRPr="000002A4" w:rsidTr="00E16243">
        <w:trPr>
          <w:jc w:val="center"/>
        </w:trPr>
        <w:tc>
          <w:tcPr>
            <w:tcW w:w="2862" w:type="dxa"/>
            <w:vAlign w:val="center"/>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tl/>
              </w:rPr>
            </w:pPr>
          </w:p>
        </w:tc>
        <w:tc>
          <w:tcPr>
            <w:tcW w:w="6709" w:type="dxa"/>
            <w:gridSpan w:val="5"/>
            <w:tcBorders>
              <w:bottom w:val="single" w:sz="4" w:space="0" w:color="auto"/>
            </w:tcBorders>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آ</w:t>
            </w:r>
            <w:r>
              <w:rPr>
                <w:rFonts w:ascii="Arabic Typesetting" w:hAnsi="Arabic Typesetting" w:cs="Arabic Typesetting"/>
                <w:sz w:val="28"/>
                <w:szCs w:val="28"/>
                <w:rtl/>
                <w:lang w:bidi="ar-EG"/>
              </w:rPr>
              <w:t>ل</w:t>
            </w:r>
            <w:r>
              <w:rPr>
                <w:rFonts w:ascii="Arabic Typesetting" w:hAnsi="Arabic Typesetting" w:cs="Arabic Typesetting" w:hint="cs"/>
                <w:sz w:val="28"/>
                <w:szCs w:val="28"/>
                <w:rtl/>
                <w:lang w:bidi="ar-EG"/>
              </w:rPr>
              <w:t>ا</w:t>
            </w:r>
            <w:r w:rsidRPr="000002A4">
              <w:rPr>
                <w:rFonts w:ascii="Arabic Typesetting" w:hAnsi="Arabic Typesetting" w:cs="Arabic Typesetting"/>
                <w:sz w:val="28"/>
                <w:szCs w:val="28"/>
                <w:rtl/>
                <w:lang w:bidi="ar-EG"/>
              </w:rPr>
              <w:t xml:space="preserve">ف </w:t>
            </w:r>
            <w:r>
              <w:rPr>
                <w:rFonts w:ascii="Arabic Typesetting" w:hAnsi="Arabic Typesetting" w:cs="Arabic Typesetting" w:hint="cs"/>
                <w:sz w:val="28"/>
                <w:szCs w:val="28"/>
                <w:rtl/>
                <w:lang w:bidi="ar-EG"/>
              </w:rPr>
              <w:t>ال</w:t>
            </w:r>
            <w:r w:rsidRPr="000002A4">
              <w:rPr>
                <w:rFonts w:ascii="Arabic Typesetting" w:hAnsi="Arabic Typesetting" w:cs="Arabic Typesetting"/>
                <w:sz w:val="28"/>
                <w:szCs w:val="28"/>
                <w:rtl/>
                <w:lang w:bidi="ar-EG"/>
              </w:rPr>
              <w:t>فرنك</w:t>
            </w:r>
            <w:r>
              <w:rPr>
                <w:rFonts w:ascii="Arabic Typesetting" w:hAnsi="Arabic Typesetting" w:cs="Arabic Typesetting" w:hint="cs"/>
                <w:sz w:val="28"/>
                <w:szCs w:val="28"/>
                <w:rtl/>
                <w:lang w:bidi="ar-EG"/>
              </w:rPr>
              <w:t>ات</w:t>
            </w:r>
            <w:r w:rsidRPr="000002A4">
              <w:rPr>
                <w:rFonts w:ascii="Arabic Typesetting" w:hAnsi="Arabic Typesetting" w:cs="Arabic Typesetting"/>
                <w:sz w:val="28"/>
                <w:szCs w:val="28"/>
                <w:rtl/>
                <w:lang w:bidi="ar-EG"/>
              </w:rPr>
              <w:t xml:space="preserve"> </w:t>
            </w:r>
            <w:r>
              <w:rPr>
                <w:rFonts w:ascii="Arabic Typesetting" w:hAnsi="Arabic Typesetting" w:cs="Arabic Typesetting" w:hint="cs"/>
                <w:sz w:val="28"/>
                <w:szCs w:val="28"/>
                <w:rtl/>
                <w:lang w:bidi="ar-EG"/>
              </w:rPr>
              <w:t>ال</w:t>
            </w:r>
            <w:r w:rsidRPr="000002A4">
              <w:rPr>
                <w:rFonts w:ascii="Arabic Typesetting" w:hAnsi="Arabic Typesetting" w:cs="Arabic Typesetting"/>
                <w:sz w:val="28"/>
                <w:szCs w:val="28"/>
                <w:rtl/>
                <w:lang w:bidi="ar-EG"/>
              </w:rPr>
              <w:t>سويسري</w:t>
            </w:r>
            <w:r>
              <w:rPr>
                <w:rFonts w:ascii="Arabic Typesetting" w:hAnsi="Arabic Typesetting" w:cs="Arabic Typesetting" w:hint="cs"/>
                <w:sz w:val="28"/>
                <w:szCs w:val="28"/>
                <w:rtl/>
                <w:lang w:bidi="ar-EG"/>
              </w:rPr>
              <w:t>ة</w:t>
            </w:r>
            <w:r w:rsidRPr="000002A4">
              <w:rPr>
                <w:rFonts w:ascii="Arabic Typesetting" w:hAnsi="Arabic Typesetting" w:cs="Arabic Typesetting"/>
                <w:sz w:val="28"/>
                <w:szCs w:val="28"/>
                <w:rtl/>
                <w:lang w:bidi="ar-EG"/>
              </w:rPr>
              <w:t>)</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1 يناير 2012</w:t>
            </w:r>
          </w:p>
        </w:tc>
        <w:tc>
          <w:tcPr>
            <w:tcW w:w="1276" w:type="dxa"/>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03"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77"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447" w:type="dxa"/>
            <w:vAlign w:val="center"/>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06" w:type="dxa"/>
          </w:tcPr>
          <w:p w:rsidR="00E16243" w:rsidRPr="000002A4"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مبلغ الترحيل الإجمالي</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34,290</w:t>
            </w: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34,290</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الاهتلاك المتراكم</w:t>
            </w:r>
          </w:p>
        </w:tc>
        <w:tc>
          <w:tcPr>
            <w:tcW w:w="127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-6,960</w:t>
            </w:r>
          </w:p>
        </w:tc>
        <w:tc>
          <w:tcPr>
            <w:tcW w:w="1303"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7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-6,960</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صافي مبلغ الترحيل</w:t>
            </w:r>
          </w:p>
        </w:tc>
        <w:tc>
          <w:tcPr>
            <w:tcW w:w="127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27,330</w:t>
            </w:r>
          </w:p>
        </w:tc>
        <w:tc>
          <w:tcPr>
            <w:tcW w:w="1303"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7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27,330</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spacing w:line="280" w:lineRule="exact"/>
              <w:jc w:val="right"/>
              <w:rPr>
                <w:rFonts w:ascii="Arabic Typesetting" w:hAnsi="Arabic Typesetting" w:cs="Arabic Typesetting"/>
                <w:b/>
                <w:bCs/>
                <w:sz w:val="28"/>
                <w:szCs w:val="28"/>
              </w:rPr>
            </w:pPr>
          </w:p>
        </w:tc>
        <w:tc>
          <w:tcPr>
            <w:tcW w:w="1276" w:type="dxa"/>
            <w:tcBorders>
              <w:top w:val="single" w:sz="4" w:space="0" w:color="auto"/>
            </w:tcBorders>
            <w:vAlign w:val="bottom"/>
          </w:tcPr>
          <w:p w:rsidR="00E16243" w:rsidRPr="000002A4"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1303"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التحركات خلال عام 2012</w:t>
            </w:r>
          </w:p>
        </w:tc>
        <w:tc>
          <w:tcPr>
            <w:tcW w:w="1276" w:type="dxa"/>
            <w:vAlign w:val="bottom"/>
          </w:tcPr>
          <w:p w:rsidR="00E16243" w:rsidRPr="000002A4" w:rsidRDefault="00E16243" w:rsidP="00E16243">
            <w:pPr>
              <w:tabs>
                <w:tab w:val="center" w:pos="4320"/>
                <w:tab w:val="right" w:pos="8640"/>
              </w:tabs>
              <w:spacing w:line="280" w:lineRule="exact"/>
              <w:rPr>
                <w:rFonts w:ascii="Arabic Typesetting" w:hAnsi="Arabic Typesetting" w:cs="Arabic Typesetting"/>
                <w:sz w:val="28"/>
                <w:szCs w:val="28"/>
              </w:rPr>
            </w:pP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الإضافات</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516</w:t>
            </w: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44</w:t>
            </w: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560</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التصرف في الممتلكات</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اهتلاك</w:t>
            </w:r>
            <w:r>
              <w:rPr>
                <w:rFonts w:ascii="Arabic Typesetting" w:hAnsi="Arabic Typesetting" w:cs="Arabic Typesetting" w:hint="cs"/>
                <w:sz w:val="28"/>
                <w:szCs w:val="28"/>
                <w:rtl/>
              </w:rPr>
              <w:t xml:space="preserve"> </w:t>
            </w:r>
            <w:r w:rsidRPr="000002A4">
              <w:rPr>
                <w:rFonts w:ascii="Arabic Typesetting" w:hAnsi="Arabic Typesetting" w:cs="Arabic Typesetting"/>
                <w:sz w:val="28"/>
                <w:szCs w:val="28"/>
                <w:rtl/>
              </w:rPr>
              <w:t>الممتلكات المستبعدة</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الاستهلاك</w:t>
            </w:r>
          </w:p>
        </w:tc>
        <w:tc>
          <w:tcPr>
            <w:tcW w:w="127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-440</w:t>
            </w:r>
          </w:p>
        </w:tc>
        <w:tc>
          <w:tcPr>
            <w:tcW w:w="1303"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-56</w:t>
            </w:r>
          </w:p>
        </w:tc>
        <w:tc>
          <w:tcPr>
            <w:tcW w:w="137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-496</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مجموع التحركات في عام 2012</w:t>
            </w:r>
          </w:p>
        </w:tc>
        <w:tc>
          <w:tcPr>
            <w:tcW w:w="127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-440</w:t>
            </w:r>
          </w:p>
        </w:tc>
        <w:tc>
          <w:tcPr>
            <w:tcW w:w="1303"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460</w:t>
            </w:r>
          </w:p>
        </w:tc>
        <w:tc>
          <w:tcPr>
            <w:tcW w:w="137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44</w:t>
            </w:r>
          </w:p>
        </w:tc>
        <w:tc>
          <w:tcPr>
            <w:tcW w:w="130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64</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spacing w:line="280" w:lineRule="exact"/>
              <w:jc w:val="right"/>
              <w:rPr>
                <w:rFonts w:ascii="Arabic Typesetting" w:hAnsi="Arabic Typesetting" w:cs="Arabic Typesetting"/>
                <w:sz w:val="28"/>
                <w:szCs w:val="28"/>
              </w:rPr>
            </w:pPr>
          </w:p>
        </w:tc>
        <w:tc>
          <w:tcPr>
            <w:tcW w:w="1276"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tcBorders>
              <w:top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31 ديسمبر 2012</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مبلغ الترحيل الإجمالي</w:t>
            </w:r>
          </w:p>
        </w:tc>
        <w:tc>
          <w:tcPr>
            <w:tcW w:w="127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34,290</w:t>
            </w:r>
          </w:p>
        </w:tc>
        <w:tc>
          <w:tcPr>
            <w:tcW w:w="1303"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516</w:t>
            </w:r>
          </w:p>
        </w:tc>
        <w:tc>
          <w:tcPr>
            <w:tcW w:w="137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44</w:t>
            </w:r>
          </w:p>
        </w:tc>
        <w:tc>
          <w:tcPr>
            <w:tcW w:w="1306" w:type="dxa"/>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34,850</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0002A4">
              <w:rPr>
                <w:rFonts w:ascii="Arabic Typesetting" w:hAnsi="Arabic Typesetting" w:cs="Arabic Typesetting"/>
                <w:sz w:val="28"/>
                <w:szCs w:val="28"/>
                <w:rtl/>
              </w:rPr>
              <w:t xml:space="preserve">   الاهتلاك المتراكم</w:t>
            </w:r>
          </w:p>
        </w:tc>
        <w:tc>
          <w:tcPr>
            <w:tcW w:w="127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-7,400</w:t>
            </w:r>
          </w:p>
        </w:tc>
        <w:tc>
          <w:tcPr>
            <w:tcW w:w="1303"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-56</w:t>
            </w:r>
          </w:p>
        </w:tc>
        <w:tc>
          <w:tcPr>
            <w:tcW w:w="137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447"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002A4">
              <w:rPr>
                <w:rFonts w:ascii="Arabic Typesetting" w:hAnsi="Arabic Typesetting" w:cs="Arabic Typesetting"/>
                <w:sz w:val="28"/>
                <w:szCs w:val="28"/>
              </w:rPr>
              <w:t>-</w:t>
            </w:r>
          </w:p>
        </w:tc>
        <w:tc>
          <w:tcPr>
            <w:tcW w:w="1306" w:type="dxa"/>
            <w:tcBorders>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-7,456</w:t>
            </w:r>
          </w:p>
        </w:tc>
      </w:tr>
      <w:tr w:rsidR="00E16243" w:rsidRPr="000002A4" w:rsidTr="00E16243">
        <w:trPr>
          <w:jc w:val="center"/>
        </w:trPr>
        <w:tc>
          <w:tcPr>
            <w:tcW w:w="2862" w:type="dxa"/>
            <w:vAlign w:val="bottom"/>
          </w:tcPr>
          <w:p w:rsidR="00E16243" w:rsidRPr="000002A4"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002A4">
              <w:rPr>
                <w:rFonts w:ascii="Arabic Typesetting" w:hAnsi="Arabic Typesetting" w:cs="Arabic Typesetting"/>
                <w:b/>
                <w:bCs/>
                <w:sz w:val="28"/>
                <w:szCs w:val="28"/>
                <w:rtl/>
              </w:rPr>
              <w:t>صافي مبلغ الترحيل</w:t>
            </w:r>
          </w:p>
        </w:tc>
        <w:tc>
          <w:tcPr>
            <w:tcW w:w="127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26,890</w:t>
            </w:r>
          </w:p>
        </w:tc>
        <w:tc>
          <w:tcPr>
            <w:tcW w:w="1303"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460</w:t>
            </w:r>
          </w:p>
        </w:tc>
        <w:tc>
          <w:tcPr>
            <w:tcW w:w="137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w:t>
            </w:r>
          </w:p>
        </w:tc>
        <w:tc>
          <w:tcPr>
            <w:tcW w:w="1447"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44</w:t>
            </w:r>
          </w:p>
        </w:tc>
        <w:tc>
          <w:tcPr>
            <w:tcW w:w="1306" w:type="dxa"/>
            <w:tcBorders>
              <w:top w:val="single" w:sz="4" w:space="0" w:color="auto"/>
              <w:bottom w:val="single" w:sz="4" w:space="0" w:color="auto"/>
            </w:tcBorders>
            <w:vAlign w:val="bottom"/>
          </w:tcPr>
          <w:p w:rsidR="00E16243" w:rsidRPr="000002A4"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002A4">
              <w:rPr>
                <w:rFonts w:ascii="Arabic Typesetting" w:hAnsi="Arabic Typesetting" w:cs="Arabic Typesetting"/>
                <w:b/>
                <w:bCs/>
                <w:sz w:val="28"/>
                <w:szCs w:val="28"/>
              </w:rPr>
              <w:t>27,394</w:t>
            </w:r>
          </w:p>
        </w:tc>
      </w:tr>
    </w:tbl>
    <w:p w:rsidR="00E16243" w:rsidRDefault="00E16243" w:rsidP="00E541CD">
      <w:pPr>
        <w:bidi/>
        <w:spacing w:after="240" w:line="360" w:lineRule="exact"/>
        <w:rPr>
          <w:rFonts w:ascii="Arabic Typesetting" w:hAnsi="Arabic Typesetting" w:cs="Arabic Typesetting"/>
          <w:sz w:val="36"/>
          <w:szCs w:val="36"/>
          <w:rtl/>
          <w:lang w:bidi="ar-EG"/>
        </w:rPr>
      </w:pPr>
    </w:p>
    <w:tbl>
      <w:tblPr>
        <w:bidiVisual/>
        <w:tblW w:w="0" w:type="auto"/>
        <w:jc w:val="center"/>
        <w:tblLook w:val="04A0" w:firstRow="1" w:lastRow="0" w:firstColumn="1" w:lastColumn="0" w:noHBand="0" w:noVBand="1"/>
      </w:tblPr>
      <w:tblGrid>
        <w:gridCol w:w="2862"/>
        <w:gridCol w:w="1276"/>
        <w:gridCol w:w="1303"/>
        <w:gridCol w:w="1377"/>
        <w:gridCol w:w="1447"/>
        <w:gridCol w:w="1306"/>
      </w:tblGrid>
      <w:tr w:rsidR="00E16243" w:rsidRPr="00DA1DF0" w:rsidTr="00E16243">
        <w:trPr>
          <w:jc w:val="center"/>
        </w:trPr>
        <w:tc>
          <w:tcPr>
            <w:tcW w:w="2862" w:type="dxa"/>
            <w:vAlign w:val="center"/>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التحركات خلال عام 2011</w:t>
            </w:r>
          </w:p>
        </w:tc>
        <w:tc>
          <w:tcPr>
            <w:tcW w:w="1276" w:type="dxa"/>
            <w:tcBorders>
              <w:bottom w:val="single" w:sz="4" w:space="0" w:color="auto"/>
            </w:tcBorders>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DA1DF0">
              <w:rPr>
                <w:rFonts w:ascii="Arabic Typesetting" w:hAnsi="Arabic Typesetting" w:cs="Arabic Typesetting"/>
                <w:b/>
                <w:bCs/>
                <w:sz w:val="28"/>
                <w:szCs w:val="28"/>
                <w:rtl/>
              </w:rPr>
              <w:t>حقوق استغلال الأراضي</w:t>
            </w:r>
          </w:p>
        </w:tc>
        <w:tc>
          <w:tcPr>
            <w:tcW w:w="1303" w:type="dxa"/>
            <w:tcBorders>
              <w:bottom w:val="single" w:sz="4" w:space="0" w:color="auto"/>
            </w:tcBorders>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tl/>
              </w:rPr>
              <w:t>برمجيات يحصل عليها من الخارج</w:t>
            </w:r>
          </w:p>
        </w:tc>
        <w:tc>
          <w:tcPr>
            <w:tcW w:w="1377" w:type="dxa"/>
            <w:tcBorders>
              <w:bottom w:val="single" w:sz="4" w:space="0" w:color="auto"/>
            </w:tcBorders>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tl/>
              </w:rPr>
              <w:t>برمجيات معدة داخليا</w:t>
            </w:r>
          </w:p>
        </w:tc>
        <w:tc>
          <w:tcPr>
            <w:tcW w:w="1447" w:type="dxa"/>
            <w:tcBorders>
              <w:bottom w:val="single" w:sz="4" w:space="0" w:color="auto"/>
            </w:tcBorders>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tl/>
              </w:rPr>
              <w:t>أصول غير مادية تحت التطوير</w:t>
            </w:r>
          </w:p>
        </w:tc>
        <w:tc>
          <w:tcPr>
            <w:tcW w:w="1306" w:type="dxa"/>
            <w:tcBorders>
              <w:bottom w:val="single" w:sz="4" w:space="0" w:color="auto"/>
            </w:tcBorders>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DA1DF0">
              <w:rPr>
                <w:rFonts w:ascii="Arabic Typesetting" w:hAnsi="Arabic Typesetting" w:cs="Arabic Typesetting"/>
                <w:b/>
                <w:bCs/>
                <w:sz w:val="28"/>
                <w:szCs w:val="28"/>
                <w:rtl/>
              </w:rPr>
              <w:t>المجموع</w:t>
            </w:r>
          </w:p>
        </w:tc>
      </w:tr>
      <w:tr w:rsidR="00E16243" w:rsidRPr="00DA1DF0" w:rsidTr="00E16243">
        <w:trPr>
          <w:jc w:val="center"/>
        </w:trPr>
        <w:tc>
          <w:tcPr>
            <w:tcW w:w="2862" w:type="dxa"/>
            <w:vAlign w:val="center"/>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tl/>
              </w:rPr>
            </w:pPr>
          </w:p>
        </w:tc>
        <w:tc>
          <w:tcPr>
            <w:tcW w:w="6709" w:type="dxa"/>
            <w:gridSpan w:val="5"/>
            <w:tcBorders>
              <w:top w:val="single" w:sz="4" w:space="0" w:color="auto"/>
              <w:bottom w:val="single" w:sz="4" w:space="0" w:color="auto"/>
            </w:tcBorders>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lang w:bidi="ar-EG"/>
              </w:rPr>
            </w:pPr>
            <w:r w:rsidRPr="00DA1DF0">
              <w:rPr>
                <w:rFonts w:ascii="Arabic Typesetting" w:hAnsi="Arabic Typesetting" w:cs="Arabic Typesetting"/>
                <w:sz w:val="28"/>
                <w:szCs w:val="28"/>
                <w:rtl/>
                <w:lang w:bidi="ar-EG"/>
              </w:rPr>
              <w:t>(بالألف فرنك سويسري)</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1 يناير 2011</w:t>
            </w:r>
          </w:p>
        </w:tc>
        <w:tc>
          <w:tcPr>
            <w:tcW w:w="1276" w:type="dxa"/>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03" w:type="dxa"/>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77" w:type="dxa"/>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447" w:type="dxa"/>
            <w:vAlign w:val="center"/>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306" w:type="dxa"/>
          </w:tcPr>
          <w:p w:rsidR="00E16243" w:rsidRPr="00DA1DF0"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مبلغ الترحيل الإجمالي</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34,290</w:t>
            </w: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34,290</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الاهتلاك المتراكم</w:t>
            </w:r>
          </w:p>
        </w:tc>
        <w:tc>
          <w:tcPr>
            <w:tcW w:w="127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-6,521</w:t>
            </w:r>
          </w:p>
        </w:tc>
        <w:tc>
          <w:tcPr>
            <w:tcW w:w="1303"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-6,521</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صافي مبلغ الترحيل</w:t>
            </w:r>
          </w:p>
        </w:tc>
        <w:tc>
          <w:tcPr>
            <w:tcW w:w="127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27,769</w:t>
            </w:r>
          </w:p>
        </w:tc>
        <w:tc>
          <w:tcPr>
            <w:tcW w:w="1303"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27,769</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spacing w:line="280" w:lineRule="exact"/>
              <w:jc w:val="right"/>
              <w:rPr>
                <w:rFonts w:ascii="Arabic Typesetting" w:hAnsi="Arabic Typesetting" w:cs="Arabic Typesetting"/>
                <w:b/>
                <w:bCs/>
                <w:sz w:val="28"/>
                <w:szCs w:val="28"/>
              </w:rPr>
            </w:pPr>
          </w:p>
        </w:tc>
        <w:tc>
          <w:tcPr>
            <w:tcW w:w="1276"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التحركات خلال عام 2011</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الإضافات</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التصرف في الممتلكات</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اهتلاك الممتلكات المستبعدة</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الاستهلاك</w:t>
            </w:r>
          </w:p>
        </w:tc>
        <w:tc>
          <w:tcPr>
            <w:tcW w:w="127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-439</w:t>
            </w:r>
          </w:p>
        </w:tc>
        <w:tc>
          <w:tcPr>
            <w:tcW w:w="1303"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-439</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مجموع التحركات في عام 2011</w:t>
            </w:r>
          </w:p>
        </w:tc>
        <w:tc>
          <w:tcPr>
            <w:tcW w:w="127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-439</w:t>
            </w:r>
          </w:p>
        </w:tc>
        <w:tc>
          <w:tcPr>
            <w:tcW w:w="1303"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-439</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spacing w:line="280" w:lineRule="exact"/>
              <w:jc w:val="right"/>
              <w:rPr>
                <w:rFonts w:ascii="Arabic Typesetting" w:hAnsi="Arabic Typesetting" w:cs="Arabic Typesetting"/>
                <w:sz w:val="28"/>
                <w:szCs w:val="28"/>
              </w:rPr>
            </w:pPr>
          </w:p>
        </w:tc>
        <w:tc>
          <w:tcPr>
            <w:tcW w:w="1276"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tcBorders>
              <w:top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31 ديسمبر 2011</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color w:val="000000"/>
                <w:sz w:val="28"/>
                <w:szCs w:val="28"/>
              </w:rPr>
            </w:pP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مبلغ الترحيل الإجمالي</w:t>
            </w:r>
          </w:p>
        </w:tc>
        <w:tc>
          <w:tcPr>
            <w:tcW w:w="127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34,290</w:t>
            </w:r>
          </w:p>
        </w:tc>
        <w:tc>
          <w:tcPr>
            <w:tcW w:w="1303"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34,290</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ind w:firstLineChars="100" w:firstLine="280"/>
              <w:jc w:val="both"/>
              <w:rPr>
                <w:rFonts w:ascii="Arabic Typesetting" w:hAnsi="Arabic Typesetting" w:cs="Arabic Typesetting"/>
                <w:sz w:val="28"/>
                <w:szCs w:val="28"/>
              </w:rPr>
            </w:pPr>
            <w:r w:rsidRPr="00DA1DF0">
              <w:rPr>
                <w:rFonts w:ascii="Arabic Typesetting" w:hAnsi="Arabic Typesetting" w:cs="Arabic Typesetting"/>
                <w:sz w:val="28"/>
                <w:szCs w:val="28"/>
                <w:rtl/>
              </w:rPr>
              <w:t xml:space="preserve">   الاهتلاك المتراكم</w:t>
            </w:r>
          </w:p>
        </w:tc>
        <w:tc>
          <w:tcPr>
            <w:tcW w:w="127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-6,960</w:t>
            </w:r>
          </w:p>
        </w:tc>
        <w:tc>
          <w:tcPr>
            <w:tcW w:w="1303"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7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447"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DA1DF0">
              <w:rPr>
                <w:rFonts w:ascii="Arabic Typesetting" w:hAnsi="Arabic Typesetting" w:cs="Arabic Typesetting"/>
                <w:sz w:val="28"/>
                <w:szCs w:val="28"/>
              </w:rPr>
              <w:t>-</w:t>
            </w:r>
          </w:p>
        </w:tc>
        <w:tc>
          <w:tcPr>
            <w:tcW w:w="1306" w:type="dxa"/>
            <w:tcBorders>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-6,960</w:t>
            </w:r>
          </w:p>
        </w:tc>
      </w:tr>
      <w:tr w:rsidR="00E16243" w:rsidRPr="00DA1DF0" w:rsidTr="00E16243">
        <w:trPr>
          <w:jc w:val="center"/>
        </w:trPr>
        <w:tc>
          <w:tcPr>
            <w:tcW w:w="2862" w:type="dxa"/>
            <w:vAlign w:val="bottom"/>
          </w:tcPr>
          <w:p w:rsidR="00E16243" w:rsidRPr="00DA1DF0"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DA1DF0">
              <w:rPr>
                <w:rFonts w:ascii="Arabic Typesetting" w:hAnsi="Arabic Typesetting" w:cs="Arabic Typesetting"/>
                <w:b/>
                <w:bCs/>
                <w:sz w:val="28"/>
                <w:szCs w:val="28"/>
                <w:rtl/>
              </w:rPr>
              <w:t>صافي مبلغ الترحيل</w:t>
            </w:r>
          </w:p>
        </w:tc>
        <w:tc>
          <w:tcPr>
            <w:tcW w:w="127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27,330</w:t>
            </w:r>
          </w:p>
        </w:tc>
        <w:tc>
          <w:tcPr>
            <w:tcW w:w="1303"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c>
          <w:tcPr>
            <w:tcW w:w="137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c>
          <w:tcPr>
            <w:tcW w:w="1447"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w:t>
            </w:r>
          </w:p>
        </w:tc>
        <w:tc>
          <w:tcPr>
            <w:tcW w:w="1306" w:type="dxa"/>
            <w:tcBorders>
              <w:top w:val="single" w:sz="4" w:space="0" w:color="auto"/>
              <w:bottom w:val="single" w:sz="4" w:space="0" w:color="auto"/>
            </w:tcBorders>
            <w:vAlign w:val="bottom"/>
          </w:tcPr>
          <w:p w:rsidR="00E16243" w:rsidRPr="00DA1DF0"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DA1DF0">
              <w:rPr>
                <w:rFonts w:ascii="Arabic Typesetting" w:hAnsi="Arabic Typesetting" w:cs="Arabic Typesetting"/>
                <w:b/>
                <w:bCs/>
                <w:sz w:val="28"/>
                <w:szCs w:val="28"/>
              </w:rPr>
              <w:t>27,330</w:t>
            </w:r>
          </w:p>
        </w:tc>
      </w:tr>
    </w:tbl>
    <w:p w:rsidR="00E16243" w:rsidRDefault="00E16243" w:rsidP="00E16243">
      <w:pPr>
        <w:pStyle w:val="NormalParaAR"/>
        <w:spacing w:before="240"/>
        <w:rPr>
          <w:rtl/>
        </w:rPr>
      </w:pPr>
      <w:r>
        <w:rPr>
          <w:rFonts w:hint="cs"/>
          <w:rtl/>
        </w:rPr>
        <w:t>في ع</w:t>
      </w:r>
      <w:r w:rsidRPr="00DE4DE0">
        <w:rPr>
          <w:color w:val="000000"/>
          <w:rtl/>
        </w:rPr>
        <w:t>ام 1996، اشترت الويبو من المنظمة العالمية للأرصاد الجوية (</w:t>
      </w:r>
      <w:r w:rsidRPr="00DE4DE0">
        <w:rPr>
          <w:color w:val="000000"/>
        </w:rPr>
        <w:t>WMO</w:t>
      </w:r>
      <w:r w:rsidRPr="00DE4DE0">
        <w:rPr>
          <w:color w:val="000000"/>
          <w:rtl/>
        </w:rPr>
        <w:t>) حقوق استغلال قطعة الأرض رقم 4008 الواقعة في بتي-</w:t>
      </w:r>
      <w:r>
        <w:rPr>
          <w:rFonts w:hint="cs"/>
          <w:color w:val="000000"/>
          <w:rtl/>
        </w:rPr>
        <w:t xml:space="preserve"> </w:t>
      </w:r>
      <w:r w:rsidRPr="00DE4DE0">
        <w:rPr>
          <w:color w:val="000000"/>
          <w:rtl/>
        </w:rPr>
        <w:t>ساكونيه في مدينة جنيف، وهي حقوق منحتها جمهورية وك</w:t>
      </w:r>
      <w:r>
        <w:rPr>
          <w:rFonts w:hint="cs"/>
          <w:color w:val="000000"/>
          <w:rtl/>
        </w:rPr>
        <w:t>ا</w:t>
      </w:r>
      <w:r w:rsidRPr="00DE4DE0">
        <w:rPr>
          <w:color w:val="000000"/>
          <w:rtl/>
        </w:rPr>
        <w:t xml:space="preserve">نتون بجنيف للمنظمة العالمية للأرصاد </w:t>
      </w:r>
      <w:r>
        <w:rPr>
          <w:rFonts w:hint="cs"/>
          <w:color w:val="000000"/>
          <w:rtl/>
        </w:rPr>
        <w:t xml:space="preserve">الجوية </w:t>
      </w:r>
      <w:r w:rsidRPr="00DE4DE0">
        <w:rPr>
          <w:color w:val="000000"/>
          <w:rtl/>
        </w:rPr>
        <w:t>بتكلفة قدرها 34</w:t>
      </w:r>
      <w:r>
        <w:rPr>
          <w:rFonts w:hint="cs"/>
          <w:color w:val="000000"/>
          <w:rtl/>
        </w:rPr>
        <w:t>,</w:t>
      </w:r>
      <w:r w:rsidRPr="00DE4DE0">
        <w:rPr>
          <w:color w:val="000000"/>
          <w:rtl/>
        </w:rPr>
        <w:t xml:space="preserve">3 مليون فرنك سويسري شاملة الفوائد والرسوم. </w:t>
      </w:r>
      <w:r>
        <w:rPr>
          <w:rFonts w:hint="cs"/>
          <w:color w:val="000000"/>
          <w:rtl/>
        </w:rPr>
        <w:t>و</w:t>
      </w:r>
      <w:r w:rsidRPr="00DE4DE0">
        <w:rPr>
          <w:color w:val="000000"/>
          <w:rtl/>
        </w:rPr>
        <w:t>تصل المدة المتبقية لحقوق استغلال الأرض الأصلية من تاريخ الشراء</w:t>
      </w:r>
      <w:r>
        <w:rPr>
          <w:rFonts w:hint="cs"/>
          <w:color w:val="000000"/>
          <w:rtl/>
        </w:rPr>
        <w:t xml:space="preserve"> </w:t>
      </w:r>
      <w:r w:rsidRPr="00DE4DE0">
        <w:rPr>
          <w:color w:val="000000"/>
          <w:rtl/>
        </w:rPr>
        <w:t>بمقتضى القانون السويسري إلى 78 عاما</w:t>
      </w:r>
      <w:r>
        <w:rPr>
          <w:rFonts w:hint="cs"/>
          <w:color w:val="000000"/>
          <w:rtl/>
        </w:rPr>
        <w:t xml:space="preserve"> و</w:t>
      </w:r>
      <w:r w:rsidRPr="00DE4DE0">
        <w:rPr>
          <w:color w:val="000000"/>
          <w:rtl/>
        </w:rPr>
        <w:t>تنتهي في عام 2</w:t>
      </w:r>
      <w:r>
        <w:rPr>
          <w:color w:val="000000"/>
          <w:rtl/>
        </w:rPr>
        <w:t>073</w:t>
      </w:r>
      <w:r w:rsidRPr="00DE4DE0">
        <w:rPr>
          <w:color w:val="000000"/>
          <w:rtl/>
        </w:rPr>
        <w:t xml:space="preserve"> ما لم تُجدد تلك المدة من قبل </w:t>
      </w:r>
      <w:r>
        <w:rPr>
          <w:rFonts w:hint="cs"/>
          <w:color w:val="000000"/>
          <w:rtl/>
        </w:rPr>
        <w:t>ال</w:t>
      </w:r>
      <w:r w:rsidRPr="00DE4DE0">
        <w:rPr>
          <w:color w:val="000000"/>
          <w:rtl/>
        </w:rPr>
        <w:t>ك</w:t>
      </w:r>
      <w:r>
        <w:rPr>
          <w:rFonts w:hint="cs"/>
          <w:color w:val="000000"/>
          <w:rtl/>
        </w:rPr>
        <w:t>ا</w:t>
      </w:r>
      <w:r w:rsidRPr="00DE4DE0">
        <w:rPr>
          <w:color w:val="000000"/>
          <w:rtl/>
        </w:rPr>
        <w:t xml:space="preserve">نتون. </w:t>
      </w:r>
      <w:r>
        <w:rPr>
          <w:rFonts w:hint="cs"/>
          <w:color w:val="000000"/>
          <w:rtl/>
        </w:rPr>
        <w:t>و</w:t>
      </w:r>
      <w:r w:rsidRPr="00DE4DE0">
        <w:rPr>
          <w:color w:val="000000"/>
          <w:rtl/>
        </w:rPr>
        <w:t>جاري حاليا استهلاك التكلفة التاريخية على مدار فترة العمر الإنتاجي</w:t>
      </w:r>
      <w:r>
        <w:rPr>
          <w:rFonts w:hint="cs"/>
          <w:color w:val="000000"/>
          <w:rtl/>
        </w:rPr>
        <w:t xml:space="preserve"> المتبقي.</w:t>
      </w:r>
    </w:p>
    <w:p w:rsidR="00E16243" w:rsidRDefault="00E16243" w:rsidP="00E16243">
      <w:pPr>
        <w:pStyle w:val="NormalParaAR"/>
        <w:rPr>
          <w:rtl/>
        </w:rPr>
      </w:pPr>
      <w:r>
        <w:rPr>
          <w:rFonts w:hint="cs"/>
          <w:rtl/>
        </w:rPr>
        <w:lastRenderedPageBreak/>
        <w:t xml:space="preserve">وتملك </w:t>
      </w:r>
      <w:r w:rsidRPr="00C1579C">
        <w:rPr>
          <w:color w:val="000000"/>
          <w:rtl/>
        </w:rPr>
        <w:t>جمهورية وك</w:t>
      </w:r>
      <w:r>
        <w:rPr>
          <w:rFonts w:hint="cs"/>
          <w:color w:val="000000"/>
          <w:rtl/>
        </w:rPr>
        <w:t>ا</w:t>
      </w:r>
      <w:r w:rsidRPr="00C1579C">
        <w:rPr>
          <w:color w:val="000000"/>
          <w:rtl/>
        </w:rPr>
        <w:t xml:space="preserve">نتون </w:t>
      </w:r>
      <w:r>
        <w:rPr>
          <w:rFonts w:hint="cs"/>
          <w:color w:val="000000"/>
          <w:rtl/>
        </w:rPr>
        <w:t xml:space="preserve">جنيف </w:t>
      </w:r>
      <w:r w:rsidRPr="00C1579C">
        <w:rPr>
          <w:color w:val="000000"/>
          <w:rtl/>
        </w:rPr>
        <w:t>الأراضي الموجود عليها م</w:t>
      </w:r>
      <w:r>
        <w:rPr>
          <w:color w:val="000000"/>
          <w:rtl/>
        </w:rPr>
        <w:t>باني أرباد بو</w:t>
      </w:r>
      <w:r>
        <w:rPr>
          <w:rFonts w:hint="cs"/>
          <w:color w:val="000000"/>
          <w:rtl/>
        </w:rPr>
        <w:t>ك</w:t>
      </w:r>
      <w:r>
        <w:rPr>
          <w:color w:val="000000"/>
          <w:rtl/>
        </w:rPr>
        <w:t>ش وجورج بودنهاوزن</w:t>
      </w:r>
      <w:r w:rsidRPr="00C1579C">
        <w:rPr>
          <w:color w:val="000000"/>
          <w:rtl/>
        </w:rPr>
        <w:t>، وقد مُنحت الويبو حقوق الاستغلال بما فيها الحق في تشييد المباني لمدة 60 عاماً مع خيار متاح لها وحدها ويمكنها ممارسته لتمديد فترة الاستغلال لمدة</w:t>
      </w:r>
      <w:r>
        <w:rPr>
          <w:rFonts w:hint="cs"/>
          <w:color w:val="000000"/>
          <w:rtl/>
        </w:rPr>
        <w:t> </w:t>
      </w:r>
      <w:r w:rsidRPr="00C1579C">
        <w:rPr>
          <w:color w:val="000000"/>
          <w:rtl/>
        </w:rPr>
        <w:t xml:space="preserve">30 عاما إضافية. </w:t>
      </w:r>
      <w:r>
        <w:rPr>
          <w:rFonts w:hint="cs"/>
          <w:color w:val="000000"/>
          <w:rtl/>
        </w:rPr>
        <w:t>و</w:t>
      </w:r>
      <w:r w:rsidRPr="00C1579C">
        <w:rPr>
          <w:color w:val="000000"/>
          <w:rtl/>
        </w:rPr>
        <w:t>تم منح حقوق الاستغلال المساحي لتلك الأراضي "للمنظمة" دون أي تكلفة، ولم تُقي</w:t>
      </w:r>
      <w:r>
        <w:rPr>
          <w:rFonts w:hint="cs"/>
          <w:color w:val="000000"/>
          <w:rtl/>
        </w:rPr>
        <w:t>ّ</w:t>
      </w:r>
      <w:r w:rsidRPr="00C1579C">
        <w:rPr>
          <w:color w:val="000000"/>
          <w:rtl/>
        </w:rPr>
        <w:t xml:space="preserve">د أي </w:t>
      </w:r>
      <w:r>
        <w:rPr>
          <w:rFonts w:hint="cs"/>
          <w:color w:val="000000"/>
          <w:rtl/>
        </w:rPr>
        <w:t>مبالغ</w:t>
      </w:r>
      <w:r w:rsidRPr="00C1579C">
        <w:rPr>
          <w:color w:val="000000"/>
          <w:rtl/>
        </w:rPr>
        <w:t>، حيث لا يترتب للمنظمة أي حق في التصرف في الحقوق التي تعود إلى جمهورية وك</w:t>
      </w:r>
      <w:r>
        <w:rPr>
          <w:rFonts w:hint="cs"/>
          <w:color w:val="000000"/>
          <w:rtl/>
        </w:rPr>
        <w:t>ا</w:t>
      </w:r>
      <w:r w:rsidRPr="00C1579C">
        <w:rPr>
          <w:color w:val="000000"/>
          <w:rtl/>
        </w:rPr>
        <w:t>نتون جنيف، ما لم يتم تجديد هذه</w:t>
      </w:r>
      <w:r>
        <w:rPr>
          <w:rFonts w:hint="eastAsia"/>
          <w:rtl/>
        </w:rPr>
        <w:t> </w:t>
      </w:r>
      <w:r>
        <w:rPr>
          <w:rFonts w:hint="cs"/>
          <w:rtl/>
        </w:rPr>
        <w:t>الحقوق.</w:t>
      </w:r>
    </w:p>
    <w:p w:rsidR="00E16243" w:rsidRDefault="00E16243" w:rsidP="00E16243">
      <w:pPr>
        <w:pStyle w:val="NormalParaAR"/>
        <w:rPr>
          <w:rtl/>
        </w:rPr>
      </w:pPr>
      <w:r>
        <w:rPr>
          <w:rFonts w:hint="cs"/>
          <w:rtl/>
        </w:rPr>
        <w:t xml:space="preserve">واعتباراً </w:t>
      </w:r>
      <w:r w:rsidRPr="00011ECA">
        <w:rPr>
          <w:color w:val="000000"/>
          <w:rtl/>
        </w:rPr>
        <w:t xml:space="preserve">من 1 يناير 2012، يتم رسملة التكلفة الخاصة بالبرمجيات التي حصلت عليها "المنظمة" من مصادر خارجية وتلك التي تقوم بإعدادها وتطويرها داخليا. </w:t>
      </w:r>
      <w:r>
        <w:rPr>
          <w:rFonts w:hint="cs"/>
          <w:color w:val="000000"/>
          <w:rtl/>
        </w:rPr>
        <w:t>و</w:t>
      </w:r>
      <w:r w:rsidRPr="00011ECA">
        <w:rPr>
          <w:color w:val="000000"/>
          <w:rtl/>
        </w:rPr>
        <w:t>ترتبط الأصول غير المادية تحت التطوير بالبرمجيات الجاري تطويرها داخليا والتي لم يتم البدء في استخدامها</w:t>
      </w:r>
      <w:r>
        <w:rPr>
          <w:rFonts w:hint="cs"/>
          <w:color w:val="000000"/>
          <w:rtl/>
        </w:rPr>
        <w:t xml:space="preserve"> بعد.</w:t>
      </w:r>
    </w:p>
    <w:p w:rsidR="00E16243" w:rsidRPr="009827E5" w:rsidRDefault="00E16243" w:rsidP="002869C3">
      <w:pPr>
        <w:pStyle w:val="Heading2"/>
        <w:bidi/>
        <w:rPr>
          <w:rFonts w:ascii="Arabic Typesetting" w:hAnsi="Arabic Typesetting" w:cs="Arabic Typesetting"/>
          <w:b/>
          <w:bCs w:val="0"/>
          <w:sz w:val="40"/>
          <w:szCs w:val="40"/>
          <w:rtl/>
        </w:rPr>
      </w:pPr>
      <w:bookmarkStart w:id="24" w:name="_Toc362519107"/>
      <w:r w:rsidRPr="002869C3">
        <w:rPr>
          <w:rFonts w:ascii="Arabic Typesetting" w:hAnsi="Arabic Typesetting" w:cs="Arabic Typesetting" w:hint="cs"/>
          <w:i/>
          <w:iCs w:val="0"/>
          <w:sz w:val="40"/>
          <w:szCs w:val="40"/>
          <w:rtl/>
        </w:rPr>
        <w:t>الملاحظة 9: الأراضي والمباني</w:t>
      </w:r>
      <w:bookmarkEnd w:id="24"/>
    </w:p>
    <w:p w:rsidR="00E16243" w:rsidRPr="002435A8" w:rsidRDefault="00E16243" w:rsidP="00E16243">
      <w:pPr>
        <w:pStyle w:val="NormalParaAR"/>
        <w:rPr>
          <w:rtl/>
        </w:rPr>
      </w:pPr>
      <w:r>
        <w:rPr>
          <w:rFonts w:hint="cs"/>
          <w:rtl/>
        </w:rPr>
        <w:t xml:space="preserve">تشمل </w:t>
      </w:r>
      <w:r w:rsidRPr="00011ECA">
        <w:rPr>
          <w:color w:val="000000"/>
          <w:rtl/>
        </w:rPr>
        <w:t>أراضي الويبو ومبانيها على مقرها الرئيسي في ساحة الأمم بجنيف</w:t>
      </w:r>
      <w:r>
        <w:rPr>
          <w:rFonts w:hint="cs"/>
          <w:color w:val="000000"/>
          <w:rtl/>
        </w:rPr>
        <w:t xml:space="preserve"> في </w:t>
      </w:r>
      <w:r w:rsidRPr="00011ECA">
        <w:rPr>
          <w:color w:val="000000"/>
          <w:rtl/>
        </w:rPr>
        <w:t>سويسرا، ويتضمن الأراضي والمباني تحت الإنشاء والمباني المشغولة. وبعد اعتماد المعايير المحاسبية الدولية للقطاع العام من 1 يناير 2010، تم تقييم المباني التي كانت مشغولة في ذلك التاريخ بقيمة حددها خبراء استشاريون مستقلون وهي تمثل القيمة المقدرة للمبنى بحالته الجديدة (تعتبر تكلفة البناء) شاملة القيمة المقدرة لأعمال التجديدات والإصلاحات الرئيسية التي تم تنفيذها منذ شغل المبنى الأصلى مطروحا منها الاستهلاك المتراكم و</w:t>
      </w:r>
      <w:r w:rsidRPr="00011ECA">
        <w:rPr>
          <w:color w:val="000000"/>
          <w:rtl/>
          <w:lang w:bidi="ar-EG"/>
        </w:rPr>
        <w:t>انخف</w:t>
      </w:r>
      <w:r>
        <w:rPr>
          <w:color w:val="000000"/>
          <w:rtl/>
          <w:lang w:bidi="ar-EG"/>
        </w:rPr>
        <w:t>اض القيمة. أما المباني التي بُد</w:t>
      </w:r>
      <w:r>
        <w:rPr>
          <w:rFonts w:hint="cs"/>
          <w:color w:val="000000"/>
          <w:rtl/>
          <w:lang w:bidi="ar-EG"/>
        </w:rPr>
        <w:t>ئ</w:t>
      </w:r>
      <w:r w:rsidRPr="00011ECA">
        <w:rPr>
          <w:color w:val="000000"/>
          <w:rtl/>
          <w:lang w:bidi="ar-EG"/>
        </w:rPr>
        <w:t xml:space="preserve"> في استخدامها بعد </w:t>
      </w:r>
      <w:r w:rsidRPr="00011ECA">
        <w:rPr>
          <w:color w:val="000000"/>
          <w:rtl/>
        </w:rPr>
        <w:t xml:space="preserve">1 يناير 2010، فقد قُدرت قيمتها مبدئيا بسعر التكلفة الحقيقية. </w:t>
      </w:r>
      <w:r>
        <w:rPr>
          <w:rFonts w:hint="cs"/>
          <w:color w:val="000000"/>
          <w:rtl/>
        </w:rPr>
        <w:t>وبدأ</w:t>
      </w:r>
      <w:r w:rsidRPr="00011ECA">
        <w:rPr>
          <w:color w:val="000000"/>
          <w:rtl/>
        </w:rPr>
        <w:t xml:space="preserve"> استخدام المبنى الجديد اعتباراً من 1 يوليه 2011. </w:t>
      </w:r>
      <w:r>
        <w:rPr>
          <w:rFonts w:hint="cs"/>
          <w:color w:val="000000"/>
          <w:rtl/>
        </w:rPr>
        <w:t>و</w:t>
      </w:r>
      <w:r w:rsidRPr="00011ECA">
        <w:rPr>
          <w:color w:val="000000"/>
          <w:rtl/>
        </w:rPr>
        <w:t xml:space="preserve">تُستهلك جميع المباني وفقا لطريقة القسط الثابت استناداً إلى العمر المستفاد منه لكل مكون رئيسي من مكونات المبنى (انظر </w:t>
      </w:r>
      <w:r>
        <w:rPr>
          <w:rFonts w:hint="cs"/>
          <w:color w:val="000000"/>
          <w:rtl/>
        </w:rPr>
        <w:t>ال</w:t>
      </w:r>
      <w:r w:rsidRPr="00011ECA">
        <w:rPr>
          <w:color w:val="000000"/>
          <w:rtl/>
        </w:rPr>
        <w:t>ملاحظة 2).</w:t>
      </w:r>
    </w:p>
    <w:p w:rsidR="00E16243" w:rsidRDefault="00E16243" w:rsidP="00E16243">
      <w:pPr>
        <w:pStyle w:val="NormalParaAR"/>
        <w:rPr>
          <w:rtl/>
        </w:rPr>
      </w:pPr>
      <w:r>
        <w:rPr>
          <w:rFonts w:hint="cs"/>
          <w:rtl/>
        </w:rPr>
        <w:t xml:space="preserve">وحصلت </w:t>
      </w:r>
      <w:r w:rsidRPr="00011ECA">
        <w:rPr>
          <w:color w:val="000000"/>
          <w:rtl/>
        </w:rPr>
        <w:t>الويبو على الأرض التي شُيِّد عليها المبنى الجديد بتكلفة قدرها 13</w:t>
      </w:r>
      <w:r>
        <w:rPr>
          <w:rFonts w:hint="cs"/>
          <w:color w:val="000000"/>
          <w:rtl/>
        </w:rPr>
        <w:t>,</w:t>
      </w:r>
      <w:r w:rsidRPr="00011ECA">
        <w:rPr>
          <w:color w:val="000000"/>
          <w:rtl/>
        </w:rPr>
        <w:t xml:space="preserve">6 مليون فرنك سويسري في عام 1998، </w:t>
      </w:r>
      <w:r>
        <w:rPr>
          <w:rFonts w:hint="cs"/>
          <w:color w:val="000000"/>
          <w:rtl/>
        </w:rPr>
        <w:t xml:space="preserve">وأعيد </w:t>
      </w:r>
      <w:r w:rsidRPr="00011ECA">
        <w:rPr>
          <w:color w:val="000000"/>
          <w:rtl/>
        </w:rPr>
        <w:t>تقييمها بالقيمة العادلة على أساس "معايير التقييم الدولية" كما قَدَّرها مثمن مستقل في 31 ديسمبر 2009 بقيمة 28</w:t>
      </w:r>
      <w:r>
        <w:rPr>
          <w:rFonts w:hint="cs"/>
          <w:color w:val="000000"/>
          <w:rtl/>
        </w:rPr>
        <w:t>,</w:t>
      </w:r>
      <w:r w:rsidRPr="00011ECA">
        <w:rPr>
          <w:color w:val="000000"/>
          <w:rtl/>
        </w:rPr>
        <w:t xml:space="preserve">6 مليون فرنك سويسري. </w:t>
      </w:r>
      <w:r>
        <w:rPr>
          <w:rFonts w:hint="cs"/>
          <w:color w:val="000000"/>
          <w:rtl/>
        </w:rPr>
        <w:t>و</w:t>
      </w:r>
      <w:r w:rsidRPr="00011ECA">
        <w:rPr>
          <w:color w:val="000000"/>
          <w:rtl/>
        </w:rPr>
        <w:t xml:space="preserve">يُدرج صافي نتيجة إعادة التقييم وقيمته 15 مليون فرنك سويسري في بند فائض إعادة التقييم الذي يشكل جزءا من صافي أصول الويبو. </w:t>
      </w:r>
      <w:r>
        <w:rPr>
          <w:rFonts w:hint="cs"/>
          <w:color w:val="000000"/>
          <w:rtl/>
        </w:rPr>
        <w:t>وقُدرت</w:t>
      </w:r>
      <w:r w:rsidRPr="00011ECA">
        <w:rPr>
          <w:color w:val="000000"/>
          <w:rtl/>
        </w:rPr>
        <w:t xml:space="preserve"> القيمة السوقية عن طريق الرسملة بحساب تدفق دخل مستقبلي محتمل كعائد استثماري مناسب من الممتلكات العقارية. </w:t>
      </w:r>
      <w:r>
        <w:rPr>
          <w:rFonts w:hint="cs"/>
          <w:color w:val="000000"/>
          <w:rtl/>
        </w:rPr>
        <w:t>و</w:t>
      </w:r>
      <w:r w:rsidRPr="00011ECA">
        <w:rPr>
          <w:color w:val="000000"/>
          <w:rtl/>
        </w:rPr>
        <w:t xml:space="preserve">يستند الإيراد المحتمل على إيجارات قابلة للمقارنة في السوق مع الأخذ في الاعتبار جودة المساحات فضلا عن الموقع. </w:t>
      </w:r>
      <w:r>
        <w:rPr>
          <w:rFonts w:hint="cs"/>
          <w:color w:val="000000"/>
          <w:rtl/>
        </w:rPr>
        <w:t>و</w:t>
      </w:r>
      <w:r w:rsidRPr="00011ECA">
        <w:rPr>
          <w:color w:val="000000"/>
          <w:rtl/>
        </w:rPr>
        <w:t xml:space="preserve">يُختار مبلغ الريع بالاستناد إلى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r>
        <w:rPr>
          <w:rFonts w:hint="cs"/>
          <w:color w:val="000000"/>
          <w:rtl/>
        </w:rPr>
        <w:t>و</w:t>
      </w:r>
      <w:r w:rsidRPr="00011ECA">
        <w:rPr>
          <w:color w:val="000000"/>
          <w:rtl/>
        </w:rPr>
        <w:t>لا تشير ظروف السوق السائدة إلى الحاجة إلى إجراء إعادة تقييم للأراضي كما في 31 ديسمبر 2012</w:t>
      </w:r>
      <w:r>
        <w:rPr>
          <w:rFonts w:hint="cs"/>
          <w:rtl/>
        </w:rPr>
        <w:t>.</w:t>
      </w:r>
    </w:p>
    <w:p w:rsidR="00E16243" w:rsidRDefault="00E16243" w:rsidP="00E16243">
      <w:pPr>
        <w:pStyle w:val="NormalParaAR"/>
        <w:rPr>
          <w:rtl/>
        </w:rPr>
      </w:pPr>
      <w:r>
        <w:rPr>
          <w:rFonts w:hint="cs"/>
          <w:rtl/>
        </w:rPr>
        <w:t>وفي أكتوبر 2009</w:t>
      </w:r>
      <w:r w:rsidRPr="00C10BE2">
        <w:rPr>
          <w:color w:val="000000"/>
          <w:rtl/>
        </w:rPr>
        <w:t>، وافقت الجمعية العامة على بناء قاعة مؤتمرات جديدة، على أن تكون متصلة فعليا بمبنى</w:t>
      </w:r>
      <w:r w:rsidRPr="00C10BE2">
        <w:rPr>
          <w:color w:val="000000"/>
        </w:rPr>
        <w:t xml:space="preserve"> </w:t>
      </w:r>
      <w:r w:rsidRPr="00C10BE2">
        <w:rPr>
          <w:color w:val="000000"/>
          <w:rtl/>
        </w:rPr>
        <w:t>أرباد بوكش</w:t>
      </w:r>
      <w:r w:rsidRPr="00C10BE2">
        <w:rPr>
          <w:color w:val="000000"/>
          <w:rtl/>
          <w:lang w:bidi="ar-EG"/>
        </w:rPr>
        <w:t xml:space="preserve">. </w:t>
      </w:r>
      <w:r>
        <w:rPr>
          <w:rFonts w:hint="cs"/>
          <w:color w:val="000000"/>
          <w:rtl/>
          <w:lang w:bidi="ar-EG"/>
        </w:rPr>
        <w:t>و</w:t>
      </w:r>
      <w:r w:rsidRPr="00C10BE2">
        <w:rPr>
          <w:color w:val="000000"/>
          <w:rtl/>
          <w:lang w:bidi="ar-EG"/>
        </w:rPr>
        <w:t>من المتوق</w:t>
      </w:r>
      <w:r w:rsidRPr="00C10BE2">
        <w:rPr>
          <w:color w:val="000000"/>
          <w:rtl/>
        </w:rPr>
        <w:t xml:space="preserve">ع الانتهاء من المشروع في وقت مبكر من عام 2014، وقد تم رسملة الأموال المنصرفة على العمل حتى تاريخه كنفقات أعمال تحت التنفيذ. </w:t>
      </w:r>
      <w:r>
        <w:rPr>
          <w:rFonts w:hint="cs"/>
          <w:color w:val="000000"/>
          <w:rtl/>
        </w:rPr>
        <w:t>و</w:t>
      </w:r>
      <w:r w:rsidRPr="00C10BE2">
        <w:rPr>
          <w:color w:val="000000"/>
          <w:rtl/>
        </w:rPr>
        <w:t>جاري أيضا تنفيذ مشروع للارتقاء بمعايير السلامة والأمن في مباني الويبو الحالية، تنفيذاً لتوصيات "إدارة الأمن في الأمم المتحدة". ويتضمن هذا العمل الارتقاء إلى</w:t>
      </w:r>
      <w:r w:rsidRPr="00C10BE2">
        <w:rPr>
          <w:color w:val="000000"/>
          <w:rtl/>
          <w:lang w:bidi="ar-EG"/>
        </w:rPr>
        <w:t xml:space="preserve"> متطلبات معايير الأمن التشغيلي الدنيا للأمم المتحدة لمقار الأمم المتحدة (</w:t>
      </w:r>
      <w:r w:rsidRPr="00C10BE2">
        <w:rPr>
          <w:color w:val="000000"/>
          <w:lang w:bidi="ar-EG"/>
        </w:rPr>
        <w:t>H-MOSS</w:t>
      </w:r>
      <w:r w:rsidRPr="00C10BE2">
        <w:rPr>
          <w:color w:val="000000"/>
          <w:rtl/>
          <w:lang w:bidi="ar-EG"/>
        </w:rPr>
        <w:t>). ويشمل</w:t>
      </w:r>
      <w:r w:rsidRPr="00C10BE2">
        <w:rPr>
          <w:color w:val="000000"/>
          <w:rtl/>
        </w:rPr>
        <w:t xml:space="preserve"> المشروع بناء محيط أمني وتدابير أمنية داخلية.</w:t>
      </w:r>
      <w:r>
        <w:rPr>
          <w:rFonts w:hint="cs"/>
          <w:color w:val="000000"/>
          <w:rtl/>
        </w:rPr>
        <w:t>و</w:t>
      </w:r>
      <w:r w:rsidRPr="00C10BE2">
        <w:rPr>
          <w:color w:val="000000"/>
          <w:rtl/>
        </w:rPr>
        <w:t>تم</w:t>
      </w:r>
      <w:r>
        <w:rPr>
          <w:rFonts w:hint="cs"/>
          <w:color w:val="000000"/>
          <w:rtl/>
        </w:rPr>
        <w:t>ت</w:t>
      </w:r>
      <w:r w:rsidRPr="00C10BE2">
        <w:rPr>
          <w:color w:val="000000"/>
          <w:rtl/>
        </w:rPr>
        <w:t xml:space="preserve"> رسملة التكاليف المتعلقة بمشروع الإنشاء التي تتكبدها "المنظمة" كأعمال </w:t>
      </w:r>
      <w:r>
        <w:rPr>
          <w:rFonts w:hint="cs"/>
          <w:color w:val="000000"/>
          <w:rtl/>
        </w:rPr>
        <w:t>تحت</w:t>
      </w:r>
      <w:r w:rsidRPr="00C10BE2">
        <w:rPr>
          <w:color w:val="000000"/>
          <w:rtl/>
        </w:rPr>
        <w:t xml:space="preserve"> التنفيذ خلال عام 2012. </w:t>
      </w:r>
      <w:r>
        <w:rPr>
          <w:rFonts w:hint="cs"/>
          <w:color w:val="000000"/>
          <w:rtl/>
        </w:rPr>
        <w:t>و</w:t>
      </w:r>
      <w:r w:rsidRPr="00C10BE2">
        <w:rPr>
          <w:color w:val="000000"/>
          <w:rtl/>
        </w:rPr>
        <w:t>يُمَوَّل مشروع الإنشاء جزئيا من قبل مؤسسة مباني المنظمات الدولية (</w:t>
      </w:r>
      <w:r w:rsidRPr="00C10BE2">
        <w:rPr>
          <w:color w:val="000000"/>
        </w:rPr>
        <w:t>FIPOI</w:t>
      </w:r>
      <w:r w:rsidRPr="00C10BE2">
        <w:rPr>
          <w:color w:val="000000"/>
          <w:rtl/>
        </w:rPr>
        <w:t>). وتم</w:t>
      </w:r>
      <w:r>
        <w:rPr>
          <w:rFonts w:hint="cs"/>
          <w:color w:val="000000"/>
          <w:rtl/>
        </w:rPr>
        <w:t>ت</w:t>
      </w:r>
      <w:r w:rsidRPr="00C10BE2">
        <w:rPr>
          <w:color w:val="000000"/>
          <w:rtl/>
        </w:rPr>
        <w:t xml:space="preserve"> رسملة أعمال الإنشاء الممولة تلك في </w:t>
      </w:r>
      <w:r w:rsidRPr="00C10BE2">
        <w:rPr>
          <w:color w:val="000000"/>
          <w:rtl/>
          <w:lang w:bidi="ar-EG"/>
        </w:rPr>
        <w:t>بند أعمال تحت التنفيذ، وقُيّدت قيمة مقابلة كإيرادات</w:t>
      </w:r>
      <w:r>
        <w:rPr>
          <w:rFonts w:hint="cs"/>
          <w:color w:val="000000"/>
          <w:rtl/>
          <w:lang w:bidi="ar-EG"/>
        </w:rPr>
        <w:t> </w:t>
      </w:r>
      <w:r>
        <w:rPr>
          <w:rFonts w:hint="cs"/>
          <w:rtl/>
        </w:rPr>
        <w:t>مؤجلة.</w:t>
      </w:r>
    </w:p>
    <w:p w:rsidR="00E16243" w:rsidRDefault="00E16243" w:rsidP="00E16243">
      <w:pPr>
        <w:bidi/>
        <w:rPr>
          <w:rFonts w:ascii="Arabic Typesetting" w:hAnsi="Arabic Typesetting" w:cs="Arabic Typesetting"/>
          <w:sz w:val="30"/>
          <w:szCs w:val="30"/>
          <w:rtl/>
        </w:rPr>
      </w:pPr>
    </w:p>
    <w:p w:rsidR="00E16243" w:rsidRDefault="00E16243" w:rsidP="00E16243">
      <w:pPr>
        <w:bidi/>
        <w:rPr>
          <w:rFonts w:ascii="Arabic Typesetting" w:hAnsi="Arabic Typesetting" w:cs="Arabic Typesetting"/>
          <w:sz w:val="30"/>
          <w:szCs w:val="30"/>
          <w:rtl/>
        </w:rPr>
        <w:sectPr w:rsidR="00E16243" w:rsidSect="0072027F">
          <w:headerReference w:type="even" r:id="rId29"/>
          <w:headerReference w:type="default" r:id="rId30"/>
          <w:footerReference w:type="even" r:id="rId31"/>
          <w:footerReference w:type="default" r:id="rId32"/>
          <w:headerReference w:type="first" r:id="rId33"/>
          <w:footerReference w:type="first" r:id="rId34"/>
          <w:pgSz w:w="11907" w:h="16840" w:code="9"/>
          <w:pgMar w:top="567" w:right="1418" w:bottom="1418" w:left="1134" w:header="510" w:footer="1021" w:gutter="0"/>
          <w:pgNumType w:start="2"/>
          <w:cols w:space="720"/>
          <w:titlePg/>
          <w:docGrid w:linePitch="299"/>
        </w:sectPr>
      </w:pPr>
    </w:p>
    <w:p w:rsidR="00E16243" w:rsidRDefault="00E16243" w:rsidP="00E16243">
      <w:pPr>
        <w:bidi/>
        <w:rPr>
          <w:rFonts w:ascii="Arabic Typesetting" w:hAnsi="Arabic Typesetting" w:cs="Arabic Typesetting"/>
          <w:sz w:val="30"/>
          <w:szCs w:val="30"/>
          <w:rtl/>
        </w:rPr>
      </w:pPr>
    </w:p>
    <w:p w:rsidR="00E16243" w:rsidRDefault="00E16243" w:rsidP="00D91942">
      <w:pPr>
        <w:bidi/>
        <w:spacing w:after="240" w:line="360" w:lineRule="exact"/>
        <w:ind w:left="821"/>
        <w:rPr>
          <w:rFonts w:ascii="Arabic Typesetting" w:hAnsi="Arabic Typesetting" w:cs="Arabic Typesetting"/>
          <w:sz w:val="36"/>
          <w:szCs w:val="36"/>
          <w:rtl/>
        </w:rPr>
      </w:pPr>
      <w:r>
        <w:rPr>
          <w:rFonts w:ascii="Arabic Typesetting" w:hAnsi="Arabic Typesetting" w:cs="Arabic Typesetting" w:hint="cs"/>
          <w:sz w:val="36"/>
          <w:szCs w:val="36"/>
          <w:rtl/>
        </w:rPr>
        <w:t>التحركات الخاصة بالأراضي والمباني في سنة 2012</w:t>
      </w:r>
      <w:r w:rsidR="00D91942">
        <w:rPr>
          <w:rFonts w:ascii="Arabic Typesetting" w:hAnsi="Arabic Typesetting" w:cs="Arabic Typesetting" w:hint="cs"/>
          <w:sz w:val="36"/>
          <w:szCs w:val="36"/>
          <w:rtl/>
        </w:rPr>
        <w:t>:</w:t>
      </w:r>
    </w:p>
    <w:tbl>
      <w:tblPr>
        <w:bidiVisual/>
        <w:tblW w:w="0" w:type="auto"/>
        <w:jc w:val="center"/>
        <w:tblLook w:val="04A0" w:firstRow="1" w:lastRow="0" w:firstColumn="1" w:lastColumn="0" w:noHBand="0" w:noVBand="1"/>
      </w:tblPr>
      <w:tblGrid>
        <w:gridCol w:w="2731"/>
        <w:gridCol w:w="222"/>
        <w:gridCol w:w="1108"/>
        <w:gridCol w:w="270"/>
        <w:gridCol w:w="1080"/>
        <w:gridCol w:w="1080"/>
        <w:gridCol w:w="270"/>
        <w:gridCol w:w="909"/>
        <w:gridCol w:w="990"/>
        <w:gridCol w:w="987"/>
        <w:gridCol w:w="900"/>
        <w:gridCol w:w="1004"/>
        <w:gridCol w:w="222"/>
        <w:gridCol w:w="867"/>
      </w:tblGrid>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b/>
                <w:bCs/>
                <w:sz w:val="28"/>
                <w:szCs w:val="28"/>
                <w:rtl/>
              </w:rPr>
              <w:t>التحركات في عام 2012</w:t>
            </w:r>
          </w:p>
        </w:tc>
        <w:tc>
          <w:tcPr>
            <w:tcW w:w="222"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tl/>
              </w:rPr>
            </w:pPr>
          </w:p>
        </w:tc>
        <w:tc>
          <w:tcPr>
            <w:tcW w:w="1108"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r w:rsidRPr="002C6F2D">
              <w:rPr>
                <w:rFonts w:ascii="Arabic Typesetting" w:hAnsi="Arabic Typesetting" w:cs="Arabic Typesetting"/>
                <w:b/>
                <w:bCs/>
                <w:sz w:val="28"/>
                <w:szCs w:val="28"/>
                <w:rtl/>
              </w:rPr>
              <w:t>الأراضي</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2160" w:type="dxa"/>
            <w:gridSpan w:val="2"/>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b/>
                <w:bCs/>
                <w:sz w:val="28"/>
                <w:szCs w:val="28"/>
                <w:rtl/>
              </w:rPr>
              <w:t>الأعمال الجارية</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4790" w:type="dxa"/>
            <w:gridSpan w:val="5"/>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b/>
                <w:bCs/>
                <w:sz w:val="28"/>
                <w:szCs w:val="28"/>
                <w:rtl/>
              </w:rPr>
              <w:t>المباني المشغولة</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867"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r w:rsidRPr="002C6F2D">
              <w:rPr>
                <w:rFonts w:ascii="Arabic Typesetting" w:hAnsi="Arabic Typesetting" w:cs="Arabic Typesetting"/>
                <w:b/>
                <w:bCs/>
                <w:sz w:val="28"/>
                <w:szCs w:val="28"/>
                <w:rtl/>
              </w:rPr>
              <w:t>إجمالي الأرض والمباني</w:t>
            </w:r>
          </w:p>
        </w:tc>
      </w:tr>
      <w:tr w:rsidR="00E16243" w:rsidRPr="002C6F2D" w:rsidTr="00E16243">
        <w:trPr>
          <w:jc w:val="center"/>
        </w:trPr>
        <w:tc>
          <w:tcPr>
            <w:tcW w:w="2731"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موقع المبنى الجديد</w:t>
            </w:r>
          </w:p>
        </w:tc>
        <w:tc>
          <w:tcPr>
            <w:tcW w:w="270"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إنشاءات أمنية</w:t>
            </w:r>
          </w:p>
        </w:tc>
        <w:tc>
          <w:tcPr>
            <w:tcW w:w="1080" w:type="dxa"/>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tl/>
              </w:rPr>
              <w:t>قاعة المؤتمرات الجديدة</w:t>
            </w:r>
          </w:p>
        </w:tc>
        <w:tc>
          <w:tcPr>
            <w:tcW w:w="270"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المبنى الجديد</w:t>
            </w:r>
          </w:p>
        </w:tc>
        <w:tc>
          <w:tcPr>
            <w:tcW w:w="99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 xml:space="preserve">مبنى </w:t>
            </w:r>
            <w:r>
              <w:rPr>
                <w:rFonts w:ascii="Arabic Typesetting" w:hAnsi="Arabic Typesetting" w:cs="Arabic Typesetting" w:hint="cs"/>
                <w:sz w:val="28"/>
                <w:szCs w:val="28"/>
                <w:rtl/>
              </w:rPr>
              <w:t>أرباد بوكش</w:t>
            </w:r>
          </w:p>
        </w:tc>
        <w:tc>
          <w:tcPr>
            <w:tcW w:w="987"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مبنى جورج بودنهاوزن الأول</w:t>
            </w:r>
          </w:p>
        </w:tc>
        <w:tc>
          <w:tcPr>
            <w:tcW w:w="90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مبنى جورج بودنهاوزن الثاني</w:t>
            </w:r>
          </w:p>
        </w:tc>
        <w:tc>
          <w:tcPr>
            <w:tcW w:w="1004"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tl/>
              </w:rPr>
              <w:t>مبنى معاهدة التعاون بشأن البراءات</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867"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سنة التشغيل</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Pr>
              <w:t>1998</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tl/>
              </w:rPr>
              <w:t>غير متاحة</w:t>
            </w:r>
          </w:p>
        </w:tc>
        <w:tc>
          <w:tcPr>
            <w:tcW w:w="108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tl/>
              </w:rPr>
              <w:t>غير متاحة</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Pr>
              <w:t>2011</w:t>
            </w:r>
          </w:p>
        </w:tc>
        <w:tc>
          <w:tcPr>
            <w:tcW w:w="99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1978</w:t>
            </w:r>
          </w:p>
        </w:tc>
        <w:tc>
          <w:tcPr>
            <w:tcW w:w="987"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Pr>
              <w:t>1960</w:t>
            </w:r>
          </w:p>
        </w:tc>
        <w:tc>
          <w:tcPr>
            <w:tcW w:w="90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Pr>
              <w:t>1987</w:t>
            </w:r>
          </w:p>
        </w:tc>
        <w:tc>
          <w:tcPr>
            <w:tcW w:w="1004"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2C6F2D">
              <w:rPr>
                <w:rFonts w:ascii="Arabic Typesetting" w:hAnsi="Arabic Typesetting" w:cs="Arabic Typesetting"/>
                <w:sz w:val="28"/>
                <w:szCs w:val="28"/>
              </w:rPr>
              <w:t>2003</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r>
      <w:tr w:rsidR="00E16243" w:rsidRPr="002C6F2D" w:rsidTr="00E16243">
        <w:trPr>
          <w:jc w:val="center"/>
        </w:trPr>
        <w:tc>
          <w:tcPr>
            <w:tcW w:w="12640" w:type="dxa"/>
            <w:gridSpan w:val="14"/>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rtl/>
                <w:lang w:bidi="ar-EG"/>
              </w:rPr>
              <w:t>(ب</w:t>
            </w:r>
            <w:r>
              <w:rPr>
                <w:rFonts w:ascii="Arabic Typesetting" w:hAnsi="Arabic Typesetting" w:cs="Arabic Typesetting" w:hint="cs"/>
                <w:sz w:val="28"/>
                <w:szCs w:val="28"/>
                <w:rtl/>
                <w:lang w:bidi="ar-EG"/>
              </w:rPr>
              <w:t>آ</w:t>
            </w:r>
            <w:r>
              <w:rPr>
                <w:rFonts w:ascii="Arabic Typesetting" w:hAnsi="Arabic Typesetting" w:cs="Arabic Typesetting"/>
                <w:sz w:val="28"/>
                <w:szCs w:val="28"/>
                <w:rtl/>
                <w:lang w:bidi="ar-EG"/>
              </w:rPr>
              <w:t>ل</w:t>
            </w:r>
            <w:r>
              <w:rPr>
                <w:rFonts w:ascii="Arabic Typesetting" w:hAnsi="Arabic Typesetting" w:cs="Arabic Typesetting" w:hint="cs"/>
                <w:sz w:val="28"/>
                <w:szCs w:val="28"/>
                <w:rtl/>
                <w:lang w:bidi="ar-EG"/>
              </w:rPr>
              <w:t>ا</w:t>
            </w:r>
            <w:r w:rsidRPr="002C6F2D">
              <w:rPr>
                <w:rFonts w:ascii="Arabic Typesetting" w:hAnsi="Arabic Typesetting" w:cs="Arabic Typesetting"/>
                <w:sz w:val="28"/>
                <w:szCs w:val="28"/>
                <w:rtl/>
                <w:lang w:bidi="ar-EG"/>
              </w:rPr>
              <w:t xml:space="preserve">ف </w:t>
            </w:r>
            <w:r>
              <w:rPr>
                <w:rFonts w:ascii="Arabic Typesetting" w:hAnsi="Arabic Typesetting" w:cs="Arabic Typesetting" w:hint="cs"/>
                <w:sz w:val="28"/>
                <w:szCs w:val="28"/>
                <w:rtl/>
                <w:lang w:bidi="ar-EG"/>
              </w:rPr>
              <w:t>ال</w:t>
            </w:r>
            <w:r w:rsidRPr="002C6F2D">
              <w:rPr>
                <w:rFonts w:ascii="Arabic Typesetting" w:hAnsi="Arabic Typesetting" w:cs="Arabic Typesetting"/>
                <w:sz w:val="28"/>
                <w:szCs w:val="28"/>
                <w:rtl/>
                <w:lang w:bidi="ar-EG"/>
              </w:rPr>
              <w:t>فرنك</w:t>
            </w:r>
            <w:r>
              <w:rPr>
                <w:rFonts w:ascii="Arabic Typesetting" w:hAnsi="Arabic Typesetting" w:cs="Arabic Typesetting" w:hint="cs"/>
                <w:sz w:val="28"/>
                <w:szCs w:val="28"/>
                <w:rtl/>
                <w:lang w:bidi="ar-EG"/>
              </w:rPr>
              <w:t>ات</w:t>
            </w:r>
            <w:r w:rsidRPr="002C6F2D">
              <w:rPr>
                <w:rFonts w:ascii="Arabic Typesetting" w:hAnsi="Arabic Typesetting" w:cs="Arabic Typesetting"/>
                <w:sz w:val="28"/>
                <w:szCs w:val="28"/>
                <w:rtl/>
                <w:lang w:bidi="ar-EG"/>
              </w:rPr>
              <w:t xml:space="preserve"> </w:t>
            </w:r>
            <w:r>
              <w:rPr>
                <w:rFonts w:ascii="Arabic Typesetting" w:hAnsi="Arabic Typesetting" w:cs="Arabic Typesetting" w:hint="cs"/>
                <w:sz w:val="28"/>
                <w:szCs w:val="28"/>
                <w:rtl/>
                <w:lang w:bidi="ar-EG"/>
              </w:rPr>
              <w:t>ال</w:t>
            </w:r>
            <w:r w:rsidRPr="002C6F2D">
              <w:rPr>
                <w:rFonts w:ascii="Arabic Typesetting" w:hAnsi="Arabic Typesetting" w:cs="Arabic Typesetting"/>
                <w:sz w:val="28"/>
                <w:szCs w:val="28"/>
                <w:rtl/>
                <w:lang w:bidi="ar-EG"/>
              </w:rPr>
              <w:t>سويسري</w:t>
            </w:r>
            <w:r>
              <w:rPr>
                <w:rFonts w:ascii="Arabic Typesetting" w:hAnsi="Arabic Typesetting" w:cs="Arabic Typesetting" w:hint="cs"/>
                <w:sz w:val="28"/>
                <w:szCs w:val="28"/>
                <w:rtl/>
                <w:lang w:bidi="ar-EG"/>
              </w:rPr>
              <w:t>ة</w:t>
            </w:r>
            <w:r w:rsidRPr="002C6F2D">
              <w:rPr>
                <w:rFonts w:ascii="Arabic Typesetting" w:hAnsi="Arabic Typesetting" w:cs="Arabic Typesetting"/>
                <w:sz w:val="28"/>
                <w:szCs w:val="28"/>
                <w:rtl/>
                <w:lang w:bidi="ar-EG"/>
              </w:rPr>
              <w:t>)</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1 يناير 2012</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9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87"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04"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Pr>
                <w:rFonts w:ascii="Arabic Typesetting" w:hAnsi="Arabic Typesetting" w:cs="Arabic Typesetting"/>
                <w:sz w:val="28"/>
                <w:szCs w:val="28"/>
                <w:rtl/>
              </w:rPr>
              <w:t>التكلفة/</w:t>
            </w:r>
            <w:r w:rsidRPr="002C6F2D">
              <w:rPr>
                <w:rFonts w:ascii="Arabic Typesetting" w:hAnsi="Arabic Typesetting" w:cs="Arabic Typesetting"/>
                <w:sz w:val="28"/>
                <w:szCs w:val="28"/>
                <w:rtl/>
              </w:rPr>
              <w:t>التقييم</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28,600</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272</w:t>
            </w: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26,062</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163,778</w:t>
            </w: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47,743</w:t>
            </w: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10,431</w:t>
            </w: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4,302</w:t>
            </w: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67,337</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348,525</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الاهتلاك المتراكم وتكاليف الأضرار</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-1,522</w:t>
            </w:r>
          </w:p>
        </w:tc>
        <w:tc>
          <w:tcPr>
            <w:tcW w:w="99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-4,679</w:t>
            </w:r>
          </w:p>
        </w:tc>
        <w:tc>
          <w:tcPr>
            <w:tcW w:w="98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-646</w:t>
            </w:r>
          </w:p>
        </w:tc>
        <w:tc>
          <w:tcPr>
            <w:tcW w:w="90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-229</w:t>
            </w:r>
          </w:p>
        </w:tc>
        <w:tc>
          <w:tcPr>
            <w:tcW w:w="1004"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-2,684</w:t>
            </w:r>
          </w:p>
        </w:tc>
        <w:tc>
          <w:tcPr>
            <w:tcW w:w="222"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-9,760</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صافي مبلغ الترحيل</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28,600</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272</w:t>
            </w: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26,062</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162,256</w:t>
            </w:r>
          </w:p>
        </w:tc>
        <w:tc>
          <w:tcPr>
            <w:tcW w:w="99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43,064</w:t>
            </w:r>
          </w:p>
        </w:tc>
        <w:tc>
          <w:tcPr>
            <w:tcW w:w="98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9,785</w:t>
            </w:r>
          </w:p>
        </w:tc>
        <w:tc>
          <w:tcPr>
            <w:tcW w:w="90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4,073</w:t>
            </w:r>
          </w:p>
        </w:tc>
        <w:tc>
          <w:tcPr>
            <w:tcW w:w="1004"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64,653</w:t>
            </w:r>
          </w:p>
        </w:tc>
        <w:tc>
          <w:tcPr>
            <w:tcW w:w="222"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338,765</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التحركات في سنة 2012</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الإضافات</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1,997</w:t>
            </w: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3,677</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67</w:t>
            </w: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122</w:t>
            </w: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5,863</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التحويلات</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الأضرار</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الاهتلاك</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-3,051</w:t>
            </w:r>
          </w:p>
        </w:tc>
        <w:tc>
          <w:tcPr>
            <w:tcW w:w="99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-1,447</w:t>
            </w:r>
          </w:p>
        </w:tc>
        <w:tc>
          <w:tcPr>
            <w:tcW w:w="98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-327</w:t>
            </w:r>
          </w:p>
        </w:tc>
        <w:tc>
          <w:tcPr>
            <w:tcW w:w="90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-114</w:t>
            </w:r>
          </w:p>
        </w:tc>
        <w:tc>
          <w:tcPr>
            <w:tcW w:w="1004"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-1,342</w:t>
            </w:r>
          </w:p>
        </w:tc>
        <w:tc>
          <w:tcPr>
            <w:tcW w:w="222"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-6,281</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مجموع التحركات  عام 2012</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1,997</w:t>
            </w: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3,677</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-3,051</w:t>
            </w:r>
          </w:p>
        </w:tc>
        <w:tc>
          <w:tcPr>
            <w:tcW w:w="99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-1,380</w:t>
            </w:r>
          </w:p>
        </w:tc>
        <w:tc>
          <w:tcPr>
            <w:tcW w:w="98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-205</w:t>
            </w:r>
          </w:p>
        </w:tc>
        <w:tc>
          <w:tcPr>
            <w:tcW w:w="90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-114</w:t>
            </w:r>
          </w:p>
        </w:tc>
        <w:tc>
          <w:tcPr>
            <w:tcW w:w="1004"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-1,342</w:t>
            </w:r>
          </w:p>
        </w:tc>
        <w:tc>
          <w:tcPr>
            <w:tcW w:w="222"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-418</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31 ديسمبر 2012</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Pr>
                <w:rFonts w:ascii="Arabic Typesetting" w:hAnsi="Arabic Typesetting" w:cs="Arabic Typesetting"/>
                <w:sz w:val="28"/>
                <w:szCs w:val="28"/>
                <w:rtl/>
              </w:rPr>
              <w:t>التكلفة/</w:t>
            </w:r>
            <w:r w:rsidRPr="002C6F2D">
              <w:rPr>
                <w:rFonts w:ascii="Arabic Typesetting" w:hAnsi="Arabic Typesetting" w:cs="Arabic Typesetting"/>
                <w:sz w:val="28"/>
                <w:szCs w:val="28"/>
                <w:rtl/>
              </w:rPr>
              <w:t>التقييم</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28,600</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2,269</w:t>
            </w:r>
          </w:p>
        </w:tc>
        <w:tc>
          <w:tcPr>
            <w:tcW w:w="108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29,739</w:t>
            </w:r>
          </w:p>
        </w:tc>
        <w:tc>
          <w:tcPr>
            <w:tcW w:w="270"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163,778</w:t>
            </w:r>
          </w:p>
        </w:tc>
        <w:tc>
          <w:tcPr>
            <w:tcW w:w="99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47,810</w:t>
            </w:r>
          </w:p>
        </w:tc>
        <w:tc>
          <w:tcPr>
            <w:tcW w:w="98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10,553</w:t>
            </w:r>
          </w:p>
        </w:tc>
        <w:tc>
          <w:tcPr>
            <w:tcW w:w="900"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4,302</w:t>
            </w:r>
          </w:p>
        </w:tc>
        <w:tc>
          <w:tcPr>
            <w:tcW w:w="1004"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67,337</w:t>
            </w:r>
          </w:p>
        </w:tc>
        <w:tc>
          <w:tcPr>
            <w:tcW w:w="222" w:type="dxa"/>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354,388</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Pr>
            </w:pPr>
            <w:r w:rsidRPr="002C6F2D">
              <w:rPr>
                <w:rFonts w:ascii="Arabic Typesetting" w:hAnsi="Arabic Typesetting" w:cs="Arabic Typesetting"/>
                <w:sz w:val="28"/>
                <w:szCs w:val="28"/>
                <w:rtl/>
              </w:rPr>
              <w:t>الاهتلاك المتراكم وتكاليف الأضرار</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108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w:t>
            </w:r>
          </w:p>
        </w:tc>
        <w:tc>
          <w:tcPr>
            <w:tcW w:w="270"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-4,573</w:t>
            </w:r>
          </w:p>
        </w:tc>
        <w:tc>
          <w:tcPr>
            <w:tcW w:w="99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-6,126</w:t>
            </w:r>
          </w:p>
        </w:tc>
        <w:tc>
          <w:tcPr>
            <w:tcW w:w="98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-973</w:t>
            </w:r>
          </w:p>
        </w:tc>
        <w:tc>
          <w:tcPr>
            <w:tcW w:w="900"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-343</w:t>
            </w:r>
          </w:p>
        </w:tc>
        <w:tc>
          <w:tcPr>
            <w:tcW w:w="1004"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C6F2D">
              <w:rPr>
                <w:rFonts w:ascii="Arabic Typesetting" w:hAnsi="Arabic Typesetting" w:cs="Arabic Typesetting"/>
                <w:sz w:val="28"/>
                <w:szCs w:val="28"/>
              </w:rPr>
              <w:t>-4,026</w:t>
            </w:r>
          </w:p>
        </w:tc>
        <w:tc>
          <w:tcPr>
            <w:tcW w:w="222" w:type="dxa"/>
            <w:tcBorders>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-16,041</w:t>
            </w:r>
          </w:p>
        </w:tc>
      </w:tr>
      <w:tr w:rsidR="00E16243" w:rsidRPr="002C6F2D" w:rsidTr="00E16243">
        <w:trPr>
          <w:jc w:val="center"/>
        </w:trPr>
        <w:tc>
          <w:tcPr>
            <w:tcW w:w="2731" w:type="dxa"/>
            <w:vAlign w:val="center"/>
          </w:tcPr>
          <w:p w:rsidR="00E16243" w:rsidRPr="002C6F2D"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2C6F2D">
              <w:rPr>
                <w:rFonts w:ascii="Arabic Typesetting" w:hAnsi="Arabic Typesetting" w:cs="Arabic Typesetting"/>
                <w:b/>
                <w:bCs/>
                <w:sz w:val="28"/>
                <w:szCs w:val="28"/>
                <w:rtl/>
              </w:rPr>
              <w:t>صافي مبلغ الترحيل</w:t>
            </w:r>
          </w:p>
        </w:tc>
        <w:tc>
          <w:tcPr>
            <w:tcW w:w="222" w:type="dxa"/>
          </w:tcPr>
          <w:p w:rsidR="00E16243" w:rsidRPr="002C6F2D" w:rsidRDefault="00E16243" w:rsidP="00E16243">
            <w:pPr>
              <w:tabs>
                <w:tab w:val="center" w:pos="4320"/>
                <w:tab w:val="right" w:pos="8640"/>
              </w:tabs>
              <w:bidi/>
              <w:spacing w:line="280" w:lineRule="exact"/>
              <w:rPr>
                <w:rFonts w:ascii="Arabic Typesetting" w:hAnsi="Arabic Typesetting" w:cs="Arabic Typesetting"/>
                <w:sz w:val="28"/>
                <w:szCs w:val="28"/>
                <w:rtl/>
                <w:lang w:bidi="ar-EG"/>
              </w:rPr>
            </w:pPr>
          </w:p>
        </w:tc>
        <w:tc>
          <w:tcPr>
            <w:tcW w:w="1108"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28,600</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2,269</w:t>
            </w:r>
          </w:p>
        </w:tc>
        <w:tc>
          <w:tcPr>
            <w:tcW w:w="108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29,739</w:t>
            </w:r>
          </w:p>
        </w:tc>
        <w:tc>
          <w:tcPr>
            <w:tcW w:w="27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909"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159,205</w:t>
            </w:r>
          </w:p>
        </w:tc>
        <w:tc>
          <w:tcPr>
            <w:tcW w:w="99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41,684</w:t>
            </w:r>
          </w:p>
        </w:tc>
        <w:tc>
          <w:tcPr>
            <w:tcW w:w="98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9,580</w:t>
            </w:r>
          </w:p>
        </w:tc>
        <w:tc>
          <w:tcPr>
            <w:tcW w:w="900"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3,959</w:t>
            </w:r>
          </w:p>
        </w:tc>
        <w:tc>
          <w:tcPr>
            <w:tcW w:w="1004"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63,311</w:t>
            </w:r>
          </w:p>
        </w:tc>
        <w:tc>
          <w:tcPr>
            <w:tcW w:w="222" w:type="dxa"/>
            <w:tcBorders>
              <w:top w:val="single" w:sz="4" w:space="0" w:color="auto"/>
              <w:bottom w:val="single" w:sz="4" w:space="0" w:color="auto"/>
            </w:tcBorders>
            <w:vAlign w:val="center"/>
          </w:tcPr>
          <w:p w:rsidR="00E16243" w:rsidRPr="002C6F2D"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p>
        </w:tc>
        <w:tc>
          <w:tcPr>
            <w:tcW w:w="867" w:type="dxa"/>
            <w:tcBorders>
              <w:top w:val="single" w:sz="4" w:space="0" w:color="auto"/>
              <w:bottom w:val="single" w:sz="4" w:space="0" w:color="auto"/>
            </w:tcBorders>
            <w:vAlign w:val="center"/>
          </w:tcPr>
          <w:p w:rsidR="00E16243" w:rsidRPr="002C6F2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C6F2D">
              <w:rPr>
                <w:rFonts w:ascii="Arabic Typesetting" w:hAnsi="Arabic Typesetting" w:cs="Arabic Typesetting"/>
                <w:b/>
                <w:bCs/>
                <w:sz w:val="28"/>
                <w:szCs w:val="28"/>
              </w:rPr>
              <w:t>338,347</w:t>
            </w:r>
          </w:p>
        </w:tc>
      </w:tr>
    </w:tbl>
    <w:p w:rsidR="00E16243" w:rsidRDefault="00E16243" w:rsidP="00E16243">
      <w:pPr>
        <w:bidi/>
        <w:spacing w:after="240"/>
        <w:rPr>
          <w:rFonts w:ascii="Arabic Typesetting" w:hAnsi="Arabic Typesetting" w:cs="Arabic Typesetting"/>
          <w:sz w:val="36"/>
          <w:szCs w:val="36"/>
          <w:rtl/>
        </w:rPr>
      </w:pPr>
    </w:p>
    <w:p w:rsidR="00E16243" w:rsidRPr="003D1AFA" w:rsidRDefault="00E16243" w:rsidP="00D91942">
      <w:pPr>
        <w:bidi/>
        <w:ind w:left="821"/>
        <w:rPr>
          <w:rFonts w:ascii="Arabic Typesetting" w:hAnsi="Arabic Typesetting" w:cs="Arabic Typesetting"/>
          <w:color w:val="000000"/>
          <w:sz w:val="36"/>
          <w:szCs w:val="36"/>
          <w:rtl/>
        </w:rPr>
      </w:pPr>
      <w:r>
        <w:rPr>
          <w:rFonts w:ascii="Arabic Typesetting" w:hAnsi="Arabic Typesetting" w:cs="Arabic Typesetting"/>
          <w:sz w:val="36"/>
          <w:szCs w:val="36"/>
          <w:rtl/>
        </w:rPr>
        <w:br w:type="page"/>
      </w:r>
      <w:r>
        <w:rPr>
          <w:rFonts w:ascii="Arabic Typesetting" w:hAnsi="Arabic Typesetting" w:cs="Arabic Typesetting" w:hint="cs"/>
          <w:color w:val="000000"/>
          <w:sz w:val="36"/>
          <w:szCs w:val="36"/>
          <w:rtl/>
        </w:rPr>
        <w:lastRenderedPageBreak/>
        <w:t>التحركات في</w:t>
      </w:r>
      <w:r w:rsidRPr="003D1AFA">
        <w:rPr>
          <w:rFonts w:ascii="Arabic Typesetting" w:hAnsi="Arabic Typesetting" w:cs="Arabic Typesetting"/>
          <w:color w:val="000000"/>
          <w:sz w:val="36"/>
          <w:szCs w:val="36"/>
          <w:rtl/>
        </w:rPr>
        <w:t xml:space="preserve"> الأراضي والمباني في السنة السابقة 2011:</w:t>
      </w:r>
    </w:p>
    <w:tbl>
      <w:tblPr>
        <w:bidiVisual/>
        <w:tblW w:w="0" w:type="auto"/>
        <w:jc w:val="center"/>
        <w:tblLook w:val="04A0" w:firstRow="1" w:lastRow="0" w:firstColumn="1" w:lastColumn="0" w:noHBand="0" w:noVBand="1"/>
      </w:tblPr>
      <w:tblGrid>
        <w:gridCol w:w="2088"/>
        <w:gridCol w:w="360"/>
        <w:gridCol w:w="1080"/>
        <w:gridCol w:w="360"/>
        <w:gridCol w:w="1080"/>
        <w:gridCol w:w="1080"/>
        <w:gridCol w:w="1260"/>
        <w:gridCol w:w="270"/>
        <w:gridCol w:w="990"/>
        <w:gridCol w:w="810"/>
        <w:gridCol w:w="6"/>
        <w:gridCol w:w="894"/>
        <w:gridCol w:w="996"/>
        <w:gridCol w:w="991"/>
        <w:gridCol w:w="911"/>
      </w:tblGrid>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130AA">
              <w:rPr>
                <w:rFonts w:ascii="Arabic Typesetting" w:hAnsi="Arabic Typesetting" w:cs="Arabic Typesetting"/>
                <w:b/>
                <w:bCs/>
                <w:sz w:val="28"/>
                <w:szCs w:val="28"/>
                <w:rtl/>
              </w:rPr>
              <w:t>التحركات في عام 2011</w:t>
            </w:r>
          </w:p>
        </w:tc>
        <w:tc>
          <w:tcPr>
            <w:tcW w:w="36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108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130AA">
              <w:rPr>
                <w:rFonts w:ascii="Arabic Typesetting" w:hAnsi="Arabic Typesetting" w:cs="Arabic Typesetting"/>
                <w:b/>
                <w:bCs/>
                <w:sz w:val="28"/>
                <w:szCs w:val="28"/>
                <w:rtl/>
              </w:rPr>
              <w:t>الأراضي</w:t>
            </w:r>
          </w:p>
        </w:tc>
        <w:tc>
          <w:tcPr>
            <w:tcW w:w="36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3420" w:type="dxa"/>
            <w:gridSpan w:val="3"/>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tl/>
              </w:rPr>
              <w:t>الأعمال الجارية</w:t>
            </w:r>
          </w:p>
        </w:tc>
        <w:tc>
          <w:tcPr>
            <w:tcW w:w="27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b/>
                <w:bCs/>
                <w:sz w:val="28"/>
                <w:szCs w:val="28"/>
                <w:rtl/>
              </w:rPr>
            </w:pPr>
          </w:p>
        </w:tc>
        <w:tc>
          <w:tcPr>
            <w:tcW w:w="4687" w:type="dxa"/>
            <w:gridSpan w:val="6"/>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130AA">
              <w:rPr>
                <w:rFonts w:ascii="Arabic Typesetting" w:hAnsi="Arabic Typesetting" w:cs="Arabic Typesetting"/>
                <w:b/>
                <w:bCs/>
                <w:sz w:val="28"/>
                <w:szCs w:val="28"/>
                <w:rtl/>
              </w:rPr>
              <w:t>المباني المشغولة</w:t>
            </w:r>
          </w:p>
        </w:tc>
        <w:tc>
          <w:tcPr>
            <w:tcW w:w="911"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lang w:bidi="ar-EG"/>
              </w:rPr>
            </w:pPr>
            <w:r w:rsidRPr="000130AA">
              <w:rPr>
                <w:rFonts w:ascii="Arabic Typesetting" w:hAnsi="Arabic Typesetting" w:cs="Arabic Typesetting"/>
                <w:b/>
                <w:bCs/>
                <w:sz w:val="28"/>
                <w:szCs w:val="28"/>
                <w:rtl/>
              </w:rPr>
              <w:t>إجمالي الأرض والمباني</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spacing w:line="280" w:lineRule="exact"/>
              <w:jc w:val="right"/>
              <w:rPr>
                <w:rFonts w:ascii="Arabic Typesetting" w:hAnsi="Arabic Typesetting" w:cs="Arabic Typesetting"/>
                <w:sz w:val="28"/>
                <w:szCs w:val="28"/>
              </w:rPr>
            </w:pPr>
          </w:p>
        </w:tc>
        <w:tc>
          <w:tcPr>
            <w:tcW w:w="360" w:type="dxa"/>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p>
        </w:tc>
        <w:tc>
          <w:tcPr>
            <w:tcW w:w="108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موقع المبنى الجديد</w:t>
            </w:r>
          </w:p>
        </w:tc>
        <w:tc>
          <w:tcPr>
            <w:tcW w:w="360" w:type="dxa"/>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p>
        </w:tc>
        <w:tc>
          <w:tcPr>
            <w:tcW w:w="108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إنشاءات أمنية</w:t>
            </w:r>
          </w:p>
        </w:tc>
        <w:tc>
          <w:tcPr>
            <w:tcW w:w="108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قاعة المؤتمرات الجديدة</w:t>
            </w:r>
          </w:p>
        </w:tc>
        <w:tc>
          <w:tcPr>
            <w:tcW w:w="126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المبنى الجديد</w:t>
            </w:r>
          </w:p>
        </w:tc>
        <w:tc>
          <w:tcPr>
            <w:tcW w:w="270" w:type="dxa"/>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p>
        </w:tc>
        <w:tc>
          <w:tcPr>
            <w:tcW w:w="990"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المبنى الجديد</w:t>
            </w:r>
          </w:p>
        </w:tc>
        <w:tc>
          <w:tcPr>
            <w:tcW w:w="816" w:type="dxa"/>
            <w:gridSpan w:val="2"/>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 xml:space="preserve">مبنى </w:t>
            </w:r>
            <w:r>
              <w:rPr>
                <w:rFonts w:ascii="Arabic Typesetting" w:hAnsi="Arabic Typesetting" w:cs="Arabic Typesetting" w:hint="cs"/>
                <w:sz w:val="28"/>
                <w:szCs w:val="28"/>
                <w:rtl/>
              </w:rPr>
              <w:t>أرباد بوكش</w:t>
            </w:r>
          </w:p>
        </w:tc>
        <w:tc>
          <w:tcPr>
            <w:tcW w:w="894"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مبنى جورج بودنهاوزن الأول</w:t>
            </w:r>
          </w:p>
        </w:tc>
        <w:tc>
          <w:tcPr>
            <w:tcW w:w="996"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مبنى جورج بودنهاوزن الثاني</w:t>
            </w:r>
          </w:p>
        </w:tc>
        <w:tc>
          <w:tcPr>
            <w:tcW w:w="991" w:type="dxa"/>
            <w:vAlign w:val="center"/>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مبنى معاهدة التعاون بشأن البراءات</w:t>
            </w:r>
          </w:p>
        </w:tc>
        <w:tc>
          <w:tcPr>
            <w:tcW w:w="911"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sidRPr="000130AA">
              <w:rPr>
                <w:rFonts w:ascii="Arabic Typesetting" w:hAnsi="Arabic Typesetting" w:cs="Arabic Typesetting"/>
                <w:sz w:val="28"/>
                <w:szCs w:val="28"/>
                <w:rtl/>
              </w:rPr>
              <w:t>سنة التشغيل</w:t>
            </w: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1998</w:t>
            </w:r>
          </w:p>
        </w:tc>
        <w:tc>
          <w:tcPr>
            <w:tcW w:w="360" w:type="dxa"/>
            <w:tcBorders>
              <w:bottom w:val="single" w:sz="4" w:space="0" w:color="auto"/>
            </w:tcBorders>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tl/>
              </w:rPr>
            </w:pPr>
          </w:p>
        </w:tc>
        <w:tc>
          <w:tcPr>
            <w:tcW w:w="1080" w:type="dxa"/>
            <w:tcBorders>
              <w:bottom w:val="single" w:sz="4" w:space="0" w:color="auto"/>
            </w:tcBorders>
            <w:vAlign w:val="bottom"/>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لا ينطبق</w:t>
            </w:r>
          </w:p>
        </w:tc>
        <w:tc>
          <w:tcPr>
            <w:tcW w:w="1080" w:type="dxa"/>
            <w:tcBorders>
              <w:bottom w:val="single" w:sz="4" w:space="0" w:color="auto"/>
            </w:tcBorders>
            <w:vAlign w:val="bottom"/>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لا ينطبق</w:t>
            </w:r>
          </w:p>
        </w:tc>
        <w:tc>
          <w:tcPr>
            <w:tcW w:w="1260" w:type="dxa"/>
            <w:tcBorders>
              <w:bottom w:val="single" w:sz="4" w:space="0" w:color="auto"/>
            </w:tcBorders>
            <w:vAlign w:val="bottom"/>
          </w:tcPr>
          <w:p w:rsidR="00E16243" w:rsidRPr="000130AA" w:rsidRDefault="00E16243" w:rsidP="00E16243">
            <w:pPr>
              <w:tabs>
                <w:tab w:val="center" w:pos="4320"/>
                <w:tab w:val="right" w:pos="8640"/>
              </w:tabs>
              <w:bidi/>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tl/>
              </w:rPr>
              <w:t>لا ينطبق</w:t>
            </w:r>
          </w:p>
        </w:tc>
        <w:tc>
          <w:tcPr>
            <w:tcW w:w="27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2011</w:t>
            </w:r>
          </w:p>
        </w:tc>
        <w:tc>
          <w:tcPr>
            <w:tcW w:w="816" w:type="dxa"/>
            <w:gridSpan w:val="2"/>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1978</w:t>
            </w:r>
          </w:p>
        </w:tc>
        <w:tc>
          <w:tcPr>
            <w:tcW w:w="894"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1960</w:t>
            </w:r>
          </w:p>
        </w:tc>
        <w:tc>
          <w:tcPr>
            <w:tcW w:w="996"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1987</w:t>
            </w:r>
          </w:p>
        </w:tc>
        <w:tc>
          <w:tcPr>
            <w:tcW w:w="99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2003</w:t>
            </w: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tl/>
              </w:rPr>
            </w:pP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8826" w:type="dxa"/>
            <w:gridSpan w:val="11"/>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Pr>
                <w:rFonts w:ascii="Arabic Typesetting" w:hAnsi="Arabic Typesetting" w:cs="Arabic Typesetting" w:hint="cs"/>
                <w:sz w:val="28"/>
                <w:szCs w:val="28"/>
                <w:rtl/>
              </w:rPr>
              <w:t>(بآلاف الفرنكات السويسرية)</w:t>
            </w:r>
          </w:p>
        </w:tc>
        <w:tc>
          <w:tcPr>
            <w:tcW w:w="99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130AA">
              <w:rPr>
                <w:rFonts w:ascii="Arabic Typesetting" w:hAnsi="Arabic Typesetting" w:cs="Arabic Typesetting"/>
                <w:b/>
                <w:bCs/>
                <w:sz w:val="28"/>
                <w:szCs w:val="28"/>
                <w:rtl/>
              </w:rPr>
              <w:t>1 يناير 2011</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Pr>
                <w:rFonts w:ascii="Arabic Typesetting" w:hAnsi="Arabic Typesetting" w:cs="Arabic Typesetting"/>
                <w:sz w:val="28"/>
                <w:szCs w:val="28"/>
                <w:rtl/>
              </w:rPr>
              <w:t>التكلفة/</w:t>
            </w:r>
            <w:r w:rsidRPr="000130AA">
              <w:rPr>
                <w:rFonts w:ascii="Arabic Typesetting" w:hAnsi="Arabic Typesetting" w:cs="Arabic Typesetting"/>
                <w:sz w:val="28"/>
                <w:szCs w:val="28"/>
                <w:rtl/>
              </w:rPr>
              <w:t>التقييم</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28,600</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6,654</w:t>
            </w: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155,172</w:t>
            </w: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47,644</w:t>
            </w: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10,381</w:t>
            </w: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4,302</w:t>
            </w: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67,337</w:t>
            </w: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320,090</w:t>
            </w:r>
          </w:p>
        </w:tc>
      </w:tr>
      <w:tr w:rsidR="00E16243" w:rsidRPr="000130AA" w:rsidTr="00E16243">
        <w:trPr>
          <w:jc w:val="center"/>
        </w:trPr>
        <w:tc>
          <w:tcPr>
            <w:tcW w:w="2088" w:type="dxa"/>
            <w:vAlign w:val="center"/>
          </w:tcPr>
          <w:p w:rsidR="00E16243" w:rsidRPr="00D159E7" w:rsidRDefault="00E16243" w:rsidP="00E16243">
            <w:pPr>
              <w:tabs>
                <w:tab w:val="center" w:pos="4320"/>
                <w:tab w:val="right" w:pos="8640"/>
              </w:tabs>
              <w:bidi/>
              <w:spacing w:line="280" w:lineRule="exact"/>
              <w:rPr>
                <w:rFonts w:ascii="Arabic Typesetting" w:hAnsi="Arabic Typesetting" w:cs="Arabic Typesetting"/>
                <w:sz w:val="24"/>
                <w:szCs w:val="24"/>
              </w:rPr>
            </w:pPr>
            <w:r w:rsidRPr="00D159E7">
              <w:rPr>
                <w:rFonts w:ascii="Arabic Typesetting" w:hAnsi="Arabic Typesetting" w:cs="Arabic Typesetting"/>
                <w:sz w:val="24"/>
                <w:szCs w:val="24"/>
                <w:rtl/>
              </w:rPr>
              <w:t>الاهتلاك المتراكم وتكاليف الأضرار</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26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27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81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-1,570</w:t>
            </w:r>
          </w:p>
        </w:tc>
        <w:tc>
          <w:tcPr>
            <w:tcW w:w="900" w:type="dxa"/>
            <w:gridSpan w:val="2"/>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-323</w:t>
            </w:r>
          </w:p>
        </w:tc>
        <w:tc>
          <w:tcPr>
            <w:tcW w:w="996"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-114</w:t>
            </w:r>
          </w:p>
        </w:tc>
        <w:tc>
          <w:tcPr>
            <w:tcW w:w="991"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-1,342</w:t>
            </w:r>
          </w:p>
        </w:tc>
        <w:tc>
          <w:tcPr>
            <w:tcW w:w="911"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-3,349</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130AA">
              <w:rPr>
                <w:rFonts w:ascii="Arabic Typesetting" w:hAnsi="Arabic Typesetting" w:cs="Arabic Typesetting"/>
                <w:b/>
                <w:bCs/>
                <w:sz w:val="28"/>
                <w:szCs w:val="28"/>
                <w:rtl/>
              </w:rPr>
              <w:t>صافي مبلغ الترحيل</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28,600</w:t>
            </w: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w:t>
            </w:r>
          </w:p>
        </w:tc>
        <w:tc>
          <w:tcPr>
            <w:tcW w:w="108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6,654</w:t>
            </w:r>
          </w:p>
        </w:tc>
        <w:tc>
          <w:tcPr>
            <w:tcW w:w="126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155,172</w:t>
            </w:r>
          </w:p>
        </w:tc>
        <w:tc>
          <w:tcPr>
            <w:tcW w:w="27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w:t>
            </w:r>
          </w:p>
        </w:tc>
        <w:tc>
          <w:tcPr>
            <w:tcW w:w="810"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46,074</w:t>
            </w:r>
          </w:p>
        </w:tc>
        <w:tc>
          <w:tcPr>
            <w:tcW w:w="900" w:type="dxa"/>
            <w:gridSpan w:val="2"/>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10,058</w:t>
            </w:r>
          </w:p>
        </w:tc>
        <w:tc>
          <w:tcPr>
            <w:tcW w:w="996"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4,188</w:t>
            </w:r>
          </w:p>
        </w:tc>
        <w:tc>
          <w:tcPr>
            <w:tcW w:w="991"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65,995</w:t>
            </w:r>
          </w:p>
        </w:tc>
        <w:tc>
          <w:tcPr>
            <w:tcW w:w="911" w:type="dxa"/>
            <w:tcBorders>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316,741</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130AA">
              <w:rPr>
                <w:rFonts w:ascii="Arabic Typesetting" w:hAnsi="Arabic Typesetting" w:cs="Arabic Typesetting"/>
                <w:b/>
                <w:bCs/>
                <w:sz w:val="28"/>
                <w:szCs w:val="28"/>
                <w:rtl/>
              </w:rPr>
              <w:t>التحركات في عام 2011</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sidRPr="000130AA">
              <w:rPr>
                <w:rFonts w:ascii="Arabic Typesetting" w:hAnsi="Arabic Typesetting" w:cs="Arabic Typesetting"/>
                <w:sz w:val="28"/>
                <w:szCs w:val="28"/>
                <w:rtl/>
              </w:rPr>
              <w:t>الإضافات</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272</w:t>
            </w: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19,408</w:t>
            </w:r>
          </w:p>
        </w:tc>
        <w:tc>
          <w:tcPr>
            <w:tcW w:w="126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8,606</w:t>
            </w:r>
          </w:p>
        </w:tc>
        <w:tc>
          <w:tcPr>
            <w:tcW w:w="27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81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99</w:t>
            </w:r>
          </w:p>
        </w:tc>
        <w:tc>
          <w:tcPr>
            <w:tcW w:w="900" w:type="dxa"/>
            <w:gridSpan w:val="2"/>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50</w:t>
            </w:r>
          </w:p>
        </w:tc>
        <w:tc>
          <w:tcPr>
            <w:tcW w:w="996"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9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1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28,435</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sidRPr="000130AA">
              <w:rPr>
                <w:rFonts w:ascii="Arabic Typesetting" w:hAnsi="Arabic Typesetting" w:cs="Arabic Typesetting"/>
                <w:sz w:val="28"/>
                <w:szCs w:val="28"/>
                <w:rtl/>
              </w:rPr>
              <w:t>التحويلات</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Borders>
              <w:top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26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-163,778</w:t>
            </w:r>
          </w:p>
        </w:tc>
        <w:tc>
          <w:tcPr>
            <w:tcW w:w="270" w:type="dxa"/>
            <w:tcBorders>
              <w:top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163,778</w:t>
            </w:r>
          </w:p>
        </w:tc>
        <w:tc>
          <w:tcPr>
            <w:tcW w:w="810"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00" w:type="dxa"/>
            <w:gridSpan w:val="2"/>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96"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91"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11" w:type="dxa"/>
            <w:tcBorders>
              <w:top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sidRPr="000130AA">
              <w:rPr>
                <w:rFonts w:ascii="Arabic Typesetting" w:hAnsi="Arabic Typesetting" w:cs="Arabic Typesetting"/>
                <w:sz w:val="28"/>
                <w:szCs w:val="28"/>
                <w:rtl/>
              </w:rPr>
              <w:t>الأضرار</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-1,713</w:t>
            </w: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-1,713</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sidRPr="000130AA">
              <w:rPr>
                <w:rFonts w:ascii="Arabic Typesetting" w:hAnsi="Arabic Typesetting" w:cs="Arabic Typesetting"/>
                <w:sz w:val="28"/>
                <w:szCs w:val="28"/>
                <w:rtl/>
              </w:rPr>
              <w:t>الاهتلاك</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26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270" w:type="dxa"/>
            <w:tcBorders>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-1,522</w:t>
            </w:r>
          </w:p>
        </w:tc>
        <w:tc>
          <w:tcPr>
            <w:tcW w:w="810"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-1,396</w:t>
            </w:r>
          </w:p>
        </w:tc>
        <w:tc>
          <w:tcPr>
            <w:tcW w:w="900" w:type="dxa"/>
            <w:gridSpan w:val="2"/>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-323</w:t>
            </w:r>
          </w:p>
        </w:tc>
        <w:tc>
          <w:tcPr>
            <w:tcW w:w="996"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-115</w:t>
            </w:r>
          </w:p>
        </w:tc>
        <w:tc>
          <w:tcPr>
            <w:tcW w:w="99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-1,342</w:t>
            </w:r>
          </w:p>
        </w:tc>
        <w:tc>
          <w:tcPr>
            <w:tcW w:w="911" w:type="dxa"/>
            <w:tcBorders>
              <w:bottom w:val="single" w:sz="4" w:space="0" w:color="auto"/>
            </w:tcBorders>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-4,698</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130AA">
              <w:rPr>
                <w:rFonts w:ascii="Arabic Typesetting" w:hAnsi="Arabic Typesetting" w:cs="Arabic Typesetting"/>
                <w:b/>
                <w:bCs/>
                <w:sz w:val="28"/>
                <w:szCs w:val="28"/>
                <w:rtl/>
              </w:rPr>
              <w:t>إجمالي التحركات في عام 2011</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w:t>
            </w:r>
          </w:p>
        </w:tc>
        <w:tc>
          <w:tcPr>
            <w:tcW w:w="360" w:type="dxa"/>
            <w:tcBorders>
              <w:top w:val="single" w:sz="4" w:space="0" w:color="auto"/>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272</w:t>
            </w: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19,408</w:t>
            </w:r>
          </w:p>
        </w:tc>
        <w:tc>
          <w:tcPr>
            <w:tcW w:w="126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-155,172</w:t>
            </w:r>
          </w:p>
        </w:tc>
        <w:tc>
          <w:tcPr>
            <w:tcW w:w="270" w:type="dxa"/>
            <w:tcBorders>
              <w:top w:val="single" w:sz="4" w:space="0" w:color="auto"/>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162,256</w:t>
            </w:r>
          </w:p>
        </w:tc>
        <w:tc>
          <w:tcPr>
            <w:tcW w:w="81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-3,010</w:t>
            </w:r>
          </w:p>
        </w:tc>
        <w:tc>
          <w:tcPr>
            <w:tcW w:w="900" w:type="dxa"/>
            <w:gridSpan w:val="2"/>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-273</w:t>
            </w:r>
          </w:p>
        </w:tc>
        <w:tc>
          <w:tcPr>
            <w:tcW w:w="996"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-115</w:t>
            </w:r>
          </w:p>
        </w:tc>
        <w:tc>
          <w:tcPr>
            <w:tcW w:w="991"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-1,342</w:t>
            </w:r>
          </w:p>
        </w:tc>
        <w:tc>
          <w:tcPr>
            <w:tcW w:w="911"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22,024</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0130AA">
              <w:rPr>
                <w:rFonts w:ascii="Arabic Typesetting" w:hAnsi="Arabic Typesetting" w:cs="Arabic Typesetting"/>
                <w:b/>
                <w:bCs/>
                <w:sz w:val="28"/>
                <w:szCs w:val="28"/>
                <w:rtl/>
              </w:rPr>
              <w:t>31 ديسمبر 2011</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8"/>
                <w:szCs w:val="28"/>
              </w:rPr>
            </w:pPr>
            <w:r>
              <w:rPr>
                <w:rFonts w:ascii="Arabic Typesetting" w:hAnsi="Arabic Typesetting" w:cs="Arabic Typesetting"/>
                <w:sz w:val="28"/>
                <w:szCs w:val="28"/>
                <w:rtl/>
              </w:rPr>
              <w:t>التكلفة/</w:t>
            </w:r>
            <w:r w:rsidRPr="000130AA">
              <w:rPr>
                <w:rFonts w:ascii="Arabic Typesetting" w:hAnsi="Arabic Typesetting" w:cs="Arabic Typesetting"/>
                <w:sz w:val="28"/>
                <w:szCs w:val="28"/>
                <w:rtl/>
              </w:rPr>
              <w:t>التقييم</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28,600</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272</w:t>
            </w:r>
          </w:p>
        </w:tc>
        <w:tc>
          <w:tcPr>
            <w:tcW w:w="108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26,062</w:t>
            </w:r>
          </w:p>
        </w:tc>
        <w:tc>
          <w:tcPr>
            <w:tcW w:w="126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163,778</w:t>
            </w:r>
          </w:p>
        </w:tc>
        <w:tc>
          <w:tcPr>
            <w:tcW w:w="810"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47,743</w:t>
            </w:r>
          </w:p>
        </w:tc>
        <w:tc>
          <w:tcPr>
            <w:tcW w:w="900" w:type="dxa"/>
            <w:gridSpan w:val="2"/>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10,431</w:t>
            </w:r>
          </w:p>
        </w:tc>
        <w:tc>
          <w:tcPr>
            <w:tcW w:w="996"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4,302</w:t>
            </w:r>
          </w:p>
        </w:tc>
        <w:tc>
          <w:tcPr>
            <w:tcW w:w="99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67,337</w:t>
            </w:r>
          </w:p>
        </w:tc>
        <w:tc>
          <w:tcPr>
            <w:tcW w:w="911" w:type="dxa"/>
            <w:vAlign w:val="bottom"/>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348,525</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sz w:val="24"/>
                <w:szCs w:val="24"/>
              </w:rPr>
            </w:pPr>
            <w:r w:rsidRPr="000130AA">
              <w:rPr>
                <w:rFonts w:ascii="Arabic Typesetting" w:hAnsi="Arabic Typesetting" w:cs="Arabic Typesetting"/>
                <w:sz w:val="24"/>
                <w:szCs w:val="24"/>
                <w:rtl/>
              </w:rPr>
              <w:t>الاهتلاك المتراكم وتكاليف الأضرار</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08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08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126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w:t>
            </w:r>
          </w:p>
        </w:tc>
        <w:tc>
          <w:tcPr>
            <w:tcW w:w="27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99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-1,522</w:t>
            </w:r>
          </w:p>
        </w:tc>
        <w:tc>
          <w:tcPr>
            <w:tcW w:w="810"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-4,679</w:t>
            </w:r>
          </w:p>
        </w:tc>
        <w:tc>
          <w:tcPr>
            <w:tcW w:w="900" w:type="dxa"/>
            <w:gridSpan w:val="2"/>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-646</w:t>
            </w:r>
          </w:p>
        </w:tc>
        <w:tc>
          <w:tcPr>
            <w:tcW w:w="996"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-229</w:t>
            </w:r>
          </w:p>
        </w:tc>
        <w:tc>
          <w:tcPr>
            <w:tcW w:w="991"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0130AA">
              <w:rPr>
                <w:rFonts w:ascii="Arabic Typesetting" w:hAnsi="Arabic Typesetting" w:cs="Arabic Typesetting"/>
                <w:sz w:val="28"/>
                <w:szCs w:val="28"/>
              </w:rPr>
              <w:t>-2,684</w:t>
            </w:r>
          </w:p>
        </w:tc>
        <w:tc>
          <w:tcPr>
            <w:tcW w:w="911" w:type="dxa"/>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-9,760</w:t>
            </w:r>
          </w:p>
        </w:tc>
      </w:tr>
      <w:tr w:rsidR="00E16243" w:rsidRPr="000130AA" w:rsidTr="00E16243">
        <w:trPr>
          <w:jc w:val="center"/>
        </w:trPr>
        <w:tc>
          <w:tcPr>
            <w:tcW w:w="2088" w:type="dxa"/>
            <w:vAlign w:val="center"/>
          </w:tcPr>
          <w:p w:rsidR="00E16243" w:rsidRPr="000130AA" w:rsidRDefault="00E16243" w:rsidP="00E16243">
            <w:pPr>
              <w:tabs>
                <w:tab w:val="center" w:pos="4320"/>
                <w:tab w:val="right" w:pos="8640"/>
              </w:tabs>
              <w:bidi/>
              <w:spacing w:line="280" w:lineRule="exact"/>
              <w:rPr>
                <w:rFonts w:ascii="Arabic Typesetting" w:hAnsi="Arabic Typesetting" w:cs="Arabic Typesetting"/>
                <w:b/>
                <w:bCs/>
                <w:sz w:val="28"/>
                <w:szCs w:val="28"/>
                <w:rtl/>
                <w:lang w:bidi="ar-EG"/>
              </w:rPr>
            </w:pPr>
            <w:r w:rsidRPr="000130AA">
              <w:rPr>
                <w:rFonts w:ascii="Arabic Typesetting" w:hAnsi="Arabic Typesetting" w:cs="Arabic Typesetting"/>
                <w:b/>
                <w:bCs/>
                <w:sz w:val="28"/>
                <w:szCs w:val="28"/>
                <w:rtl/>
              </w:rPr>
              <w:t>صافي مبلغ الترحيل</w:t>
            </w:r>
          </w:p>
        </w:tc>
        <w:tc>
          <w:tcPr>
            <w:tcW w:w="360" w:type="dxa"/>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28,600</w:t>
            </w:r>
          </w:p>
        </w:tc>
        <w:tc>
          <w:tcPr>
            <w:tcW w:w="360" w:type="dxa"/>
            <w:tcBorders>
              <w:top w:val="single" w:sz="4" w:space="0" w:color="auto"/>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272</w:t>
            </w:r>
          </w:p>
        </w:tc>
        <w:tc>
          <w:tcPr>
            <w:tcW w:w="108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26,062</w:t>
            </w:r>
          </w:p>
        </w:tc>
        <w:tc>
          <w:tcPr>
            <w:tcW w:w="126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w:t>
            </w:r>
          </w:p>
        </w:tc>
        <w:tc>
          <w:tcPr>
            <w:tcW w:w="270" w:type="dxa"/>
            <w:tcBorders>
              <w:top w:val="single" w:sz="4" w:space="0" w:color="auto"/>
              <w:bottom w:val="single" w:sz="4" w:space="0" w:color="auto"/>
            </w:tcBorders>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99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162,256</w:t>
            </w:r>
          </w:p>
        </w:tc>
        <w:tc>
          <w:tcPr>
            <w:tcW w:w="810"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43,064</w:t>
            </w:r>
          </w:p>
        </w:tc>
        <w:tc>
          <w:tcPr>
            <w:tcW w:w="900" w:type="dxa"/>
            <w:gridSpan w:val="2"/>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9,785</w:t>
            </w:r>
          </w:p>
        </w:tc>
        <w:tc>
          <w:tcPr>
            <w:tcW w:w="996"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4,073</w:t>
            </w:r>
          </w:p>
        </w:tc>
        <w:tc>
          <w:tcPr>
            <w:tcW w:w="991"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64,653</w:t>
            </w:r>
          </w:p>
        </w:tc>
        <w:tc>
          <w:tcPr>
            <w:tcW w:w="911" w:type="dxa"/>
            <w:tcBorders>
              <w:top w:val="single" w:sz="4" w:space="0" w:color="auto"/>
              <w:bottom w:val="single" w:sz="4" w:space="0" w:color="auto"/>
            </w:tcBorders>
            <w:vAlign w:val="center"/>
          </w:tcPr>
          <w:p w:rsidR="00E16243" w:rsidRPr="000130AA"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0130AA">
              <w:rPr>
                <w:rFonts w:ascii="Arabic Typesetting" w:hAnsi="Arabic Typesetting" w:cs="Arabic Typesetting"/>
                <w:b/>
                <w:bCs/>
                <w:sz w:val="28"/>
                <w:szCs w:val="28"/>
              </w:rPr>
              <w:t>338,765</w:t>
            </w:r>
          </w:p>
        </w:tc>
      </w:tr>
    </w:tbl>
    <w:p w:rsidR="00E16243" w:rsidRDefault="00E16243" w:rsidP="00E16243">
      <w:pPr>
        <w:bidi/>
        <w:spacing w:after="240" w:line="360" w:lineRule="exact"/>
        <w:rPr>
          <w:rFonts w:ascii="Arabic Typesetting" w:hAnsi="Arabic Typesetting" w:cs="Arabic Typesetting"/>
          <w:b/>
          <w:bCs/>
          <w:sz w:val="44"/>
          <w:szCs w:val="44"/>
          <w:lang w:bidi="ar-EG"/>
        </w:rPr>
      </w:pPr>
    </w:p>
    <w:p w:rsidR="00E16243" w:rsidRDefault="00E16243" w:rsidP="00E16243">
      <w:pPr>
        <w:bidi/>
        <w:spacing w:after="240" w:line="360" w:lineRule="exact"/>
        <w:rPr>
          <w:rFonts w:ascii="Arabic Typesetting" w:hAnsi="Arabic Typesetting" w:cs="Arabic Typesetting"/>
          <w:b/>
          <w:bCs/>
          <w:sz w:val="44"/>
          <w:szCs w:val="44"/>
        </w:rPr>
        <w:sectPr w:rsidR="00E16243" w:rsidSect="001051A8">
          <w:headerReference w:type="first" r:id="rId35"/>
          <w:pgSz w:w="16840" w:h="11907" w:orient="landscape" w:code="9"/>
          <w:pgMar w:top="1134" w:right="1418" w:bottom="1418" w:left="1134" w:header="510" w:footer="1021" w:gutter="0"/>
          <w:cols w:space="720"/>
          <w:docGrid w:linePitch="299"/>
        </w:sectPr>
      </w:pPr>
    </w:p>
    <w:p w:rsidR="00E16243" w:rsidRPr="00D159E7" w:rsidRDefault="00E16243" w:rsidP="002869C3">
      <w:pPr>
        <w:pStyle w:val="Heading2"/>
        <w:bidi/>
        <w:rPr>
          <w:rFonts w:ascii="Arabic Typesetting" w:hAnsi="Arabic Typesetting" w:cs="Arabic Typesetting"/>
          <w:sz w:val="40"/>
          <w:szCs w:val="40"/>
          <w:rtl/>
        </w:rPr>
      </w:pPr>
      <w:bookmarkStart w:id="25" w:name="_Toc362519108"/>
      <w:r w:rsidRPr="002869C3">
        <w:rPr>
          <w:rFonts w:ascii="Arabic Typesetting" w:hAnsi="Arabic Typesetting" w:cs="Arabic Typesetting" w:hint="cs"/>
          <w:i/>
          <w:iCs w:val="0"/>
          <w:sz w:val="40"/>
          <w:szCs w:val="40"/>
          <w:rtl/>
        </w:rPr>
        <w:lastRenderedPageBreak/>
        <w:t>الملاحظة 10: أصول أخرى غير متداولة</w:t>
      </w:r>
      <w:bookmarkEnd w:id="25"/>
    </w:p>
    <w:tbl>
      <w:tblPr>
        <w:bidiVisual/>
        <w:tblW w:w="0" w:type="auto"/>
        <w:jc w:val="center"/>
        <w:tblLook w:val="04A0" w:firstRow="1" w:lastRow="0" w:firstColumn="1" w:lastColumn="0" w:noHBand="0" w:noVBand="1"/>
      </w:tblPr>
      <w:tblGrid>
        <w:gridCol w:w="3168"/>
        <w:gridCol w:w="2736"/>
        <w:gridCol w:w="2952"/>
      </w:tblGrid>
      <w:tr w:rsidR="00E16243" w:rsidRPr="00EF4AE1" w:rsidTr="00E16243">
        <w:trPr>
          <w:jc w:val="center"/>
        </w:trPr>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tl/>
              </w:rPr>
            </w:pPr>
          </w:p>
        </w:tc>
        <w:tc>
          <w:tcPr>
            <w:tcW w:w="2736" w:type="dxa"/>
            <w:vAlign w:val="center"/>
          </w:tcPr>
          <w:p w:rsidR="00E16243" w:rsidRPr="00EF4AE1" w:rsidRDefault="00E16243" w:rsidP="00E16243">
            <w:pPr>
              <w:tabs>
                <w:tab w:val="center" w:pos="4320"/>
                <w:tab w:val="right" w:pos="8640"/>
              </w:tabs>
              <w:bidi/>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tl/>
              </w:rPr>
              <w:t xml:space="preserve">31 ديسمبر 2012 </w:t>
            </w:r>
          </w:p>
        </w:tc>
        <w:tc>
          <w:tcPr>
            <w:tcW w:w="2952" w:type="dxa"/>
            <w:vAlign w:val="center"/>
          </w:tcPr>
          <w:p w:rsidR="00E16243" w:rsidRPr="00EF4AE1" w:rsidRDefault="00E16243" w:rsidP="00E16243">
            <w:pPr>
              <w:tabs>
                <w:tab w:val="center" w:pos="4320"/>
                <w:tab w:val="right" w:pos="8640"/>
              </w:tabs>
              <w:bidi/>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tl/>
              </w:rPr>
              <w:t>31 ديسمبر 2011</w:t>
            </w:r>
          </w:p>
        </w:tc>
      </w:tr>
      <w:tr w:rsidR="00E16243" w:rsidRPr="00EF4AE1" w:rsidTr="00E16243">
        <w:trPr>
          <w:jc w:val="center"/>
        </w:trPr>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tl/>
              </w:rPr>
            </w:pPr>
          </w:p>
        </w:tc>
        <w:tc>
          <w:tcPr>
            <w:tcW w:w="5688" w:type="dxa"/>
            <w:gridSpan w:val="2"/>
            <w:tcBorders>
              <w:bottom w:val="single" w:sz="4"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EF4AE1">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EF4AE1">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EF4AE1">
              <w:rPr>
                <w:rFonts w:ascii="Arabic Typesetting" w:hAnsi="Arabic Typesetting" w:cs="Arabic Typesetting"/>
                <w:sz w:val="28"/>
                <w:szCs w:val="28"/>
              </w:rPr>
              <w:t>)</w:t>
            </w:r>
          </w:p>
        </w:tc>
      </w:tr>
      <w:tr w:rsidR="00E16243" w:rsidRPr="00EF4AE1" w:rsidTr="00E16243">
        <w:trPr>
          <w:jc w:val="center"/>
        </w:trPr>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Pr>
            </w:pPr>
            <w:r w:rsidRPr="00EF4AE1">
              <w:rPr>
                <w:rFonts w:ascii="Arabic Typesetting" w:hAnsi="Arabic Typesetting" w:cs="Arabic Typesetting"/>
                <w:sz w:val="28"/>
                <w:szCs w:val="28"/>
                <w:rtl/>
              </w:rPr>
              <w:t>قرض مؤسسة مركز جنيف الدولي</w:t>
            </w:r>
          </w:p>
        </w:tc>
        <w:tc>
          <w:tcPr>
            <w:tcW w:w="2736" w:type="dxa"/>
            <w:tcBorders>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9,811</w:t>
            </w:r>
          </w:p>
        </w:tc>
        <w:tc>
          <w:tcPr>
            <w:tcW w:w="2952" w:type="dxa"/>
            <w:tcBorders>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10,000</w:t>
            </w:r>
          </w:p>
        </w:tc>
      </w:tr>
      <w:tr w:rsidR="00E16243" w:rsidRPr="00EF4AE1" w:rsidTr="00E16243">
        <w:trPr>
          <w:jc w:val="center"/>
        </w:trPr>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b/>
                <w:bCs/>
                <w:sz w:val="28"/>
                <w:szCs w:val="28"/>
              </w:rPr>
            </w:pPr>
            <w:r w:rsidRPr="00EF4AE1">
              <w:rPr>
                <w:rFonts w:ascii="Arabic Typesetting" w:hAnsi="Arabic Typesetting" w:cs="Arabic Typesetting"/>
                <w:b/>
                <w:bCs/>
                <w:sz w:val="28"/>
                <w:szCs w:val="28"/>
                <w:rtl/>
              </w:rPr>
              <w:t>إجمالي أصول أخرى غير متداولة</w:t>
            </w:r>
          </w:p>
        </w:tc>
        <w:tc>
          <w:tcPr>
            <w:tcW w:w="2736" w:type="dxa"/>
            <w:tcBorders>
              <w:top w:val="single" w:sz="12" w:space="0" w:color="auto"/>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Pr>
              <w:t>9,811</w:t>
            </w:r>
          </w:p>
        </w:tc>
        <w:tc>
          <w:tcPr>
            <w:tcW w:w="2952" w:type="dxa"/>
            <w:tcBorders>
              <w:top w:val="single" w:sz="12" w:space="0" w:color="auto"/>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Pr>
              <w:t>10,000</w:t>
            </w:r>
          </w:p>
        </w:tc>
      </w:tr>
    </w:tbl>
    <w:p w:rsidR="00E16243" w:rsidRDefault="00E16243" w:rsidP="00E16243">
      <w:pPr>
        <w:pStyle w:val="NormalParaAR"/>
        <w:rPr>
          <w:rtl/>
        </w:rPr>
      </w:pPr>
    </w:p>
    <w:p w:rsidR="00E16243" w:rsidRDefault="00E16243" w:rsidP="00E16243">
      <w:pPr>
        <w:pStyle w:val="NormalParaAR"/>
        <w:rPr>
          <w:rtl/>
        </w:rPr>
      </w:pPr>
      <w:r>
        <w:rPr>
          <w:rFonts w:hint="cs"/>
          <w:rtl/>
        </w:rPr>
        <w:t xml:space="preserve">أبرمت المنظمة </w:t>
      </w:r>
      <w:r w:rsidRPr="00A669AB">
        <w:rPr>
          <w:color w:val="000000"/>
          <w:rtl/>
        </w:rPr>
        <w:t>في عام 1991 اتفاقية مع مؤسسة مركز جنيف الدولي (</w:t>
      </w:r>
      <w:r w:rsidRPr="00A669AB">
        <w:rPr>
          <w:color w:val="000000"/>
        </w:rPr>
        <w:t>FCIG</w:t>
      </w:r>
      <w:r w:rsidRPr="00A669AB">
        <w:rPr>
          <w:color w:val="000000"/>
          <w:rtl/>
          <w:lang w:bidi="ar-EG"/>
        </w:rPr>
        <w:t xml:space="preserve">) بشأن </w:t>
      </w:r>
      <w:r w:rsidRPr="00A669AB">
        <w:rPr>
          <w:color w:val="000000"/>
          <w:rtl/>
        </w:rPr>
        <w:t>تشييد مبنى في شارع موريون في جنيف بسويسرا بتكلفة إجمالية قدرها 20</w:t>
      </w:r>
      <w:r>
        <w:rPr>
          <w:rFonts w:hint="cs"/>
          <w:color w:val="000000"/>
          <w:rtl/>
        </w:rPr>
        <w:t>,</w:t>
      </w:r>
      <w:r w:rsidRPr="00A669AB">
        <w:rPr>
          <w:color w:val="000000"/>
          <w:rtl/>
        </w:rPr>
        <w:t xml:space="preserve">4 مليون فرنك سويسري. </w:t>
      </w:r>
      <w:r>
        <w:rPr>
          <w:rFonts w:hint="cs"/>
          <w:color w:val="000000"/>
          <w:rtl/>
        </w:rPr>
        <w:t>و</w:t>
      </w:r>
      <w:r w:rsidRPr="00A669AB">
        <w:rPr>
          <w:color w:val="000000"/>
          <w:rtl/>
        </w:rPr>
        <w:t xml:space="preserve">نصت الاتفاقية على قيام "المنظمة" بسداد دفعة مقدمة بمبلغ 11 مليون فرنك سويسري، مع تغطية رصيد تكلفة البناء بقرض </w:t>
      </w:r>
      <w:r>
        <w:rPr>
          <w:rFonts w:hint="cs"/>
          <w:color w:val="000000"/>
          <w:rtl/>
        </w:rPr>
        <w:t xml:space="preserve">بضمان </w:t>
      </w:r>
      <w:r w:rsidRPr="00A669AB">
        <w:rPr>
          <w:color w:val="000000"/>
          <w:rtl/>
        </w:rPr>
        <w:t>رهن عقاري بين مؤسسة مركز جنيف الدولي وبنك ك</w:t>
      </w:r>
      <w:r>
        <w:rPr>
          <w:rFonts w:hint="cs"/>
          <w:color w:val="000000"/>
          <w:rtl/>
        </w:rPr>
        <w:t>ا</w:t>
      </w:r>
      <w:r w:rsidRPr="00A669AB">
        <w:rPr>
          <w:color w:val="000000"/>
          <w:rtl/>
        </w:rPr>
        <w:t xml:space="preserve">نتون جنيف. وفي ذلك التاريخ، أبرمت "المنظمة" أيضا اتفاقاً لاستئجار المبنى من المؤسسة. </w:t>
      </w:r>
      <w:r>
        <w:rPr>
          <w:rFonts w:hint="cs"/>
          <w:color w:val="000000"/>
          <w:rtl/>
        </w:rPr>
        <w:t>و</w:t>
      </w:r>
      <w:r w:rsidRPr="00A669AB">
        <w:rPr>
          <w:color w:val="000000"/>
          <w:rtl/>
        </w:rPr>
        <w:t>تم تجديد عقد الإيجار لمدة سبع سنوات اعتبارا من 1 يناير 2012</w:t>
      </w:r>
      <w:r>
        <w:rPr>
          <w:rFonts w:hint="cs"/>
          <w:rtl/>
        </w:rPr>
        <w:t>.</w:t>
      </w:r>
    </w:p>
    <w:p w:rsidR="00E16243" w:rsidRDefault="00E16243" w:rsidP="00E16243">
      <w:pPr>
        <w:pStyle w:val="NormalParaAR"/>
        <w:rPr>
          <w:rtl/>
        </w:rPr>
      </w:pPr>
      <w:r>
        <w:rPr>
          <w:rFonts w:hint="cs"/>
          <w:rtl/>
        </w:rPr>
        <w:t xml:space="preserve">وبموجب </w:t>
      </w:r>
      <w:r w:rsidRPr="00A669AB">
        <w:rPr>
          <w:color w:val="000000"/>
          <w:rtl/>
        </w:rPr>
        <w:t xml:space="preserve">اتفاقية التأجير الحالية بين "المنظمة" ومؤسسة مركز جنيف الدولي، يكون لكلا الطرفين الحق في إنهاء عقد الإيجار في أي وقت من خلال اتفاق متبادل يتم إبرامه كتابةً. </w:t>
      </w:r>
      <w:r>
        <w:rPr>
          <w:rFonts w:hint="cs"/>
          <w:color w:val="000000"/>
          <w:rtl/>
        </w:rPr>
        <w:t>و</w:t>
      </w:r>
      <w:r w:rsidRPr="00A669AB">
        <w:rPr>
          <w:color w:val="000000"/>
          <w:rtl/>
        </w:rPr>
        <w:t>يتساوى مبلغ الإيجار السنوي المستحق الدفع من قبل الويبو مع دفعات السداد السنوية لتسوية الرهن العقاري بين المؤسسة وبنك كانتون جنيف (الفائدة بالإضافة إلى دفعات سداد أصل القرض). وعلى هذا الأساس، بلغ الإيجار المدفوع من الويبو خلال عام 2012 مبلغ 422</w:t>
      </w:r>
      <w:r>
        <w:rPr>
          <w:rFonts w:hint="cs"/>
          <w:color w:val="000000"/>
          <w:rtl/>
        </w:rPr>
        <w:t> </w:t>
      </w:r>
      <w:r w:rsidRPr="00A669AB">
        <w:rPr>
          <w:color w:val="000000"/>
          <w:rtl/>
        </w:rPr>
        <w:t xml:space="preserve">216 فرنك سويسري. </w:t>
      </w:r>
      <w:r>
        <w:rPr>
          <w:rFonts w:hint="cs"/>
          <w:color w:val="000000"/>
          <w:rtl/>
        </w:rPr>
        <w:t>و</w:t>
      </w:r>
      <w:r w:rsidRPr="00A669AB">
        <w:rPr>
          <w:color w:val="000000"/>
          <w:rtl/>
        </w:rPr>
        <w:t>نسبة الفائدة الحالية 1.48</w:t>
      </w:r>
      <w:r>
        <w:rPr>
          <w:rFonts w:hint="cs"/>
          <w:color w:val="000000"/>
          <w:rtl/>
        </w:rPr>
        <w:t xml:space="preserve"> بالمائة</w:t>
      </w:r>
      <w:r w:rsidRPr="00A669AB">
        <w:rPr>
          <w:color w:val="000000"/>
          <w:rtl/>
        </w:rPr>
        <w:t>، وهي نسبة ثابتة حتى 31 ديسمبر 2018، واعتباراً من 1 يناير 2012، تتحمل الويبو أيضا رسم استهلاك سنوي</w:t>
      </w:r>
      <w:r>
        <w:rPr>
          <w:rFonts w:hint="cs"/>
          <w:color w:val="000000"/>
          <w:rtl/>
        </w:rPr>
        <w:t xml:space="preserve"> للقرض</w:t>
      </w:r>
      <w:r w:rsidRPr="00A669AB">
        <w:rPr>
          <w:color w:val="000000"/>
          <w:rtl/>
        </w:rPr>
        <w:t xml:space="preserve"> بقيمة 679</w:t>
      </w:r>
      <w:r>
        <w:rPr>
          <w:rFonts w:hint="cs"/>
          <w:color w:val="000000"/>
          <w:rtl/>
        </w:rPr>
        <w:t> </w:t>
      </w:r>
      <w:r w:rsidRPr="00A669AB">
        <w:rPr>
          <w:color w:val="000000"/>
          <w:rtl/>
        </w:rPr>
        <w:t xml:space="preserve">188 فرنك سويسري مقابل مبلغ 10 مليون فرنك سويسري من أصل 11 مليون فرنك سويسري قيمة القرض لمؤسسة مركز جنيف الدولي. </w:t>
      </w:r>
      <w:r>
        <w:rPr>
          <w:rFonts w:hint="cs"/>
          <w:color w:val="000000"/>
          <w:rtl/>
        </w:rPr>
        <w:t>و</w:t>
      </w:r>
      <w:r w:rsidRPr="00A669AB">
        <w:rPr>
          <w:color w:val="000000"/>
          <w:rtl/>
        </w:rPr>
        <w:t>عند إخلاء المباني، تسترد الويبو الباقي من القرض بعد خصم القيمة المستهلكة. كما تحتفظ مؤسسة مركز جنيف الدولي</w:t>
      </w:r>
      <w:r w:rsidRPr="00A669AB">
        <w:rPr>
          <w:color w:val="000000"/>
          <w:rtl/>
          <w:lang w:bidi="ar-EG"/>
        </w:rPr>
        <w:t xml:space="preserve"> بمبلغ </w:t>
      </w:r>
      <w:r w:rsidRPr="00A669AB">
        <w:rPr>
          <w:color w:val="000000"/>
          <w:rtl/>
        </w:rPr>
        <w:t>1 مليون فرنك سويسري من أصل قيمة القرض وقدرها 11 مليون فرنك سويسري لاستعادة المبنى إلى حالته الأصلية</w:t>
      </w:r>
      <w:r>
        <w:rPr>
          <w:rFonts w:hint="cs"/>
          <w:rtl/>
        </w:rPr>
        <w:t>.</w:t>
      </w:r>
    </w:p>
    <w:p w:rsidR="00E16243" w:rsidRPr="00BF0610" w:rsidRDefault="00E16243" w:rsidP="002869C3">
      <w:pPr>
        <w:pStyle w:val="Heading2"/>
        <w:bidi/>
        <w:rPr>
          <w:rFonts w:ascii="Arabic Typesetting" w:hAnsi="Arabic Typesetting" w:cs="Arabic Typesetting"/>
          <w:sz w:val="40"/>
          <w:szCs w:val="40"/>
          <w:rtl/>
        </w:rPr>
      </w:pPr>
      <w:bookmarkStart w:id="26" w:name="_Toc362519109"/>
      <w:r w:rsidRPr="002869C3">
        <w:rPr>
          <w:rFonts w:ascii="Arabic Typesetting" w:hAnsi="Arabic Typesetting" w:cs="Arabic Typesetting" w:hint="cs"/>
          <w:i/>
          <w:iCs w:val="0"/>
          <w:sz w:val="40"/>
          <w:szCs w:val="40"/>
          <w:rtl/>
        </w:rPr>
        <w:t>الملاحظة 11: الحسابات الدائنة</w:t>
      </w:r>
      <w:bookmarkEnd w:id="26"/>
    </w:p>
    <w:tbl>
      <w:tblPr>
        <w:bidiVisual/>
        <w:tblW w:w="0" w:type="auto"/>
        <w:tblLook w:val="04A0" w:firstRow="1" w:lastRow="0" w:firstColumn="1" w:lastColumn="0" w:noHBand="0" w:noVBand="1"/>
      </w:tblPr>
      <w:tblGrid>
        <w:gridCol w:w="3168"/>
        <w:gridCol w:w="2736"/>
        <w:gridCol w:w="2952"/>
      </w:tblGrid>
      <w:tr w:rsidR="00E16243" w:rsidRPr="00EF4AE1" w:rsidTr="00E16243">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tl/>
              </w:rPr>
            </w:pPr>
          </w:p>
        </w:tc>
        <w:tc>
          <w:tcPr>
            <w:tcW w:w="2736" w:type="dxa"/>
            <w:vAlign w:val="center"/>
          </w:tcPr>
          <w:p w:rsidR="00E16243" w:rsidRPr="00EF4AE1" w:rsidRDefault="00E16243" w:rsidP="00E16243">
            <w:pPr>
              <w:tabs>
                <w:tab w:val="center" w:pos="4320"/>
                <w:tab w:val="right" w:pos="8640"/>
              </w:tabs>
              <w:bidi/>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tl/>
              </w:rPr>
              <w:t xml:space="preserve">31 ديسمبر 2012 </w:t>
            </w:r>
          </w:p>
        </w:tc>
        <w:tc>
          <w:tcPr>
            <w:tcW w:w="2952" w:type="dxa"/>
            <w:vAlign w:val="center"/>
          </w:tcPr>
          <w:p w:rsidR="00E16243" w:rsidRPr="00EF4AE1" w:rsidRDefault="00E16243" w:rsidP="00E16243">
            <w:pPr>
              <w:tabs>
                <w:tab w:val="center" w:pos="4320"/>
                <w:tab w:val="right" w:pos="8640"/>
              </w:tabs>
              <w:bidi/>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tl/>
              </w:rPr>
              <w:t>31 ديسمبر 2011</w:t>
            </w:r>
          </w:p>
        </w:tc>
      </w:tr>
      <w:tr w:rsidR="00E16243" w:rsidRPr="00EF4AE1" w:rsidTr="00E16243">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tl/>
              </w:rPr>
            </w:pPr>
          </w:p>
        </w:tc>
        <w:tc>
          <w:tcPr>
            <w:tcW w:w="5688" w:type="dxa"/>
            <w:gridSpan w:val="2"/>
            <w:tcBorders>
              <w:bottom w:val="single" w:sz="4"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EF4AE1">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EF4AE1">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EF4AE1">
              <w:rPr>
                <w:rFonts w:ascii="Arabic Typesetting" w:hAnsi="Arabic Typesetting" w:cs="Arabic Typesetting"/>
                <w:sz w:val="28"/>
                <w:szCs w:val="28"/>
              </w:rPr>
              <w:t>)</w:t>
            </w:r>
          </w:p>
        </w:tc>
      </w:tr>
      <w:tr w:rsidR="00E16243" w:rsidRPr="00EF4AE1" w:rsidTr="00E16243">
        <w:tc>
          <w:tcPr>
            <w:tcW w:w="3168" w:type="dxa"/>
            <w:vAlign w:val="bottom"/>
          </w:tcPr>
          <w:p w:rsidR="00E16243" w:rsidRPr="00EF4AE1" w:rsidRDefault="00E16243" w:rsidP="00E16243">
            <w:pPr>
              <w:tabs>
                <w:tab w:val="center" w:pos="4320"/>
                <w:tab w:val="right" w:pos="8640"/>
              </w:tabs>
              <w:bidi/>
              <w:jc w:val="right"/>
              <w:rPr>
                <w:rFonts w:ascii="Arabic Typesetting" w:hAnsi="Arabic Typesetting" w:cs="Arabic Typesetting"/>
                <w:sz w:val="28"/>
                <w:szCs w:val="28"/>
                <w:rtl/>
              </w:rPr>
            </w:pPr>
          </w:p>
        </w:tc>
        <w:tc>
          <w:tcPr>
            <w:tcW w:w="2736" w:type="dxa"/>
            <w:tcBorders>
              <w:top w:val="single" w:sz="4"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p>
        </w:tc>
      </w:tr>
      <w:tr w:rsidR="00E16243" w:rsidRPr="00EF4AE1" w:rsidTr="00E16243">
        <w:tc>
          <w:tcPr>
            <w:tcW w:w="3168" w:type="dxa"/>
            <w:vAlign w:val="bottom"/>
          </w:tcPr>
          <w:p w:rsidR="00E16243" w:rsidRPr="00EF4AE1" w:rsidRDefault="00E16243" w:rsidP="00E16243">
            <w:pPr>
              <w:tabs>
                <w:tab w:val="center" w:pos="4320"/>
                <w:tab w:val="right" w:pos="8640"/>
              </w:tabs>
              <w:bidi/>
              <w:jc w:val="both"/>
              <w:rPr>
                <w:rFonts w:ascii="Arabic Typesetting" w:hAnsi="Arabic Typesetting" w:cs="Arabic Typesetting"/>
                <w:sz w:val="28"/>
                <w:szCs w:val="28"/>
              </w:rPr>
            </w:pPr>
            <w:r w:rsidRPr="00EF4AE1">
              <w:rPr>
                <w:rFonts w:ascii="Arabic Typesetting" w:hAnsi="Arabic Typesetting" w:cs="Arabic Typesetting"/>
                <w:sz w:val="28"/>
                <w:szCs w:val="28"/>
                <w:rtl/>
              </w:rPr>
              <w:t>الذمم التجارية الدائنة - الحسابات الدائنة</w:t>
            </w:r>
          </w:p>
        </w:tc>
        <w:tc>
          <w:tcPr>
            <w:tcW w:w="2736" w:type="dxa"/>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16,198</w:t>
            </w:r>
          </w:p>
        </w:tc>
        <w:tc>
          <w:tcPr>
            <w:tcW w:w="2952" w:type="dxa"/>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16,214</w:t>
            </w:r>
          </w:p>
        </w:tc>
      </w:tr>
      <w:tr w:rsidR="00E16243" w:rsidRPr="00EF4AE1" w:rsidTr="00E16243">
        <w:tc>
          <w:tcPr>
            <w:tcW w:w="3168" w:type="dxa"/>
            <w:vAlign w:val="bottom"/>
          </w:tcPr>
          <w:p w:rsidR="00E16243" w:rsidRPr="00EF4AE1" w:rsidRDefault="00E16243" w:rsidP="00E16243">
            <w:pPr>
              <w:tabs>
                <w:tab w:val="center" w:pos="4320"/>
                <w:tab w:val="right" w:pos="8640"/>
              </w:tabs>
              <w:bidi/>
              <w:rPr>
                <w:rFonts w:ascii="Arabic Typesetting" w:hAnsi="Arabic Typesetting" w:cs="Arabic Typesetting"/>
                <w:sz w:val="28"/>
                <w:szCs w:val="28"/>
              </w:rPr>
            </w:pPr>
            <w:r w:rsidRPr="00EF4AE1">
              <w:rPr>
                <w:rFonts w:ascii="Arabic Typesetting" w:hAnsi="Arabic Typesetting" w:cs="Arabic Typesetting"/>
                <w:sz w:val="28"/>
                <w:szCs w:val="28"/>
                <w:rtl/>
              </w:rPr>
              <w:t>التزامات مرحلية متنوعة</w:t>
            </w:r>
          </w:p>
        </w:tc>
        <w:tc>
          <w:tcPr>
            <w:tcW w:w="2736" w:type="dxa"/>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2,935</w:t>
            </w:r>
          </w:p>
        </w:tc>
        <w:tc>
          <w:tcPr>
            <w:tcW w:w="2952" w:type="dxa"/>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11,752</w:t>
            </w:r>
          </w:p>
        </w:tc>
      </w:tr>
      <w:tr w:rsidR="00E16243" w:rsidRPr="00EF4AE1" w:rsidTr="00E16243">
        <w:tc>
          <w:tcPr>
            <w:tcW w:w="3168" w:type="dxa"/>
            <w:vAlign w:val="bottom"/>
          </w:tcPr>
          <w:p w:rsidR="00E16243" w:rsidRPr="00EF4AE1" w:rsidRDefault="00E16243" w:rsidP="00E16243">
            <w:pPr>
              <w:tabs>
                <w:tab w:val="center" w:pos="4320"/>
                <w:tab w:val="right" w:pos="8640"/>
              </w:tabs>
              <w:bidi/>
              <w:jc w:val="both"/>
              <w:rPr>
                <w:rFonts w:ascii="Arabic Typesetting" w:hAnsi="Arabic Typesetting" w:cs="Arabic Typesetting"/>
                <w:sz w:val="28"/>
                <w:szCs w:val="28"/>
              </w:rPr>
            </w:pPr>
            <w:r w:rsidRPr="00EF4AE1">
              <w:rPr>
                <w:rFonts w:ascii="Arabic Typesetting" w:hAnsi="Arabic Typesetting" w:cs="Arabic Typesetting"/>
                <w:sz w:val="28"/>
                <w:szCs w:val="28"/>
                <w:rtl/>
              </w:rPr>
              <w:t>ذمم تجارية دائنة أخرى</w:t>
            </w:r>
          </w:p>
        </w:tc>
        <w:tc>
          <w:tcPr>
            <w:tcW w:w="2736" w:type="dxa"/>
            <w:tcBorders>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1,956</w:t>
            </w:r>
          </w:p>
        </w:tc>
        <w:tc>
          <w:tcPr>
            <w:tcW w:w="2952" w:type="dxa"/>
            <w:tcBorders>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sz w:val="28"/>
                <w:szCs w:val="28"/>
              </w:rPr>
            </w:pPr>
            <w:r w:rsidRPr="00EF4AE1">
              <w:rPr>
                <w:rFonts w:ascii="Arabic Typesetting" w:hAnsi="Arabic Typesetting" w:cs="Arabic Typesetting"/>
                <w:sz w:val="28"/>
                <w:szCs w:val="28"/>
              </w:rPr>
              <w:t>268</w:t>
            </w:r>
          </w:p>
        </w:tc>
      </w:tr>
      <w:tr w:rsidR="00E16243" w:rsidRPr="00EF4AE1" w:rsidTr="00E16243">
        <w:tc>
          <w:tcPr>
            <w:tcW w:w="3168" w:type="dxa"/>
            <w:vAlign w:val="bottom"/>
          </w:tcPr>
          <w:p w:rsidR="00E16243" w:rsidRPr="00EF4AE1" w:rsidRDefault="00E16243" w:rsidP="00E16243">
            <w:pPr>
              <w:tabs>
                <w:tab w:val="center" w:pos="4320"/>
                <w:tab w:val="right" w:pos="8640"/>
              </w:tabs>
              <w:bidi/>
              <w:jc w:val="both"/>
              <w:rPr>
                <w:rFonts w:ascii="Arabic Typesetting" w:hAnsi="Arabic Typesetting" w:cs="Arabic Typesetting"/>
                <w:b/>
                <w:bCs/>
                <w:sz w:val="28"/>
                <w:szCs w:val="28"/>
              </w:rPr>
            </w:pPr>
            <w:r w:rsidRPr="00EF4AE1">
              <w:rPr>
                <w:rFonts w:ascii="Arabic Typesetting" w:hAnsi="Arabic Typesetting" w:cs="Arabic Typesetting"/>
                <w:b/>
                <w:bCs/>
                <w:sz w:val="28"/>
                <w:szCs w:val="28"/>
                <w:rtl/>
              </w:rPr>
              <w:t>مجموع الحسابات الدائنة</w:t>
            </w:r>
          </w:p>
        </w:tc>
        <w:tc>
          <w:tcPr>
            <w:tcW w:w="2736" w:type="dxa"/>
            <w:tcBorders>
              <w:top w:val="single" w:sz="12" w:space="0" w:color="auto"/>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Pr>
              <w:t>21,089</w:t>
            </w:r>
          </w:p>
        </w:tc>
        <w:tc>
          <w:tcPr>
            <w:tcW w:w="2952" w:type="dxa"/>
            <w:tcBorders>
              <w:top w:val="single" w:sz="12" w:space="0" w:color="auto"/>
              <w:bottom w:val="single" w:sz="12" w:space="0" w:color="auto"/>
            </w:tcBorders>
            <w:vAlign w:val="bottom"/>
          </w:tcPr>
          <w:p w:rsidR="00E16243" w:rsidRPr="00EF4AE1" w:rsidRDefault="00E16243" w:rsidP="00E16243">
            <w:pPr>
              <w:tabs>
                <w:tab w:val="center" w:pos="4320"/>
                <w:tab w:val="right" w:pos="8640"/>
              </w:tabs>
              <w:jc w:val="center"/>
              <w:rPr>
                <w:rFonts w:ascii="Arabic Typesetting" w:hAnsi="Arabic Typesetting" w:cs="Arabic Typesetting"/>
                <w:b/>
                <w:bCs/>
                <w:sz w:val="28"/>
                <w:szCs w:val="28"/>
              </w:rPr>
            </w:pPr>
            <w:r w:rsidRPr="00EF4AE1">
              <w:rPr>
                <w:rFonts w:ascii="Arabic Typesetting" w:hAnsi="Arabic Typesetting" w:cs="Arabic Typesetting"/>
                <w:b/>
                <w:bCs/>
                <w:sz w:val="28"/>
                <w:szCs w:val="28"/>
              </w:rPr>
              <w:t>28,234</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الحسابات الدائنة الفواتير المستلمة من الموردين والتي لم تسدد بعد بما في ذلك إعادة تقييم الفواتير الواجب دفعها بعملات غير الفرنك السويسري.</w:t>
      </w:r>
    </w:p>
    <w:p w:rsidR="00E16243" w:rsidRPr="00BF0610" w:rsidRDefault="00E16243" w:rsidP="002869C3">
      <w:pPr>
        <w:pStyle w:val="Heading2"/>
        <w:bidi/>
        <w:rPr>
          <w:rFonts w:ascii="Arabic Typesetting" w:hAnsi="Arabic Typesetting" w:cs="Arabic Typesetting"/>
          <w:sz w:val="40"/>
          <w:szCs w:val="40"/>
          <w:rtl/>
        </w:rPr>
      </w:pPr>
      <w:bookmarkStart w:id="27" w:name="_Toc362519110"/>
      <w:r w:rsidRPr="002869C3">
        <w:rPr>
          <w:rFonts w:ascii="Arabic Typesetting" w:hAnsi="Arabic Typesetting" w:cs="Arabic Typesetting" w:hint="cs"/>
          <w:i/>
          <w:iCs w:val="0"/>
          <w:sz w:val="40"/>
          <w:szCs w:val="40"/>
          <w:rtl/>
        </w:rPr>
        <w:t>الملاحظة 12: مستحقات الموظفين</w:t>
      </w:r>
      <w:bookmarkEnd w:id="27"/>
    </w:p>
    <w:p w:rsidR="00E16243"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مستحقات الموظفين ما يلي:</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مستحقات الموظفين المؤقتين</w:t>
      </w:r>
      <w:r>
        <w:rPr>
          <w:rFonts w:ascii="Arabic Typesetting" w:hAnsi="Arabic Typesetting" w:cs="Arabic Typesetting" w:hint="cs"/>
          <w:sz w:val="36"/>
          <w:szCs w:val="36"/>
          <w:rtl/>
        </w:rPr>
        <w:t xml:space="preserve"> التي تشمل الأجور والبدلات والمنح عند التعيين الأول والتعليم للأطفال المعالين والإجازات السنوية بأجر والإجازات المرضية بأجر والتأمين من الحوادث والتأمين على الحياة؛</w:t>
      </w:r>
    </w:p>
    <w:p w:rsidR="00E16243" w:rsidRDefault="00E16243" w:rsidP="00E16243">
      <w:pPr>
        <w:bidi/>
        <w:spacing w:after="240" w:line="360" w:lineRule="exact"/>
        <w:rPr>
          <w:rFonts w:ascii="Arabic Typesetting" w:hAnsi="Arabic Typesetting" w:cs="Arabic Typesetting"/>
          <w:sz w:val="36"/>
          <w:szCs w:val="36"/>
        </w:rPr>
      </w:pPr>
      <w:r w:rsidRPr="00C01858">
        <w:rPr>
          <w:rFonts w:ascii="Arabic Typesetting" w:hAnsi="Arabic Typesetting" w:cs="Arabic Typesetting" w:hint="cs"/>
          <w:i/>
          <w:iCs/>
          <w:sz w:val="36"/>
          <w:szCs w:val="36"/>
          <w:rtl/>
        </w:rPr>
        <w:lastRenderedPageBreak/>
        <w:t>ومستحقات ما بعد الخدمة</w:t>
      </w:r>
      <w:r>
        <w:rPr>
          <w:rFonts w:ascii="Arabic Typesetting" w:hAnsi="Arabic Typesetting" w:cs="Arabic Typesetting" w:hint="cs"/>
          <w:sz w:val="36"/>
          <w:szCs w:val="36"/>
          <w:rtl/>
        </w:rPr>
        <w:t xml:space="preserve"> التي تشمل مستحقات ترك الخدمة التي تشمل المنح المدفوعة للعودة إلى الوطن والسفر إلى الوطن وشحن الأغراض الشخصية والتأمين الصحي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ومستحقات نهاية الخدمة</w:t>
      </w:r>
      <w:r>
        <w:rPr>
          <w:rFonts w:ascii="Arabic Typesetting" w:hAnsi="Arabic Typesetting" w:cs="Arabic Typesetting" w:hint="cs"/>
          <w:sz w:val="36"/>
          <w:szCs w:val="36"/>
          <w:rtl/>
        </w:rPr>
        <w:t xml:space="preserve"> التي تشمل تعويضا يدفع للموظفين ذوي العقود الدائمة أو الثابتة التي تنتهي عقودهم قبل موعدها بقرار من المنظمة.</w:t>
      </w:r>
    </w:p>
    <w:p w:rsidR="00E16243" w:rsidRDefault="00E16243" w:rsidP="00E16243">
      <w:pPr>
        <w:bidi/>
        <w:spacing w:after="120" w:line="360" w:lineRule="exact"/>
        <w:rPr>
          <w:rFonts w:ascii="Arabic Typesetting" w:hAnsi="Arabic Typesetting" w:cs="Arabic Typesetting"/>
          <w:sz w:val="36"/>
          <w:szCs w:val="36"/>
          <w:lang w:bidi="ar-EG"/>
        </w:rPr>
      </w:pPr>
    </w:p>
    <w:tbl>
      <w:tblPr>
        <w:bidiVisual/>
        <w:tblW w:w="0" w:type="auto"/>
        <w:jc w:val="center"/>
        <w:tblLook w:val="04A0" w:firstRow="1" w:lastRow="0" w:firstColumn="1" w:lastColumn="0" w:noHBand="0" w:noVBand="1"/>
      </w:tblPr>
      <w:tblGrid>
        <w:gridCol w:w="3168"/>
        <w:gridCol w:w="2736"/>
        <w:gridCol w:w="2952"/>
      </w:tblGrid>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736" w:type="dxa"/>
            <w:vAlign w:val="center"/>
          </w:tcPr>
          <w:p w:rsidR="00E16243" w:rsidRPr="00B175BD"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tl/>
              </w:rPr>
              <w:t xml:space="preserve">31 ديسمبر 2012 </w:t>
            </w:r>
          </w:p>
        </w:tc>
        <w:tc>
          <w:tcPr>
            <w:tcW w:w="2952" w:type="dxa"/>
            <w:vAlign w:val="center"/>
          </w:tcPr>
          <w:p w:rsidR="00E16243" w:rsidRPr="00B175BD"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tl/>
              </w:rPr>
              <w:t>31 ديسمبر 2011</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5688" w:type="dxa"/>
            <w:gridSpan w:val="2"/>
            <w:tcBorders>
              <w:bottom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EF4AE1">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EF4AE1">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EF4AE1">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EF4AE1">
              <w:rPr>
                <w:rFonts w:ascii="Arabic Typesetting" w:hAnsi="Arabic Typesetting" w:cs="Arabic Typesetting"/>
                <w:sz w:val="28"/>
                <w:szCs w:val="28"/>
              </w:rPr>
              <w:t>)</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736" w:type="dxa"/>
            <w:tcBorders>
              <w:top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Pr>
                <w:rFonts w:ascii="Arabic Typesetting" w:hAnsi="Arabic Typesetting" w:cs="Arabic Typesetting"/>
                <w:sz w:val="28"/>
                <w:szCs w:val="28"/>
                <w:rtl/>
              </w:rPr>
              <w:t>ال</w:t>
            </w:r>
            <w:r>
              <w:rPr>
                <w:rFonts w:ascii="Arabic Typesetting" w:hAnsi="Arabic Typesetting" w:cs="Arabic Typesetting" w:hint="cs"/>
                <w:sz w:val="28"/>
                <w:szCs w:val="28"/>
                <w:rtl/>
              </w:rPr>
              <w:t>إ</w:t>
            </w:r>
            <w:r w:rsidRPr="00B175BD">
              <w:rPr>
                <w:rFonts w:ascii="Arabic Typesetting" w:hAnsi="Arabic Typesetting" w:cs="Arabic Typesetting"/>
                <w:sz w:val="28"/>
                <w:szCs w:val="28"/>
                <w:rtl/>
              </w:rPr>
              <w:t>جازات المتراكمة – الموظفون الثابتون</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1,207</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1,360</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Pr>
                <w:rFonts w:ascii="Arabic Typesetting" w:hAnsi="Arabic Typesetting" w:cs="Arabic Typesetting"/>
                <w:sz w:val="28"/>
                <w:szCs w:val="28"/>
                <w:rtl/>
              </w:rPr>
              <w:t>ال</w:t>
            </w:r>
            <w:r>
              <w:rPr>
                <w:rFonts w:ascii="Arabic Typesetting" w:hAnsi="Arabic Typesetting" w:cs="Arabic Typesetting" w:hint="cs"/>
                <w:sz w:val="28"/>
                <w:szCs w:val="28"/>
                <w:rtl/>
              </w:rPr>
              <w:t>إ</w:t>
            </w:r>
            <w:r w:rsidRPr="00B175BD">
              <w:rPr>
                <w:rFonts w:ascii="Arabic Typesetting" w:hAnsi="Arabic Typesetting" w:cs="Arabic Typesetting"/>
                <w:sz w:val="28"/>
                <w:szCs w:val="28"/>
                <w:rtl/>
              </w:rPr>
              <w:t xml:space="preserve">جازات المتراكمة – الموظفون المؤقتون </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928</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1,212</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مستحقات إنهاء الخدمة - حسابات خاصة</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235</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152</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الصندوق المقفل للمعاش التقاعدي</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334</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319</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منح العودة إلى الوطن والسفر</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1,158</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1,004</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Pr>
                <w:rFonts w:ascii="Arabic Typesetting" w:hAnsi="Arabic Typesetting" w:cs="Arabic Typesetting" w:hint="cs"/>
                <w:sz w:val="28"/>
                <w:szCs w:val="28"/>
                <w:rtl/>
              </w:rPr>
              <w:t>إ</w:t>
            </w:r>
            <w:r w:rsidRPr="00B175BD">
              <w:rPr>
                <w:rFonts w:ascii="Arabic Typesetting" w:hAnsi="Arabic Typesetting" w:cs="Arabic Typesetting"/>
                <w:sz w:val="28"/>
                <w:szCs w:val="28"/>
                <w:rtl/>
              </w:rPr>
              <w:t>جازات زيارة الوطن ولم تستغل</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489</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459</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برنامج إنهاء الخدمة الطوعي</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451</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ساعات العمل الإضافية المستحقة</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695</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600</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التأمين الطبي اللاحق للخدمة</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10,421</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9,702</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tl/>
                <w:lang w:bidi="ar-EG"/>
              </w:rPr>
            </w:pPr>
          </w:p>
        </w:tc>
        <w:tc>
          <w:tcPr>
            <w:tcW w:w="2736" w:type="dxa"/>
            <w:tcBorders>
              <w:bottom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bottom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tl/>
                <w:lang w:bidi="ar-EG"/>
              </w:rPr>
            </w:pPr>
            <w:r w:rsidRPr="00B175BD">
              <w:rPr>
                <w:rFonts w:ascii="Arabic Typesetting" w:hAnsi="Arabic Typesetting" w:cs="Arabic Typesetting"/>
                <w:b/>
                <w:bCs/>
                <w:sz w:val="28"/>
                <w:szCs w:val="28"/>
                <w:rtl/>
              </w:rPr>
              <w:t>مجموع الالتزامات الحالية لمستحقات الموظفين</w:t>
            </w:r>
          </w:p>
        </w:tc>
        <w:tc>
          <w:tcPr>
            <w:tcW w:w="2736" w:type="dxa"/>
            <w:tcBorders>
              <w:top w:val="single" w:sz="4" w:space="0" w:color="auto"/>
              <w:bottom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15,467</w:t>
            </w:r>
          </w:p>
        </w:tc>
        <w:tc>
          <w:tcPr>
            <w:tcW w:w="2952" w:type="dxa"/>
            <w:tcBorders>
              <w:top w:val="single" w:sz="4" w:space="0" w:color="auto"/>
              <w:bottom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15,259</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b/>
                <w:bCs/>
                <w:sz w:val="28"/>
                <w:szCs w:val="28"/>
                <w:rtl/>
                <w:lang w:bidi="ar-EG"/>
              </w:rPr>
            </w:pPr>
          </w:p>
        </w:tc>
        <w:tc>
          <w:tcPr>
            <w:tcW w:w="2736" w:type="dxa"/>
            <w:tcBorders>
              <w:top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952" w:type="dxa"/>
            <w:tcBorders>
              <w:top w:val="single" w:sz="4"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الصندوق المقفل للمعاش التقاعدي</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2,917</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6,830</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Pr>
                <w:rFonts w:ascii="Arabic Typesetting" w:hAnsi="Arabic Typesetting" w:cs="Arabic Typesetting"/>
                <w:sz w:val="28"/>
                <w:szCs w:val="28"/>
                <w:rtl/>
              </w:rPr>
              <w:t>ال</w:t>
            </w:r>
            <w:r>
              <w:rPr>
                <w:rFonts w:ascii="Arabic Typesetting" w:hAnsi="Arabic Typesetting" w:cs="Arabic Typesetting" w:hint="cs"/>
                <w:sz w:val="28"/>
                <w:szCs w:val="28"/>
                <w:rtl/>
              </w:rPr>
              <w:t>إ</w:t>
            </w:r>
            <w:r w:rsidRPr="00B175BD">
              <w:rPr>
                <w:rFonts w:ascii="Arabic Typesetting" w:hAnsi="Arabic Typesetting" w:cs="Arabic Typesetting"/>
                <w:sz w:val="28"/>
                <w:szCs w:val="28"/>
                <w:rtl/>
              </w:rPr>
              <w:t>جازات المتراكمة</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11,406</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11,189</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B175BD">
              <w:rPr>
                <w:rFonts w:ascii="Arabic Typesetting" w:hAnsi="Arabic Typesetting" w:cs="Arabic Typesetting"/>
                <w:sz w:val="28"/>
                <w:szCs w:val="28"/>
                <w:rtl/>
              </w:rPr>
              <w:t>منح العودة إلى الوطن والسفر</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11,057</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7,905</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tl/>
                <w:lang w:bidi="ar-EG"/>
              </w:rPr>
            </w:pPr>
            <w:r w:rsidRPr="00B175BD">
              <w:rPr>
                <w:rFonts w:ascii="Arabic Typesetting" w:hAnsi="Arabic Typesetting" w:cs="Arabic Typesetting"/>
                <w:sz w:val="28"/>
                <w:szCs w:val="28"/>
                <w:rtl/>
              </w:rPr>
              <w:t>التأمين الطبي اللاحق للخدمة</w:t>
            </w:r>
          </w:p>
        </w:tc>
        <w:tc>
          <w:tcPr>
            <w:tcW w:w="2736"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100,516</w:t>
            </w:r>
          </w:p>
        </w:tc>
        <w:tc>
          <w:tcPr>
            <w:tcW w:w="2952" w:type="dxa"/>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B175BD">
              <w:rPr>
                <w:rFonts w:ascii="Arabic Typesetting" w:hAnsi="Arabic Typesetting" w:cs="Arabic Typesetting"/>
                <w:sz w:val="28"/>
                <w:szCs w:val="28"/>
              </w:rPr>
              <w:t>93,663</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sz w:val="28"/>
                <w:szCs w:val="28"/>
                <w:rtl/>
                <w:lang w:bidi="ar-EG"/>
              </w:rPr>
            </w:pPr>
          </w:p>
        </w:tc>
        <w:tc>
          <w:tcPr>
            <w:tcW w:w="2736" w:type="dxa"/>
            <w:tcBorders>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b/>
                <w:bCs/>
                <w:sz w:val="28"/>
                <w:szCs w:val="28"/>
              </w:rPr>
            </w:pPr>
            <w:r w:rsidRPr="00B175BD">
              <w:rPr>
                <w:rFonts w:ascii="Arabic Typesetting" w:hAnsi="Arabic Typesetting" w:cs="Arabic Typesetting"/>
                <w:b/>
                <w:bCs/>
                <w:sz w:val="28"/>
                <w:szCs w:val="28"/>
                <w:rtl/>
              </w:rPr>
              <w:t>المجموع الفرعي لخصوم مستحقات الخدمة</w:t>
            </w:r>
          </w:p>
        </w:tc>
        <w:tc>
          <w:tcPr>
            <w:tcW w:w="2736"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125,896</w:t>
            </w:r>
          </w:p>
        </w:tc>
        <w:tc>
          <w:tcPr>
            <w:tcW w:w="2952"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119,587</w:t>
            </w: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bidi/>
              <w:spacing w:line="280" w:lineRule="exact"/>
              <w:jc w:val="both"/>
              <w:rPr>
                <w:rFonts w:ascii="Arabic Typesetting" w:hAnsi="Arabic Typesetting" w:cs="Arabic Typesetting"/>
                <w:b/>
                <w:bCs/>
                <w:sz w:val="28"/>
                <w:szCs w:val="28"/>
                <w:rtl/>
                <w:lang w:bidi="ar-EG"/>
              </w:rPr>
            </w:pPr>
          </w:p>
        </w:tc>
        <w:tc>
          <w:tcPr>
            <w:tcW w:w="2736"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2952"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B175BD" w:rsidTr="00E16243">
        <w:trPr>
          <w:jc w:val="center"/>
        </w:trPr>
        <w:tc>
          <w:tcPr>
            <w:tcW w:w="3168" w:type="dxa"/>
            <w:vAlign w:val="bottom"/>
          </w:tcPr>
          <w:p w:rsidR="00E16243" w:rsidRPr="00B175BD" w:rsidRDefault="00E16243" w:rsidP="00E16243">
            <w:pPr>
              <w:tabs>
                <w:tab w:val="center" w:pos="4320"/>
                <w:tab w:val="right" w:pos="8640"/>
              </w:tabs>
              <w:spacing w:line="280" w:lineRule="exact"/>
              <w:jc w:val="right"/>
              <w:rPr>
                <w:rFonts w:ascii="Arabic Typesetting" w:hAnsi="Arabic Typesetting" w:cs="Arabic Typesetting"/>
                <w:b/>
                <w:bCs/>
                <w:sz w:val="28"/>
                <w:szCs w:val="28"/>
                <w:rtl/>
                <w:lang w:bidi="ar-EG"/>
              </w:rPr>
            </w:pPr>
            <w:r w:rsidRPr="00B175BD">
              <w:rPr>
                <w:rFonts w:ascii="Arabic Typesetting" w:hAnsi="Arabic Typesetting" w:cs="Arabic Typesetting"/>
                <w:b/>
                <w:bCs/>
                <w:sz w:val="28"/>
                <w:szCs w:val="28"/>
                <w:rtl/>
                <w:lang w:bidi="ar-EG"/>
              </w:rPr>
              <w:t>مجموع التزامات مستحقات الموظفين</w:t>
            </w:r>
          </w:p>
        </w:tc>
        <w:tc>
          <w:tcPr>
            <w:tcW w:w="2736"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141,363</w:t>
            </w:r>
          </w:p>
        </w:tc>
        <w:tc>
          <w:tcPr>
            <w:tcW w:w="2952" w:type="dxa"/>
            <w:tcBorders>
              <w:top w:val="single" w:sz="12" w:space="0" w:color="auto"/>
              <w:bottom w:val="single" w:sz="12" w:space="0" w:color="auto"/>
            </w:tcBorders>
            <w:vAlign w:val="bottom"/>
          </w:tcPr>
          <w:p w:rsidR="00E16243" w:rsidRPr="00B175BD"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B175BD">
              <w:rPr>
                <w:rFonts w:ascii="Arabic Typesetting" w:hAnsi="Arabic Typesetting" w:cs="Arabic Typesetting"/>
                <w:b/>
                <w:bCs/>
                <w:sz w:val="28"/>
                <w:szCs w:val="28"/>
              </w:rPr>
              <w:t>134,845</w:t>
            </w:r>
          </w:p>
        </w:tc>
      </w:tr>
    </w:tbl>
    <w:p w:rsidR="00E16243" w:rsidRPr="00BF0610" w:rsidRDefault="00E16243" w:rsidP="00E16243">
      <w:pPr>
        <w:keepNext/>
        <w:bidi/>
        <w:spacing w:before="240" w:after="240" w:line="360" w:lineRule="exact"/>
        <w:rPr>
          <w:rFonts w:ascii="Arabic Typesetting" w:hAnsi="Arabic Typesetting" w:cs="Arabic Typesetting"/>
          <w:b/>
          <w:bCs/>
          <w:sz w:val="36"/>
          <w:szCs w:val="36"/>
          <w:rtl/>
        </w:rPr>
      </w:pPr>
      <w:r w:rsidRPr="00BF0610">
        <w:rPr>
          <w:rFonts w:ascii="Arabic Typesetting" w:hAnsi="Arabic Typesetting" w:cs="Arabic Typesetting" w:hint="cs"/>
          <w:b/>
          <w:bCs/>
          <w:sz w:val="36"/>
          <w:szCs w:val="36"/>
          <w:rtl/>
        </w:rPr>
        <w:t>مستحقات الموظفين المؤقتين</w:t>
      </w:r>
    </w:p>
    <w:p w:rsidR="00E16243" w:rsidRDefault="00E16243" w:rsidP="00E16243">
      <w:pPr>
        <w:pStyle w:val="NormalParaAR"/>
        <w:rPr>
          <w:rtl/>
        </w:rPr>
      </w:pPr>
      <w:r>
        <w:rPr>
          <w:rFonts w:hint="cs"/>
          <w:rtl/>
        </w:rPr>
        <w:t>قيدت المنظمة الخصوم المتعلقة بالمستحقات التالية التي تدفعها للموظفين المؤقتين والتي تقدر قيمتها استنادا إلى المبلغ المدفوع إلى كل موظف في تاريخ التقرير المالي.</w:t>
      </w:r>
    </w:p>
    <w:p w:rsidR="00E16243" w:rsidRDefault="00E16243" w:rsidP="00E16243">
      <w:pPr>
        <w:numPr>
          <w:ilvl w:val="0"/>
          <w:numId w:val="39"/>
        </w:numPr>
        <w:bidi/>
        <w:spacing w:after="240" w:line="360" w:lineRule="exact"/>
        <w:ind w:left="1134" w:hanging="567"/>
        <w:rPr>
          <w:rFonts w:ascii="Arabic Typesetting" w:hAnsi="Arabic Typesetting" w:cs="Arabic Typesetting"/>
          <w:sz w:val="36"/>
          <w:szCs w:val="36"/>
          <w:rtl/>
        </w:rPr>
      </w:pPr>
      <w:r>
        <w:rPr>
          <w:rFonts w:ascii="Arabic Typesetting" w:hAnsi="Arabic Typesetting" w:cs="Arabic Typesetting" w:hint="cs"/>
          <w:sz w:val="36"/>
          <w:szCs w:val="36"/>
          <w:rtl/>
        </w:rPr>
        <w:t xml:space="preserve">الإجازات المتراكمة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 xml:space="preserve">يحق للموظفين </w:t>
      </w:r>
      <w:r>
        <w:rPr>
          <w:rFonts w:ascii="Arabic Typesetting" w:hAnsi="Arabic Typesetting" w:cs="Arabic Typesetting" w:hint="cs"/>
          <w:color w:val="000000"/>
          <w:sz w:val="36"/>
          <w:szCs w:val="36"/>
          <w:rtl/>
        </w:rPr>
        <w:t xml:space="preserve">الحصول على إجازة </w:t>
      </w:r>
      <w:r w:rsidRPr="00C10BE2">
        <w:rPr>
          <w:rFonts w:ascii="Arabic Typesetting" w:hAnsi="Arabic Typesetting" w:cs="Arabic Typesetting"/>
          <w:color w:val="000000"/>
          <w:sz w:val="36"/>
          <w:szCs w:val="36"/>
          <w:rtl/>
        </w:rPr>
        <w:t>سنوية تبلغ 30 يوما. بمقتضى نظام موظفي الويبو ولائحته (</w:t>
      </w:r>
      <w:r w:rsidRPr="00C10BE2">
        <w:rPr>
          <w:rFonts w:ascii="Arabic Typesetting" w:hAnsi="Arabic Typesetting" w:cs="Arabic Typesetting"/>
          <w:color w:val="000000"/>
          <w:sz w:val="36"/>
          <w:szCs w:val="36"/>
        </w:rPr>
        <w:t>SRR</w:t>
      </w:r>
      <w:r w:rsidRPr="00C10BE2">
        <w:rPr>
          <w:rFonts w:ascii="Arabic Typesetting" w:hAnsi="Arabic Typesetting" w:cs="Arabic Typesetting"/>
          <w:color w:val="000000"/>
          <w:sz w:val="36"/>
          <w:szCs w:val="36"/>
          <w:rtl/>
        </w:rPr>
        <w:t xml:space="preserve">) والذي كان يُعمل به حتى 31 ديسمبر 2012، كان باستطاعة الموظفين تجميع حتى 90 يوما </w:t>
      </w:r>
      <w:r>
        <w:rPr>
          <w:rFonts w:ascii="Arabic Typesetting" w:hAnsi="Arabic Typesetting" w:cs="Arabic Typesetting" w:hint="cs"/>
          <w:color w:val="000000"/>
          <w:sz w:val="36"/>
          <w:szCs w:val="36"/>
          <w:rtl/>
        </w:rPr>
        <w:t>إجازة</w:t>
      </w:r>
      <w:r w:rsidRPr="00C10BE2">
        <w:rPr>
          <w:rFonts w:ascii="Arabic Typesetting" w:hAnsi="Arabic Typesetting" w:cs="Arabic Typesetting"/>
          <w:color w:val="000000"/>
          <w:sz w:val="36"/>
          <w:szCs w:val="36"/>
          <w:rtl/>
        </w:rPr>
        <w:t xml:space="preserve"> يحصل على أجر 60 يوما منها عند انتهاء الخدمة.</w:t>
      </w:r>
      <w:r w:rsidRPr="00C10BE2">
        <w:rPr>
          <w:rFonts w:ascii="Arabic Typesetting" w:hAnsi="Arabic Typesetting" w:cs="Arabic Typesetting"/>
          <w:color w:val="000000"/>
          <w:sz w:val="36"/>
          <w:szCs w:val="36"/>
          <w:rtl/>
          <w:lang w:bidi="ar-EG"/>
        </w:rPr>
        <w:t xml:space="preserve"> وبمقتضى النظام الحالي والساري اعتبارا من </w:t>
      </w:r>
      <w:r w:rsidRPr="00C10BE2">
        <w:rPr>
          <w:rFonts w:ascii="Arabic Typesetting" w:hAnsi="Arabic Typesetting" w:cs="Arabic Typesetting"/>
          <w:color w:val="000000"/>
          <w:sz w:val="36"/>
          <w:szCs w:val="36"/>
          <w:rtl/>
        </w:rPr>
        <w:t>1 يناير 2013،</w:t>
      </w:r>
      <w:r>
        <w:rPr>
          <w:rFonts w:ascii="Arabic Typesetting" w:hAnsi="Arabic Typesetting" w:cs="Arabic Typesetting"/>
          <w:color w:val="000000"/>
          <w:sz w:val="36"/>
          <w:szCs w:val="36"/>
          <w:rtl/>
        </w:rPr>
        <w:t xml:space="preserve"> يجوز للموظف تجميع حتى 15 يوما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جازة سنوية في أي سنة واحدة، بإجمالي رصيد متراكم لمدة 60 يوما. تبلغ قيمة مجموع الخصوم المستحقة في تاريخ التقرير المالي 13.5 مليون فرنك سويسري [13</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8 مليون فرنك سويسري في 31 ديسمبر 2011].</w:t>
      </w:r>
    </w:p>
    <w:p w:rsidR="00E16243" w:rsidRDefault="00E16243" w:rsidP="00E16243">
      <w:pPr>
        <w:numPr>
          <w:ilvl w:val="0"/>
          <w:numId w:val="39"/>
        </w:numPr>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sz w:val="36"/>
          <w:szCs w:val="36"/>
          <w:rtl/>
        </w:rPr>
        <w:t xml:space="preserve">إجازات زيارة الوطن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يس</w:t>
      </w:r>
      <w:r>
        <w:rPr>
          <w:rFonts w:ascii="Arabic Typesetting" w:hAnsi="Arabic Typesetting" w:cs="Arabic Typesetting"/>
          <w:color w:val="000000"/>
          <w:sz w:val="36"/>
          <w:szCs w:val="36"/>
          <w:rtl/>
        </w:rPr>
        <w:t xml:space="preserve">تحق الموظفين الدوليين المعينين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لزيارة الوطن لأنفسهم وعائلاتهم للبلد التي تم تعيينهم منها مرة كل سنتين.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تبل</w:t>
      </w:r>
      <w:r>
        <w:rPr>
          <w:rFonts w:ascii="Arabic Typesetting" w:hAnsi="Arabic Typesetting" w:cs="Arabic Typesetting"/>
          <w:color w:val="000000"/>
          <w:sz w:val="36"/>
          <w:szCs w:val="36"/>
          <w:rtl/>
        </w:rPr>
        <w:t xml:space="preserve">غ قيمة الالتزامات القائمة نظير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جازات زيارة الوطن المكتسبة ولكن لم يتم </w:t>
      </w:r>
      <w:r w:rsidRPr="00C10BE2">
        <w:rPr>
          <w:rFonts w:ascii="Arabic Typesetting" w:hAnsi="Arabic Typesetting" w:cs="Arabic Typesetting"/>
          <w:color w:val="000000"/>
          <w:sz w:val="36"/>
          <w:szCs w:val="36"/>
          <w:rtl/>
        </w:rPr>
        <w:lastRenderedPageBreak/>
        <w:t>استغلالها في تاريخ التقرير المالي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[0</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في 31 ديسمبر</w:t>
      </w:r>
      <w:r>
        <w:rPr>
          <w:rFonts w:ascii="Arabic Typesetting" w:hAnsi="Arabic Typesetting" w:cs="Arabic Typesetting" w:hint="cs"/>
          <w:color w:val="000000"/>
          <w:sz w:val="36"/>
          <w:szCs w:val="36"/>
          <w:rtl/>
        </w:rPr>
        <w:t> </w:t>
      </w:r>
      <w:r w:rsidRPr="00C10BE2">
        <w:rPr>
          <w:rFonts w:ascii="Arabic Typesetting" w:hAnsi="Arabic Typesetting" w:cs="Arabic Typesetting"/>
          <w:color w:val="000000"/>
          <w:sz w:val="36"/>
          <w:szCs w:val="36"/>
          <w:rtl/>
        </w:rPr>
        <w:t>2011]</w:t>
      </w:r>
      <w:r>
        <w:rPr>
          <w:rFonts w:ascii="Arabic Typesetting" w:hAnsi="Arabic Typesetting" w:cs="Arabic Typesetting" w:hint="cs"/>
          <w:sz w:val="36"/>
          <w:szCs w:val="36"/>
          <w:rtl/>
        </w:rPr>
        <w:t>.</w:t>
      </w:r>
    </w:p>
    <w:p w:rsidR="00E16243" w:rsidRPr="00C10BE2" w:rsidRDefault="00E16243" w:rsidP="00E16243">
      <w:pPr>
        <w:pStyle w:val="ListParagraph"/>
        <w:numPr>
          <w:ilvl w:val="0"/>
          <w:numId w:val="39"/>
        </w:numPr>
        <w:bidi/>
        <w:spacing w:after="240" w:line="360" w:lineRule="exact"/>
        <w:ind w:left="1134" w:hanging="567"/>
        <w:rPr>
          <w:rFonts w:ascii="Arabic Typesetting" w:eastAsia="Times New Roman" w:hAnsi="Arabic Typesetting" w:cs="Arabic Typesetting"/>
          <w:color w:val="000000"/>
          <w:sz w:val="36"/>
          <w:szCs w:val="36"/>
        </w:rPr>
      </w:pPr>
      <w:r>
        <w:rPr>
          <w:rFonts w:ascii="Arabic Typesetting" w:hAnsi="Arabic Typesetting" w:cs="Arabic Typesetting" w:hint="cs"/>
          <w:sz w:val="36"/>
          <w:szCs w:val="36"/>
          <w:rtl/>
        </w:rPr>
        <w:t xml:space="preserve">الساعات الإضافية </w:t>
      </w:r>
      <w:r>
        <w:rPr>
          <w:rFonts w:ascii="Arabic Typesetting" w:hAnsi="Arabic Typesetting" w:cs="Arabic Typesetting"/>
          <w:sz w:val="36"/>
          <w:szCs w:val="36"/>
          <w:rtl/>
        </w:rPr>
        <w:t>–</w:t>
      </w:r>
      <w:r>
        <w:rPr>
          <w:rFonts w:ascii="Arabic Typesetting" w:hAnsi="Arabic Typesetting" w:cs="Arabic Typesetting" w:hint="cs"/>
          <w:sz w:val="36"/>
          <w:szCs w:val="36"/>
          <w:rtl/>
        </w:rPr>
        <w:t xml:space="preserve"> يحق للموظفين أن يسدد لهم نقدا مقابل الساعات الإضافية المستحقة بعد انقضاء فترة محددة في </w:t>
      </w:r>
      <w:r w:rsidRPr="005A6E8B">
        <w:rPr>
          <w:rFonts w:ascii="Arabic Typesetting" w:hAnsi="Arabic Typesetting" w:cs="Arabic Typesetting"/>
          <w:sz w:val="36"/>
          <w:szCs w:val="36"/>
          <w:rtl/>
        </w:rPr>
        <w:t>نظا</w:t>
      </w:r>
      <w:r>
        <w:rPr>
          <w:rFonts w:ascii="Arabic Typesetting" w:hAnsi="Arabic Typesetting" w:cs="Arabic Typesetting"/>
          <w:sz w:val="36"/>
          <w:szCs w:val="36"/>
          <w:rtl/>
        </w:rPr>
        <w:t>م الويبو الأساسي للموظفين ولائح</w:t>
      </w:r>
      <w:r>
        <w:rPr>
          <w:rFonts w:ascii="Arabic Typesetting" w:hAnsi="Arabic Typesetting" w:cs="Arabic Typesetting" w:hint="cs"/>
          <w:sz w:val="36"/>
          <w:szCs w:val="36"/>
          <w:rtl/>
        </w:rPr>
        <w:t xml:space="preserve">ته. </w:t>
      </w:r>
      <w:r>
        <w:rPr>
          <w:rFonts w:ascii="Arabic Typesetting" w:eastAsia="Times New Roman" w:hAnsi="Arabic Typesetting" w:cs="Arabic Typesetting" w:hint="cs"/>
          <w:color w:val="000000"/>
          <w:sz w:val="36"/>
          <w:szCs w:val="36"/>
          <w:rtl/>
        </w:rPr>
        <w:t xml:space="preserve">ويصل </w:t>
      </w:r>
      <w:r w:rsidRPr="00C10BE2">
        <w:rPr>
          <w:rFonts w:ascii="Arabic Typesetting" w:eastAsia="Times New Roman" w:hAnsi="Arabic Typesetting" w:cs="Arabic Typesetting"/>
          <w:color w:val="000000"/>
          <w:sz w:val="36"/>
          <w:szCs w:val="36"/>
          <w:rtl/>
        </w:rPr>
        <w:t>إجمالي المبلغ المستحق في تاريخ التقرير المالي 0</w:t>
      </w:r>
      <w:r>
        <w:rPr>
          <w:rFonts w:ascii="Arabic Typesetting" w:eastAsia="Times New Roman" w:hAnsi="Arabic Typesetting" w:cs="Arabic Typesetting" w:hint="cs"/>
          <w:color w:val="000000"/>
          <w:sz w:val="36"/>
          <w:szCs w:val="36"/>
          <w:rtl/>
        </w:rPr>
        <w:t>,</w:t>
      </w:r>
      <w:r w:rsidRPr="00C10BE2">
        <w:rPr>
          <w:rFonts w:ascii="Arabic Typesetting" w:eastAsia="Times New Roman" w:hAnsi="Arabic Typesetting" w:cs="Arabic Typesetting"/>
          <w:color w:val="000000"/>
          <w:sz w:val="36"/>
          <w:szCs w:val="36"/>
          <w:rtl/>
        </w:rPr>
        <w:t>7 مليون فرنك سويسري [0</w:t>
      </w:r>
      <w:r>
        <w:rPr>
          <w:rFonts w:ascii="Arabic Typesetting" w:eastAsia="Times New Roman" w:hAnsi="Arabic Typesetting" w:cs="Arabic Typesetting" w:hint="cs"/>
          <w:color w:val="000000"/>
          <w:sz w:val="36"/>
          <w:szCs w:val="36"/>
          <w:rtl/>
        </w:rPr>
        <w:t>,</w:t>
      </w:r>
      <w:r w:rsidRPr="00C10BE2">
        <w:rPr>
          <w:rFonts w:ascii="Arabic Typesetting" w:eastAsia="Times New Roman" w:hAnsi="Arabic Typesetting" w:cs="Arabic Typesetting"/>
          <w:color w:val="000000"/>
          <w:sz w:val="36"/>
          <w:szCs w:val="36"/>
          <w:rtl/>
        </w:rPr>
        <w:t>6 مليون فرنك سويسري في 31 ديسمبر 2011].</w:t>
      </w:r>
    </w:p>
    <w:p w:rsidR="00E16243" w:rsidRPr="0026659A" w:rsidRDefault="00E16243" w:rsidP="00E16243">
      <w:pPr>
        <w:keepNext/>
        <w:bidi/>
        <w:spacing w:before="240" w:after="240" w:line="360" w:lineRule="exact"/>
        <w:rPr>
          <w:rFonts w:ascii="Arabic Typesetting" w:hAnsi="Arabic Typesetting" w:cs="Arabic Typesetting"/>
          <w:b/>
          <w:bCs/>
          <w:sz w:val="36"/>
          <w:szCs w:val="36"/>
          <w:rtl/>
        </w:rPr>
      </w:pPr>
      <w:r w:rsidRPr="0026659A">
        <w:rPr>
          <w:rFonts w:ascii="Arabic Typesetting" w:hAnsi="Arabic Typesetting" w:cs="Arabic Typesetting" w:hint="cs"/>
          <w:b/>
          <w:bCs/>
          <w:sz w:val="36"/>
          <w:szCs w:val="36"/>
          <w:rtl/>
        </w:rPr>
        <w:t>مستحقات ما بعد الخدمة</w:t>
      </w:r>
    </w:p>
    <w:p w:rsidR="00E16243" w:rsidRDefault="00E16243" w:rsidP="00E16243">
      <w:pPr>
        <w:bidi/>
        <w:spacing w:after="240" w:line="360" w:lineRule="exact"/>
        <w:rPr>
          <w:rFonts w:ascii="Arabic Typesetting" w:hAnsi="Arabic Typesetting" w:cs="Arabic Typesetting"/>
          <w:sz w:val="36"/>
          <w:szCs w:val="36"/>
          <w:rtl/>
        </w:rPr>
      </w:pPr>
      <w:r w:rsidRPr="00C10BE2">
        <w:rPr>
          <w:rFonts w:ascii="Arabic Typesetting" w:hAnsi="Arabic Typesetting" w:cs="Arabic Typesetting"/>
          <w:i/>
          <w:iCs/>
          <w:color w:val="000000"/>
          <w:sz w:val="36"/>
          <w:szCs w:val="36"/>
          <w:rtl/>
        </w:rPr>
        <w:t>صندوق المعاشات التقاعدية المغلق (</w:t>
      </w:r>
      <w:r w:rsidRPr="00C10BE2">
        <w:rPr>
          <w:rFonts w:ascii="Arabic Typesetting" w:hAnsi="Arabic Typesetting" w:cs="Arabic Typesetting"/>
          <w:i/>
          <w:iCs/>
          <w:color w:val="000000"/>
          <w:sz w:val="36"/>
          <w:szCs w:val="36"/>
        </w:rPr>
        <w:t>CROMPI</w:t>
      </w:r>
      <w:r w:rsidRPr="00C10BE2">
        <w:rPr>
          <w:rFonts w:ascii="Arabic Typesetting" w:hAnsi="Arabic Typesetting" w:cs="Arabic Typesetting"/>
          <w:i/>
          <w:iCs/>
          <w:color w:val="000000"/>
          <w:sz w:val="36"/>
          <w:szCs w:val="36"/>
          <w:rtl/>
          <w:lang w:bidi="ar-EG"/>
        </w:rPr>
        <w:t>)</w:t>
      </w:r>
      <w:r w:rsidRPr="00C10BE2">
        <w:rPr>
          <w:rFonts w:ascii="Arabic Typesetting" w:hAnsi="Arabic Typesetting" w:cs="Arabic Typesetting"/>
          <w:color w:val="000000"/>
          <w:sz w:val="36"/>
          <w:szCs w:val="36"/>
          <w:rtl/>
          <w:lang w:bidi="ar-EG"/>
        </w:rPr>
        <w:t xml:space="preserve">: </w:t>
      </w:r>
      <w:r w:rsidRPr="00C10BE2">
        <w:rPr>
          <w:rFonts w:ascii="Arabic Typesetting" w:hAnsi="Arabic Typesetting" w:cs="Arabic Typesetting"/>
          <w:color w:val="000000"/>
          <w:sz w:val="36"/>
          <w:szCs w:val="36"/>
          <w:rtl/>
        </w:rPr>
        <w:t>قبل أن تصبح "المنظمة" عضواً مشاركاً في الصندوق المشترك للمعاشات التقاعدية لموظفي الأمم المتحدة (</w:t>
      </w:r>
      <w:r w:rsidRPr="00C10BE2">
        <w:rPr>
          <w:rFonts w:ascii="Arabic Typesetting" w:hAnsi="Arabic Typesetting" w:cs="Arabic Typesetting"/>
          <w:color w:val="000000"/>
          <w:sz w:val="36"/>
          <w:szCs w:val="36"/>
          <w:lang w:bidi="ar-EG"/>
        </w:rPr>
        <w:t>UNJSPE</w:t>
      </w:r>
      <w:r w:rsidRPr="00C10BE2">
        <w:rPr>
          <w:rFonts w:ascii="Arabic Typesetting" w:hAnsi="Arabic Typesetting" w:cs="Arabic Typesetting"/>
          <w:color w:val="000000"/>
          <w:sz w:val="36"/>
          <w:szCs w:val="36"/>
          <w:rtl/>
          <w:lang w:bidi="ar-EG"/>
        </w:rPr>
        <w:t xml:space="preserve">)، كان للمنظمة التي تتبعها الويبو في السابق صندوقها الخاص للمعاشات التقاعدية والذي تأسس في </w:t>
      </w:r>
      <w:r w:rsidRPr="00C10BE2">
        <w:rPr>
          <w:rFonts w:ascii="Arabic Typesetting" w:hAnsi="Arabic Typesetting" w:cs="Arabic Typesetting"/>
          <w:color w:val="000000"/>
          <w:sz w:val="36"/>
          <w:szCs w:val="36"/>
          <w:rtl/>
        </w:rPr>
        <w:t xml:space="preserve">عام 1955.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أُغلق هذا الصندوق أمام العضوية الجديدة في 30 سبتمبر 1975 واستمر في تقديم خدماته للأعضاء المسجلين في وقت الإغلاق تحت إدارة مجلس الجمعية. وبمقتضى اتفاق بين صندوق المعاشات التقاعدية المغلق والويبو وبموجب القرار الأخير للمحكمة الإدارية لمنظمة العمل الدولية (</w:t>
      </w:r>
      <w:r w:rsidRPr="00C10BE2">
        <w:rPr>
          <w:rFonts w:ascii="Arabic Typesetting" w:hAnsi="Arabic Typesetting" w:cs="Arabic Typesetting"/>
          <w:color w:val="000000"/>
          <w:sz w:val="36"/>
          <w:szCs w:val="36"/>
        </w:rPr>
        <w:t>ILO</w:t>
      </w:r>
      <w:r w:rsidRPr="00C10BE2">
        <w:rPr>
          <w:rFonts w:ascii="Arabic Typesetting" w:hAnsi="Arabic Typesetting" w:cs="Arabic Typesetting"/>
          <w:color w:val="000000"/>
          <w:sz w:val="36"/>
          <w:szCs w:val="36"/>
          <w:rtl/>
          <w:lang w:bidi="ar-EG"/>
        </w:rPr>
        <w:t>)</w:t>
      </w:r>
      <w:r>
        <w:rPr>
          <w:rFonts w:ascii="Arabic Typesetting" w:hAnsi="Arabic Typesetting" w:cs="Arabic Typesetting"/>
          <w:color w:val="000000"/>
          <w:sz w:val="36"/>
          <w:szCs w:val="36"/>
          <w:rtl/>
        </w:rPr>
        <w:t>، أصبحت الويبو مس</w:t>
      </w:r>
      <w:r>
        <w:rPr>
          <w:rFonts w:ascii="Arabic Typesetting" w:hAnsi="Arabic Typesetting" w:cs="Arabic Typesetting" w:hint="cs"/>
          <w:color w:val="000000"/>
          <w:sz w:val="36"/>
          <w:szCs w:val="36"/>
          <w:rtl/>
        </w:rPr>
        <w:t>ؤ</w:t>
      </w:r>
      <w:r w:rsidRPr="00C10BE2">
        <w:rPr>
          <w:rFonts w:ascii="Arabic Typesetting" w:hAnsi="Arabic Typesetting" w:cs="Arabic Typesetting"/>
          <w:color w:val="000000"/>
          <w:sz w:val="36"/>
          <w:szCs w:val="36"/>
          <w:rtl/>
        </w:rPr>
        <w:t>ولة عن تمويل التكاليف التي يتكبدها صندوق المعاشات التقاعدية المغلق والمتصلة بفروق أسعار الصرف الخارجية والاختلافات في سن التقاعد كما هو منصوص عليه في هذا الصندوق وفي الصندوق المشترك للمعاشات التقاعدية لموظفي الأمم المتحدة. للمنظمة عدة التزامات مرتبطة بالمشاركين في صندوق المعاشات التقاعدية المغلق، وتشمل:</w:t>
      </w:r>
    </w:p>
    <w:p w:rsidR="00E16243" w:rsidRPr="00C10BE2" w:rsidRDefault="00E16243" w:rsidP="00E16243">
      <w:pPr>
        <w:pStyle w:val="ListParagraph"/>
        <w:numPr>
          <w:ilvl w:val="0"/>
          <w:numId w:val="21"/>
        </w:numPr>
        <w:tabs>
          <w:tab w:val="clear" w:pos="720"/>
        </w:tabs>
        <w:bidi/>
        <w:spacing w:after="240" w:line="360" w:lineRule="exact"/>
        <w:ind w:left="1134" w:hanging="567"/>
        <w:rPr>
          <w:rFonts w:ascii="Arabic Typesetting" w:eastAsia="Times New Roman" w:hAnsi="Arabic Typesetting" w:cs="Arabic Typesetting"/>
          <w:color w:val="000000"/>
          <w:sz w:val="36"/>
          <w:szCs w:val="36"/>
          <w:rtl/>
        </w:rPr>
      </w:pPr>
      <w:r w:rsidRPr="00C10BE2">
        <w:rPr>
          <w:rFonts w:ascii="Arabic Typesetting" w:eastAsia="Times New Roman" w:hAnsi="Arabic Typesetting" w:cs="Arabic Typesetting"/>
          <w:color w:val="000000"/>
          <w:sz w:val="36"/>
          <w:szCs w:val="36"/>
          <w:rtl/>
        </w:rPr>
        <w:t xml:space="preserve">الالتزام بتغطية تكلفة المعاشات التقاعدية المستحقة للموظفين السابقين المشاركين في صندوق المعاشات التقاعدية المغلق قبل بلوغهم سن الخامسة والستين. </w:t>
      </w:r>
      <w:r>
        <w:rPr>
          <w:rFonts w:ascii="Arabic Typesetting" w:eastAsia="Times New Roman" w:hAnsi="Arabic Typesetting" w:cs="Arabic Typesetting" w:hint="cs"/>
          <w:color w:val="000000"/>
          <w:sz w:val="36"/>
          <w:szCs w:val="36"/>
          <w:rtl/>
        </w:rPr>
        <w:t>و</w:t>
      </w:r>
      <w:r>
        <w:rPr>
          <w:rFonts w:ascii="Arabic Typesetting" w:eastAsia="Times New Roman" w:hAnsi="Arabic Typesetting" w:cs="Arabic Typesetting"/>
          <w:color w:val="000000"/>
          <w:sz w:val="36"/>
          <w:szCs w:val="36"/>
          <w:rtl/>
        </w:rPr>
        <w:t xml:space="preserve">استناداً إلى تقييم </w:t>
      </w:r>
      <w:r>
        <w:rPr>
          <w:rFonts w:ascii="Arabic Typesetting" w:eastAsia="Times New Roman" w:hAnsi="Arabic Typesetting" w:cs="Arabic Typesetting" w:hint="cs"/>
          <w:color w:val="000000"/>
          <w:sz w:val="36"/>
          <w:szCs w:val="36"/>
          <w:rtl/>
        </w:rPr>
        <w:t>أ</w:t>
      </w:r>
      <w:r w:rsidRPr="00C10BE2">
        <w:rPr>
          <w:rFonts w:ascii="Arabic Typesetting" w:eastAsia="Times New Roman" w:hAnsi="Arabic Typesetting" w:cs="Arabic Typesetting"/>
          <w:color w:val="000000"/>
          <w:sz w:val="36"/>
          <w:szCs w:val="36"/>
          <w:rtl/>
        </w:rPr>
        <w:t>كتواري في ديسمبر 2012، تبلغ قيمة الالتزامات المقدرة 0</w:t>
      </w:r>
      <w:r>
        <w:rPr>
          <w:rFonts w:ascii="Arabic Typesetting" w:eastAsia="Times New Roman" w:hAnsi="Arabic Typesetting" w:cs="Arabic Typesetting" w:hint="cs"/>
          <w:color w:val="000000"/>
          <w:sz w:val="36"/>
          <w:szCs w:val="36"/>
          <w:rtl/>
        </w:rPr>
        <w:t>,</w:t>
      </w:r>
      <w:r w:rsidRPr="00C10BE2">
        <w:rPr>
          <w:rFonts w:ascii="Arabic Typesetting" w:eastAsia="Times New Roman" w:hAnsi="Arabic Typesetting" w:cs="Arabic Typesetting"/>
          <w:color w:val="000000"/>
          <w:sz w:val="36"/>
          <w:szCs w:val="36"/>
          <w:rtl/>
        </w:rPr>
        <w:t>1 مليون فرنك سويسري [0</w:t>
      </w:r>
      <w:r>
        <w:rPr>
          <w:rFonts w:ascii="Arabic Typesetting" w:eastAsia="Times New Roman" w:hAnsi="Arabic Typesetting" w:cs="Arabic Typesetting" w:hint="cs"/>
          <w:color w:val="000000"/>
          <w:sz w:val="36"/>
          <w:szCs w:val="36"/>
          <w:rtl/>
        </w:rPr>
        <w:t>,</w:t>
      </w:r>
      <w:r w:rsidRPr="00C10BE2">
        <w:rPr>
          <w:rFonts w:ascii="Arabic Typesetting" w:eastAsia="Times New Roman" w:hAnsi="Arabic Typesetting" w:cs="Arabic Typesetting"/>
          <w:color w:val="000000"/>
          <w:sz w:val="36"/>
          <w:szCs w:val="36"/>
          <w:rtl/>
        </w:rPr>
        <w:t>6 مليون فرنك سويسري في عام 2011].</w:t>
      </w:r>
    </w:p>
    <w:p w:rsidR="00E16243" w:rsidRDefault="00E16243" w:rsidP="00E16243">
      <w:pPr>
        <w:numPr>
          <w:ilvl w:val="0"/>
          <w:numId w:val="21"/>
        </w:numPr>
        <w:tabs>
          <w:tab w:val="clear" w:pos="720"/>
        </w:tabs>
        <w:bidi/>
        <w:spacing w:after="240" w:line="360" w:lineRule="exact"/>
        <w:ind w:left="1134" w:hanging="567"/>
        <w:rPr>
          <w:rFonts w:ascii="Arabic Typesetting" w:hAnsi="Arabic Typesetting" w:cs="Arabic Typesetting"/>
          <w:sz w:val="36"/>
          <w:szCs w:val="36"/>
        </w:rPr>
      </w:pPr>
      <w:r w:rsidRPr="00C10BE2">
        <w:rPr>
          <w:rFonts w:ascii="Arabic Typesetting" w:hAnsi="Arabic Typesetting" w:cs="Arabic Typesetting"/>
          <w:color w:val="000000"/>
          <w:sz w:val="36"/>
          <w:szCs w:val="36"/>
          <w:rtl/>
        </w:rPr>
        <w:t xml:space="preserve">تبلغ قيمة الالتزامات المقدرة، استناداً إلى قرار المحكمة الإدارية لمنظمة العمل الدولية في عام 2006، لتغطية بعض الفروق بين المعاش التقاعدي المستحق لأعضاء صندوق المعاشات التقاعدية المغلق وبين المستحق من الصندوق المشترك للمعاشات التقاعدية لموظفي الأمم </w:t>
      </w:r>
      <w:r>
        <w:rPr>
          <w:rFonts w:ascii="Arabic Typesetting" w:hAnsi="Arabic Typesetting" w:cs="Arabic Typesetting"/>
          <w:color w:val="000000"/>
          <w:sz w:val="36"/>
          <w:szCs w:val="36"/>
          <w:rtl/>
        </w:rPr>
        <w:t>المتحدة، وعلى أساس التقييمات ال</w:t>
      </w:r>
      <w:r>
        <w:rPr>
          <w:rFonts w:ascii="Arabic Typesetting" w:hAnsi="Arabic Typesetting" w:cs="Arabic Typesetting" w:hint="cs"/>
          <w:color w:val="000000"/>
          <w:sz w:val="36"/>
          <w:szCs w:val="36"/>
          <w:rtl/>
        </w:rPr>
        <w:t>أ</w:t>
      </w:r>
      <w:r w:rsidRPr="00C10BE2">
        <w:rPr>
          <w:rFonts w:ascii="Arabic Typesetting" w:hAnsi="Arabic Typesetting" w:cs="Arabic Typesetting"/>
          <w:color w:val="000000"/>
          <w:sz w:val="36"/>
          <w:szCs w:val="36"/>
          <w:rtl/>
        </w:rPr>
        <w:t>كتوارية التي أجريت في ديسمبر مبلغ 3</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1 مليون فرنك سويسري (6</w:t>
      </w:r>
      <w:r>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6 مليون فرنك سويسري في عام 2011</w:t>
      </w:r>
      <w:r>
        <w:rPr>
          <w:rFonts w:ascii="Arabic Typesetting" w:hAnsi="Arabic Typesetting" w:cs="Arabic Typesetting" w:hint="cs"/>
          <w:sz w:val="36"/>
          <w:szCs w:val="36"/>
          <w:rtl/>
        </w:rPr>
        <w:t>).</w:t>
      </w:r>
    </w:p>
    <w:p w:rsidR="00E16243" w:rsidRPr="007E1DA4" w:rsidRDefault="00E16243" w:rsidP="00E16243">
      <w:pPr>
        <w:pStyle w:val="NormalParaAR"/>
      </w:pPr>
      <w:r w:rsidRPr="00C10BE2">
        <w:rPr>
          <w:i/>
          <w:iCs/>
          <w:color w:val="000000"/>
          <w:rtl/>
        </w:rPr>
        <w:t>منحة العودة إلى الوطن والسفر</w:t>
      </w:r>
      <w:r w:rsidRPr="00C10BE2">
        <w:rPr>
          <w:color w:val="000000"/>
          <w:rtl/>
        </w:rPr>
        <w:t>: تلتزم "المنظمة" التزاما تعاقديا بسداد مستحقات لموظفيها مثل منحة العودة إلى الوطن والسفر لبعض الموظفين المعينين دوليا حال انتهاء خدمته</w:t>
      </w:r>
      <w:r>
        <w:rPr>
          <w:color w:val="000000"/>
          <w:rtl/>
        </w:rPr>
        <w:t xml:space="preserve">م. </w:t>
      </w:r>
      <w:r>
        <w:rPr>
          <w:rFonts w:hint="cs"/>
          <w:color w:val="000000"/>
          <w:rtl/>
        </w:rPr>
        <w:t>و</w:t>
      </w:r>
      <w:r>
        <w:rPr>
          <w:color w:val="000000"/>
          <w:rtl/>
        </w:rPr>
        <w:t xml:space="preserve">تأسيساً على تقييم خبير </w:t>
      </w:r>
      <w:r>
        <w:rPr>
          <w:rFonts w:hint="cs"/>
          <w:color w:val="000000"/>
          <w:rtl/>
        </w:rPr>
        <w:t>أ</w:t>
      </w:r>
      <w:r w:rsidRPr="00C10BE2">
        <w:rPr>
          <w:color w:val="000000"/>
          <w:rtl/>
        </w:rPr>
        <w:t xml:space="preserve">كتواري مستقل في ديسمبر 2012، قُدرت الالتزامات على النحو التالي </w:t>
      </w:r>
      <w:r>
        <w:rPr>
          <w:rFonts w:hint="cs"/>
          <w:rtl/>
        </w:rPr>
        <w:t>في تاريخ إعداد التقرير المالي:</w:t>
      </w:r>
    </w:p>
    <w:tbl>
      <w:tblPr>
        <w:bidiVisual/>
        <w:tblW w:w="0" w:type="auto"/>
        <w:jc w:val="center"/>
        <w:tblLook w:val="04A0" w:firstRow="1" w:lastRow="0" w:firstColumn="1" w:lastColumn="0" w:noHBand="0" w:noVBand="1"/>
      </w:tblPr>
      <w:tblGrid>
        <w:gridCol w:w="2952"/>
        <w:gridCol w:w="2952"/>
        <w:gridCol w:w="2952"/>
      </w:tblGrid>
      <w:tr w:rsidR="00E16243" w:rsidRPr="008A5612" w:rsidTr="00E16243">
        <w:trPr>
          <w:jc w:val="center"/>
        </w:trPr>
        <w:tc>
          <w:tcPr>
            <w:tcW w:w="2952"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952" w:type="dxa"/>
            <w:vAlign w:val="center"/>
          </w:tcPr>
          <w:p w:rsidR="00E16243" w:rsidRPr="008A5612"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8A5612">
              <w:rPr>
                <w:rFonts w:ascii="Arabic Typesetting" w:hAnsi="Arabic Typesetting" w:cs="Arabic Typesetting"/>
                <w:b/>
                <w:bCs/>
                <w:sz w:val="28"/>
                <w:szCs w:val="28"/>
                <w:rtl/>
              </w:rPr>
              <w:t xml:space="preserve">31 ديسمبر 2012 </w:t>
            </w:r>
          </w:p>
        </w:tc>
        <w:tc>
          <w:tcPr>
            <w:tcW w:w="2952" w:type="dxa"/>
            <w:vAlign w:val="center"/>
          </w:tcPr>
          <w:p w:rsidR="00E16243" w:rsidRPr="008A5612"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8A5612">
              <w:rPr>
                <w:rFonts w:ascii="Arabic Typesetting" w:hAnsi="Arabic Typesetting" w:cs="Arabic Typesetting"/>
                <w:b/>
                <w:bCs/>
                <w:sz w:val="28"/>
                <w:szCs w:val="28"/>
                <w:rtl/>
              </w:rPr>
              <w:t>31 ديسمبر 2011</w:t>
            </w:r>
          </w:p>
        </w:tc>
      </w:tr>
      <w:tr w:rsidR="00E16243" w:rsidRPr="008A5612" w:rsidTr="00E16243">
        <w:trPr>
          <w:jc w:val="center"/>
        </w:trPr>
        <w:tc>
          <w:tcPr>
            <w:tcW w:w="2952"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5904" w:type="dxa"/>
            <w:gridSpan w:val="2"/>
            <w:tcBorders>
              <w:bottom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EF4AE1">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EF4AE1">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EF4AE1">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EF4AE1">
              <w:rPr>
                <w:rFonts w:ascii="Arabic Typesetting" w:hAnsi="Arabic Typesetting" w:cs="Arabic Typesetting"/>
                <w:sz w:val="28"/>
                <w:szCs w:val="28"/>
              </w:rPr>
              <w:t>)</w:t>
            </w:r>
          </w:p>
        </w:tc>
      </w:tr>
      <w:tr w:rsidR="00E16243" w:rsidRPr="008A5612" w:rsidTr="00E16243">
        <w:trPr>
          <w:jc w:val="center"/>
        </w:trPr>
        <w:tc>
          <w:tcPr>
            <w:tcW w:w="2952"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952" w:type="dxa"/>
            <w:tcBorders>
              <w:top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8A5612" w:rsidTr="00E1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952" w:type="dxa"/>
            <w:tcBorders>
              <w:top w:val="nil"/>
              <w:left w:val="nil"/>
              <w:bottom w:val="nil"/>
              <w:right w:val="nil"/>
            </w:tcBorders>
            <w:vAlign w:val="bottom"/>
          </w:tcPr>
          <w:p w:rsidR="00E16243" w:rsidRPr="008A5612"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8A5612">
              <w:rPr>
                <w:rFonts w:ascii="Arabic Typesetting" w:hAnsi="Arabic Typesetting" w:cs="Arabic Typesetting"/>
                <w:sz w:val="28"/>
                <w:szCs w:val="28"/>
                <w:rtl/>
              </w:rPr>
              <w:t>التزامات منح العودة للوطن والسفر</w:t>
            </w:r>
          </w:p>
        </w:tc>
        <w:tc>
          <w:tcPr>
            <w:tcW w:w="2952" w:type="dxa"/>
            <w:tcBorders>
              <w:top w:val="nil"/>
              <w:left w:val="nil"/>
              <w:bottom w:val="nil"/>
              <w:right w:val="nil"/>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8A5612">
              <w:rPr>
                <w:rFonts w:ascii="Arabic Typesetting" w:hAnsi="Arabic Typesetting" w:cs="Arabic Typesetting"/>
                <w:sz w:val="28"/>
                <w:szCs w:val="28"/>
              </w:rPr>
              <w:t>12,215</w:t>
            </w:r>
          </w:p>
        </w:tc>
        <w:tc>
          <w:tcPr>
            <w:tcW w:w="2952" w:type="dxa"/>
            <w:tcBorders>
              <w:top w:val="nil"/>
              <w:left w:val="nil"/>
              <w:bottom w:val="nil"/>
              <w:right w:val="nil"/>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8A5612">
              <w:rPr>
                <w:rFonts w:ascii="Arabic Typesetting" w:hAnsi="Arabic Typesetting" w:cs="Arabic Typesetting"/>
                <w:sz w:val="28"/>
                <w:szCs w:val="28"/>
              </w:rPr>
              <w:t>8,909</w:t>
            </w:r>
          </w:p>
        </w:tc>
      </w:tr>
    </w:tbl>
    <w:p w:rsidR="00E16243" w:rsidRDefault="00E16243" w:rsidP="00E16243">
      <w:pPr>
        <w:pStyle w:val="NormalParaAR"/>
        <w:rPr>
          <w:i/>
          <w:iCs/>
          <w:rtl/>
        </w:rPr>
      </w:pPr>
    </w:p>
    <w:p w:rsidR="00E16243" w:rsidRDefault="00E16243" w:rsidP="00E16243">
      <w:pPr>
        <w:pStyle w:val="NormalParaAR"/>
        <w:rPr>
          <w:rtl/>
        </w:rPr>
      </w:pPr>
      <w:r>
        <w:rPr>
          <w:rFonts w:hint="cs"/>
          <w:i/>
          <w:iCs/>
          <w:rtl/>
        </w:rPr>
        <w:t xml:space="preserve">التأمين الصحي ما بعد الخدمة </w:t>
      </w:r>
      <w:r w:rsidRPr="00C437C9">
        <w:rPr>
          <w:i/>
          <w:iCs/>
          <w:color w:val="000000"/>
          <w:rtl/>
        </w:rPr>
        <w:t>(</w:t>
      </w:r>
      <w:r w:rsidRPr="00C437C9">
        <w:rPr>
          <w:i/>
          <w:iCs/>
          <w:color w:val="000000"/>
        </w:rPr>
        <w:t>ASHI</w:t>
      </w:r>
      <w:r w:rsidRPr="00C437C9">
        <w:rPr>
          <w:color w:val="000000"/>
          <w:rtl/>
        </w:rPr>
        <w:t>): تلتزم "المنظمة" أيضا التزاماً تعاقدياً بتوفير الاستحقاقات الطبية لموظفيها بعد انتهاء الخدمة على شكل أقساط تأمينية لبوليصة التأمين الطبي ضد الحوادث. يحق للموظفين المحالين للتقاعد (وأزواجهم وأبنائهم المعالين والمُتَوَفّى عنهم) التمتع بالتأمين الصحي بعد انتهاء الخدمة في حالة استمرارهم في سداد الاشتراكات المقررة. بمقتضى نظام موظفي الويبو ولائحته، تتحمل "المنظمة" حصة بنسبة 65</w:t>
      </w:r>
      <w:r>
        <w:rPr>
          <w:rFonts w:hint="cs"/>
          <w:color w:val="000000"/>
          <w:rtl/>
        </w:rPr>
        <w:t xml:space="preserve"> بالمائة</w:t>
      </w:r>
      <w:r w:rsidRPr="00C437C9">
        <w:rPr>
          <w:color w:val="000000"/>
          <w:rtl/>
        </w:rPr>
        <w:t xml:space="preserve"> من أقساط التأمين الطبي الشهري. ويبلغ قسط التأمين الطبي الشهري الحالي 552 فرنك سويسري (في 31 ديسمبر 2012). </w:t>
      </w:r>
      <w:r>
        <w:rPr>
          <w:rFonts w:hint="cs"/>
          <w:color w:val="000000"/>
          <w:rtl/>
        </w:rPr>
        <w:t>و</w:t>
      </w:r>
      <w:r w:rsidRPr="00C437C9">
        <w:rPr>
          <w:color w:val="000000"/>
          <w:rtl/>
        </w:rPr>
        <w:t xml:space="preserve">تتحدد القيمة الحالية لالتزامات الاستحقاقات الطبية </w:t>
      </w:r>
      <w:r w:rsidRPr="00C437C9">
        <w:rPr>
          <w:color w:val="000000"/>
          <w:rtl/>
        </w:rPr>
        <w:lastRenderedPageBreak/>
        <w:t xml:space="preserve">بعد الخدمة باستخدام أسلوب حساب وحدات الاستحقاق المتوقعة بما في ذلك خصم التدفقات النقدية المستقبلية المقدرة باستخدام معدل خصم استناداً إلى ارتفاع معدل سندات شركات الدرجة الأولى الصادرة بالفرنك السويسري وسندات الحكومة السويسرية. </w:t>
      </w:r>
      <w:r>
        <w:rPr>
          <w:rFonts w:hint="cs"/>
          <w:color w:val="000000"/>
          <w:rtl/>
        </w:rPr>
        <w:t>و</w:t>
      </w:r>
      <w:r w:rsidRPr="00C437C9">
        <w:rPr>
          <w:color w:val="000000"/>
          <w:rtl/>
        </w:rPr>
        <w:t xml:space="preserve">لا يتم تمويل برنامج الرعاية الصحية ولا يتم احتجاز أي أصول للبرنامج في صندوق مستحقات الموظفين طويلة الأجل. </w:t>
      </w:r>
      <w:r>
        <w:rPr>
          <w:rFonts w:hint="cs"/>
          <w:color w:val="000000"/>
          <w:rtl/>
        </w:rPr>
        <w:t>و</w:t>
      </w:r>
      <w:r>
        <w:rPr>
          <w:color w:val="000000"/>
          <w:rtl/>
        </w:rPr>
        <w:t xml:space="preserve">تأسيسا على تقييم خبير </w:t>
      </w:r>
      <w:r>
        <w:rPr>
          <w:rFonts w:hint="cs"/>
          <w:color w:val="000000"/>
          <w:rtl/>
        </w:rPr>
        <w:t>أ</w:t>
      </w:r>
      <w:r w:rsidRPr="00C437C9">
        <w:rPr>
          <w:color w:val="000000"/>
          <w:rtl/>
        </w:rPr>
        <w:t>كتواري مستقل في ديسمبر 2012، قُدرت هذه الخصوم في وقت التقرير</w:t>
      </w:r>
      <w:r>
        <w:rPr>
          <w:rFonts w:hint="cs"/>
          <w:color w:val="000000"/>
          <w:rtl/>
        </w:rPr>
        <w:t> </w:t>
      </w:r>
      <w:r w:rsidRPr="00C437C9">
        <w:rPr>
          <w:color w:val="000000"/>
          <w:rtl/>
        </w:rPr>
        <w:t>المالي</w:t>
      </w:r>
      <w:r>
        <w:rPr>
          <w:rFonts w:hint="cs"/>
          <w:rtl/>
        </w:rPr>
        <w:t>:</w:t>
      </w:r>
    </w:p>
    <w:tbl>
      <w:tblPr>
        <w:bidiVisual/>
        <w:tblW w:w="0" w:type="auto"/>
        <w:jc w:val="center"/>
        <w:tblLook w:val="04A0" w:firstRow="1" w:lastRow="0" w:firstColumn="1" w:lastColumn="0" w:noHBand="0" w:noVBand="1"/>
      </w:tblPr>
      <w:tblGrid>
        <w:gridCol w:w="3537"/>
        <w:gridCol w:w="2367"/>
        <w:gridCol w:w="2952"/>
      </w:tblGrid>
      <w:tr w:rsidR="00E16243" w:rsidRPr="008A5612" w:rsidTr="00E16243">
        <w:trPr>
          <w:jc w:val="center"/>
        </w:trPr>
        <w:tc>
          <w:tcPr>
            <w:tcW w:w="3537"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367" w:type="dxa"/>
            <w:vAlign w:val="center"/>
          </w:tcPr>
          <w:p w:rsidR="00E16243" w:rsidRPr="008A5612"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8A5612">
              <w:rPr>
                <w:rFonts w:ascii="Arabic Typesetting" w:hAnsi="Arabic Typesetting" w:cs="Arabic Typesetting"/>
                <w:b/>
                <w:bCs/>
                <w:sz w:val="28"/>
                <w:szCs w:val="28"/>
                <w:rtl/>
              </w:rPr>
              <w:t xml:space="preserve">31 ديسمبر 2012 </w:t>
            </w:r>
          </w:p>
        </w:tc>
        <w:tc>
          <w:tcPr>
            <w:tcW w:w="2952" w:type="dxa"/>
            <w:vAlign w:val="center"/>
          </w:tcPr>
          <w:p w:rsidR="00E16243" w:rsidRPr="008A5612"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8A5612">
              <w:rPr>
                <w:rFonts w:ascii="Arabic Typesetting" w:hAnsi="Arabic Typesetting" w:cs="Arabic Typesetting"/>
                <w:b/>
                <w:bCs/>
                <w:sz w:val="28"/>
                <w:szCs w:val="28"/>
                <w:rtl/>
              </w:rPr>
              <w:t>31 ديسمبر 2011</w:t>
            </w:r>
          </w:p>
        </w:tc>
      </w:tr>
      <w:tr w:rsidR="00E16243" w:rsidRPr="008A5612" w:rsidTr="00E16243">
        <w:trPr>
          <w:jc w:val="center"/>
        </w:trPr>
        <w:tc>
          <w:tcPr>
            <w:tcW w:w="3537"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5319" w:type="dxa"/>
            <w:gridSpan w:val="2"/>
            <w:tcBorders>
              <w:bottom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EF4AE1">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EF4AE1">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EF4AE1">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EF4AE1">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EF4AE1">
              <w:rPr>
                <w:rFonts w:ascii="Arabic Typesetting" w:hAnsi="Arabic Typesetting" w:cs="Arabic Typesetting"/>
                <w:sz w:val="28"/>
                <w:szCs w:val="28"/>
              </w:rPr>
              <w:t>)</w:t>
            </w:r>
          </w:p>
        </w:tc>
      </w:tr>
      <w:tr w:rsidR="00E16243" w:rsidRPr="008A5612" w:rsidTr="00E16243">
        <w:trPr>
          <w:jc w:val="center"/>
        </w:trPr>
        <w:tc>
          <w:tcPr>
            <w:tcW w:w="3537" w:type="dxa"/>
            <w:vAlign w:val="bottom"/>
          </w:tcPr>
          <w:p w:rsidR="00E16243" w:rsidRPr="008A5612"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367" w:type="dxa"/>
            <w:tcBorders>
              <w:top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8A5612" w:rsidTr="00E1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37" w:type="dxa"/>
            <w:tcBorders>
              <w:top w:val="nil"/>
              <w:left w:val="nil"/>
              <w:bottom w:val="nil"/>
              <w:right w:val="nil"/>
            </w:tcBorders>
            <w:vAlign w:val="bottom"/>
          </w:tcPr>
          <w:p w:rsidR="00E16243" w:rsidRPr="008A5612"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8A5612">
              <w:rPr>
                <w:rFonts w:ascii="Arabic Typesetting" w:hAnsi="Arabic Typesetting" w:cs="Arabic Typesetting"/>
                <w:sz w:val="28"/>
                <w:szCs w:val="28"/>
                <w:rtl/>
                <w:lang w:bidi="ar-EG"/>
              </w:rPr>
              <w:t>الالتزام ب</w:t>
            </w:r>
            <w:r w:rsidRPr="008A5612">
              <w:rPr>
                <w:rFonts w:ascii="Arabic Typesetting" w:hAnsi="Arabic Typesetting" w:cs="Arabic Typesetting"/>
                <w:sz w:val="28"/>
                <w:szCs w:val="28"/>
                <w:rtl/>
              </w:rPr>
              <w:t>التأمين الطبي اللاحق للخدمة (</w:t>
            </w:r>
            <w:r w:rsidRPr="008A5612">
              <w:rPr>
                <w:rFonts w:ascii="Arabic Typesetting" w:hAnsi="Arabic Typesetting" w:cs="Arabic Typesetting"/>
                <w:sz w:val="28"/>
                <w:szCs w:val="28"/>
              </w:rPr>
              <w:t>ASHI</w:t>
            </w:r>
            <w:r w:rsidRPr="008A5612">
              <w:rPr>
                <w:rFonts w:ascii="Arabic Typesetting" w:hAnsi="Arabic Typesetting" w:cs="Arabic Typesetting"/>
                <w:sz w:val="28"/>
                <w:szCs w:val="28"/>
                <w:rtl/>
              </w:rPr>
              <w:t>)</w:t>
            </w:r>
          </w:p>
        </w:tc>
        <w:tc>
          <w:tcPr>
            <w:tcW w:w="2367" w:type="dxa"/>
            <w:tcBorders>
              <w:top w:val="nil"/>
              <w:left w:val="nil"/>
              <w:bottom w:val="nil"/>
              <w:right w:val="nil"/>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8A5612">
              <w:rPr>
                <w:rFonts w:ascii="Arabic Typesetting" w:hAnsi="Arabic Typesetting" w:cs="Arabic Typesetting"/>
                <w:sz w:val="28"/>
                <w:szCs w:val="28"/>
              </w:rPr>
              <w:t>110,937</w:t>
            </w:r>
          </w:p>
        </w:tc>
        <w:tc>
          <w:tcPr>
            <w:tcW w:w="2952" w:type="dxa"/>
            <w:tcBorders>
              <w:top w:val="nil"/>
              <w:left w:val="nil"/>
              <w:bottom w:val="nil"/>
              <w:right w:val="nil"/>
            </w:tcBorders>
            <w:vAlign w:val="bottom"/>
          </w:tcPr>
          <w:p w:rsidR="00E16243" w:rsidRPr="008A5612"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8A5612">
              <w:rPr>
                <w:rFonts w:ascii="Arabic Typesetting" w:hAnsi="Arabic Typesetting" w:cs="Arabic Typesetting"/>
                <w:sz w:val="28"/>
                <w:szCs w:val="28"/>
              </w:rPr>
              <w:t>103,365</w:t>
            </w:r>
          </w:p>
        </w:tc>
      </w:tr>
    </w:tbl>
    <w:p w:rsidR="00814C35" w:rsidRDefault="00814C35" w:rsidP="000C096B">
      <w:pPr>
        <w:bidi/>
        <w:rPr>
          <w:rFonts w:ascii="Arabic Typesetting" w:hAnsi="Arabic Typesetting" w:cs="Arabic Typesetting"/>
          <w:sz w:val="28"/>
          <w:szCs w:val="28"/>
          <w:rtl/>
        </w:rPr>
      </w:pPr>
    </w:p>
    <w:p w:rsidR="00E16243" w:rsidRDefault="00E16243" w:rsidP="00814C35">
      <w:pPr>
        <w:pStyle w:val="NormalParaAR"/>
        <w:spacing w:after="0" w:line="240" w:lineRule="auto"/>
        <w:rPr>
          <w:rtl/>
        </w:rPr>
      </w:pPr>
      <w:r>
        <w:rPr>
          <w:rFonts w:hint="cs"/>
          <w:rtl/>
        </w:rPr>
        <w:t>ويوضح الجدول التالي الافتراضات والحسابات الأكتوارية المطبقة على خصوم التأمين الصحي ما بعد الخدمة في 31</w:t>
      </w:r>
      <w:r>
        <w:rPr>
          <w:rFonts w:hint="eastAsia"/>
          <w:rtl/>
        </w:rPr>
        <w:t> </w:t>
      </w:r>
      <w:r>
        <w:rPr>
          <w:rFonts w:hint="cs"/>
          <w:rtl/>
        </w:rPr>
        <w:t>ديسمبر</w:t>
      </w:r>
      <w:r>
        <w:rPr>
          <w:rFonts w:hint="eastAsia"/>
          <w:rtl/>
        </w:rPr>
        <w:t> </w:t>
      </w:r>
      <w:r>
        <w:rPr>
          <w:rFonts w:hint="cs"/>
          <w:rtl/>
        </w:rPr>
        <w:t>2011:</w:t>
      </w:r>
    </w:p>
    <w:tbl>
      <w:tblPr>
        <w:bidiVisual/>
        <w:tblW w:w="0" w:type="auto"/>
        <w:jc w:val="center"/>
        <w:tblLook w:val="04A0" w:firstRow="1" w:lastRow="0" w:firstColumn="1" w:lastColumn="0" w:noHBand="0" w:noVBand="1"/>
      </w:tblPr>
      <w:tblGrid>
        <w:gridCol w:w="3168"/>
        <w:gridCol w:w="2736"/>
        <w:gridCol w:w="2952"/>
      </w:tblGrid>
      <w:tr w:rsidR="00E16243" w:rsidRPr="00814C35" w:rsidTr="00E16243">
        <w:trPr>
          <w:jc w:val="center"/>
        </w:trPr>
        <w:tc>
          <w:tcPr>
            <w:tcW w:w="3168" w:type="dxa"/>
            <w:vAlign w:val="bottom"/>
          </w:tcPr>
          <w:p w:rsidR="00E16243" w:rsidRPr="00814C35" w:rsidRDefault="00E16243" w:rsidP="00814C35">
            <w:pPr>
              <w:tabs>
                <w:tab w:val="center" w:pos="4320"/>
                <w:tab w:val="right" w:pos="8640"/>
              </w:tabs>
              <w:bidi/>
              <w:spacing w:line="280" w:lineRule="exact"/>
              <w:jc w:val="right"/>
              <w:rPr>
                <w:rFonts w:ascii="Arabic Typesetting" w:hAnsi="Arabic Typesetting" w:cs="Arabic Typesetting"/>
                <w:sz w:val="28"/>
                <w:szCs w:val="28"/>
                <w:rtl/>
              </w:rPr>
            </w:pPr>
          </w:p>
        </w:tc>
        <w:tc>
          <w:tcPr>
            <w:tcW w:w="2736" w:type="dxa"/>
            <w:vAlign w:val="center"/>
          </w:tcPr>
          <w:p w:rsidR="00E16243" w:rsidRPr="00814C35" w:rsidRDefault="00E16243" w:rsidP="00814C35">
            <w:pPr>
              <w:tabs>
                <w:tab w:val="center" w:pos="4320"/>
                <w:tab w:val="right" w:pos="8640"/>
              </w:tabs>
              <w:bidi/>
              <w:spacing w:line="280" w:lineRule="exact"/>
              <w:jc w:val="center"/>
              <w:rPr>
                <w:rFonts w:ascii="Arabic Typesetting" w:hAnsi="Arabic Typesetting" w:cs="Arabic Typesetting"/>
                <w:b/>
                <w:bCs/>
                <w:sz w:val="28"/>
                <w:szCs w:val="28"/>
              </w:rPr>
            </w:pPr>
            <w:r w:rsidRPr="00814C35">
              <w:rPr>
                <w:rFonts w:ascii="Arabic Typesetting" w:hAnsi="Arabic Typesetting" w:cs="Arabic Typesetting"/>
                <w:b/>
                <w:bCs/>
                <w:sz w:val="28"/>
                <w:szCs w:val="28"/>
                <w:rtl/>
              </w:rPr>
              <w:t xml:space="preserve">31 ديسمبر 2012 </w:t>
            </w:r>
          </w:p>
        </w:tc>
        <w:tc>
          <w:tcPr>
            <w:tcW w:w="2952" w:type="dxa"/>
            <w:vAlign w:val="center"/>
          </w:tcPr>
          <w:p w:rsidR="00E16243" w:rsidRPr="00814C35" w:rsidRDefault="00E16243" w:rsidP="00814C35">
            <w:pPr>
              <w:tabs>
                <w:tab w:val="center" w:pos="4320"/>
                <w:tab w:val="right" w:pos="8640"/>
              </w:tabs>
              <w:bidi/>
              <w:spacing w:line="280" w:lineRule="exact"/>
              <w:jc w:val="center"/>
              <w:rPr>
                <w:rFonts w:ascii="Arabic Typesetting" w:hAnsi="Arabic Typesetting" w:cs="Arabic Typesetting"/>
                <w:b/>
                <w:bCs/>
                <w:sz w:val="28"/>
                <w:szCs w:val="28"/>
              </w:rPr>
            </w:pPr>
            <w:r w:rsidRPr="00814C35">
              <w:rPr>
                <w:rFonts w:ascii="Arabic Typesetting" w:hAnsi="Arabic Typesetting" w:cs="Arabic Typesetting"/>
                <w:b/>
                <w:bCs/>
                <w:sz w:val="28"/>
                <w:szCs w:val="28"/>
                <w:rtl/>
              </w:rPr>
              <w:t>31 ديسمبر 2011</w:t>
            </w:r>
          </w:p>
        </w:tc>
      </w:tr>
      <w:tr w:rsidR="00E16243" w:rsidRPr="00814C35" w:rsidTr="00E16243">
        <w:trPr>
          <w:jc w:val="center"/>
        </w:trPr>
        <w:tc>
          <w:tcPr>
            <w:tcW w:w="3168" w:type="dxa"/>
            <w:tcBorders>
              <w:bottom w:val="single" w:sz="4" w:space="0" w:color="auto"/>
            </w:tcBorders>
            <w:vAlign w:val="bottom"/>
          </w:tcPr>
          <w:p w:rsidR="00E16243" w:rsidRPr="00814C35" w:rsidRDefault="00E16243" w:rsidP="00814C35">
            <w:pPr>
              <w:tabs>
                <w:tab w:val="center" w:pos="4320"/>
                <w:tab w:val="right" w:pos="8640"/>
              </w:tabs>
              <w:bidi/>
              <w:spacing w:line="280" w:lineRule="exact"/>
              <w:jc w:val="right"/>
              <w:rPr>
                <w:rFonts w:ascii="Arabic Typesetting" w:hAnsi="Arabic Typesetting" w:cs="Arabic Typesetting"/>
                <w:sz w:val="28"/>
                <w:szCs w:val="28"/>
                <w:rtl/>
              </w:rPr>
            </w:pPr>
          </w:p>
        </w:tc>
        <w:tc>
          <w:tcPr>
            <w:tcW w:w="5688" w:type="dxa"/>
            <w:gridSpan w:val="2"/>
            <w:tcBorders>
              <w:bottom w:val="single" w:sz="4" w:space="0" w:color="auto"/>
            </w:tcBorders>
            <w:vAlign w:val="bottom"/>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r w:rsidRPr="00814C35">
              <w:rPr>
                <w:rFonts w:ascii="Arabic Typesetting" w:hAnsi="Arabic Typesetting" w:cs="Arabic Typesetting"/>
                <w:sz w:val="28"/>
                <w:szCs w:val="28"/>
                <w:rtl/>
              </w:rPr>
              <w:t>ب</w:t>
            </w:r>
            <w:r w:rsidRPr="00814C35">
              <w:rPr>
                <w:rFonts w:ascii="Arabic Typesetting" w:hAnsi="Arabic Typesetting" w:cs="Arabic Typesetting" w:hint="cs"/>
                <w:sz w:val="28"/>
                <w:szCs w:val="28"/>
                <w:rtl/>
              </w:rPr>
              <w:t>آ</w:t>
            </w:r>
            <w:r w:rsidRPr="00814C35">
              <w:rPr>
                <w:rFonts w:ascii="Arabic Typesetting" w:hAnsi="Arabic Typesetting" w:cs="Arabic Typesetting"/>
                <w:sz w:val="28"/>
                <w:szCs w:val="28"/>
                <w:rtl/>
              </w:rPr>
              <w:t>ل</w:t>
            </w:r>
            <w:r w:rsidRPr="00814C35">
              <w:rPr>
                <w:rFonts w:ascii="Arabic Typesetting" w:hAnsi="Arabic Typesetting" w:cs="Arabic Typesetting" w:hint="cs"/>
                <w:sz w:val="28"/>
                <w:szCs w:val="28"/>
                <w:rtl/>
              </w:rPr>
              <w:t>ا</w:t>
            </w:r>
            <w:r w:rsidRPr="00814C35">
              <w:rPr>
                <w:rFonts w:ascii="Arabic Typesetting" w:hAnsi="Arabic Typesetting" w:cs="Arabic Typesetting"/>
                <w:sz w:val="28"/>
                <w:szCs w:val="28"/>
                <w:rtl/>
              </w:rPr>
              <w:t xml:space="preserve">ف </w:t>
            </w:r>
            <w:r w:rsidRPr="00814C35">
              <w:rPr>
                <w:rFonts w:ascii="Arabic Typesetting" w:hAnsi="Arabic Typesetting" w:cs="Arabic Typesetting" w:hint="cs"/>
                <w:sz w:val="28"/>
                <w:szCs w:val="28"/>
                <w:rtl/>
              </w:rPr>
              <w:t>ال</w:t>
            </w:r>
            <w:r w:rsidRPr="00814C35">
              <w:rPr>
                <w:rFonts w:ascii="Arabic Typesetting" w:hAnsi="Arabic Typesetting" w:cs="Arabic Typesetting"/>
                <w:sz w:val="28"/>
                <w:szCs w:val="28"/>
                <w:rtl/>
              </w:rPr>
              <w:t>فرنك</w:t>
            </w:r>
            <w:r w:rsidRPr="00814C35">
              <w:rPr>
                <w:rFonts w:ascii="Arabic Typesetting" w:hAnsi="Arabic Typesetting" w:cs="Arabic Typesetting" w:hint="cs"/>
                <w:sz w:val="28"/>
                <w:szCs w:val="28"/>
                <w:rtl/>
              </w:rPr>
              <w:t>ات</w:t>
            </w:r>
            <w:r w:rsidRPr="00814C35">
              <w:rPr>
                <w:rFonts w:ascii="Arabic Typesetting" w:hAnsi="Arabic Typesetting" w:cs="Arabic Typesetting"/>
                <w:sz w:val="28"/>
                <w:szCs w:val="28"/>
                <w:rtl/>
              </w:rPr>
              <w:t xml:space="preserve"> </w:t>
            </w:r>
            <w:r w:rsidRPr="00814C35">
              <w:rPr>
                <w:rFonts w:ascii="Arabic Typesetting" w:hAnsi="Arabic Typesetting" w:cs="Arabic Typesetting" w:hint="cs"/>
                <w:sz w:val="28"/>
                <w:szCs w:val="28"/>
                <w:rtl/>
              </w:rPr>
              <w:t>ال</w:t>
            </w:r>
            <w:r w:rsidRPr="00814C35">
              <w:rPr>
                <w:rFonts w:ascii="Arabic Typesetting" w:hAnsi="Arabic Typesetting" w:cs="Arabic Typesetting"/>
                <w:sz w:val="28"/>
                <w:szCs w:val="28"/>
                <w:rtl/>
              </w:rPr>
              <w:t>سويسري</w:t>
            </w:r>
            <w:r w:rsidRPr="00814C35">
              <w:rPr>
                <w:rFonts w:ascii="Arabic Typesetting" w:hAnsi="Arabic Typesetting" w:cs="Arabic Typesetting" w:hint="cs"/>
                <w:sz w:val="28"/>
                <w:szCs w:val="28"/>
                <w:rtl/>
              </w:rPr>
              <w:t>ة</w:t>
            </w:r>
            <w:r w:rsidRPr="00814C35">
              <w:rPr>
                <w:rFonts w:ascii="Arabic Typesetting" w:hAnsi="Arabic Typesetting" w:cs="Arabic Typesetting"/>
                <w:sz w:val="28"/>
                <w:szCs w:val="28"/>
              </w:rPr>
              <w:t>)</w:t>
            </w:r>
          </w:p>
        </w:tc>
      </w:tr>
      <w:tr w:rsidR="00E16243" w:rsidRPr="00814C35" w:rsidTr="00E16243">
        <w:trPr>
          <w:jc w:val="center"/>
        </w:trPr>
        <w:tc>
          <w:tcPr>
            <w:tcW w:w="3168" w:type="dxa"/>
            <w:tcBorders>
              <w:top w:val="single" w:sz="4" w:space="0" w:color="auto"/>
            </w:tcBorders>
            <w:vAlign w:val="bottom"/>
          </w:tcPr>
          <w:p w:rsidR="00E16243" w:rsidRPr="00814C35" w:rsidRDefault="00E16243" w:rsidP="00814C35">
            <w:pPr>
              <w:tabs>
                <w:tab w:val="center" w:pos="4320"/>
                <w:tab w:val="right" w:pos="8640"/>
              </w:tabs>
              <w:bidi/>
              <w:spacing w:line="280" w:lineRule="exact"/>
              <w:jc w:val="right"/>
              <w:rPr>
                <w:rFonts w:ascii="Arabic Typesetting" w:hAnsi="Arabic Typesetting" w:cs="Arabic Typesetting"/>
                <w:sz w:val="28"/>
                <w:szCs w:val="28"/>
                <w:rtl/>
              </w:rPr>
            </w:pPr>
          </w:p>
        </w:tc>
        <w:tc>
          <w:tcPr>
            <w:tcW w:w="2736" w:type="dxa"/>
            <w:tcBorders>
              <w:top w:val="single" w:sz="4" w:space="0" w:color="auto"/>
            </w:tcBorders>
            <w:vAlign w:val="bottom"/>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68" w:type="dxa"/>
            <w:tcBorders>
              <w:top w:val="nil"/>
              <w:left w:val="nil"/>
              <w:bottom w:val="nil"/>
              <w:right w:val="nil"/>
            </w:tcBorders>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lang w:bidi="ar-EG"/>
              </w:rPr>
            </w:pPr>
            <w:r w:rsidRPr="00814C35">
              <w:rPr>
                <w:rFonts w:ascii="Arabic Typesetting" w:hAnsi="Arabic Typesetting" w:cs="Arabic Typesetting"/>
                <w:b/>
                <w:bCs/>
                <w:sz w:val="28"/>
                <w:szCs w:val="28"/>
                <w:rtl/>
              </w:rPr>
              <w:t>التغير في الالتزام بالمستحقات</w:t>
            </w:r>
          </w:p>
        </w:tc>
        <w:tc>
          <w:tcPr>
            <w:tcW w:w="2736" w:type="dxa"/>
            <w:tcBorders>
              <w:top w:val="nil"/>
              <w:left w:val="nil"/>
              <w:bottom w:val="nil"/>
              <w:right w:val="nil"/>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nil"/>
              <w:left w:val="nil"/>
              <w:bottom w:val="nil"/>
              <w:right w:val="nil"/>
            </w:tcBorders>
            <w:vAlign w:val="bottom"/>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الالتزام بالمستحقات في بداية السنة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113,439</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106,603</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تكلفة الخدمة الحالية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6,613</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6,191</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تكلفة الفوائد</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3,089</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3,165</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المستحقات المدفوعة من البرنامج/الشركة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-2,130</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-1,924</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lang w:bidi="ar-EG"/>
              </w:rPr>
            </w:pPr>
            <w:r w:rsidRPr="00814C35">
              <w:rPr>
                <w:rFonts w:ascii="Arabic Typesetting" w:hAnsi="Arabic Typesetting" w:cs="Arabic Typesetting"/>
                <w:sz w:val="28"/>
                <w:szCs w:val="28"/>
                <w:rtl/>
              </w:rPr>
              <w:t>تكلفة الخدمات السابقة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(المكاسب)/الخسائر ال</w:t>
            </w:r>
            <w:r w:rsidRPr="00814C35">
              <w:rPr>
                <w:rFonts w:ascii="Arabic Typesetting" w:hAnsi="Arabic Typesetting" w:cs="Arabic Typesetting" w:hint="cs"/>
                <w:sz w:val="28"/>
                <w:szCs w:val="28"/>
                <w:rtl/>
              </w:rPr>
              <w:t>أ</w:t>
            </w:r>
            <w:r w:rsidRPr="00814C35">
              <w:rPr>
                <w:rFonts w:ascii="Arabic Typesetting" w:hAnsi="Arabic Typesetting" w:cs="Arabic Typesetting"/>
                <w:sz w:val="28"/>
                <w:szCs w:val="28"/>
                <w:rtl/>
              </w:rPr>
              <w:t xml:space="preserve">كتوارية </w:t>
            </w:r>
          </w:p>
        </w:tc>
        <w:tc>
          <w:tcPr>
            <w:tcW w:w="2736"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10,309</w:t>
            </w:r>
          </w:p>
        </w:tc>
        <w:tc>
          <w:tcPr>
            <w:tcW w:w="2952"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-596</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الالتزام بالمستحقات في نهاية السنة</w:t>
            </w:r>
          </w:p>
        </w:tc>
        <w:tc>
          <w:tcPr>
            <w:tcW w:w="2736"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131,320</w:t>
            </w:r>
          </w:p>
        </w:tc>
        <w:tc>
          <w:tcPr>
            <w:tcW w:w="2952"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113,439</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المبالغ المقيدة في البيان المالي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البرامج غير الممولة بالكامل والبرامج الممولة بالكامل أو الممولة على نحو جزئي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القيمة الحالية للالتزامات غير الممولة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131,320</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113,439</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lang w:bidi="ar-EG"/>
              </w:rPr>
            </w:pPr>
            <w:r w:rsidRPr="00814C35">
              <w:rPr>
                <w:rFonts w:ascii="Arabic Typesetting" w:hAnsi="Arabic Typesetting" w:cs="Arabic Typesetting"/>
                <w:sz w:val="28"/>
                <w:szCs w:val="28"/>
                <w:rtl/>
              </w:rPr>
              <w:t>المكاسب (الخسائر) الاكتوارية</w:t>
            </w:r>
            <w:r w:rsidRPr="00814C35">
              <w:rPr>
                <w:rFonts w:ascii="Arabic Typesetting" w:hAnsi="Arabic Typesetting" w:cs="Arabic Typesetting" w:hint="cs"/>
                <w:sz w:val="28"/>
                <w:szCs w:val="28"/>
                <w:rtl/>
                <w:lang w:bidi="ar-EG"/>
              </w:rPr>
              <w:t xml:space="preserve"> غير المقيدة</w:t>
            </w:r>
          </w:p>
        </w:tc>
        <w:tc>
          <w:tcPr>
            <w:tcW w:w="2736"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-20,383</w:t>
            </w:r>
          </w:p>
        </w:tc>
        <w:tc>
          <w:tcPr>
            <w:tcW w:w="2952"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-10,074</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110,937</w:t>
            </w:r>
          </w:p>
        </w:tc>
        <w:tc>
          <w:tcPr>
            <w:tcW w:w="2952"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103,365</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i/>
                <w:iCs/>
                <w:sz w:val="28"/>
                <w:szCs w:val="28"/>
                <w:rtl/>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i/>
                <w:iCs/>
                <w:sz w:val="28"/>
                <w:szCs w:val="28"/>
              </w:rPr>
            </w:pPr>
            <w:r w:rsidRPr="00814C35">
              <w:rPr>
                <w:rFonts w:ascii="Arabic Typesetting" w:hAnsi="Arabic Typesetting" w:cs="Arabic Typesetting"/>
                <w:i/>
                <w:iCs/>
                <w:sz w:val="28"/>
                <w:szCs w:val="28"/>
                <w:rtl/>
              </w:rPr>
              <w:t>المبالغ المقيدة في البيان المالي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lang w:bidi="ar-EG"/>
              </w:rPr>
            </w:pPr>
            <w:r w:rsidRPr="00814C35">
              <w:rPr>
                <w:rFonts w:ascii="Arabic Typesetting" w:hAnsi="Arabic Typesetting" w:cs="Arabic Typesetting"/>
                <w:sz w:val="28"/>
                <w:szCs w:val="28"/>
                <w:rtl/>
              </w:rPr>
              <w:t>الالتزامات</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110,937</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103,365</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مكونات تكلفة المعاشات التقاعدية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المبالغ المقيدة كمصروفات شخصية في البيان المالي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تكلفة الخدمة الحالية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6,613</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6,191</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تكلفة الفوائد</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3,089</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3,165</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 xml:space="preserve">تكلفة الخدمة السابقة (موظفون </w:t>
            </w:r>
            <w:r w:rsidRPr="00814C35">
              <w:rPr>
                <w:rFonts w:ascii="Arabic Typesetting" w:hAnsi="Arabic Typesetting" w:cs="Arabic Typesetting"/>
                <w:sz w:val="28"/>
                <w:szCs w:val="28"/>
                <w:rtl/>
                <w:lang w:bidi="ar-EG"/>
              </w:rPr>
              <w:t>مؤقتون</w:t>
            </w:r>
            <w:r w:rsidRPr="00814C35">
              <w:rPr>
                <w:rFonts w:ascii="Arabic Typesetting" w:hAnsi="Arabic Typesetting" w:cs="Arabic Typesetting"/>
                <w:sz w:val="28"/>
                <w:szCs w:val="28"/>
                <w:rtl/>
              </w:rPr>
              <w:t>)</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استهلاك صافي (المكسب)/الخسارة</w:t>
            </w:r>
          </w:p>
        </w:tc>
        <w:tc>
          <w:tcPr>
            <w:tcW w:w="2736"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w:t>
            </w:r>
          </w:p>
        </w:tc>
        <w:tc>
          <w:tcPr>
            <w:tcW w:w="2952"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rPr>
            </w:pPr>
          </w:p>
        </w:tc>
        <w:tc>
          <w:tcPr>
            <w:tcW w:w="2736"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lang w:bidi="ar-EG"/>
              </w:rPr>
            </w:pPr>
            <w:r w:rsidRPr="00814C35">
              <w:rPr>
                <w:rFonts w:ascii="Arabic Typesetting" w:hAnsi="Arabic Typesetting" w:cs="Arabic Typesetting"/>
                <w:sz w:val="28"/>
                <w:szCs w:val="28"/>
                <w:rtl/>
              </w:rPr>
              <w:t>إجمالي تكلفة المعاشات التقاعدية المقيدة في البيان المالي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9,702</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9,357</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tl/>
              </w:rPr>
            </w:pPr>
          </w:p>
        </w:tc>
        <w:tc>
          <w:tcPr>
            <w:tcW w:w="5688" w:type="dxa"/>
            <w:gridSpan w:val="2"/>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tl/>
                <w:lang w:bidi="ar-EG"/>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سياسة استهلاك المكاسب ال</w:t>
            </w:r>
            <w:r w:rsidRPr="00814C35">
              <w:rPr>
                <w:rFonts w:ascii="Arabic Typesetting" w:hAnsi="Arabic Typesetting" w:cs="Arabic Typesetting" w:hint="cs"/>
                <w:b/>
                <w:bCs/>
                <w:sz w:val="28"/>
                <w:szCs w:val="28"/>
                <w:rtl/>
              </w:rPr>
              <w:t>أ</w:t>
            </w:r>
            <w:r w:rsidRPr="00814C35">
              <w:rPr>
                <w:rFonts w:ascii="Arabic Typesetting" w:hAnsi="Arabic Typesetting" w:cs="Arabic Typesetting"/>
                <w:b/>
                <w:bCs/>
                <w:sz w:val="28"/>
                <w:szCs w:val="28"/>
                <w:rtl/>
              </w:rPr>
              <w:t>كتوارية/الخسائر</w:t>
            </w:r>
          </w:p>
        </w:tc>
        <w:tc>
          <w:tcPr>
            <w:tcW w:w="5688" w:type="dxa"/>
            <w:gridSpan w:val="2"/>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b/>
                <w:bCs/>
                <w:sz w:val="28"/>
                <w:szCs w:val="28"/>
                <w:rtl/>
                <w:lang w:bidi="ar-EG"/>
              </w:rPr>
            </w:pPr>
            <w:r w:rsidRPr="00814C35">
              <w:rPr>
                <w:rFonts w:ascii="Arabic Typesetting" w:hAnsi="Arabic Typesetting" w:cs="Arabic Typesetting"/>
                <w:b/>
                <w:bCs/>
                <w:sz w:val="28"/>
                <w:szCs w:val="28"/>
                <w:rtl/>
                <w:lang w:bidi="ar-EG"/>
              </w:rPr>
              <w:t xml:space="preserve">طريقة الكوريدور </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tl/>
              </w:rPr>
            </w:pPr>
          </w:p>
        </w:tc>
        <w:tc>
          <w:tcPr>
            <w:tcW w:w="5688" w:type="dxa"/>
            <w:gridSpan w:val="2"/>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tl/>
                <w:lang w:bidi="ar-EG"/>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المكسب ال</w:t>
            </w:r>
            <w:r w:rsidRPr="00814C35">
              <w:rPr>
                <w:rFonts w:ascii="Arabic Typesetting" w:hAnsi="Arabic Typesetting" w:cs="Arabic Typesetting" w:hint="cs"/>
                <w:sz w:val="28"/>
                <w:szCs w:val="28"/>
                <w:rtl/>
              </w:rPr>
              <w:t>أ</w:t>
            </w:r>
            <w:r w:rsidRPr="00814C35">
              <w:rPr>
                <w:rFonts w:ascii="Arabic Typesetting" w:hAnsi="Arabic Typesetting" w:cs="Arabic Typesetting"/>
                <w:sz w:val="28"/>
                <w:szCs w:val="28"/>
                <w:rtl/>
              </w:rPr>
              <w:t>كتواري/الخسارة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tl/>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رصيد غير مقيد في بداية الفترة المشمولة بالتقرير</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-10,074</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-10,671</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التحركات في الفترة المشمولة بالتقرير</w:t>
            </w:r>
          </w:p>
        </w:tc>
        <w:tc>
          <w:tcPr>
            <w:tcW w:w="2736"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-10,309</w:t>
            </w:r>
          </w:p>
        </w:tc>
        <w:tc>
          <w:tcPr>
            <w:tcW w:w="2952"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597</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مكسب/(خسائر) غير مقيدة في الفترة المشمولة بالتقرير</w:t>
            </w:r>
          </w:p>
        </w:tc>
        <w:tc>
          <w:tcPr>
            <w:tcW w:w="2736"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-20,383</w:t>
            </w:r>
          </w:p>
        </w:tc>
        <w:tc>
          <w:tcPr>
            <w:tcW w:w="2952"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-10,074</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تاريخ المكاسب (الخسائر) المسقطة بالتجربة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المكاسب (الخسائر) المسقطة بالتجربة في خصوم البرنامج</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-6,704</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-5,706</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مكاسب (خسائر) خصوم البرنامج نتيجة لتغير الافتراضات</w:t>
            </w:r>
          </w:p>
        </w:tc>
        <w:tc>
          <w:tcPr>
            <w:tcW w:w="2736"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17,013</w:t>
            </w:r>
          </w:p>
        </w:tc>
        <w:tc>
          <w:tcPr>
            <w:tcW w:w="2952" w:type="dxa"/>
            <w:tcBorders>
              <w:bottom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5,110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736"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10,309</w:t>
            </w:r>
          </w:p>
        </w:tc>
        <w:tc>
          <w:tcPr>
            <w:tcW w:w="2952" w:type="dxa"/>
            <w:tcBorders>
              <w:top w:val="single" w:sz="12" w:space="0" w:color="auto"/>
            </w:tcBorders>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-596</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الافتراضات ال</w:t>
            </w:r>
            <w:r w:rsidRPr="00814C35">
              <w:rPr>
                <w:rFonts w:ascii="Arabic Typesetting" w:hAnsi="Arabic Typesetting" w:cs="Arabic Typesetting" w:hint="cs"/>
                <w:b/>
                <w:bCs/>
                <w:sz w:val="28"/>
                <w:szCs w:val="28"/>
                <w:rtl/>
              </w:rPr>
              <w:t>أ</w:t>
            </w:r>
            <w:r w:rsidRPr="00814C35">
              <w:rPr>
                <w:rFonts w:ascii="Arabic Typesetting" w:hAnsi="Arabic Typesetting" w:cs="Arabic Typesetting"/>
                <w:b/>
                <w:bCs/>
                <w:sz w:val="28"/>
                <w:szCs w:val="28"/>
                <w:rtl/>
              </w:rPr>
              <w:t>كتوارية الأساسية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i/>
                <w:iCs/>
                <w:sz w:val="28"/>
                <w:szCs w:val="28"/>
              </w:rPr>
            </w:pPr>
            <w:r w:rsidRPr="00814C35">
              <w:rPr>
                <w:rFonts w:ascii="Arabic Typesetting" w:hAnsi="Arabic Typesetting" w:cs="Arabic Typesetting"/>
                <w:i/>
                <w:iCs/>
                <w:sz w:val="28"/>
                <w:szCs w:val="28"/>
                <w:rtl/>
              </w:rPr>
              <w:t>متوسط الافتراضات المرجح لتحديد التزامات المستحقات</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التخفيض</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2.20%</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2.75%</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زيادة التعويض</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hint="cs"/>
                <w:sz w:val="28"/>
                <w:szCs w:val="28"/>
                <w:rtl/>
              </w:rPr>
              <w:t>3.44</w:t>
            </w:r>
            <w:r w:rsidRPr="00814C35">
              <w:rPr>
                <w:rFonts w:ascii="Arabic Typesetting" w:hAnsi="Arabic Typesetting" w:cs="Arabic Typesetting"/>
                <w:sz w:val="28"/>
                <w:szCs w:val="28"/>
              </w:rPr>
              <w:t>%</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3.80%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زيادة أقساط التامين الصحي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3.00% as of 2012</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3.00% as of 2012</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2.50% as of 2017</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2.50% as of 2017</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2.00% as of 2027</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2.00% as of 2027</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i/>
                <w:iCs/>
                <w:sz w:val="28"/>
                <w:szCs w:val="28"/>
              </w:rPr>
            </w:pPr>
            <w:r w:rsidRPr="00814C35">
              <w:rPr>
                <w:rFonts w:ascii="Arabic Typesetting" w:hAnsi="Arabic Typesetting" w:cs="Arabic Typesetting"/>
                <w:i/>
                <w:iCs/>
                <w:sz w:val="28"/>
                <w:szCs w:val="28"/>
                <w:rtl/>
              </w:rPr>
              <w:t>متوسط الافتراضات المرجح لتحديد صافي التكلفة</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التخفيض</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2.75%</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زيادة التعويض</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3.80%</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3.70%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معدل زيادة أقساط التأمين الصحي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3.00% as of 2012</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3.70%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2.50% as of 2017</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2.50%</w:t>
            </w: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2.00% as of 2027</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right"/>
              <w:rPr>
                <w:rFonts w:ascii="Arabic Typesetting" w:hAnsi="Arabic Typesetting" w:cs="Arabic Typesetting"/>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b/>
                <w:bCs/>
                <w:sz w:val="28"/>
                <w:szCs w:val="28"/>
              </w:rPr>
            </w:pPr>
            <w:r w:rsidRPr="00814C35">
              <w:rPr>
                <w:rFonts w:ascii="Arabic Typesetting" w:hAnsi="Arabic Typesetting" w:cs="Arabic Typesetting"/>
                <w:b/>
                <w:bCs/>
                <w:sz w:val="28"/>
                <w:szCs w:val="28"/>
                <w:rtl/>
              </w:rPr>
              <w:t>مكونات المصروفات المتوقعة للمعاش التقاعدي</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bidi/>
              <w:spacing w:line="280" w:lineRule="exact"/>
              <w:rPr>
                <w:rFonts w:ascii="Arabic Typesetting" w:hAnsi="Arabic Typesetting" w:cs="Arabic Typesetting"/>
                <w:sz w:val="28"/>
                <w:szCs w:val="28"/>
              </w:rPr>
            </w:pPr>
            <w:r w:rsidRPr="00814C35">
              <w:rPr>
                <w:rFonts w:ascii="Arabic Typesetting" w:hAnsi="Arabic Typesetting" w:cs="Arabic Typesetting"/>
                <w:sz w:val="28"/>
                <w:szCs w:val="28"/>
                <w:rtl/>
              </w:rPr>
              <w:t>خطة الاشتراكات المتوقعة لعام 2013</w:t>
            </w: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p>
        </w:tc>
        <w:tc>
          <w:tcPr>
            <w:tcW w:w="2952" w:type="dxa"/>
            <w:vAlign w:val="center"/>
          </w:tcPr>
          <w:p w:rsidR="00E16243" w:rsidRPr="00814C35" w:rsidRDefault="00E16243" w:rsidP="00814C35">
            <w:pPr>
              <w:tabs>
                <w:tab w:val="center" w:pos="4320"/>
                <w:tab w:val="right" w:pos="8640"/>
              </w:tabs>
              <w:spacing w:line="280" w:lineRule="exact"/>
              <w:ind w:firstLineChars="700" w:firstLine="1960"/>
              <w:jc w:val="center"/>
              <w:rPr>
                <w:rFonts w:ascii="Arabic Typesetting" w:hAnsi="Arabic Typesetting" w:cs="Arabic Typesetting"/>
                <w:sz w:val="28"/>
                <w:szCs w:val="28"/>
              </w:rPr>
            </w:pPr>
          </w:p>
        </w:tc>
      </w:tr>
      <w:tr w:rsidR="00E16243" w:rsidRPr="00814C35" w:rsidTr="00E16243">
        <w:trPr>
          <w:jc w:val="center"/>
        </w:trPr>
        <w:tc>
          <w:tcPr>
            <w:tcW w:w="3168"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color w:val="000000"/>
                <w:sz w:val="28"/>
                <w:szCs w:val="28"/>
              </w:rPr>
            </w:pPr>
          </w:p>
        </w:tc>
        <w:tc>
          <w:tcPr>
            <w:tcW w:w="2736"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sz w:val="28"/>
                <w:szCs w:val="28"/>
              </w:rPr>
            </w:pPr>
            <w:r w:rsidRPr="00814C35">
              <w:rPr>
                <w:rFonts w:ascii="Arabic Typesetting" w:hAnsi="Arabic Typesetting" w:cs="Arabic Typesetting"/>
                <w:sz w:val="28"/>
                <w:szCs w:val="28"/>
              </w:rPr>
              <w:t>2,198</w:t>
            </w:r>
          </w:p>
        </w:tc>
        <w:tc>
          <w:tcPr>
            <w:tcW w:w="2952" w:type="dxa"/>
            <w:vAlign w:val="center"/>
          </w:tcPr>
          <w:p w:rsidR="00E16243" w:rsidRPr="00814C35" w:rsidRDefault="00E16243" w:rsidP="00814C35">
            <w:pPr>
              <w:tabs>
                <w:tab w:val="center" w:pos="4320"/>
                <w:tab w:val="right" w:pos="8640"/>
              </w:tabs>
              <w:spacing w:line="280" w:lineRule="exact"/>
              <w:jc w:val="center"/>
              <w:rPr>
                <w:rFonts w:ascii="Arabic Typesetting" w:hAnsi="Arabic Typesetting" w:cs="Arabic Typesetting"/>
                <w:color w:val="000000"/>
                <w:sz w:val="28"/>
                <w:szCs w:val="28"/>
              </w:rPr>
            </w:pP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color w:val="000000"/>
          <w:sz w:val="36"/>
          <w:szCs w:val="36"/>
          <w:rtl/>
        </w:rPr>
        <w:t>تبلغ الخسائر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غير المقيدة للسنة 10</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 xml:space="preserve">3 مليون فرنك سويسري. </w:t>
      </w:r>
      <w:r>
        <w:rPr>
          <w:rFonts w:ascii="Arabic Typesetting" w:hAnsi="Arabic Typesetting" w:cs="Arabic Typesetting"/>
          <w:color w:val="000000"/>
          <w:sz w:val="36"/>
          <w:szCs w:val="36"/>
          <w:rtl/>
        </w:rPr>
        <w:t xml:space="preserve">ويمثل هذا الرقم صافي أثر خسارة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بقيمة 17 مليون فرنك سويسري ناجمة عن خفض في سعر الخصم وتحديث الجداول الديمغرافية، ومكسب بقيمة 6</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 xml:space="preserve">7 مليون فرنك سويسري ناتج عن تسويات من </w:t>
      </w:r>
      <w:r>
        <w:rPr>
          <w:rFonts w:ascii="Arabic Typesetting" w:hAnsi="Arabic Typesetting" w:cs="Arabic Typesetting"/>
          <w:color w:val="000000"/>
          <w:sz w:val="36"/>
          <w:szCs w:val="36"/>
          <w:rtl/>
        </w:rPr>
        <w:t>سنوات سابقة. تُستهلك الخسائر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التراكمية خلال الفترة المتبقية المقدرة من خدمة الموظفين المشمولة بالتأمين الطبي بعد انتهاء الخدمة. يمثل جزء الالتزامات المقيد في بيا</w:t>
      </w:r>
      <w:r>
        <w:rPr>
          <w:rFonts w:ascii="Arabic Typesetting" w:hAnsi="Arabic Typesetting" w:cs="Arabic Typesetting"/>
          <w:color w:val="000000"/>
          <w:sz w:val="36"/>
          <w:szCs w:val="36"/>
          <w:rtl/>
        </w:rPr>
        <w:t>ن الأداء المالي مبلغ الخسارة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كتوارية المستهلكة أو الربح المتجاوز نسبة 10 </w:t>
      </w:r>
      <w:r>
        <w:rPr>
          <w:rFonts w:ascii="Arabic Typesetting" w:hAnsi="Arabic Typesetting" w:cs="Arabic Typesetting" w:hint="cs"/>
          <w:color w:val="000000"/>
          <w:sz w:val="36"/>
          <w:szCs w:val="36"/>
          <w:rtl/>
        </w:rPr>
        <w:t>بالمائة</w:t>
      </w:r>
      <w:r w:rsidRPr="008E733F">
        <w:rPr>
          <w:rFonts w:ascii="Arabic Typesetting" w:hAnsi="Arabic Typesetting" w:cs="Arabic Typesetting"/>
          <w:color w:val="000000"/>
          <w:sz w:val="36"/>
          <w:szCs w:val="36"/>
          <w:rtl/>
        </w:rPr>
        <w:t xml:space="preserve"> من القيمة الحالية من خصوم الاستحقاقات المحددة في التقرير المالي ووفقا لأسلوب </w:t>
      </w:r>
      <w:r>
        <w:rPr>
          <w:rFonts w:ascii="Arabic Typesetting" w:hAnsi="Arabic Typesetting" w:cs="Arabic Typesetting" w:hint="cs"/>
          <w:color w:val="000000"/>
          <w:sz w:val="36"/>
          <w:szCs w:val="36"/>
          <w:rtl/>
        </w:rPr>
        <w:t>يعرف ب</w:t>
      </w:r>
      <w:r w:rsidRPr="008E733F">
        <w:rPr>
          <w:rFonts w:ascii="Arabic Typesetting" w:hAnsi="Arabic Typesetting" w:cs="Arabic Typesetting"/>
          <w:color w:val="000000"/>
          <w:sz w:val="36"/>
          <w:szCs w:val="36"/>
          <w:rtl/>
        </w:rPr>
        <w:t>الممرات (</w:t>
      </w:r>
      <w:r w:rsidRPr="008E733F">
        <w:rPr>
          <w:rFonts w:ascii="Arabic Typesetting" w:hAnsi="Arabic Typesetting" w:cs="Arabic Typesetting"/>
          <w:color w:val="000000"/>
          <w:sz w:val="36"/>
          <w:szCs w:val="36"/>
        </w:rPr>
        <w:t>corridor</w:t>
      </w:r>
      <w:r w:rsidRPr="008E733F">
        <w:rPr>
          <w:rFonts w:ascii="Arabic Typesetting" w:hAnsi="Arabic Typesetting" w:cs="Arabic Typesetting"/>
          <w:color w:val="000000"/>
          <w:sz w:val="36"/>
          <w:szCs w:val="36"/>
          <w:rtl/>
          <w:lang w:bidi="ar-EG"/>
        </w:rPr>
        <w:t>)</w:t>
      </w:r>
      <w:r>
        <w:rPr>
          <w:rFonts w:ascii="Arabic Typesetting" w:hAnsi="Arabic Typesetting" w:cs="Arabic Typesetting" w:hint="cs"/>
          <w:sz w:val="36"/>
          <w:szCs w:val="36"/>
          <w:rtl/>
        </w:rPr>
        <w:t xml:space="preserve"> في القيد. </w:t>
      </w:r>
    </w:p>
    <w:p w:rsidR="00E16243" w:rsidRDefault="00E16243" w:rsidP="00E16243">
      <w:pPr>
        <w:bidi/>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تؤثر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تأثيراً جوهريا على المبالغ المحسوبة كخصوم متعلقة بالتأمين الصحي بعد انتهاء الخدمة.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يوضح الجدول التالي التأثيرات التي يحدثها التغير في </w:t>
      </w:r>
      <w:r>
        <w:rPr>
          <w:rFonts w:ascii="Arabic Typesetting" w:hAnsi="Arabic Typesetting" w:cs="Arabic Typesetting" w:hint="cs"/>
          <w:color w:val="000000"/>
          <w:sz w:val="36"/>
          <w:szCs w:val="36"/>
          <w:rtl/>
        </w:rPr>
        <w:t>توجهات</w:t>
      </w:r>
      <w:r w:rsidRPr="008E733F">
        <w:rPr>
          <w:rFonts w:ascii="Arabic Typesetting" w:hAnsi="Arabic Typesetting" w:cs="Arabic Typesetting"/>
          <w:color w:val="000000"/>
          <w:sz w:val="36"/>
          <w:szCs w:val="36"/>
          <w:rtl/>
        </w:rPr>
        <w:t xml:space="preserve"> تكلفة الرعاية الصحية المفترضة بمقدار نقطة واحدة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مئوية:</w:t>
      </w:r>
    </w:p>
    <w:p w:rsidR="000C096B" w:rsidRDefault="000C096B">
      <w:pPr>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br w:type="page"/>
      </w:r>
    </w:p>
    <w:tbl>
      <w:tblPr>
        <w:bidiVisual/>
        <w:tblW w:w="954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890"/>
        <w:gridCol w:w="1890"/>
        <w:gridCol w:w="2070"/>
      </w:tblGrid>
      <w:tr w:rsidR="00E16243" w:rsidRPr="00205455" w:rsidTr="00E16243">
        <w:trPr>
          <w:jc w:val="center"/>
        </w:trPr>
        <w:tc>
          <w:tcPr>
            <w:tcW w:w="3690" w:type="dxa"/>
            <w:tcBorders>
              <w:top w:val="nil"/>
              <w:left w:val="nil"/>
              <w:bottom w:val="nil"/>
              <w:right w:val="nil"/>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color w:val="000000"/>
                <w:sz w:val="28"/>
                <w:szCs w:val="28"/>
                <w:rtl/>
                <w:lang w:bidi="ar-EG"/>
              </w:rPr>
            </w:pPr>
            <w:r w:rsidRPr="00205455">
              <w:rPr>
                <w:rFonts w:ascii="Arabic Typesetting" w:hAnsi="Arabic Typesetting" w:cs="Arabic Typesetting"/>
                <w:b/>
                <w:bCs/>
                <w:color w:val="000000"/>
                <w:sz w:val="28"/>
                <w:szCs w:val="28"/>
                <w:rtl/>
              </w:rPr>
              <w:lastRenderedPageBreak/>
              <w:t>المعلومات المؤثرة في مستحقات الرعاية الطبية اللاحقة للخدمة (</w:t>
            </w:r>
            <w:r w:rsidRPr="00205455">
              <w:rPr>
                <w:rFonts w:ascii="Arabic Typesetting" w:hAnsi="Arabic Typesetting" w:cs="Arabic Typesetting"/>
                <w:b/>
                <w:bCs/>
                <w:color w:val="000000"/>
                <w:sz w:val="28"/>
                <w:szCs w:val="28"/>
              </w:rPr>
              <w:t>ASHI</w:t>
            </w:r>
            <w:r w:rsidRPr="00205455">
              <w:rPr>
                <w:rFonts w:ascii="Arabic Typesetting" w:hAnsi="Arabic Typesetting" w:cs="Arabic Typesetting"/>
                <w:b/>
                <w:bCs/>
                <w:color w:val="000000"/>
                <w:sz w:val="28"/>
                <w:szCs w:val="28"/>
                <w:rtl/>
              </w:rPr>
              <w:t>)</w:t>
            </w:r>
          </w:p>
        </w:tc>
        <w:tc>
          <w:tcPr>
            <w:tcW w:w="1890" w:type="dxa"/>
            <w:tcBorders>
              <w:top w:val="nil"/>
              <w:left w:val="nil"/>
              <w:bottom w:val="nil"/>
              <w:right w:val="nil"/>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tl/>
              </w:rPr>
              <w:t>انخفاض بنسبة 1% في معدل توجهات الرعاية الصحية المفترضة</w:t>
            </w:r>
          </w:p>
        </w:tc>
        <w:tc>
          <w:tcPr>
            <w:tcW w:w="1890" w:type="dxa"/>
            <w:tcBorders>
              <w:top w:val="nil"/>
              <w:left w:val="nil"/>
              <w:bottom w:val="nil"/>
              <w:right w:val="nil"/>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tl/>
              </w:rPr>
              <w:t>معدل توجهات الرعاية الصحية المطبق</w:t>
            </w:r>
          </w:p>
        </w:tc>
        <w:tc>
          <w:tcPr>
            <w:tcW w:w="2070" w:type="dxa"/>
            <w:tcBorders>
              <w:top w:val="nil"/>
              <w:left w:val="nil"/>
              <w:bottom w:val="nil"/>
              <w:right w:val="nil"/>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tl/>
              </w:rPr>
              <w:t>زيادة بنسبة 1% في معدل توجهات الرعاية الصحية المفترضة</w:t>
            </w: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color w:val="000000"/>
                <w:sz w:val="28"/>
                <w:szCs w:val="28"/>
                <w:rtl/>
              </w:rPr>
            </w:pPr>
          </w:p>
        </w:tc>
        <w:tc>
          <w:tcPr>
            <w:tcW w:w="5850" w:type="dxa"/>
            <w:gridSpan w:val="3"/>
            <w:tcBorders>
              <w:bottom w:val="single" w:sz="4" w:space="0" w:color="auto"/>
            </w:tcBorders>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sidRPr="00205455">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205455">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205455">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205455">
              <w:rPr>
                <w:rFonts w:ascii="Arabic Typesetting" w:hAnsi="Arabic Typesetting" w:cs="Arabic Typesetting"/>
                <w:sz w:val="28"/>
                <w:szCs w:val="28"/>
              </w:rPr>
              <w:t>)</w:t>
            </w: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color w:val="000000"/>
                <w:sz w:val="28"/>
                <w:szCs w:val="28"/>
                <w:rtl/>
              </w:rPr>
            </w:pPr>
          </w:p>
        </w:tc>
        <w:tc>
          <w:tcPr>
            <w:tcW w:w="1890" w:type="dxa"/>
            <w:tcBorders>
              <w:top w:val="single" w:sz="4" w:space="0" w:color="auto"/>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tl/>
              </w:rPr>
            </w:pPr>
          </w:p>
        </w:tc>
        <w:tc>
          <w:tcPr>
            <w:tcW w:w="1890" w:type="dxa"/>
            <w:tcBorders>
              <w:top w:val="single" w:sz="4" w:space="0" w:color="auto"/>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tl/>
              </w:rPr>
            </w:pPr>
          </w:p>
        </w:tc>
        <w:tc>
          <w:tcPr>
            <w:tcW w:w="2070" w:type="dxa"/>
            <w:tcBorders>
              <w:top w:val="single" w:sz="4" w:space="0" w:color="auto"/>
            </w:tcBorders>
            <w:vAlign w:val="center"/>
          </w:tcPr>
          <w:p w:rsidR="00E16243" w:rsidRPr="00205455" w:rsidRDefault="00E16243" w:rsidP="000C096B">
            <w:pPr>
              <w:keepNext/>
              <w:tabs>
                <w:tab w:val="center" w:pos="4320"/>
                <w:tab w:val="right" w:pos="8640"/>
              </w:tabs>
              <w:bidi/>
              <w:spacing w:line="280" w:lineRule="exact"/>
              <w:jc w:val="center"/>
              <w:rPr>
                <w:rFonts w:ascii="Arabic Typesetting" w:hAnsi="Arabic Typesetting" w:cs="Arabic Typesetting"/>
                <w:b/>
                <w:bCs/>
                <w:sz w:val="28"/>
                <w:szCs w:val="28"/>
                <w:rtl/>
              </w:rPr>
            </w:pP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tl/>
              </w:rPr>
              <w:t>الالتزام بالمستحقات المحددة حتى 31 ديسمبر 2012</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108,405</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131,320</w:t>
            </w:r>
          </w:p>
        </w:tc>
        <w:tc>
          <w:tcPr>
            <w:tcW w:w="207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160,999</w:t>
            </w: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tl/>
              </w:rPr>
              <w:t>نسبة الاختلاف</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-17.4%</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p>
        </w:tc>
        <w:tc>
          <w:tcPr>
            <w:tcW w:w="207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22.6%</w:t>
            </w: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spacing w:line="280" w:lineRule="exact"/>
              <w:jc w:val="right"/>
              <w:rPr>
                <w:rFonts w:ascii="Arabic Typesetting" w:hAnsi="Arabic Typesetting" w:cs="Arabic Typesetting"/>
                <w:color w:val="000000"/>
                <w:sz w:val="28"/>
                <w:szCs w:val="28"/>
              </w:rPr>
            </w:pP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p>
        </w:tc>
        <w:tc>
          <w:tcPr>
            <w:tcW w:w="207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tl/>
              </w:rPr>
              <w:t>تكلفة الخدمة والفوائد للسنة حتى 31 ديسمبر 2012</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7,787</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9,702</w:t>
            </w:r>
          </w:p>
        </w:tc>
        <w:tc>
          <w:tcPr>
            <w:tcW w:w="207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12,227</w:t>
            </w:r>
          </w:p>
        </w:tc>
      </w:tr>
      <w:tr w:rsidR="00E16243" w:rsidRPr="00205455" w:rsidTr="00E16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690" w:type="dxa"/>
            <w:vAlign w:val="center"/>
          </w:tcPr>
          <w:p w:rsidR="00E16243" w:rsidRPr="00205455" w:rsidRDefault="00E16243" w:rsidP="000C096B">
            <w:pPr>
              <w:keepNext/>
              <w:tabs>
                <w:tab w:val="center" w:pos="4320"/>
                <w:tab w:val="right" w:pos="8640"/>
              </w:tabs>
              <w:bidi/>
              <w:spacing w:line="280" w:lineRule="exact"/>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tl/>
              </w:rPr>
              <w:t>نسبة الاختلاف</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-19.7%</w:t>
            </w:r>
          </w:p>
        </w:tc>
        <w:tc>
          <w:tcPr>
            <w:tcW w:w="189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p>
        </w:tc>
        <w:tc>
          <w:tcPr>
            <w:tcW w:w="2070" w:type="dxa"/>
            <w:vAlign w:val="center"/>
          </w:tcPr>
          <w:p w:rsidR="00E16243" w:rsidRPr="00205455" w:rsidRDefault="00E16243" w:rsidP="000C096B">
            <w:pPr>
              <w:keepNext/>
              <w:tabs>
                <w:tab w:val="center" w:pos="4320"/>
                <w:tab w:val="right" w:pos="8640"/>
              </w:tabs>
              <w:spacing w:line="280" w:lineRule="exact"/>
              <w:jc w:val="center"/>
              <w:rPr>
                <w:rFonts w:ascii="Arabic Typesetting" w:hAnsi="Arabic Typesetting" w:cs="Arabic Typesetting"/>
                <w:color w:val="000000"/>
                <w:sz w:val="28"/>
                <w:szCs w:val="28"/>
              </w:rPr>
            </w:pPr>
            <w:r w:rsidRPr="00205455">
              <w:rPr>
                <w:rFonts w:ascii="Arabic Typesetting" w:hAnsi="Arabic Typesetting" w:cs="Arabic Typesetting"/>
                <w:color w:val="000000"/>
                <w:sz w:val="28"/>
                <w:szCs w:val="28"/>
              </w:rPr>
              <w:t>26.0%</w:t>
            </w:r>
          </w:p>
        </w:tc>
      </w:tr>
    </w:tbl>
    <w:p w:rsidR="00E16243" w:rsidRPr="00175930" w:rsidRDefault="00E16243" w:rsidP="00E16243">
      <w:pPr>
        <w:pStyle w:val="NormalParaAR"/>
        <w:spacing w:before="240"/>
        <w:rPr>
          <w:b/>
          <w:bCs/>
          <w:rtl/>
        </w:rPr>
      </w:pPr>
      <w:r w:rsidRPr="00175930">
        <w:rPr>
          <w:rFonts w:hint="cs"/>
          <w:b/>
          <w:bCs/>
          <w:rtl/>
        </w:rPr>
        <w:t>مستحقات إنهاء الخدمة</w:t>
      </w:r>
    </w:p>
    <w:p w:rsidR="00E16243" w:rsidRDefault="00E16243" w:rsidP="00E16243">
      <w:pPr>
        <w:pStyle w:val="NormalParaAR"/>
        <w:rPr>
          <w:rtl/>
        </w:rPr>
      </w:pPr>
      <w:r w:rsidRPr="008E733F">
        <w:rPr>
          <w:color w:val="000000"/>
          <w:rtl/>
        </w:rPr>
        <w:t xml:space="preserve">في عام 2009، </w:t>
      </w:r>
      <w:r>
        <w:rPr>
          <w:rFonts w:hint="cs"/>
          <w:color w:val="000000"/>
          <w:rtl/>
        </w:rPr>
        <w:t>أقرت</w:t>
      </w:r>
      <w:r w:rsidRPr="008E733F">
        <w:rPr>
          <w:color w:val="000000"/>
          <w:rtl/>
        </w:rPr>
        <w:t xml:space="preserve"> لجنة التنسيق برنامج الإنهاء الطوعي للخدمة والذي يوفر فوائد إضافية للموظفين القابلين للتقاعد المبكر. </w:t>
      </w:r>
      <w:r>
        <w:rPr>
          <w:rFonts w:hint="cs"/>
          <w:color w:val="000000"/>
          <w:rtl/>
        </w:rPr>
        <w:t>و</w:t>
      </w:r>
      <w:r w:rsidRPr="008E733F">
        <w:rPr>
          <w:color w:val="000000"/>
          <w:rtl/>
        </w:rPr>
        <w:t>بلغت التكلفة الإجمالية للبرنامج 22 مليون فرنك سويسري، مع مبلغ 0</w:t>
      </w:r>
      <w:r>
        <w:rPr>
          <w:rFonts w:hint="cs"/>
          <w:color w:val="000000"/>
          <w:rtl/>
        </w:rPr>
        <w:t>,</w:t>
      </w:r>
      <w:r w:rsidRPr="008E733F">
        <w:rPr>
          <w:color w:val="000000"/>
          <w:rtl/>
        </w:rPr>
        <w:t xml:space="preserve">5 مليون فرنك سويسري لاستخدامه في تغطية التكاليف المستمرة للمعاشات وتكاليف التأمين الطبي بعد الخدمة للموظفين أعضاء البرنامج في عام 2012. </w:t>
      </w:r>
      <w:r>
        <w:rPr>
          <w:rFonts w:hint="cs"/>
          <w:color w:val="000000"/>
          <w:rtl/>
        </w:rPr>
        <w:t>و</w:t>
      </w:r>
      <w:r w:rsidRPr="008E733F">
        <w:rPr>
          <w:color w:val="000000"/>
          <w:rtl/>
        </w:rPr>
        <w:t>تم استخدام هذا الرصيد بالكامل خلال عام 2012، ولا يوجد أي التزامات متبقية على برنامج الإنهاء الطوعي للخدمة كما في 31 ديسمبر 2012.</w:t>
      </w:r>
    </w:p>
    <w:p w:rsidR="00E16243" w:rsidRPr="00175930" w:rsidRDefault="00E16243" w:rsidP="00E16243">
      <w:pPr>
        <w:pStyle w:val="NormalParaAR"/>
        <w:keepNext/>
        <w:rPr>
          <w:b/>
          <w:bCs/>
          <w:rtl/>
        </w:rPr>
      </w:pPr>
      <w:r w:rsidRPr="00175930">
        <w:rPr>
          <w:rFonts w:hint="cs"/>
          <w:b/>
          <w:bCs/>
          <w:rtl/>
        </w:rPr>
        <w:t>الصندوق المشترك للمعاشات التقاعدية لموظفي الأمم المتحدة</w:t>
      </w:r>
    </w:p>
    <w:p w:rsidR="00E16243" w:rsidRDefault="00E16243" w:rsidP="00E16243">
      <w:pPr>
        <w:pStyle w:val="NormalParaAR"/>
        <w:rPr>
          <w:rtl/>
        </w:rPr>
      </w:pPr>
      <w:r w:rsidRPr="008E733F">
        <w:rPr>
          <w:color w:val="000000"/>
          <w:rtl/>
        </w:rPr>
        <w:t>تنص لوائح صندوق المعاشا</w:t>
      </w:r>
      <w:r>
        <w:rPr>
          <w:color w:val="000000"/>
          <w:rtl/>
        </w:rPr>
        <w:t xml:space="preserve">ت أن يُجري مجلس الصندوق تقييما </w:t>
      </w:r>
      <w:r>
        <w:rPr>
          <w:rFonts w:hint="cs"/>
          <w:color w:val="000000"/>
          <w:rtl/>
        </w:rPr>
        <w:t>أ</w:t>
      </w:r>
      <w:r w:rsidRPr="008E733F">
        <w:rPr>
          <w:color w:val="000000"/>
          <w:rtl/>
        </w:rPr>
        <w:t>كتواريا مرة واحدة على ا</w:t>
      </w:r>
      <w:r>
        <w:rPr>
          <w:color w:val="000000"/>
          <w:rtl/>
        </w:rPr>
        <w:t xml:space="preserve">لأقل كل ثلاث سنوات بواسطة خبير </w:t>
      </w:r>
      <w:r>
        <w:rPr>
          <w:rFonts w:hint="cs"/>
          <w:color w:val="000000"/>
          <w:rtl/>
        </w:rPr>
        <w:t>أ</w:t>
      </w:r>
      <w:r w:rsidRPr="008E733F">
        <w:rPr>
          <w:color w:val="000000"/>
          <w:rtl/>
        </w:rPr>
        <w:t>كتواري. وقد جرت العادة في المجلس المشترك للمعا</w:t>
      </w:r>
      <w:r>
        <w:rPr>
          <w:color w:val="000000"/>
          <w:rtl/>
        </w:rPr>
        <w:t xml:space="preserve">شات التقاعدية بالاضطلاع بتقييم </w:t>
      </w:r>
      <w:r>
        <w:rPr>
          <w:rFonts w:hint="cs"/>
          <w:color w:val="000000"/>
          <w:rtl/>
        </w:rPr>
        <w:t>أ</w:t>
      </w:r>
      <w:r w:rsidRPr="008E733F">
        <w:rPr>
          <w:color w:val="000000"/>
          <w:rtl/>
        </w:rPr>
        <w:t xml:space="preserve">كتواري كل سنتين باستخدام "أسلوب المجموعات الكلية المفتوحة". </w:t>
      </w:r>
      <w:r>
        <w:rPr>
          <w:rFonts w:hint="cs"/>
          <w:color w:val="000000"/>
          <w:rtl/>
        </w:rPr>
        <w:t>و</w:t>
      </w:r>
      <w:r w:rsidRPr="008E733F">
        <w:rPr>
          <w:color w:val="000000"/>
          <w:rtl/>
        </w:rPr>
        <w:t>يكمن الغرض الرئيسي من التق</w:t>
      </w:r>
      <w:r>
        <w:rPr>
          <w:color w:val="000000"/>
          <w:rtl/>
        </w:rPr>
        <w:t>ييم ال</w:t>
      </w:r>
      <w:r>
        <w:rPr>
          <w:rFonts w:hint="cs"/>
          <w:color w:val="000000"/>
          <w:rtl/>
        </w:rPr>
        <w:t>أ</w:t>
      </w:r>
      <w:r w:rsidRPr="008E733F">
        <w:rPr>
          <w:color w:val="000000"/>
          <w:rtl/>
        </w:rPr>
        <w:t>كتواري في تحديد ما إذا كانت أصول "الصندوق المشترك للمعاشات التقاعدية" الحالية والمقدرة مستقبلا كافية للوفاء</w:t>
      </w:r>
      <w:r>
        <w:rPr>
          <w:rFonts w:hint="cs"/>
          <w:rtl/>
        </w:rPr>
        <w:t xml:space="preserve"> بالتزاماته. </w:t>
      </w:r>
    </w:p>
    <w:p w:rsidR="00E16243" w:rsidRDefault="00E16243" w:rsidP="00E16243">
      <w:pPr>
        <w:pStyle w:val="NormalParaAR"/>
        <w:rPr>
          <w:rtl/>
        </w:rPr>
      </w:pPr>
      <w:r>
        <w:rPr>
          <w:rFonts w:hint="cs"/>
          <w:color w:val="000000"/>
          <w:rtl/>
        </w:rPr>
        <w:t>و</w:t>
      </w:r>
      <w:r w:rsidRPr="008E733F">
        <w:rPr>
          <w:color w:val="000000"/>
          <w:rtl/>
        </w:rPr>
        <w:t>تتألف التزامات الويبو المالية تجاه صندوق المعاشات التقاعدية لموظفي الأمم المتحدة من مساهمتها المقررة، وبالمعدل الذي قررته الجمعية العامة للأمم المتحدة (وهو حاليا بنسبة 7</w:t>
      </w:r>
      <w:r>
        <w:rPr>
          <w:rFonts w:hint="cs"/>
          <w:color w:val="000000"/>
          <w:rtl/>
        </w:rPr>
        <w:t>,</w:t>
      </w:r>
      <w:r w:rsidRPr="008E733F">
        <w:rPr>
          <w:color w:val="000000"/>
          <w:rtl/>
        </w:rPr>
        <w:t xml:space="preserve">9 </w:t>
      </w:r>
      <w:r>
        <w:rPr>
          <w:rFonts w:hint="cs"/>
          <w:color w:val="000000"/>
          <w:rtl/>
        </w:rPr>
        <w:t>بالمائة</w:t>
      </w:r>
      <w:r w:rsidRPr="008E733F">
        <w:rPr>
          <w:color w:val="000000"/>
          <w:rtl/>
        </w:rPr>
        <w:t xml:space="preserve"> للمشاركين، ونسبة 15</w:t>
      </w:r>
      <w:r>
        <w:rPr>
          <w:rFonts w:hint="cs"/>
          <w:color w:val="000000"/>
          <w:rtl/>
        </w:rPr>
        <w:t>,</w:t>
      </w:r>
      <w:r w:rsidRPr="008E733F">
        <w:rPr>
          <w:color w:val="000000"/>
          <w:rtl/>
        </w:rPr>
        <w:t xml:space="preserve">8 </w:t>
      </w:r>
      <w:r>
        <w:rPr>
          <w:rFonts w:hint="cs"/>
          <w:color w:val="000000"/>
          <w:rtl/>
        </w:rPr>
        <w:t>بالمائة</w:t>
      </w:r>
      <w:r w:rsidRPr="008E733F">
        <w:rPr>
          <w:color w:val="000000"/>
          <w:rtl/>
        </w:rPr>
        <w:t xml:space="preserve"> للمنظمات الأعضاء) جنبا إلى جنب مع أي حص</w:t>
      </w:r>
      <w:r>
        <w:rPr>
          <w:color w:val="000000"/>
          <w:rtl/>
        </w:rPr>
        <w:t>ة من أي مدفوعات لتغطية العجز ال</w:t>
      </w:r>
      <w:r>
        <w:rPr>
          <w:rFonts w:hint="cs"/>
          <w:color w:val="000000"/>
          <w:rtl/>
        </w:rPr>
        <w:t>أ</w:t>
      </w:r>
      <w:r w:rsidRPr="008E733F">
        <w:rPr>
          <w:color w:val="000000"/>
          <w:rtl/>
        </w:rPr>
        <w:t xml:space="preserve">كتواري بمقتضى المادة 26 من لائحة صندوق المعاشات. </w:t>
      </w:r>
      <w:r>
        <w:rPr>
          <w:rFonts w:hint="cs"/>
          <w:color w:val="000000"/>
          <w:rtl/>
        </w:rPr>
        <w:t>و</w:t>
      </w:r>
      <w:r w:rsidRPr="008E733F">
        <w:rPr>
          <w:color w:val="000000"/>
          <w:rtl/>
          <w:lang w:bidi="ar-EG"/>
        </w:rPr>
        <w:t xml:space="preserve">لا </w:t>
      </w:r>
      <w:r w:rsidRPr="008E733F">
        <w:rPr>
          <w:color w:val="000000"/>
          <w:rtl/>
        </w:rPr>
        <w:t>تكون مدفوعات العجز هذه واجبة الأداء إلا إذا وعندما تلجأ الجمعية العامة للأمم المتحدة إلى تطبيق نص المادة 26 وبعد أن يتقرر أن هناك حاجة لسداد مدفوعا</w:t>
      </w:r>
      <w:r>
        <w:rPr>
          <w:color w:val="000000"/>
          <w:rtl/>
        </w:rPr>
        <w:t>ت العجز بناء على تقييم العجز ال</w:t>
      </w:r>
      <w:r>
        <w:rPr>
          <w:rFonts w:hint="cs"/>
          <w:color w:val="000000"/>
          <w:rtl/>
        </w:rPr>
        <w:t>أ</w:t>
      </w:r>
      <w:r w:rsidRPr="008E733F">
        <w:rPr>
          <w:color w:val="000000"/>
          <w:rtl/>
        </w:rPr>
        <w:t xml:space="preserve">كتواري لصندوق المعاشات اعتباراً من تاريخ التقييم. </w:t>
      </w:r>
      <w:r>
        <w:rPr>
          <w:rFonts w:hint="cs"/>
          <w:color w:val="000000"/>
          <w:rtl/>
        </w:rPr>
        <w:t>و</w:t>
      </w:r>
      <w:r w:rsidRPr="008E733F">
        <w:rPr>
          <w:color w:val="000000"/>
          <w:rtl/>
        </w:rPr>
        <w:t>تساهم كل منظمة عضو في هذا العجز بقيمة تتناسب مع إجمالي الاشتراكات التي سددتها كل منها خلال فترة الثلاث سنوات السابقة لتاريخ</w:t>
      </w:r>
      <w:r>
        <w:rPr>
          <w:rFonts w:hint="cs"/>
          <w:rtl/>
        </w:rPr>
        <w:t xml:space="preserve"> التقييم.</w:t>
      </w:r>
    </w:p>
    <w:p w:rsidR="00E16243" w:rsidRPr="008E733F" w:rsidRDefault="00E16243" w:rsidP="00E1624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 xml:space="preserve">تم إجراء أحدث تقييم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 xml:space="preserve">كتواري في </w:t>
      </w:r>
      <w:r>
        <w:rPr>
          <w:rFonts w:ascii="Arabic Typesetting" w:hAnsi="Arabic Typesetting" w:cs="Arabic Typesetting"/>
          <w:color w:val="000000"/>
          <w:sz w:val="36"/>
          <w:szCs w:val="36"/>
          <w:rtl/>
        </w:rPr>
        <w:t xml:space="preserve">31 ديسمبر 2011، وتبين وجود عجز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حساب المعاش التقاعدي بنسبة</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(0</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38</w:t>
      </w:r>
      <w:r>
        <w:rPr>
          <w:rFonts w:ascii="Arabic Typesetting" w:hAnsi="Arabic Typesetting" w:cs="Arabic Typesetting" w:hint="cs"/>
          <w:color w:val="000000"/>
          <w:sz w:val="36"/>
          <w:szCs w:val="36"/>
          <w:rtl/>
        </w:rPr>
        <w:t xml:space="preserve"> بالمائة</w:t>
      </w:r>
      <w:r>
        <w:rPr>
          <w:rFonts w:ascii="Arabic Typesetting" w:hAnsi="Arabic Typesetting" w:cs="Arabic Typesetting"/>
          <w:color w:val="000000"/>
          <w:sz w:val="36"/>
          <w:szCs w:val="36"/>
          <w:rtl/>
        </w:rPr>
        <w:t xml:space="preserve"> في تقييم عام 2009)</w:t>
      </w:r>
      <w:r w:rsidRPr="008E733F">
        <w:rPr>
          <w:rFonts w:ascii="Arabic Typesetting" w:hAnsi="Arabic Typesetting" w:cs="Arabic Typesetting"/>
          <w:color w:val="000000"/>
          <w:sz w:val="36"/>
          <w:szCs w:val="36"/>
          <w:rtl/>
        </w:rPr>
        <w:t>، مما يعني أن معدل المساهمة النظري اللازم لتحقيق التوازن كما في 31 ديسمبر 2011 كان 25</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57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من حساب المعاش التقاعدي، مقارنة بمعدل الاشتراك الفعلي البالغ 23</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يرجع السبب في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الأساس إلى انخفاض الاستثمارات المتوقعة في السنوات الأخيرة.</w:t>
      </w:r>
    </w:p>
    <w:p w:rsidR="00E16243" w:rsidRDefault="00E16243" w:rsidP="00E1624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31 ديسمبر 2011، كانت </w:t>
      </w:r>
      <w:r w:rsidRPr="008E733F">
        <w:rPr>
          <w:rFonts w:ascii="Arabic Typesetting" w:hAnsi="Arabic Typesetting" w:cs="Arabic Typesetting"/>
          <w:color w:val="000000"/>
          <w:sz w:val="36"/>
          <w:szCs w:val="36"/>
          <w:rtl/>
          <w:lang w:bidi="ar-EG"/>
        </w:rPr>
        <w:t>النسبة المغطاة أو الممولة من الأص</w:t>
      </w:r>
      <w:r>
        <w:rPr>
          <w:rFonts w:ascii="Arabic Typesetting" w:hAnsi="Arabic Typesetting" w:cs="Arabic Typesetting"/>
          <w:color w:val="000000"/>
          <w:sz w:val="36"/>
          <w:szCs w:val="36"/>
          <w:rtl/>
          <w:lang w:bidi="ar-EG"/>
        </w:rPr>
        <w:t>ول ال</w:t>
      </w:r>
      <w:r>
        <w:rPr>
          <w:rFonts w:ascii="Arabic Typesetting" w:hAnsi="Arabic Typesetting" w:cs="Arabic Typesetting" w:hint="cs"/>
          <w:color w:val="000000"/>
          <w:sz w:val="36"/>
          <w:szCs w:val="36"/>
          <w:rtl/>
          <w:lang w:bidi="ar-EG"/>
        </w:rPr>
        <w:t>أ</w:t>
      </w:r>
      <w:r>
        <w:rPr>
          <w:rFonts w:ascii="Arabic Typesetting" w:hAnsi="Arabic Typesetting" w:cs="Arabic Typesetting"/>
          <w:color w:val="000000"/>
          <w:sz w:val="36"/>
          <w:szCs w:val="36"/>
          <w:rtl/>
          <w:lang w:bidi="ar-EG"/>
        </w:rPr>
        <w:t>كتوارية إلى الخصوم ال</w:t>
      </w:r>
      <w:r>
        <w:rPr>
          <w:rFonts w:ascii="Arabic Typesetting" w:hAnsi="Arabic Typesetting" w:cs="Arabic Typesetting" w:hint="cs"/>
          <w:color w:val="000000"/>
          <w:sz w:val="36"/>
          <w:szCs w:val="36"/>
          <w:rtl/>
          <w:lang w:bidi="ar-EG"/>
        </w:rPr>
        <w:t>أ</w:t>
      </w:r>
      <w:r w:rsidRPr="008E733F">
        <w:rPr>
          <w:rFonts w:ascii="Arabic Typesetting" w:hAnsi="Arabic Typesetting" w:cs="Arabic Typesetting"/>
          <w:color w:val="000000"/>
          <w:sz w:val="36"/>
          <w:szCs w:val="36"/>
          <w:rtl/>
          <w:lang w:bidi="ar-EG"/>
        </w:rPr>
        <w:t>كتوارية 130</w:t>
      </w:r>
      <w:r>
        <w:rPr>
          <w:rFonts w:ascii="Arabic Typesetting" w:hAnsi="Arabic Typesetting" w:cs="Arabic Typesetting" w:hint="cs"/>
          <w:color w:val="000000"/>
          <w:sz w:val="36"/>
          <w:szCs w:val="36"/>
          <w:rtl/>
          <w:lang w:bidi="ar-EG"/>
        </w:rPr>
        <w:t xml:space="preserve"> بالمائة</w:t>
      </w:r>
      <w:r w:rsidRPr="008E733F">
        <w:rPr>
          <w:rFonts w:ascii="Arabic Typesetting" w:hAnsi="Arabic Typesetting" w:cs="Arabic Typesetting"/>
          <w:color w:val="000000"/>
          <w:sz w:val="36"/>
          <w:szCs w:val="36"/>
          <w:rtl/>
          <w:lang w:bidi="ar-EG"/>
        </w:rPr>
        <w:t xml:space="preserve">، مع </w:t>
      </w:r>
      <w:r w:rsidRPr="008E733F">
        <w:rPr>
          <w:rFonts w:ascii="Arabic Typesetting" w:hAnsi="Arabic Typesetting" w:cs="Arabic Typesetting"/>
          <w:color w:val="000000"/>
          <w:sz w:val="36"/>
          <w:szCs w:val="36"/>
          <w:rtl/>
        </w:rPr>
        <w:t>افتراض عدم إجراء أي تسويات في المعاشات التقاعدية في المستقبل، (علما بأنها بلغت 140</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طبقا لتقديرات عام</w:t>
      </w:r>
      <w:r>
        <w:rPr>
          <w:rFonts w:ascii="Arabic Typesetting" w:hAnsi="Arabic Typesetting" w:cs="Arabic Typesetting" w:hint="cs"/>
          <w:color w:val="000000"/>
          <w:sz w:val="36"/>
          <w:szCs w:val="36"/>
          <w:rtl/>
        </w:rPr>
        <w:t> </w:t>
      </w:r>
      <w:r w:rsidRPr="008E733F">
        <w:rPr>
          <w:rFonts w:ascii="Arabic Typesetting" w:hAnsi="Arabic Typesetting" w:cs="Arabic Typesetting"/>
          <w:color w:val="000000"/>
          <w:sz w:val="36"/>
          <w:szCs w:val="36"/>
          <w:rtl/>
        </w:rPr>
        <w:t xml:space="preserve">2009).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كانت النسبة الممولة 86</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عندما تم الأخذ بالنظام الحالي لتسويات المعاشات التقاعدية (91</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في تقييم 2009). </w:t>
      </w:r>
    </w:p>
    <w:p w:rsidR="00E16243" w:rsidRDefault="00E16243" w:rsidP="00E16243">
      <w:pPr>
        <w:bidi/>
        <w:spacing w:after="240" w:line="360" w:lineRule="exact"/>
        <w:rPr>
          <w:rFonts w:ascii="Arabic Typesetting" w:hAnsi="Arabic Typesetting" w:cs="Arabic Typesetting"/>
          <w:b/>
          <w:bCs/>
          <w:sz w:val="44"/>
          <w:szCs w:val="44"/>
          <w:rtl/>
        </w:rPr>
      </w:pPr>
      <w:r>
        <w:rPr>
          <w:rFonts w:ascii="Arabic Typesetting" w:hAnsi="Arabic Typesetting" w:cs="Arabic Typesetting" w:hint="cs"/>
          <w:color w:val="000000"/>
          <w:sz w:val="36"/>
          <w:szCs w:val="36"/>
          <w:rtl/>
        </w:rPr>
        <w:lastRenderedPageBreak/>
        <w:t>و</w:t>
      </w:r>
      <w:r>
        <w:rPr>
          <w:rFonts w:ascii="Arabic Typesetting" w:hAnsi="Arabic Typesetting" w:cs="Arabic Typesetting"/>
          <w:color w:val="000000"/>
          <w:sz w:val="36"/>
          <w:szCs w:val="36"/>
          <w:rtl/>
        </w:rPr>
        <w:t>بعد تقييم العجز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 للصندوق، خلص المستشار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إلى عدم وجود أي متطلبات</w:t>
      </w:r>
      <w:r>
        <w:rPr>
          <w:rFonts w:ascii="Arabic Typesetting" w:hAnsi="Arabic Typesetting" w:cs="Arabic Typesetting"/>
          <w:color w:val="000000"/>
          <w:sz w:val="36"/>
          <w:szCs w:val="36"/>
          <w:rtl/>
        </w:rPr>
        <w:t xml:space="preserve"> لسداد أي دفعات لتغطية العجز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31 ديسمبر 2011 بمقتضى المادة 26 من لائح</w:t>
      </w:r>
      <w:r>
        <w:rPr>
          <w:rFonts w:ascii="Arabic Typesetting" w:hAnsi="Arabic Typesetting" w:cs="Arabic Typesetting"/>
          <w:color w:val="000000"/>
          <w:sz w:val="36"/>
          <w:szCs w:val="36"/>
          <w:rtl/>
        </w:rPr>
        <w:t>ة الصندوق، حيث تجاوزت القيمة ال</w:t>
      </w:r>
      <w:r>
        <w:rPr>
          <w:rFonts w:ascii="Arabic Typesetting" w:hAnsi="Arabic Typesetting" w:cs="Arabic Typesetting" w:hint="cs"/>
          <w:color w:val="000000"/>
          <w:sz w:val="36"/>
          <w:szCs w:val="36"/>
          <w:rtl/>
        </w:rPr>
        <w:t>أ</w:t>
      </w:r>
      <w:r>
        <w:rPr>
          <w:rFonts w:ascii="Arabic Typesetting" w:hAnsi="Arabic Typesetting" w:cs="Arabic Typesetting"/>
          <w:color w:val="000000"/>
          <w:sz w:val="36"/>
          <w:szCs w:val="36"/>
          <w:rtl/>
        </w:rPr>
        <w:t>كتوارية للأصول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لجميع الالتزامات المستحقة في إطار الصندوق. وباﻹضافة إلى ذلك، تجاوزت القيم</w:t>
      </w:r>
      <w:r>
        <w:rPr>
          <w:rFonts w:ascii="Arabic Typesetting" w:hAnsi="Arabic Typesetting" w:cs="Arabic Typesetting"/>
          <w:color w:val="000000"/>
          <w:sz w:val="36"/>
          <w:szCs w:val="36"/>
          <w:rtl/>
        </w:rPr>
        <w:t>ة السوقية للأصول أيضا القيمة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كتوارية لجميع الالتزامات المستحقة في تاريخ التقييم. وفي وقت إعداد هذا التقرير، لم تقرر الجمعية العامة تطبيق نص المادة 26. وسيتم النظر في حساب المعا</w:t>
      </w:r>
      <w:r>
        <w:rPr>
          <w:rFonts w:ascii="Arabic Typesetting" w:hAnsi="Arabic Typesetting" w:cs="Arabic Typesetting"/>
          <w:color w:val="000000"/>
          <w:sz w:val="36"/>
          <w:szCs w:val="36"/>
          <w:rtl/>
        </w:rPr>
        <w:t>ش التقاعدي وقت إجراء التقييم ال</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المقبل في 31 ديسمبر 2013</w:t>
      </w:r>
      <w:r>
        <w:rPr>
          <w:rFonts w:ascii="Arabic Typesetting" w:hAnsi="Arabic Typesetting" w:cs="Arabic Typesetting" w:hint="cs"/>
          <w:b/>
          <w:bCs/>
          <w:sz w:val="44"/>
          <w:szCs w:val="44"/>
          <w:rtl/>
        </w:rPr>
        <w:t>.</w:t>
      </w:r>
    </w:p>
    <w:p w:rsidR="00E16243" w:rsidRDefault="00E16243" w:rsidP="00E16243">
      <w:pPr>
        <w:bidi/>
        <w:spacing w:after="240" w:line="360" w:lineRule="exact"/>
        <w:rPr>
          <w:rFonts w:ascii="Arabic Typesetting" w:hAnsi="Arabic Typesetting" w:cs="Arabic Typesetting"/>
          <w:b/>
          <w:bCs/>
          <w:sz w:val="44"/>
          <w:szCs w:val="44"/>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يوليو 2012، أشار مجلس صندوق المعاشات التقاعدية في تقريره الخاص بالدورة التاسعة والخمسين للجمعية العامة إلى أنه من المتوقع خفض العجز خفضا جوهريا بسبب زيادة السن القانونية للتقاعد بالنسبة للمشتركين الجدد في الصندوق إلى 65 عاماً، ومن المحتمل </w:t>
      </w:r>
      <w:r>
        <w:rPr>
          <w:rFonts w:ascii="Arabic Typesetting" w:hAnsi="Arabic Typesetting" w:cs="Arabic Typesetting" w:hint="cs"/>
          <w:color w:val="000000"/>
          <w:sz w:val="36"/>
          <w:szCs w:val="36"/>
          <w:rtl/>
        </w:rPr>
        <w:t>جداً</w:t>
      </w:r>
      <w:r w:rsidRPr="008E733F">
        <w:rPr>
          <w:rFonts w:ascii="Arabic Typesetting" w:hAnsi="Arabic Typesetting" w:cs="Arabic Typesetting"/>
          <w:color w:val="000000"/>
          <w:sz w:val="36"/>
          <w:szCs w:val="36"/>
          <w:rtl/>
        </w:rPr>
        <w:t xml:space="preserve"> تغطية نصف العجز الحالي بنسبة 1</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87</w:t>
      </w:r>
      <w:r>
        <w:rPr>
          <w:rFonts w:ascii="Arabic Typesetting" w:hAnsi="Arabic Typesetting" w:cs="Arabic Typesetting" w:hint="cs"/>
          <w:color w:val="000000"/>
          <w:sz w:val="36"/>
          <w:szCs w:val="36"/>
          <w:rtl/>
        </w:rPr>
        <w:t xml:space="preserve"> بالمائة</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ديسمبر 2012، خولت الجمعية العامة مجلس الصندوق المشترك للمعاشات التقاعدية لموظفي الأمم المتحدة زيادة سن التقاعد العادي إلى 65 عاماً للمشتركين الجدد في الصندوق، مع تنفيذ هذا القرار في </w:t>
      </w:r>
      <w:r>
        <w:rPr>
          <w:rFonts w:ascii="Arabic Typesetting" w:hAnsi="Arabic Typesetting" w:cs="Arabic Typesetting" w:hint="cs"/>
          <w:color w:val="000000"/>
          <w:sz w:val="36"/>
          <w:szCs w:val="36"/>
          <w:rtl/>
        </w:rPr>
        <w:t>موعد</w:t>
      </w:r>
      <w:r w:rsidRPr="008E733F">
        <w:rPr>
          <w:rFonts w:ascii="Arabic Typesetting" w:hAnsi="Arabic Typesetting" w:cs="Arabic Typesetting"/>
          <w:color w:val="000000"/>
          <w:sz w:val="36"/>
          <w:szCs w:val="36"/>
          <w:rtl/>
        </w:rPr>
        <w:t xml:space="preserve"> غايته 1 يناير 2014 ما لم تقرر الجمعية العامة زيادة مناظرة في السن الإلزامية لإنهاء</w:t>
      </w:r>
      <w:r>
        <w:rPr>
          <w:rFonts w:ascii="Arabic Typesetting" w:hAnsi="Arabic Typesetting" w:cs="Arabic Typesetting" w:hint="eastAsia"/>
          <w:b/>
          <w:bCs/>
          <w:sz w:val="44"/>
          <w:szCs w:val="44"/>
          <w:rtl/>
        </w:rPr>
        <w:t> </w:t>
      </w:r>
      <w:r w:rsidRPr="00574690">
        <w:rPr>
          <w:rFonts w:ascii="Arabic Typesetting" w:hAnsi="Arabic Typesetting" w:cs="Arabic Typesetting" w:hint="cs"/>
          <w:sz w:val="36"/>
          <w:szCs w:val="36"/>
          <w:rtl/>
        </w:rPr>
        <w:t>الخدمة</w:t>
      </w:r>
      <w:r w:rsidRPr="00205455">
        <w:rPr>
          <w:rFonts w:ascii="Arabic Typesetting" w:hAnsi="Arabic Typesetting" w:cs="Arabic Typesetting" w:hint="cs"/>
          <w:sz w:val="44"/>
          <w:szCs w:val="44"/>
          <w:rtl/>
        </w:rPr>
        <w:t>.</w:t>
      </w:r>
    </w:p>
    <w:p w:rsidR="00E16243" w:rsidRDefault="00E16243" w:rsidP="00E16243">
      <w:pPr>
        <w:bidi/>
        <w:spacing w:after="240" w:line="360" w:lineRule="exact"/>
        <w:rPr>
          <w:rFonts w:ascii="Arabic Typesetting" w:hAnsi="Arabic Typesetting" w:cs="Arabic Typesetting"/>
          <w:color w:val="000000"/>
          <w:sz w:val="36"/>
          <w:szCs w:val="36"/>
          <w:rtl/>
        </w:rPr>
      </w:pPr>
      <w:r w:rsidRPr="00574690">
        <w:rPr>
          <w:rFonts w:ascii="Arabic Typesetting" w:hAnsi="Arabic Typesetting" w:cs="Arabic Typesetting" w:hint="cs"/>
          <w:sz w:val="36"/>
          <w:szCs w:val="36"/>
          <w:rtl/>
        </w:rPr>
        <w:t>وخلال</w:t>
      </w:r>
      <w:r>
        <w:rPr>
          <w:rFonts w:ascii="Arabic Typesetting" w:hAnsi="Arabic Typesetting" w:cs="Arabic Typesetting" w:hint="cs"/>
          <w:sz w:val="44"/>
          <w:szCs w:val="44"/>
          <w:rtl/>
        </w:rPr>
        <w:t xml:space="preserve"> عام </w:t>
      </w:r>
      <w:r w:rsidRPr="008E733F">
        <w:rPr>
          <w:rFonts w:ascii="Arabic Typesetting" w:hAnsi="Arabic Typesetting" w:cs="Arabic Typesetting"/>
          <w:color w:val="000000"/>
          <w:sz w:val="36"/>
          <w:szCs w:val="36"/>
          <w:rtl/>
        </w:rPr>
        <w:t xml:space="preserve">2012، </w:t>
      </w:r>
      <w:r w:rsidRPr="008E733F">
        <w:rPr>
          <w:rFonts w:ascii="Arabic Typesetting" w:hAnsi="Arabic Typesetting" w:cs="Arabic Typesetting"/>
          <w:color w:val="000000"/>
          <w:sz w:val="36"/>
          <w:szCs w:val="36"/>
          <w:rtl/>
          <w:lang w:bidi="ar-EG"/>
        </w:rPr>
        <w:t xml:space="preserve">بلغت اشتراكات </w:t>
      </w:r>
      <w:r w:rsidRPr="008E733F">
        <w:rPr>
          <w:rFonts w:ascii="Arabic Typesetting" w:hAnsi="Arabic Typesetting" w:cs="Arabic Typesetting"/>
          <w:color w:val="000000"/>
          <w:sz w:val="36"/>
          <w:szCs w:val="36"/>
          <w:rtl/>
        </w:rPr>
        <w:t>الويبو المدفوعة لصندوق المعاشات التقاعدية لموظفي الأمم المتحدة 24</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9 مليون فرنك سويسري [22</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5 مليون فرنك سويسري في عام 2011]. ومن المتوقع أن تصل الاشتراكات المستحقة إلى 24</w:t>
      </w:r>
      <w:r>
        <w:rPr>
          <w:rFonts w:ascii="Arabic Typesetting" w:hAnsi="Arabic Typesetting" w:cs="Arabic Typesetting" w:hint="cs"/>
          <w:color w:val="000000"/>
          <w:sz w:val="36"/>
          <w:szCs w:val="36"/>
          <w:rtl/>
        </w:rPr>
        <w:t>,</w:t>
      </w:r>
      <w:r w:rsidRPr="008E733F">
        <w:rPr>
          <w:rFonts w:ascii="Arabic Typesetting" w:hAnsi="Arabic Typesetting" w:cs="Arabic Typesetting"/>
          <w:color w:val="000000"/>
          <w:sz w:val="36"/>
          <w:szCs w:val="36"/>
          <w:rtl/>
        </w:rPr>
        <w:t>9 مليون فرنك سويسري في 2013.</w:t>
      </w:r>
    </w:p>
    <w:p w:rsidR="00E16243" w:rsidRPr="00205455" w:rsidRDefault="00E16243" w:rsidP="00E1624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 xml:space="preserve">يضطلع مجلس مراجعي حسابات الأمم المتحدة بمراجعة سنوية لصندوق المعاشات التقاعدية لموظفي الأمم المتحدة، ويرفع تقارير المراجعة إلى مجلس إدارة الصندوق سنويا.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ينشر صندوق المعاشات التقاعدية تقارير فصلية (ربع سنوية) عن استثماراته، ويمكن الاطلاع على تلك التقاري</w:t>
      </w:r>
      <w:r>
        <w:rPr>
          <w:rFonts w:ascii="Arabic Typesetting" w:hAnsi="Arabic Typesetting" w:cs="Arabic Typesetting"/>
          <w:color w:val="000000"/>
          <w:sz w:val="36"/>
          <w:szCs w:val="36"/>
          <w:rtl/>
        </w:rPr>
        <w:t>ر من خلال زيارة موقع الصندوق ال</w:t>
      </w:r>
      <w:r>
        <w:rPr>
          <w:rFonts w:ascii="Arabic Typesetting" w:hAnsi="Arabic Typesetting" w:cs="Arabic Typesetting" w:hint="cs"/>
          <w:color w:val="000000"/>
          <w:sz w:val="36"/>
          <w:szCs w:val="36"/>
          <w:rtl/>
        </w:rPr>
        <w:t>إ</w:t>
      </w:r>
      <w:r w:rsidRPr="004E1D0D">
        <w:rPr>
          <w:rFonts w:ascii="Arabic Typesetting" w:hAnsi="Arabic Typesetting" w:cs="Arabic Typesetting"/>
          <w:color w:val="000000"/>
          <w:sz w:val="36"/>
          <w:szCs w:val="36"/>
          <w:rtl/>
        </w:rPr>
        <w:t xml:space="preserve">لكتروني على الرابط : </w:t>
      </w:r>
      <w:r w:rsidRPr="004E1D0D">
        <w:rPr>
          <w:rFonts w:ascii="Arabic Typesetting" w:hAnsi="Arabic Typesetting" w:cs="Arabic Typesetting"/>
          <w:color w:val="000000"/>
          <w:sz w:val="36"/>
          <w:szCs w:val="36"/>
        </w:rPr>
        <w:t>www.unjspf.org</w:t>
      </w:r>
    </w:p>
    <w:p w:rsidR="00E16243" w:rsidRPr="00574690" w:rsidRDefault="00E16243" w:rsidP="002869C3">
      <w:pPr>
        <w:pStyle w:val="Heading2"/>
        <w:bidi/>
        <w:rPr>
          <w:rFonts w:ascii="Arabic Typesetting" w:hAnsi="Arabic Typesetting" w:cs="Arabic Typesetting"/>
          <w:b/>
          <w:bCs w:val="0"/>
          <w:sz w:val="40"/>
          <w:szCs w:val="40"/>
          <w:rtl/>
        </w:rPr>
      </w:pPr>
      <w:bookmarkStart w:id="28" w:name="_Toc362519111"/>
      <w:r w:rsidRPr="002869C3">
        <w:rPr>
          <w:rFonts w:ascii="Arabic Typesetting" w:hAnsi="Arabic Typesetting" w:cs="Arabic Typesetting" w:hint="cs"/>
          <w:i/>
          <w:iCs w:val="0"/>
          <w:sz w:val="40"/>
          <w:szCs w:val="40"/>
          <w:rtl/>
        </w:rPr>
        <w:t>الملاحظة 13: تحويلات مستحقة الدفع</w:t>
      </w:r>
      <w:bookmarkEnd w:id="28"/>
    </w:p>
    <w:tbl>
      <w:tblPr>
        <w:bidiVisual/>
        <w:tblW w:w="0" w:type="auto"/>
        <w:tblInd w:w="118" w:type="dxa"/>
        <w:tblLook w:val="04A0" w:firstRow="1" w:lastRow="0" w:firstColumn="1" w:lastColumn="0" w:noHBand="0" w:noVBand="1"/>
      </w:tblPr>
      <w:tblGrid>
        <w:gridCol w:w="2952"/>
        <w:gridCol w:w="2952"/>
        <w:gridCol w:w="2952"/>
      </w:tblGrid>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952" w:type="dxa"/>
            <w:vAlign w:val="center"/>
          </w:tcPr>
          <w:p w:rsidR="00E16243" w:rsidRPr="00205455"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tl/>
              </w:rPr>
              <w:t xml:space="preserve">31 ديسمبر 2012 </w:t>
            </w:r>
          </w:p>
        </w:tc>
        <w:tc>
          <w:tcPr>
            <w:tcW w:w="2952" w:type="dxa"/>
            <w:vAlign w:val="center"/>
          </w:tcPr>
          <w:p w:rsidR="00E16243" w:rsidRPr="00205455"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tl/>
              </w:rPr>
              <w:t>31 ديسمبر 2011</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5904" w:type="dxa"/>
            <w:gridSpan w:val="2"/>
            <w:tcBorders>
              <w:bottom w:val="single" w:sz="4" w:space="0" w:color="auto"/>
            </w:tcBorders>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sidRPr="00205455">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205455">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205455">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205455">
              <w:rPr>
                <w:rFonts w:ascii="Arabic Typesetting" w:hAnsi="Arabic Typesetting" w:cs="Arabic Typesetting"/>
                <w:sz w:val="28"/>
                <w:szCs w:val="28"/>
              </w:rPr>
              <w:t>)</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right"/>
              <w:rPr>
                <w:rFonts w:ascii="Arabic Typesetting" w:hAnsi="Arabic Typesetting" w:cs="Arabic Typesetting"/>
                <w:sz w:val="28"/>
                <w:szCs w:val="28"/>
                <w:rtl/>
              </w:rPr>
            </w:pPr>
          </w:p>
        </w:tc>
        <w:tc>
          <w:tcPr>
            <w:tcW w:w="2952" w:type="dxa"/>
            <w:tcBorders>
              <w:top w:val="single" w:sz="4" w:space="0" w:color="auto"/>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2952" w:type="dxa"/>
            <w:tcBorders>
              <w:top w:val="single" w:sz="4" w:space="0" w:color="auto"/>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205455" w:rsidTr="00814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52" w:type="dxa"/>
            <w:tcBorders>
              <w:top w:val="nil"/>
              <w:left w:val="nil"/>
              <w:bottom w:val="nil"/>
              <w:right w:val="nil"/>
            </w:tcBorders>
            <w:vAlign w:val="bottom"/>
          </w:tcPr>
          <w:p w:rsidR="00E16243" w:rsidRPr="00205455" w:rsidRDefault="00E16243" w:rsidP="00E16243">
            <w:pPr>
              <w:tabs>
                <w:tab w:val="center" w:pos="4320"/>
                <w:tab w:val="right" w:pos="8640"/>
              </w:tabs>
              <w:bidi/>
              <w:spacing w:line="280" w:lineRule="exact"/>
              <w:rPr>
                <w:rFonts w:ascii="Arabic Typesetting" w:hAnsi="Arabic Typesetting" w:cs="Arabic Typesetting"/>
                <w:sz w:val="28"/>
                <w:szCs w:val="28"/>
              </w:rPr>
            </w:pPr>
            <w:r w:rsidRPr="00205455">
              <w:rPr>
                <w:rFonts w:ascii="Arabic Typesetting" w:hAnsi="Arabic Typesetting" w:cs="Arabic Typesetting"/>
                <w:sz w:val="28"/>
                <w:szCs w:val="28"/>
                <w:rtl/>
              </w:rPr>
              <w:t>رسوم اتحاد مدريد التكميلية</w:t>
            </w:r>
          </w:p>
        </w:tc>
        <w:tc>
          <w:tcPr>
            <w:tcW w:w="2952" w:type="dxa"/>
            <w:tcBorders>
              <w:top w:val="nil"/>
              <w:left w:val="nil"/>
              <w:bottom w:val="nil"/>
              <w:right w:val="nil"/>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38,084</w:t>
            </w:r>
          </w:p>
        </w:tc>
        <w:tc>
          <w:tcPr>
            <w:tcW w:w="2952" w:type="dxa"/>
            <w:tcBorders>
              <w:top w:val="nil"/>
              <w:left w:val="nil"/>
              <w:bottom w:val="nil"/>
              <w:right w:val="nil"/>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38,752</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205455">
              <w:rPr>
                <w:rFonts w:ascii="Arabic Typesetting" w:hAnsi="Arabic Typesetting" w:cs="Arabic Typesetting"/>
                <w:sz w:val="28"/>
                <w:szCs w:val="28"/>
                <w:rtl/>
              </w:rPr>
              <w:t>الرسوم الإضافية لاتحاد مدريد</w:t>
            </w:r>
          </w:p>
        </w:tc>
        <w:tc>
          <w:tcPr>
            <w:tcW w:w="2952" w:type="dxa"/>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3,241</w:t>
            </w:r>
          </w:p>
        </w:tc>
        <w:tc>
          <w:tcPr>
            <w:tcW w:w="2952" w:type="dxa"/>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3,216</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205455">
              <w:rPr>
                <w:rFonts w:ascii="Arabic Typesetting" w:hAnsi="Arabic Typesetting" w:cs="Arabic Typesetting"/>
                <w:sz w:val="28"/>
                <w:szCs w:val="28"/>
                <w:rtl/>
              </w:rPr>
              <w:t>الرسوم الفردية لاتحاد مدريد</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12,875</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10,153</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205455">
              <w:rPr>
                <w:rFonts w:ascii="Arabic Typesetting" w:hAnsi="Arabic Typesetting" w:cs="Arabic Typesetting"/>
                <w:sz w:val="28"/>
                <w:szCs w:val="28"/>
                <w:rtl/>
              </w:rPr>
              <w:t>توزيع إيرادات اتحاد لاهاي</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212</w:t>
            </w:r>
          </w:p>
        </w:tc>
        <w:tc>
          <w:tcPr>
            <w:tcW w:w="2952" w:type="dxa"/>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154</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205455">
              <w:rPr>
                <w:rFonts w:ascii="Arabic Typesetting" w:hAnsi="Arabic Typesetting" w:cs="Arabic Typesetting"/>
                <w:sz w:val="28"/>
                <w:szCs w:val="28"/>
                <w:rtl/>
              </w:rPr>
              <w:t>رسوم توزيع الإيرادات</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9,243</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9,501</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sz w:val="28"/>
                <w:szCs w:val="28"/>
              </w:rPr>
            </w:pPr>
            <w:r w:rsidRPr="00205455">
              <w:rPr>
                <w:rFonts w:ascii="Arabic Typesetting" w:hAnsi="Arabic Typesetting" w:cs="Arabic Typesetting"/>
                <w:sz w:val="28"/>
                <w:szCs w:val="28"/>
                <w:rtl/>
              </w:rPr>
              <w:t>ودائع مركز التحكيم والوساطة</w:t>
            </w:r>
          </w:p>
        </w:tc>
        <w:tc>
          <w:tcPr>
            <w:tcW w:w="2952" w:type="dxa"/>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660</w:t>
            </w:r>
          </w:p>
        </w:tc>
        <w:tc>
          <w:tcPr>
            <w:tcW w:w="2952" w:type="dxa"/>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1,085</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rPr>
                <w:rFonts w:ascii="Arabic Typesetting" w:hAnsi="Arabic Typesetting" w:cs="Arabic Typesetting"/>
                <w:sz w:val="28"/>
                <w:szCs w:val="28"/>
              </w:rPr>
            </w:pPr>
            <w:r w:rsidRPr="00205455">
              <w:rPr>
                <w:rFonts w:ascii="Arabic Typesetting" w:hAnsi="Arabic Typesetting" w:cs="Arabic Typesetting"/>
                <w:sz w:val="28"/>
                <w:szCs w:val="28"/>
                <w:rtl/>
              </w:rPr>
              <w:t>إدارات البحث الدولي بناء على معاهدة التعاون بشأن البراءات</w:t>
            </w:r>
          </w:p>
        </w:tc>
        <w:tc>
          <w:tcPr>
            <w:tcW w:w="2952" w:type="dxa"/>
            <w:tcBorders>
              <w:bottom w:val="single" w:sz="4" w:space="0" w:color="auto"/>
            </w:tcBorders>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1,571</w:t>
            </w:r>
          </w:p>
        </w:tc>
        <w:tc>
          <w:tcPr>
            <w:tcW w:w="2952" w:type="dxa"/>
            <w:tcBorders>
              <w:bottom w:val="single" w:sz="4" w:space="0" w:color="auto"/>
            </w:tcBorders>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1,339</w:t>
            </w:r>
          </w:p>
        </w:tc>
      </w:tr>
      <w:tr w:rsidR="00E16243" w:rsidRPr="00205455" w:rsidTr="00814C35">
        <w:tc>
          <w:tcPr>
            <w:tcW w:w="2952" w:type="dxa"/>
            <w:vAlign w:val="bottom"/>
          </w:tcPr>
          <w:p w:rsidR="00E16243" w:rsidRPr="00205455" w:rsidRDefault="00E16243" w:rsidP="00E16243">
            <w:pPr>
              <w:tabs>
                <w:tab w:val="center" w:pos="4320"/>
                <w:tab w:val="right" w:pos="8640"/>
              </w:tabs>
              <w:bidi/>
              <w:spacing w:line="280" w:lineRule="exact"/>
              <w:jc w:val="both"/>
              <w:rPr>
                <w:rFonts w:ascii="Arabic Typesetting" w:hAnsi="Arabic Typesetting" w:cs="Arabic Typesetting"/>
                <w:b/>
                <w:bCs/>
                <w:sz w:val="28"/>
                <w:szCs w:val="28"/>
              </w:rPr>
            </w:pPr>
            <w:r w:rsidRPr="00205455">
              <w:rPr>
                <w:rFonts w:ascii="Arabic Typesetting" w:hAnsi="Arabic Typesetting" w:cs="Arabic Typesetting"/>
                <w:b/>
                <w:bCs/>
                <w:sz w:val="28"/>
                <w:szCs w:val="28"/>
                <w:rtl/>
              </w:rPr>
              <w:t>مجموع التحويلات الدائنة</w:t>
            </w:r>
          </w:p>
        </w:tc>
        <w:tc>
          <w:tcPr>
            <w:tcW w:w="2952" w:type="dxa"/>
            <w:tcBorders>
              <w:top w:val="single" w:sz="4" w:space="0" w:color="auto"/>
              <w:bottom w:val="single" w:sz="4" w:space="0" w:color="auto"/>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Pr>
              <w:t>65,886</w:t>
            </w:r>
          </w:p>
        </w:tc>
        <w:tc>
          <w:tcPr>
            <w:tcW w:w="2952" w:type="dxa"/>
            <w:tcBorders>
              <w:top w:val="single" w:sz="4" w:space="0" w:color="auto"/>
              <w:bottom w:val="single" w:sz="4" w:space="0" w:color="auto"/>
            </w:tcBorders>
            <w:vAlign w:val="bottom"/>
          </w:tcPr>
          <w:p w:rsidR="00E16243" w:rsidRPr="0020545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205455">
              <w:rPr>
                <w:rFonts w:ascii="Arabic Typesetting" w:hAnsi="Arabic Typesetting" w:cs="Arabic Typesetting"/>
                <w:b/>
                <w:bCs/>
                <w:sz w:val="28"/>
                <w:szCs w:val="28"/>
              </w:rPr>
              <w:t>64,200</w:t>
            </w:r>
          </w:p>
        </w:tc>
      </w:tr>
    </w:tbl>
    <w:p w:rsidR="009D1F1D" w:rsidRDefault="009D1F1D" w:rsidP="00E16243">
      <w:pPr>
        <w:bidi/>
        <w:spacing w:after="240" w:line="360" w:lineRule="exact"/>
        <w:rPr>
          <w:rFonts w:ascii="Arabic Typesetting" w:hAnsi="Arabic Typesetting" w:cs="Arabic Typesetting"/>
          <w:sz w:val="36"/>
          <w:szCs w:val="36"/>
        </w:rPr>
      </w:pPr>
    </w:p>
    <w:p w:rsidR="00E16243" w:rsidRDefault="00E16243" w:rsidP="009D1F1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تتولى </w:t>
      </w:r>
      <w:r w:rsidRPr="006F77CD">
        <w:rPr>
          <w:rFonts w:ascii="Arabic Typesetting" w:hAnsi="Arabic Typesetting" w:cs="Arabic Typesetting"/>
          <w:color w:val="000000"/>
          <w:sz w:val="36"/>
          <w:szCs w:val="36"/>
          <w:rtl/>
        </w:rPr>
        <w:t xml:space="preserve">"المنظمة" تحصيل رسوم نيابة عن الأطراف المتعاقدة بموجب اتفاق مدريد وبروتوكوله واللائحة التنفيذية المشتركة لاتفاق لاهاي. وباﻹضافة إلى ذلك، يتولى مكتب "المنظمة" الدولي لمعاهدة التعاون بشأن البراءات تحصيل الأموال من مودعي الطلبات لتغطية تكلفة مدفوعات </w:t>
      </w:r>
      <w:r>
        <w:rPr>
          <w:rFonts w:ascii="Arabic Typesetting" w:hAnsi="Arabic Typesetting" w:cs="Arabic Typesetting" w:hint="cs"/>
          <w:color w:val="000000"/>
          <w:sz w:val="36"/>
          <w:szCs w:val="36"/>
          <w:rtl/>
        </w:rPr>
        <w:t>إدارات</w:t>
      </w:r>
      <w:r w:rsidRPr="006F77CD">
        <w:rPr>
          <w:rFonts w:ascii="Arabic Typesetting" w:hAnsi="Arabic Typesetting" w:cs="Arabic Typesetting"/>
          <w:color w:val="000000"/>
          <w:sz w:val="36"/>
          <w:szCs w:val="36"/>
          <w:rtl/>
        </w:rPr>
        <w:t xml:space="preserve"> البحث الدولي.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تحتفظ "المنظمة" بهذه الأموال بصفة مؤقتة ريثما يتم نقلها إلى المستفيد النهائي وفقا لمختلف المعاهدات والاتفاقات التي تشرف "المنظمة" على تنفيذها. والآتي بعد إجمالي الرسوم المحصلة من قبل "المنظمة" عن فترة السنتين، </w:t>
      </w:r>
      <w:r>
        <w:rPr>
          <w:rFonts w:ascii="Arabic Typesetting" w:hAnsi="Arabic Typesetting" w:cs="Arabic Typesetting" w:hint="cs"/>
          <w:color w:val="000000"/>
          <w:sz w:val="36"/>
          <w:szCs w:val="36"/>
          <w:rtl/>
        </w:rPr>
        <w:t xml:space="preserve">مع </w:t>
      </w:r>
      <w:r w:rsidRPr="006F77CD">
        <w:rPr>
          <w:rFonts w:ascii="Arabic Typesetting" w:hAnsi="Arabic Typesetting" w:cs="Arabic Typesetting"/>
          <w:color w:val="000000"/>
          <w:sz w:val="36"/>
          <w:szCs w:val="36"/>
          <w:rtl/>
        </w:rPr>
        <w:t>شرح لكل</w:t>
      </w:r>
      <w:r>
        <w:rPr>
          <w:rFonts w:ascii="Arabic Typesetting" w:hAnsi="Arabic Typesetting" w:cs="Arabic Typesetting" w:hint="cs"/>
          <w:color w:val="000000"/>
          <w:sz w:val="36"/>
          <w:szCs w:val="36"/>
          <w:rtl/>
        </w:rPr>
        <w:t xml:space="preserve"> منها</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lastRenderedPageBreak/>
        <w:t>رسوم اتحاد مدريد التكميلية والإضافية</w:t>
      </w:r>
      <w:r w:rsidRPr="006F77CD">
        <w:rPr>
          <w:rFonts w:ascii="Arabic Typesetting" w:hAnsi="Arabic Typesetting" w:cs="Arabic Typesetting"/>
          <w:color w:val="000000"/>
          <w:sz w:val="36"/>
          <w:szCs w:val="36"/>
          <w:rtl/>
        </w:rPr>
        <w:t>: وفقا لاتفاق مدريد [المادة 8 (2) (ب وج)] وبروتوكول مدريد [المادة 8 (2) (</w:t>
      </w:r>
      <w:r>
        <w:rPr>
          <w:rFonts w:ascii="Arabic Typesetting" w:hAnsi="Arabic Typesetting" w:cs="Arabic Typesetting" w:hint="cs"/>
          <w:color w:val="000000"/>
          <w:sz w:val="36"/>
          <w:szCs w:val="36"/>
          <w:rtl/>
        </w:rPr>
        <w:t>"1"</w:t>
      </w:r>
      <w:r w:rsidRPr="006F77CD">
        <w:rPr>
          <w:rFonts w:ascii="Arabic Typesetting" w:hAnsi="Arabic Typesetting" w:cs="Arabic Typesetting"/>
          <w:color w:val="000000"/>
          <w:sz w:val="36"/>
          <w:szCs w:val="36"/>
          <w:rtl/>
        </w:rPr>
        <w:t xml:space="preserve"> و</w:t>
      </w:r>
      <w:r>
        <w:rPr>
          <w:rFonts w:ascii="Arabic Typesetting" w:hAnsi="Arabic Typesetting" w:cs="Arabic Typesetting" w:hint="cs"/>
          <w:color w:val="000000"/>
          <w:sz w:val="36"/>
          <w:szCs w:val="36"/>
          <w:rtl/>
        </w:rPr>
        <w:t>"2"</w:t>
      </w:r>
      <w:r>
        <w:rPr>
          <w:rFonts w:ascii="Arabic Typesetting" w:hAnsi="Arabic Typesetting" w:cs="Arabic Typesetting"/>
          <w:color w:val="000000"/>
          <w:sz w:val="36"/>
          <w:szCs w:val="36"/>
          <w:rtl/>
        </w:rPr>
        <w:t>)</w:t>
      </w:r>
      <w:r w:rsidRPr="006F77CD">
        <w:rPr>
          <w:rFonts w:ascii="Arabic Typesetting" w:hAnsi="Arabic Typesetting" w:cs="Arabic Typesetting"/>
          <w:color w:val="000000"/>
          <w:sz w:val="36"/>
          <w:szCs w:val="36"/>
          <w:rtl/>
        </w:rPr>
        <w:t xml:space="preserve">، تتولى "المنظمة" تحصيل الرسوم التكميلية والإضافية بواقع 100 فرنك سويسري لكل طلب أو تجديد نيابة عن الأطراف المتعاقدة. ويختلف المبلغ المستحق لكل طرف متعاقد على أساس الخدمات التي يقدمها هذا الطرف (الفحص المضطلع به).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يتم تحويل الأموال سنوياً في النصف الأول من السنة التالية لتاريخ التقرير</w:t>
      </w:r>
      <w:r>
        <w:rPr>
          <w:rFonts w:ascii="Arabic Typesetting" w:hAnsi="Arabic Typesetting" w:cs="Arabic Typesetting" w:hint="cs"/>
          <w:color w:val="000000"/>
          <w:sz w:val="36"/>
          <w:szCs w:val="36"/>
          <w:rtl/>
        </w:rPr>
        <w:t> </w:t>
      </w:r>
      <w:r w:rsidRPr="006F77CD">
        <w:rPr>
          <w:rFonts w:ascii="Arabic Typesetting" w:hAnsi="Arabic Typesetting" w:cs="Arabic Typesetting"/>
          <w:color w:val="000000"/>
          <w:sz w:val="36"/>
          <w:szCs w:val="36"/>
          <w:rtl/>
        </w:rPr>
        <w:t>المالي</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 xml:space="preserve">رسوم اتحاد مدريد المقررة على أساس فردي </w:t>
      </w:r>
      <w:r>
        <w:rPr>
          <w:rFonts w:ascii="Arabic Typesetting" w:hAnsi="Arabic Typesetting" w:cs="Arabic Typesetting" w:hint="cs"/>
          <w:i/>
          <w:iCs/>
          <w:color w:val="000000"/>
          <w:sz w:val="36"/>
          <w:szCs w:val="36"/>
          <w:rtl/>
          <w:lang w:bidi="ar-EG"/>
        </w:rPr>
        <w:t>واستمرار الآثار</w:t>
      </w:r>
      <w:r w:rsidRPr="006F77CD">
        <w:rPr>
          <w:rFonts w:ascii="Arabic Typesetting" w:hAnsi="Arabic Typesetting" w:cs="Arabic Typesetting"/>
          <w:color w:val="000000"/>
          <w:sz w:val="36"/>
          <w:szCs w:val="36"/>
          <w:rtl/>
        </w:rPr>
        <w:t xml:space="preserve">: وفقا للمادة 8 (7) من بروتوكول مدريد والقاعدة 38 من اللائحة العامة، يجوز للأطراف المتعاقدة فرض رسوم يتم تحصيلها بواسطة "المنظمة" وتستحق الدفع إلى الأطراف المتعاقدة خلال الشهر التالي لقيد التسجيل أو لمن تم تعيينه في التجديد المستوفي الرسوم المطلوبة.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لا يحق للأطراف المتعاقدة - التي اختارت فرض رسوم على أساس فردي - الحصول على الرسوم التكميلية أو الإضافية المذكورة أعلاه.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تمثل المبالغ المقيدة مستحقة السداد الرسوم المطلوب تحويلها في نهاية الفترة المشمولة بالتقري</w:t>
      </w:r>
      <w:r>
        <w:rPr>
          <w:rFonts w:ascii="Arabic Typesetting" w:hAnsi="Arabic Typesetting" w:cs="Arabic Typesetting" w:hint="cs"/>
          <w:color w:val="000000"/>
          <w:sz w:val="36"/>
          <w:szCs w:val="36"/>
          <w:rtl/>
        </w:rPr>
        <w:t>ر المالي</w:t>
      </w:r>
      <w:r>
        <w:rPr>
          <w:rFonts w:ascii="Arabic Typesetting" w:hAnsi="Arabic Typesetting" w:cs="Arabic Typesetting" w:hint="cs"/>
          <w:sz w:val="36"/>
          <w:szCs w:val="36"/>
          <w:rtl/>
        </w:rPr>
        <w:t>.</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توزيع إيرادات اتحاد لاهاي</w:t>
      </w:r>
      <w:r w:rsidRPr="006F77CD">
        <w:rPr>
          <w:rFonts w:ascii="Arabic Typesetting" w:hAnsi="Arabic Typesetting" w:cs="Arabic Typesetting"/>
          <w:color w:val="000000"/>
          <w:sz w:val="36"/>
          <w:szCs w:val="36"/>
          <w:rtl/>
        </w:rPr>
        <w:t xml:space="preserve">: وفقا للقواعد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(أ)(</w:t>
      </w:r>
      <w:r>
        <w:rPr>
          <w:rFonts w:ascii="Arabic Typesetting" w:hAnsi="Arabic Typesetting" w:cs="Arabic Typesetting" w:hint="cs"/>
          <w:color w:val="000000"/>
          <w:sz w:val="36"/>
          <w:szCs w:val="36"/>
          <w:rtl/>
          <w:lang w:bidi="ar-EG"/>
        </w:rPr>
        <w:t>"3"</w:t>
      </w:r>
      <w:r w:rsidRPr="006F77CD">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 xml:space="preserve">(ه) و </w:t>
      </w:r>
      <w:r>
        <w:rPr>
          <w:rFonts w:ascii="Arabic Typesetting" w:hAnsi="Arabic Typesetting" w:cs="Arabic Typesetting" w:hint="cs"/>
          <w:color w:val="000000"/>
          <w:sz w:val="36"/>
          <w:szCs w:val="36"/>
          <w:rtl/>
        </w:rPr>
        <w:t xml:space="preserve">2.24 </w:t>
      </w:r>
      <w:r w:rsidRPr="006F77CD">
        <w:rPr>
          <w:rFonts w:ascii="Arabic Typesetting" w:hAnsi="Arabic Typesetting" w:cs="Arabic Typesetting"/>
          <w:color w:val="000000"/>
          <w:sz w:val="36"/>
          <w:szCs w:val="36"/>
          <w:rtl/>
        </w:rPr>
        <w:t>من اللائحة العامة لاتفاق لاهاي، تتولي "المنظمة" تحصيل الرسوم الوطنية العادية ورسوم التجديد الوطني ورسوم فحص الج</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دِّة نيابة عن الأطراف المتعاقدة للتسجيلات الدولية أو للتجديدات المتعلقة بها.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تُسدد هذه الأموال إلى الأطراف المتعاقدة على أساس شهري.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تمثل القيمة المبينة مستحقة السداد المبالغ </w:t>
      </w:r>
      <w:r>
        <w:rPr>
          <w:rFonts w:ascii="Arabic Typesetting" w:hAnsi="Arabic Typesetting" w:cs="Arabic Typesetting" w:hint="cs"/>
          <w:color w:val="000000"/>
          <w:sz w:val="36"/>
          <w:szCs w:val="36"/>
          <w:rtl/>
        </w:rPr>
        <w:t>المطلوب تحويلها</w:t>
      </w:r>
      <w:r w:rsidRPr="006F77CD">
        <w:rPr>
          <w:rFonts w:ascii="Arabic Typesetting" w:hAnsi="Arabic Typesetting" w:cs="Arabic Typesetting"/>
          <w:color w:val="000000"/>
          <w:sz w:val="36"/>
          <w:szCs w:val="36"/>
          <w:rtl/>
        </w:rPr>
        <w:t xml:space="preserve"> في نهاية الفترة المشمولة بالتقرير</w:t>
      </w:r>
      <w:r>
        <w:rPr>
          <w:rFonts w:ascii="Arabic Typesetting" w:hAnsi="Arabic Typesetting" w:cs="Arabic Typesetting" w:hint="cs"/>
          <w:sz w:val="36"/>
          <w:szCs w:val="36"/>
          <w:rtl/>
        </w:rPr>
        <w:t xml:space="preserve"> المالي.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i/>
          <w:iCs/>
          <w:color w:val="000000"/>
          <w:sz w:val="36"/>
          <w:szCs w:val="36"/>
          <w:rtl/>
        </w:rPr>
        <w:t xml:space="preserve">توزيع رسوم </w:t>
      </w:r>
      <w:r w:rsidRPr="006F77CD">
        <w:rPr>
          <w:rFonts w:ascii="Arabic Typesetting" w:hAnsi="Arabic Typesetting" w:cs="Arabic Typesetting"/>
          <w:i/>
          <w:iCs/>
          <w:color w:val="000000"/>
          <w:sz w:val="36"/>
          <w:szCs w:val="36"/>
          <w:rtl/>
        </w:rPr>
        <w:t>إيرادات اتحاد لاهاي ومدريد</w:t>
      </w:r>
      <w:r w:rsidRPr="006F77CD">
        <w:rPr>
          <w:rFonts w:ascii="Arabic Typesetting" w:hAnsi="Arabic Typesetting" w:cs="Arabic Typesetting"/>
          <w:color w:val="000000"/>
          <w:sz w:val="36"/>
          <w:szCs w:val="36"/>
          <w:rtl/>
        </w:rPr>
        <w:t>: تحتجز "المنظمة" الأموال المستحقة الدفع للأطراف المتعاقدة عندما لا يتوفر أي تعليمات واضحة للدفع أو بناء على طلب الطرف المتعاقد بالاحتفاظ بالمبالغ ريثما يتم التأكيد. وتشمل القيمة الموضحة مبلغ 7</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3 مليون فرنك سويسري مستحق لجميع البلدان المكونة لجمهورية يوغوسلافيا الاتحادية سابقا، أي، البوسنة والهرسك، وكرواتيا والجبل الأسود وصربيا وسلوفينيا وجمهورية مقدونيا اليوغوسلافية السابقة.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هناك مفاوضات جارية لتسوية المبالغ المستحقة لكل بلد، وسوف يتم السداد حالما يتم التوصل إلى اتفاق متبادل بين الدول الأعضاء المعنية وبين المكتب</w:t>
      </w:r>
      <w:r>
        <w:rPr>
          <w:rFonts w:ascii="Arabic Typesetting" w:hAnsi="Arabic Typesetting" w:cs="Arabic Typesetting" w:hint="cs"/>
          <w:sz w:val="36"/>
          <w:szCs w:val="36"/>
          <w:rtl/>
        </w:rPr>
        <w:t xml:space="preserve"> الدولي.</w:t>
      </w:r>
    </w:p>
    <w:p w:rsidR="00E1624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Pr>
      </w:pPr>
      <w:r w:rsidRPr="004E2700">
        <w:rPr>
          <w:rFonts w:ascii="Arabic Typesetting" w:hAnsi="Arabic Typesetting" w:cs="Arabic Typesetting"/>
          <w:i/>
          <w:iCs/>
          <w:color w:val="000000"/>
          <w:sz w:val="36"/>
          <w:szCs w:val="36"/>
          <w:rtl/>
        </w:rPr>
        <w:t xml:space="preserve">ودائع </w:t>
      </w:r>
      <w:r w:rsidRPr="004E2700">
        <w:rPr>
          <w:rFonts w:ascii="Arabic Typesetting" w:hAnsi="Arabic Typesetting" w:cs="Arabic Typesetting"/>
          <w:i/>
          <w:iCs/>
          <w:color w:val="000000"/>
          <w:sz w:val="36"/>
          <w:szCs w:val="36"/>
          <w:rtl/>
          <w:lang w:bidi="ar-EG"/>
        </w:rPr>
        <w:t>مركز التحكيم والوساطة</w:t>
      </w:r>
      <w:r w:rsidRPr="004E2700">
        <w:rPr>
          <w:rFonts w:ascii="Arabic Typesetting" w:hAnsi="Arabic Typesetting" w:cs="Arabic Typesetting"/>
          <w:color w:val="000000"/>
          <w:sz w:val="36"/>
          <w:szCs w:val="36"/>
          <w:rtl/>
        </w:rPr>
        <w:t>: تتولى "المنظمة" تحصيل رسوم لعمليات التحكيم المضطلع</w:t>
      </w:r>
      <w:r>
        <w:rPr>
          <w:rFonts w:ascii="Arabic Typesetting" w:hAnsi="Arabic Typesetting" w:cs="Arabic Typesetting" w:hint="cs"/>
          <w:color w:val="000000"/>
          <w:sz w:val="36"/>
          <w:szCs w:val="36"/>
          <w:rtl/>
        </w:rPr>
        <w:t>ة</w:t>
      </w:r>
      <w:r w:rsidRPr="004E2700">
        <w:rPr>
          <w:rFonts w:ascii="Arabic Typesetting" w:hAnsi="Arabic Typesetting" w:cs="Arabic Typesetting"/>
          <w:color w:val="000000"/>
          <w:sz w:val="36"/>
          <w:szCs w:val="36"/>
          <w:rtl/>
        </w:rPr>
        <w:t xml:space="preserve"> بها من خلال مركز التحكيم والوساطة التابع لها لتغطية أسماء النطاقات وغيرها من المسائل الأخرى ذات الصلة بالملكية الفكرية. وبالإضافة إلى الرسوم المدفوعة إلى "المنظمة"، يقوم المشاركون بإيداع مبلغ مساو للرسوم المقدرة للمُحَكِّم.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في حالة تجاوز رسوم المُحَكِّم القيمة المقدرة لها، تطلب "المنظمة" من المشاركين سداد قيمة هذه الزيادة.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تُدفع الأموال مباشرة إلى المُحَكِّم، ولا تُقَّيد كدخل في سجلات "المنظمة". ويمثل المبلغ المبين في الجدول السابق صافي المبلغ المدفوع بواسطة المشاركين ولم يتم سداده للمُحَكِّم حتى تاريخ التقرير </w:t>
      </w:r>
      <w:r>
        <w:rPr>
          <w:rFonts w:ascii="Arabic Typesetting" w:hAnsi="Arabic Typesetting" w:cs="Arabic Typesetting" w:hint="cs"/>
          <w:sz w:val="36"/>
          <w:szCs w:val="36"/>
          <w:rtl/>
        </w:rPr>
        <w:t>المالي.</w:t>
      </w:r>
    </w:p>
    <w:p w:rsidR="00F17073" w:rsidRDefault="00E16243" w:rsidP="00E16243">
      <w:pPr>
        <w:numPr>
          <w:ilvl w:val="0"/>
          <w:numId w:val="23"/>
        </w:numPr>
        <w:tabs>
          <w:tab w:val="clear" w:pos="720"/>
        </w:tabs>
        <w:bidi/>
        <w:spacing w:after="240" w:line="360" w:lineRule="exact"/>
        <w:ind w:left="1134" w:hanging="567"/>
        <w:rPr>
          <w:rFonts w:ascii="Arabic Typesetting" w:hAnsi="Arabic Typesetting" w:cs="Arabic Typesetting"/>
          <w:sz w:val="36"/>
          <w:szCs w:val="36"/>
          <w:rtl/>
        </w:rPr>
      </w:pPr>
      <w:r w:rsidRPr="004E2700">
        <w:rPr>
          <w:rFonts w:ascii="Arabic Typesetting" w:hAnsi="Arabic Typesetting" w:cs="Arabic Typesetting"/>
          <w:i/>
          <w:iCs/>
          <w:color w:val="000000"/>
          <w:sz w:val="36"/>
          <w:szCs w:val="36"/>
          <w:rtl/>
        </w:rPr>
        <w:t>إدارات البحث الدولي بناء على معاهدة التعاون بشأن البراءات</w:t>
      </w:r>
      <w:r w:rsidRPr="004E2700">
        <w:rPr>
          <w:rFonts w:ascii="Arabic Typesetting" w:hAnsi="Arabic Typesetting" w:cs="Arabic Typesetting"/>
          <w:color w:val="000000"/>
          <w:sz w:val="36"/>
          <w:szCs w:val="36"/>
          <w:rtl/>
        </w:rPr>
        <w:t xml:space="preserve">: يتولى المكتب الدولي تحصيل الرسوم من مودعي طلبات براءات الاختراع الدولية لتغطية تكاليف عمليات البحث الدولية التي تُعَيِّنها "المنظمة" عملا بمعاهدة التعاون بشأن البراءات.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يمثل المبلغ الموضح أعلاه القيمة المزمع تحويلها إلى إدارات البحث الدولية في تاريخ التقرير</w:t>
      </w:r>
      <w:r>
        <w:rPr>
          <w:rFonts w:ascii="Arabic Typesetting" w:hAnsi="Arabic Typesetting" w:cs="Arabic Typesetting" w:hint="cs"/>
          <w:sz w:val="36"/>
          <w:szCs w:val="36"/>
          <w:rtl/>
        </w:rPr>
        <w:t xml:space="preserve"> المالي.</w:t>
      </w:r>
    </w:p>
    <w:p w:rsidR="00F17073" w:rsidRDefault="00F17073">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16243" w:rsidRPr="002869C3" w:rsidRDefault="00E16243" w:rsidP="002869C3">
      <w:pPr>
        <w:pStyle w:val="Heading2"/>
        <w:bidi/>
        <w:rPr>
          <w:rFonts w:ascii="Arabic Typesetting" w:hAnsi="Arabic Typesetting" w:cs="Arabic Typesetting"/>
          <w:i/>
          <w:iCs w:val="0"/>
          <w:sz w:val="40"/>
          <w:szCs w:val="40"/>
          <w:rtl/>
        </w:rPr>
      </w:pPr>
      <w:bookmarkStart w:id="29" w:name="_Toc362519112"/>
      <w:r w:rsidRPr="002869C3">
        <w:rPr>
          <w:rFonts w:ascii="Arabic Typesetting" w:hAnsi="Arabic Typesetting" w:cs="Arabic Typesetting" w:hint="cs"/>
          <w:i/>
          <w:iCs w:val="0"/>
          <w:sz w:val="40"/>
          <w:szCs w:val="40"/>
          <w:rtl/>
        </w:rPr>
        <w:lastRenderedPageBreak/>
        <w:t>الملاحظة 14: المبالغ المستلمة قبل استحقاقها</w:t>
      </w:r>
      <w:bookmarkEnd w:id="29"/>
    </w:p>
    <w:tbl>
      <w:tblPr>
        <w:bidiVisual/>
        <w:tblW w:w="0" w:type="auto"/>
        <w:tblLook w:val="04A0" w:firstRow="1" w:lastRow="0" w:firstColumn="1" w:lastColumn="0" w:noHBand="0" w:noVBand="1"/>
      </w:tblPr>
      <w:tblGrid>
        <w:gridCol w:w="4257"/>
        <w:gridCol w:w="1791"/>
        <w:gridCol w:w="1890"/>
      </w:tblGrid>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tl/>
              </w:rPr>
            </w:pPr>
          </w:p>
        </w:tc>
        <w:tc>
          <w:tcPr>
            <w:tcW w:w="1791" w:type="dxa"/>
            <w:vAlign w:val="center"/>
          </w:tcPr>
          <w:p w:rsidR="00E16243" w:rsidRPr="00907AE5"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907AE5">
              <w:rPr>
                <w:rFonts w:ascii="Arabic Typesetting" w:hAnsi="Arabic Typesetting" w:cs="Arabic Typesetting"/>
                <w:b/>
                <w:bCs/>
                <w:sz w:val="28"/>
                <w:szCs w:val="28"/>
                <w:rtl/>
              </w:rPr>
              <w:t>31 ديسمبر 2012</w:t>
            </w:r>
          </w:p>
        </w:tc>
        <w:tc>
          <w:tcPr>
            <w:tcW w:w="1890" w:type="dxa"/>
            <w:vAlign w:val="center"/>
          </w:tcPr>
          <w:p w:rsidR="00E16243" w:rsidRPr="00907AE5" w:rsidRDefault="00E16243" w:rsidP="00E16243">
            <w:pPr>
              <w:tabs>
                <w:tab w:val="center" w:pos="4320"/>
                <w:tab w:val="right" w:pos="8640"/>
              </w:tabs>
              <w:bidi/>
              <w:spacing w:line="280" w:lineRule="exact"/>
              <w:jc w:val="center"/>
              <w:rPr>
                <w:rFonts w:ascii="Arabic Typesetting" w:hAnsi="Arabic Typesetting" w:cs="Arabic Typesetting"/>
                <w:b/>
                <w:bCs/>
                <w:sz w:val="28"/>
                <w:szCs w:val="28"/>
              </w:rPr>
            </w:pPr>
            <w:r w:rsidRPr="00907AE5">
              <w:rPr>
                <w:rFonts w:ascii="Arabic Typesetting" w:hAnsi="Arabic Typesetting" w:cs="Arabic Typesetting"/>
                <w:b/>
                <w:bCs/>
                <w:sz w:val="28"/>
                <w:szCs w:val="28"/>
                <w:rtl/>
              </w:rPr>
              <w:t>31 ديسمبر 2011</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tl/>
              </w:rPr>
            </w:pPr>
          </w:p>
        </w:tc>
        <w:tc>
          <w:tcPr>
            <w:tcW w:w="3681" w:type="dxa"/>
            <w:gridSpan w:val="2"/>
            <w:tcBorders>
              <w:bottom w:val="single" w:sz="4" w:space="0" w:color="auto"/>
            </w:tcBorders>
            <w:vAlign w:val="center"/>
          </w:tcPr>
          <w:p w:rsidR="00E16243" w:rsidRPr="0020545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sidRPr="00205455">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205455">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205455">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205455">
              <w:rPr>
                <w:rFonts w:ascii="Arabic Typesetting" w:hAnsi="Arabic Typesetting" w:cs="Arabic Typesetting"/>
                <w:sz w:val="28"/>
                <w:szCs w:val="28"/>
              </w:rPr>
              <w:t>)</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tl/>
              </w:rPr>
            </w:pPr>
          </w:p>
        </w:tc>
        <w:tc>
          <w:tcPr>
            <w:tcW w:w="1791" w:type="dxa"/>
            <w:tcBorders>
              <w:top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c>
          <w:tcPr>
            <w:tcW w:w="1890" w:type="dxa"/>
            <w:tcBorders>
              <w:top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p>
        </w:tc>
      </w:tr>
      <w:tr w:rsidR="00E16243" w:rsidRPr="00907AE5" w:rsidTr="00814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7" w:type="dxa"/>
            <w:tcBorders>
              <w:top w:val="nil"/>
              <w:left w:val="nil"/>
              <w:bottom w:val="nil"/>
              <w:right w:val="nil"/>
            </w:tcBorders>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ودائع اتحاد مدريد مستحقة الدفع للغير</w:t>
            </w:r>
          </w:p>
        </w:tc>
        <w:tc>
          <w:tcPr>
            <w:tcW w:w="1791" w:type="dxa"/>
            <w:tcBorders>
              <w:top w:val="nil"/>
              <w:left w:val="nil"/>
              <w:bottom w:val="nil"/>
              <w:right w:val="nil"/>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28,087</w:t>
            </w:r>
          </w:p>
        </w:tc>
        <w:tc>
          <w:tcPr>
            <w:tcW w:w="1890" w:type="dxa"/>
            <w:tcBorders>
              <w:top w:val="nil"/>
              <w:left w:val="nil"/>
              <w:bottom w:val="nil"/>
              <w:right w:val="nil"/>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26,662</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ودائع الرسوم والنماذج الصناعية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211</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183</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ودا</w:t>
            </w:r>
            <w:r>
              <w:rPr>
                <w:rFonts w:ascii="Arabic Typesetting" w:hAnsi="Arabic Typesetting" w:cs="Arabic Typesetting"/>
                <w:sz w:val="28"/>
                <w:szCs w:val="28"/>
                <w:rtl/>
              </w:rPr>
              <w:t>ئع معاهدة التعاون بشأن البراءات/</w:t>
            </w:r>
            <w:r w:rsidRPr="00907AE5">
              <w:rPr>
                <w:rFonts w:ascii="Arabic Typesetting" w:hAnsi="Arabic Typesetting" w:cs="Arabic Typesetting"/>
                <w:sz w:val="28"/>
                <w:szCs w:val="28"/>
                <w:rtl/>
              </w:rPr>
              <w:t>منظمة أبحاث الدماغ الدولية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504</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489</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اشتراكات مدفوعة قبل استحقاق سدادها</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3,602</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2,593</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إيرادات مؤجلة لمعاهدة التعاون بشأن البراءات</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166,455</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153,794</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إيرادات مؤجلة للعلامات التجارية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3,545</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2,386</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إيرادات مؤجلة للرسوم والنماذج الصناعية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212</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164</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إيرادات مؤجلة لتعاملات غير تبادلية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12,471</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9,903</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sz w:val="28"/>
                <w:szCs w:val="28"/>
              </w:rPr>
            </w:pPr>
            <w:r w:rsidRPr="00907AE5">
              <w:rPr>
                <w:rFonts w:ascii="Arabic Typesetting" w:hAnsi="Arabic Typesetting" w:cs="Arabic Typesetting"/>
                <w:sz w:val="28"/>
                <w:szCs w:val="28"/>
                <w:rtl/>
              </w:rPr>
              <w:t>إيرادات أخرى مؤجلة</w:t>
            </w:r>
          </w:p>
        </w:tc>
        <w:tc>
          <w:tcPr>
            <w:tcW w:w="1791"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951</w:t>
            </w:r>
          </w:p>
        </w:tc>
        <w:tc>
          <w:tcPr>
            <w:tcW w:w="1890" w:type="dxa"/>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sz w:val="28"/>
                <w:szCs w:val="28"/>
              </w:rPr>
            </w:pPr>
            <w:r w:rsidRPr="00907AE5">
              <w:rPr>
                <w:rFonts w:ascii="Arabic Typesetting" w:hAnsi="Arabic Typesetting" w:cs="Arabic Typesetting"/>
                <w:sz w:val="28"/>
                <w:szCs w:val="28"/>
              </w:rPr>
              <w:t>401</w:t>
            </w: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jc w:val="right"/>
              <w:rPr>
                <w:rFonts w:ascii="Arabic Typesetting" w:hAnsi="Arabic Typesetting" w:cs="Arabic Typesetting"/>
                <w:b/>
                <w:bCs/>
                <w:sz w:val="28"/>
                <w:szCs w:val="28"/>
                <w:rtl/>
              </w:rPr>
            </w:pPr>
          </w:p>
        </w:tc>
        <w:tc>
          <w:tcPr>
            <w:tcW w:w="1791" w:type="dxa"/>
            <w:tcBorders>
              <w:bottom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c>
          <w:tcPr>
            <w:tcW w:w="1890" w:type="dxa"/>
            <w:tcBorders>
              <w:bottom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p>
        </w:tc>
      </w:tr>
      <w:tr w:rsidR="00E16243" w:rsidRPr="00907AE5" w:rsidTr="00814C35">
        <w:tc>
          <w:tcPr>
            <w:tcW w:w="4257" w:type="dxa"/>
            <w:vAlign w:val="bottom"/>
          </w:tcPr>
          <w:p w:rsidR="00E16243" w:rsidRPr="00907AE5" w:rsidRDefault="00E16243" w:rsidP="00E16243">
            <w:pPr>
              <w:tabs>
                <w:tab w:val="center" w:pos="4320"/>
                <w:tab w:val="right" w:pos="8640"/>
              </w:tabs>
              <w:bidi/>
              <w:spacing w:line="280" w:lineRule="exact"/>
              <w:rPr>
                <w:rFonts w:ascii="Arabic Typesetting" w:hAnsi="Arabic Typesetting" w:cs="Arabic Typesetting"/>
                <w:b/>
                <w:bCs/>
                <w:sz w:val="28"/>
                <w:szCs w:val="28"/>
              </w:rPr>
            </w:pPr>
            <w:r w:rsidRPr="00907AE5">
              <w:rPr>
                <w:rFonts w:ascii="Arabic Typesetting" w:hAnsi="Arabic Typesetting" w:cs="Arabic Typesetting"/>
                <w:b/>
                <w:bCs/>
                <w:sz w:val="28"/>
                <w:szCs w:val="28"/>
                <w:rtl/>
              </w:rPr>
              <w:t>مجموع المقبوضات المستلمة قبل استحقاقها</w:t>
            </w:r>
          </w:p>
        </w:tc>
        <w:tc>
          <w:tcPr>
            <w:tcW w:w="1791" w:type="dxa"/>
            <w:tcBorders>
              <w:top w:val="single" w:sz="4" w:space="0" w:color="auto"/>
              <w:bottom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907AE5">
              <w:rPr>
                <w:rFonts w:ascii="Arabic Typesetting" w:hAnsi="Arabic Typesetting" w:cs="Arabic Typesetting"/>
                <w:b/>
                <w:bCs/>
                <w:sz w:val="28"/>
                <w:szCs w:val="28"/>
              </w:rPr>
              <w:t>216,038</w:t>
            </w:r>
          </w:p>
        </w:tc>
        <w:tc>
          <w:tcPr>
            <w:tcW w:w="1890" w:type="dxa"/>
            <w:tcBorders>
              <w:top w:val="single" w:sz="4" w:space="0" w:color="auto"/>
              <w:bottom w:val="single" w:sz="4" w:space="0" w:color="auto"/>
            </w:tcBorders>
            <w:vAlign w:val="center"/>
          </w:tcPr>
          <w:p w:rsidR="00E16243" w:rsidRPr="00907AE5" w:rsidRDefault="00E16243" w:rsidP="00E16243">
            <w:pPr>
              <w:tabs>
                <w:tab w:val="center" w:pos="4320"/>
                <w:tab w:val="right" w:pos="8640"/>
              </w:tabs>
              <w:spacing w:line="280" w:lineRule="exact"/>
              <w:jc w:val="center"/>
              <w:rPr>
                <w:rFonts w:ascii="Arabic Typesetting" w:hAnsi="Arabic Typesetting" w:cs="Arabic Typesetting"/>
                <w:b/>
                <w:bCs/>
                <w:sz w:val="28"/>
                <w:szCs w:val="28"/>
              </w:rPr>
            </w:pPr>
            <w:r w:rsidRPr="00907AE5">
              <w:rPr>
                <w:rFonts w:ascii="Arabic Typesetting" w:hAnsi="Arabic Typesetting" w:cs="Arabic Typesetting"/>
                <w:b/>
                <w:bCs/>
                <w:sz w:val="28"/>
                <w:szCs w:val="28"/>
              </w:rPr>
              <w:t>196,575</w:t>
            </w:r>
          </w:p>
        </w:tc>
      </w:tr>
    </w:tbl>
    <w:p w:rsidR="00E16243" w:rsidRDefault="00E16243" w:rsidP="00E16243">
      <w:pPr>
        <w:pStyle w:val="NormalParaAR"/>
        <w:spacing w:before="240"/>
        <w:rPr>
          <w:rtl/>
        </w:rPr>
      </w:pPr>
      <w:r w:rsidRPr="004E2700">
        <w:rPr>
          <w:color w:val="000000"/>
          <w:rtl/>
        </w:rPr>
        <w:t xml:space="preserve">في كثير من الحالات، تقوم "المنظمة" بتحصيل الرسوم والمصاريف مقابل تأدية خدمات قبل أن يتم تنفيذ تلك الخدمات بشكل كامل أو قبل استحقاق الرسم وفقا للمعاهدات والاتفاقات والبروتوكولات والأنظمة التي تديرها "المنظمة". </w:t>
      </w:r>
      <w:r>
        <w:rPr>
          <w:rFonts w:hint="cs"/>
          <w:color w:val="000000"/>
          <w:rtl/>
        </w:rPr>
        <w:t>و</w:t>
      </w:r>
      <w:r w:rsidRPr="004E2700">
        <w:rPr>
          <w:color w:val="000000"/>
          <w:rtl/>
        </w:rPr>
        <w:t xml:space="preserve">يُقَيّد الإيراد الناتج من رسوم متعلقة بإجراءات الطلبات الدولية (العلامات التجارية والرسوم والنماذج الصناعية وبراءات الاختراع) في سجلات "المنظمة" حال نشر الطلب. </w:t>
      </w:r>
      <w:r>
        <w:rPr>
          <w:rFonts w:hint="cs"/>
          <w:color w:val="000000"/>
          <w:rtl/>
        </w:rPr>
        <w:t>و</w:t>
      </w:r>
      <w:r w:rsidRPr="004E2700">
        <w:rPr>
          <w:color w:val="000000"/>
          <w:rtl/>
        </w:rPr>
        <w:t>يؤجل قيد إيرادات رسوم تكلفة الصفحات الإضافية المتعلقة بطلبات البراءات الدولية المودعة في صورة ورقية أو في نسق سهل - باستخدام تسهيلات معاهدة التعاون بشأن البراءات - إلى أن يتم نشر الطلب المعني. وبالإضافة إلى ذلك، يؤجل قيد جزء من رسوم طلبات براءات الاختراع الدولية التي تغطي تكاليف ترجمة تقارير البراءة</w:t>
      </w:r>
      <w:r>
        <w:rPr>
          <w:color w:val="000000"/>
          <w:rtl/>
        </w:rPr>
        <w:t>، التي لا يتم إيداعها باللغة ال</w:t>
      </w:r>
      <w:r>
        <w:rPr>
          <w:rFonts w:hint="cs"/>
          <w:color w:val="000000"/>
          <w:rtl/>
        </w:rPr>
        <w:t>إ</w:t>
      </w:r>
      <w:r w:rsidRPr="004E2700">
        <w:rPr>
          <w:color w:val="000000"/>
          <w:rtl/>
        </w:rPr>
        <w:t xml:space="preserve">نكليزية، حتى الانتهاء من الترجمة. </w:t>
      </w:r>
      <w:r>
        <w:rPr>
          <w:rFonts w:hint="cs"/>
          <w:color w:val="000000"/>
          <w:rtl/>
        </w:rPr>
        <w:t>و</w:t>
      </w:r>
      <w:r w:rsidRPr="004E2700">
        <w:rPr>
          <w:color w:val="000000"/>
          <w:rtl/>
        </w:rPr>
        <w:t>من المسلم به قيد جميع الإيرادات من الرسوم مثل التجديدات والمستخرجات والتعديلات</w:t>
      </w:r>
      <w:r w:rsidRPr="004E2700">
        <w:rPr>
          <w:color w:val="000000"/>
          <w:rtl/>
          <w:lang w:bidi="ar-EG"/>
        </w:rPr>
        <w:t xml:space="preserve"> والتصرف والتحويلات والتأكيدات والتسويات عند الانتهاء من أداء الخدمة</w:t>
      </w:r>
      <w:r>
        <w:rPr>
          <w:rFonts w:hint="cs"/>
          <w:color w:val="000000"/>
          <w:rtl/>
          <w:lang w:bidi="ar-EG"/>
        </w:rPr>
        <w:t> </w:t>
      </w:r>
      <w:r>
        <w:rPr>
          <w:rFonts w:hint="cs"/>
          <w:rtl/>
          <w:lang w:bidi="ar-EG"/>
        </w:rPr>
        <w:t>المطلوبة.</w:t>
      </w:r>
    </w:p>
    <w:p w:rsidR="00E16243" w:rsidRDefault="00E16243" w:rsidP="00E16243">
      <w:pPr>
        <w:pStyle w:val="NormalParaAR"/>
        <w:rPr>
          <w:rtl/>
        </w:rPr>
      </w:pPr>
      <w:r>
        <w:rPr>
          <w:rFonts w:hint="cs"/>
          <w:color w:val="000000"/>
          <w:rtl/>
        </w:rPr>
        <w:t>و</w:t>
      </w:r>
      <w:r w:rsidRPr="004E2700">
        <w:rPr>
          <w:color w:val="000000"/>
          <w:rtl/>
        </w:rPr>
        <w:t xml:space="preserve">تُعامل المساهمات الطوعية المقدمة من المانحين لحسابات خاصة، والتي تتضمن شروطاً تتطلب من "المنظمة" تقديم خدمات إلى الحكومات المتلقية أو أطراف ثالثة أخرى، كإيرادات مؤجلة حتى يتم تنفيذ الخدمات التي تغطيها تلك المساهمات الطوعية، وعندها يتم قيد </w:t>
      </w:r>
      <w:r>
        <w:rPr>
          <w:rFonts w:hint="cs"/>
          <w:rtl/>
        </w:rPr>
        <w:t>الإيرادات.</w:t>
      </w:r>
    </w:p>
    <w:p w:rsidR="00E16243" w:rsidRPr="002869C3" w:rsidRDefault="00E16243" w:rsidP="002869C3">
      <w:pPr>
        <w:pStyle w:val="Heading2"/>
        <w:bidi/>
        <w:rPr>
          <w:rFonts w:ascii="Arabic Typesetting" w:hAnsi="Arabic Typesetting" w:cs="Arabic Typesetting"/>
          <w:i/>
          <w:iCs w:val="0"/>
          <w:sz w:val="40"/>
          <w:szCs w:val="40"/>
          <w:rtl/>
        </w:rPr>
      </w:pPr>
      <w:bookmarkStart w:id="30" w:name="_Toc362519113"/>
      <w:r w:rsidRPr="002869C3">
        <w:rPr>
          <w:rFonts w:ascii="Arabic Typesetting" w:hAnsi="Arabic Typesetting" w:cs="Arabic Typesetting" w:hint="cs"/>
          <w:i/>
          <w:iCs w:val="0"/>
          <w:sz w:val="40"/>
          <w:szCs w:val="40"/>
          <w:rtl/>
        </w:rPr>
        <w:lastRenderedPageBreak/>
        <w:t>الملاحظة 15: القروض</w:t>
      </w:r>
      <w:bookmarkEnd w:id="30"/>
    </w:p>
    <w:tbl>
      <w:tblPr>
        <w:bidiVisual/>
        <w:tblW w:w="0" w:type="auto"/>
        <w:tblLook w:val="04A0" w:firstRow="1" w:lastRow="0" w:firstColumn="1" w:lastColumn="0" w:noHBand="0" w:noVBand="1"/>
      </w:tblPr>
      <w:tblGrid>
        <w:gridCol w:w="3415"/>
        <w:gridCol w:w="1805"/>
        <w:gridCol w:w="2250"/>
      </w:tblGrid>
      <w:tr w:rsidR="00E16243" w:rsidRPr="00AA2AF0" w:rsidTr="00462FC1">
        <w:tc>
          <w:tcPr>
            <w:tcW w:w="3415" w:type="dxa"/>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p>
        </w:tc>
        <w:tc>
          <w:tcPr>
            <w:tcW w:w="1805" w:type="dxa"/>
            <w:vAlign w:val="center"/>
          </w:tcPr>
          <w:p w:rsidR="00E16243" w:rsidRPr="00AA2AF0" w:rsidRDefault="00E16243" w:rsidP="00462FC1">
            <w:pPr>
              <w:keepNext/>
              <w:tabs>
                <w:tab w:val="center" w:pos="4320"/>
                <w:tab w:val="right" w:pos="8640"/>
              </w:tabs>
              <w:bidi/>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tl/>
              </w:rPr>
              <w:t>31 ديسمبر 2012</w:t>
            </w:r>
          </w:p>
        </w:tc>
        <w:tc>
          <w:tcPr>
            <w:tcW w:w="2250" w:type="dxa"/>
            <w:vAlign w:val="center"/>
          </w:tcPr>
          <w:p w:rsidR="00E16243" w:rsidRPr="00AA2AF0" w:rsidRDefault="00E16243" w:rsidP="00462FC1">
            <w:pPr>
              <w:keepNext/>
              <w:tabs>
                <w:tab w:val="center" w:pos="4320"/>
                <w:tab w:val="right" w:pos="8640"/>
              </w:tabs>
              <w:bidi/>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tl/>
              </w:rPr>
              <w:t>31 ديسمبر 2011</w:t>
            </w:r>
          </w:p>
        </w:tc>
      </w:tr>
      <w:tr w:rsidR="00E16243" w:rsidRPr="00AA2AF0" w:rsidTr="00462FC1">
        <w:tc>
          <w:tcPr>
            <w:tcW w:w="3415" w:type="dxa"/>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p>
        </w:tc>
        <w:tc>
          <w:tcPr>
            <w:tcW w:w="4055" w:type="dxa"/>
            <w:gridSpan w:val="2"/>
            <w:tcBorders>
              <w:bottom w:val="single" w:sz="4" w:space="0" w:color="auto"/>
            </w:tcBorders>
            <w:vAlign w:val="center"/>
          </w:tcPr>
          <w:p w:rsidR="00E16243" w:rsidRPr="00205455"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205455">
              <w:rPr>
                <w:rFonts w:ascii="Arabic Typesetting" w:hAnsi="Arabic Typesetting" w:cs="Arabic Typesetting"/>
                <w:sz w:val="28"/>
                <w:szCs w:val="28"/>
              </w:rPr>
              <w:t>(</w:t>
            </w:r>
            <w:r>
              <w:rPr>
                <w:rFonts w:ascii="Arabic Typesetting" w:hAnsi="Arabic Typesetting" w:cs="Arabic Typesetting"/>
                <w:sz w:val="28"/>
                <w:szCs w:val="28"/>
                <w:rtl/>
              </w:rPr>
              <w:t>ب</w:t>
            </w:r>
            <w:r>
              <w:rPr>
                <w:rFonts w:ascii="Arabic Typesetting" w:hAnsi="Arabic Typesetting" w:cs="Arabic Typesetting" w:hint="cs"/>
                <w:sz w:val="28"/>
                <w:szCs w:val="28"/>
                <w:rtl/>
              </w:rPr>
              <w:t>آ</w:t>
            </w:r>
            <w:r w:rsidRPr="00205455">
              <w:rPr>
                <w:rFonts w:ascii="Arabic Typesetting" w:hAnsi="Arabic Typesetting" w:cs="Arabic Typesetting"/>
                <w:sz w:val="28"/>
                <w:szCs w:val="28"/>
                <w:rtl/>
              </w:rPr>
              <w:t>ل</w:t>
            </w:r>
            <w:r>
              <w:rPr>
                <w:rFonts w:ascii="Arabic Typesetting" w:hAnsi="Arabic Typesetting" w:cs="Arabic Typesetting" w:hint="cs"/>
                <w:sz w:val="28"/>
                <w:szCs w:val="28"/>
                <w:rtl/>
              </w:rPr>
              <w:t>ا</w:t>
            </w:r>
            <w:r w:rsidRPr="00205455">
              <w:rPr>
                <w:rFonts w:ascii="Arabic Typesetting" w:hAnsi="Arabic Typesetting" w:cs="Arabic Typesetting"/>
                <w:sz w:val="28"/>
                <w:szCs w:val="28"/>
                <w:rtl/>
              </w:rPr>
              <w:t xml:space="preserve">ف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فرنك</w:t>
            </w:r>
            <w:r>
              <w:rPr>
                <w:rFonts w:ascii="Arabic Typesetting" w:hAnsi="Arabic Typesetting" w:cs="Arabic Typesetting" w:hint="cs"/>
                <w:sz w:val="28"/>
                <w:szCs w:val="28"/>
                <w:rtl/>
              </w:rPr>
              <w:t>ات</w:t>
            </w:r>
            <w:r w:rsidRPr="00205455">
              <w:rPr>
                <w:rFonts w:ascii="Arabic Typesetting" w:hAnsi="Arabic Typesetting" w:cs="Arabic Typesetting"/>
                <w:sz w:val="28"/>
                <w:szCs w:val="28"/>
                <w:rtl/>
              </w:rPr>
              <w:t xml:space="preserve"> </w:t>
            </w:r>
            <w:r>
              <w:rPr>
                <w:rFonts w:ascii="Arabic Typesetting" w:hAnsi="Arabic Typesetting" w:cs="Arabic Typesetting" w:hint="cs"/>
                <w:sz w:val="28"/>
                <w:szCs w:val="28"/>
                <w:rtl/>
              </w:rPr>
              <w:t>ال</w:t>
            </w:r>
            <w:r w:rsidRPr="00205455">
              <w:rPr>
                <w:rFonts w:ascii="Arabic Typesetting" w:hAnsi="Arabic Typesetting" w:cs="Arabic Typesetting"/>
                <w:sz w:val="28"/>
                <w:szCs w:val="28"/>
                <w:rtl/>
              </w:rPr>
              <w:t>سويسري</w:t>
            </w:r>
            <w:r>
              <w:rPr>
                <w:rFonts w:ascii="Arabic Typesetting" w:hAnsi="Arabic Typesetting" w:cs="Arabic Typesetting" w:hint="cs"/>
                <w:sz w:val="28"/>
                <w:szCs w:val="28"/>
                <w:rtl/>
              </w:rPr>
              <w:t>ة</w:t>
            </w:r>
            <w:r w:rsidRPr="00205455">
              <w:rPr>
                <w:rFonts w:ascii="Arabic Typesetting" w:hAnsi="Arabic Typesetting" w:cs="Arabic Typesetting"/>
                <w:sz w:val="28"/>
                <w:szCs w:val="28"/>
              </w:rPr>
              <w:t>)</w:t>
            </w:r>
          </w:p>
        </w:tc>
      </w:tr>
      <w:tr w:rsidR="00E16243" w:rsidRPr="00AA2AF0" w:rsidTr="00462FC1">
        <w:tc>
          <w:tcPr>
            <w:tcW w:w="3415" w:type="dxa"/>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p>
        </w:tc>
        <w:tc>
          <w:tcPr>
            <w:tcW w:w="4055" w:type="dxa"/>
            <w:gridSpan w:val="2"/>
            <w:tcBorders>
              <w:top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tl/>
                <w:lang w:bidi="ar-EG"/>
              </w:rPr>
            </w:pP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sz w:val="28"/>
                <w:szCs w:val="28"/>
                <w:rtl/>
              </w:rPr>
              <w:t>قرض مؤسسة مباني المنظمات الدولية واجب السداد</w:t>
            </w:r>
          </w:p>
        </w:tc>
        <w:tc>
          <w:tcPr>
            <w:tcW w:w="1805"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1,358</w:t>
            </w:r>
          </w:p>
        </w:tc>
        <w:tc>
          <w:tcPr>
            <w:tcW w:w="2250"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1,358</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sz w:val="28"/>
                <w:szCs w:val="28"/>
                <w:rtl/>
              </w:rPr>
              <w:t>مستحق السداد</w:t>
            </w:r>
          </w:p>
        </w:tc>
        <w:tc>
          <w:tcPr>
            <w:tcW w:w="1805"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3,900</w:t>
            </w:r>
          </w:p>
        </w:tc>
        <w:tc>
          <w:tcPr>
            <w:tcW w:w="2250"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3,900</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sz w:val="28"/>
                <w:szCs w:val="28"/>
                <w:rtl/>
              </w:rPr>
              <w:t>حساب</w:t>
            </w:r>
          </w:p>
        </w:tc>
        <w:tc>
          <w:tcPr>
            <w:tcW w:w="1805" w:type="dxa"/>
            <w:tcBorders>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w:t>
            </w:r>
          </w:p>
        </w:tc>
        <w:tc>
          <w:tcPr>
            <w:tcW w:w="2250" w:type="dxa"/>
            <w:tcBorders>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b/>
                <w:bCs/>
                <w:sz w:val="28"/>
                <w:szCs w:val="28"/>
                <w:rtl/>
              </w:rPr>
              <w:t>مجموع القروض الحالية</w:t>
            </w:r>
          </w:p>
        </w:tc>
        <w:tc>
          <w:tcPr>
            <w:tcW w:w="1805" w:type="dxa"/>
            <w:tcBorders>
              <w:top w:val="single" w:sz="4" w:space="0" w:color="auto"/>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5,258</w:t>
            </w:r>
          </w:p>
        </w:tc>
        <w:tc>
          <w:tcPr>
            <w:tcW w:w="2250" w:type="dxa"/>
            <w:tcBorders>
              <w:top w:val="single" w:sz="4" w:space="0" w:color="auto"/>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5,258</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p>
        </w:tc>
        <w:tc>
          <w:tcPr>
            <w:tcW w:w="1805" w:type="dxa"/>
            <w:tcBorders>
              <w:top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p>
        </w:tc>
        <w:tc>
          <w:tcPr>
            <w:tcW w:w="2250" w:type="dxa"/>
            <w:tcBorders>
              <w:top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sz w:val="28"/>
                <w:szCs w:val="28"/>
                <w:rtl/>
              </w:rPr>
              <w:t>قرض مؤسسة مباني المنظمات الدولية واجب السداد</w:t>
            </w:r>
          </w:p>
        </w:tc>
        <w:tc>
          <w:tcPr>
            <w:tcW w:w="1805"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22,295</w:t>
            </w:r>
          </w:p>
        </w:tc>
        <w:tc>
          <w:tcPr>
            <w:tcW w:w="2250" w:type="dxa"/>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23,653</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sz w:val="28"/>
                <w:szCs w:val="28"/>
                <w:rtl/>
              </w:rPr>
              <w:t>مستحق السداد</w:t>
            </w:r>
          </w:p>
        </w:tc>
        <w:tc>
          <w:tcPr>
            <w:tcW w:w="1805" w:type="dxa"/>
            <w:tcBorders>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122,200</w:t>
            </w:r>
          </w:p>
        </w:tc>
        <w:tc>
          <w:tcPr>
            <w:tcW w:w="2250" w:type="dxa"/>
            <w:tcBorders>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r w:rsidRPr="00AA2AF0">
              <w:rPr>
                <w:rFonts w:ascii="Arabic Typesetting" w:hAnsi="Arabic Typesetting" w:cs="Arabic Typesetting"/>
                <w:sz w:val="28"/>
                <w:szCs w:val="28"/>
              </w:rPr>
              <w:t>126,100</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b/>
                <w:bCs/>
                <w:sz w:val="28"/>
                <w:szCs w:val="28"/>
                <w:rtl/>
              </w:rPr>
              <w:t>مجموع القروض غير المتداولة</w:t>
            </w:r>
          </w:p>
        </w:tc>
        <w:tc>
          <w:tcPr>
            <w:tcW w:w="1805" w:type="dxa"/>
            <w:tcBorders>
              <w:top w:val="single" w:sz="4" w:space="0" w:color="auto"/>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144,495</w:t>
            </w:r>
          </w:p>
        </w:tc>
        <w:tc>
          <w:tcPr>
            <w:tcW w:w="2250" w:type="dxa"/>
            <w:tcBorders>
              <w:top w:val="single" w:sz="4" w:space="0" w:color="auto"/>
              <w:bottom w:val="single" w:sz="4"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149,753</w:t>
            </w: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p>
        </w:tc>
        <w:tc>
          <w:tcPr>
            <w:tcW w:w="1805" w:type="dxa"/>
            <w:tcBorders>
              <w:top w:val="single" w:sz="4" w:space="0" w:color="auto"/>
              <w:bottom w:val="single" w:sz="12"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p>
        </w:tc>
        <w:tc>
          <w:tcPr>
            <w:tcW w:w="2250" w:type="dxa"/>
            <w:tcBorders>
              <w:top w:val="single" w:sz="4" w:space="0" w:color="auto"/>
              <w:bottom w:val="single" w:sz="12"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sz w:val="28"/>
                <w:szCs w:val="28"/>
              </w:rPr>
            </w:pPr>
          </w:p>
        </w:tc>
      </w:tr>
      <w:tr w:rsidR="00E16243" w:rsidRPr="00AA2AF0" w:rsidTr="00462FC1">
        <w:tc>
          <w:tcPr>
            <w:tcW w:w="3415" w:type="dxa"/>
            <w:vAlign w:val="bottom"/>
          </w:tcPr>
          <w:p w:rsidR="00E16243" w:rsidRPr="00AA2AF0" w:rsidRDefault="00E16243" w:rsidP="00462FC1">
            <w:pPr>
              <w:keepNext/>
              <w:tabs>
                <w:tab w:val="center" w:pos="4320"/>
                <w:tab w:val="right" w:pos="8640"/>
              </w:tabs>
              <w:bidi/>
              <w:spacing w:line="280" w:lineRule="exact"/>
              <w:rPr>
                <w:rFonts w:ascii="Arabic Typesetting" w:hAnsi="Arabic Typesetting" w:cs="Arabic Typesetting"/>
                <w:sz w:val="28"/>
                <w:szCs w:val="28"/>
                <w:rtl/>
                <w:lang w:bidi="ar-EG"/>
              </w:rPr>
            </w:pPr>
            <w:r w:rsidRPr="00AA2AF0">
              <w:rPr>
                <w:rFonts w:ascii="Arabic Typesetting" w:hAnsi="Arabic Typesetting" w:cs="Arabic Typesetting"/>
                <w:b/>
                <w:bCs/>
                <w:sz w:val="28"/>
                <w:szCs w:val="28"/>
                <w:rtl/>
              </w:rPr>
              <w:t>مجموع القروض</w:t>
            </w:r>
          </w:p>
        </w:tc>
        <w:tc>
          <w:tcPr>
            <w:tcW w:w="1805" w:type="dxa"/>
            <w:tcBorders>
              <w:top w:val="single" w:sz="12" w:space="0" w:color="auto"/>
              <w:bottom w:val="single" w:sz="12"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149,753</w:t>
            </w:r>
          </w:p>
        </w:tc>
        <w:tc>
          <w:tcPr>
            <w:tcW w:w="2250" w:type="dxa"/>
            <w:tcBorders>
              <w:top w:val="single" w:sz="12" w:space="0" w:color="auto"/>
              <w:bottom w:val="single" w:sz="12" w:space="0" w:color="auto"/>
            </w:tcBorders>
            <w:vAlign w:val="bottom"/>
          </w:tcPr>
          <w:p w:rsidR="00E16243" w:rsidRPr="00AA2AF0" w:rsidRDefault="00E16243" w:rsidP="00462FC1">
            <w:pPr>
              <w:keepNext/>
              <w:tabs>
                <w:tab w:val="center" w:pos="4320"/>
                <w:tab w:val="right" w:pos="8640"/>
              </w:tabs>
              <w:spacing w:line="280" w:lineRule="exact"/>
              <w:jc w:val="center"/>
              <w:rPr>
                <w:rFonts w:ascii="Arabic Typesetting" w:hAnsi="Arabic Typesetting" w:cs="Arabic Typesetting"/>
                <w:b/>
                <w:bCs/>
                <w:sz w:val="28"/>
                <w:szCs w:val="28"/>
              </w:rPr>
            </w:pPr>
            <w:r w:rsidRPr="00AA2AF0">
              <w:rPr>
                <w:rFonts w:ascii="Arabic Typesetting" w:hAnsi="Arabic Typesetting" w:cs="Arabic Typesetting"/>
                <w:b/>
                <w:bCs/>
                <w:sz w:val="28"/>
                <w:szCs w:val="28"/>
              </w:rPr>
              <w:t>155,011</w:t>
            </w:r>
          </w:p>
        </w:tc>
      </w:tr>
    </w:tbl>
    <w:p w:rsidR="00E16243" w:rsidRDefault="00E16243" w:rsidP="00E16243">
      <w:pPr>
        <w:pStyle w:val="NormalParaAR"/>
        <w:spacing w:before="240"/>
        <w:rPr>
          <w:rtl/>
        </w:rPr>
      </w:pPr>
      <w:r w:rsidRPr="009B4ACE">
        <w:rPr>
          <w:color w:val="000000"/>
          <w:rtl/>
        </w:rPr>
        <w:t>اقترضت المنظمة أموالاً من مؤسسة مباني المنظمات الدولية (50</w:t>
      </w:r>
      <w:r>
        <w:rPr>
          <w:rFonts w:hint="cs"/>
          <w:color w:val="000000"/>
          <w:rtl/>
        </w:rPr>
        <w:t>,</w:t>
      </w:r>
      <w:r w:rsidRPr="009B4ACE">
        <w:rPr>
          <w:color w:val="000000"/>
          <w:rtl/>
        </w:rPr>
        <w:t>8 مليون فرنك سويسري و8</w:t>
      </w:r>
      <w:r>
        <w:rPr>
          <w:rFonts w:hint="cs"/>
          <w:color w:val="000000"/>
          <w:rtl/>
        </w:rPr>
        <w:t>,</w:t>
      </w:r>
      <w:r w:rsidRPr="009B4ACE">
        <w:rPr>
          <w:color w:val="000000"/>
          <w:rtl/>
        </w:rPr>
        <w:t xml:space="preserve">41 مليون فرنك سويسري تمت الموافقة عليهما في عامي 1977 و1987 على التوالي) لغرض تشييد المباني الرئيسية في جنيف، سويسرا. </w:t>
      </w:r>
      <w:r>
        <w:rPr>
          <w:rFonts w:hint="cs"/>
          <w:color w:val="000000"/>
          <w:rtl/>
        </w:rPr>
        <w:t>و</w:t>
      </w:r>
      <w:r w:rsidRPr="009B4ACE">
        <w:rPr>
          <w:color w:val="000000"/>
          <w:rtl/>
        </w:rPr>
        <w:t xml:space="preserve">تخضع هذه القروض في الأساس إلى سداد فوائد. ومع ذلك، وفي عام 1996 وافقت الإدارة الفيدرالية السويسرية للعلاقات الخارجية على التنازل عن أي مدفوعات أخرى للفائدة، والمطلوب حاليا هو سداد أصل القرض فقط. </w:t>
      </w:r>
      <w:r>
        <w:rPr>
          <w:rFonts w:hint="cs"/>
          <w:color w:val="000000"/>
          <w:rtl/>
        </w:rPr>
        <w:t>و</w:t>
      </w:r>
      <w:r w:rsidRPr="009B4ACE">
        <w:rPr>
          <w:color w:val="000000"/>
          <w:rtl/>
        </w:rPr>
        <w:t>بلغت قيمة الفوائد التي تم التنازل عنها في عام 2012 مبلغ 0</w:t>
      </w:r>
      <w:r>
        <w:rPr>
          <w:rFonts w:hint="cs"/>
          <w:color w:val="000000"/>
          <w:rtl/>
        </w:rPr>
        <w:t>,</w:t>
      </w:r>
      <w:r w:rsidRPr="009B4ACE">
        <w:rPr>
          <w:color w:val="000000"/>
          <w:rtl/>
        </w:rPr>
        <w:t>6 مليون فرنك سويسري، وقيمة الفائدة المتنازل عنها حتى تاريخ سداد الدفعة النهائية للقروض، المقرر دفعها في عام 2039 مبلغ 5</w:t>
      </w:r>
      <w:r>
        <w:rPr>
          <w:rFonts w:hint="cs"/>
          <w:color w:val="000000"/>
          <w:rtl/>
        </w:rPr>
        <w:t>,</w:t>
      </w:r>
      <w:r w:rsidRPr="009B4ACE">
        <w:rPr>
          <w:color w:val="000000"/>
          <w:rtl/>
        </w:rPr>
        <w:t xml:space="preserve">6 مليون فرنك سويسري. </w:t>
      </w:r>
      <w:r>
        <w:rPr>
          <w:rFonts w:hint="cs"/>
          <w:color w:val="000000"/>
          <w:rtl/>
        </w:rPr>
        <w:t>و</w:t>
      </w:r>
      <w:r w:rsidRPr="009B4ACE">
        <w:rPr>
          <w:color w:val="000000"/>
          <w:rtl/>
        </w:rPr>
        <w:t xml:space="preserve">بعد الأخذ في الاعتبار قيمة الفائدة التي تم التنازل عنها، تُقيد قيمة القروض الحالية بقيمتها الاسمية نظراً لتساوي قيمة الفوائد المتنازل عنها مع الخصم في قيمة القرض في </w:t>
      </w:r>
      <w:r>
        <w:rPr>
          <w:rFonts w:hint="cs"/>
          <w:rtl/>
        </w:rPr>
        <w:t>المستقبل.</w:t>
      </w:r>
    </w:p>
    <w:p w:rsidR="00E16243" w:rsidRDefault="00E16243" w:rsidP="00E16243">
      <w:pPr>
        <w:pStyle w:val="NormalParaAR"/>
        <w:rPr>
          <w:rtl/>
        </w:rPr>
      </w:pPr>
      <w:r>
        <w:rPr>
          <w:rFonts w:hint="cs"/>
          <w:color w:val="000000"/>
          <w:rtl/>
        </w:rPr>
        <w:t>و</w:t>
      </w:r>
      <w:r w:rsidRPr="009B4ACE">
        <w:rPr>
          <w:color w:val="000000"/>
          <w:rtl/>
        </w:rPr>
        <w:t>في فبراير 2008، أبرمت "المنظمة" عقداً مع بنك ك</w:t>
      </w:r>
      <w:r>
        <w:rPr>
          <w:rFonts w:hint="cs"/>
          <w:color w:val="000000"/>
          <w:rtl/>
        </w:rPr>
        <w:t>ا</w:t>
      </w:r>
      <w:r w:rsidRPr="009B4ACE">
        <w:rPr>
          <w:color w:val="000000"/>
          <w:rtl/>
        </w:rPr>
        <w:t>نتونال دي جنيف وبنك ك</w:t>
      </w:r>
      <w:r>
        <w:rPr>
          <w:rFonts w:hint="cs"/>
          <w:color w:val="000000"/>
          <w:rtl/>
        </w:rPr>
        <w:t>ا</w:t>
      </w:r>
      <w:r w:rsidRPr="009B4ACE">
        <w:rPr>
          <w:color w:val="000000"/>
          <w:rtl/>
        </w:rPr>
        <w:t xml:space="preserve">نتونال فودواز بغرض اقتراض 114 مليون فرنك سويسري، مع إمكانية إضافة مبلغ تكميلي بقيمة 16 مليون فرنك سويسري، بغرض تمويل جزء من تكلفة تشييد المبنى الجديد وإتاحته للاستخدام في 28 فبراير 2011. </w:t>
      </w:r>
      <w:r>
        <w:rPr>
          <w:rFonts w:hint="cs"/>
          <w:color w:val="000000"/>
          <w:rtl/>
        </w:rPr>
        <w:t>و</w:t>
      </w:r>
      <w:r w:rsidRPr="009B4ACE">
        <w:rPr>
          <w:color w:val="000000"/>
          <w:rtl/>
        </w:rPr>
        <w:t xml:space="preserve">تم سحب المبلغ التكميلي البالغ 16 مليون فرنك سويسري في 27 يناير 2011. </w:t>
      </w:r>
      <w:r>
        <w:rPr>
          <w:rFonts w:hint="cs"/>
          <w:color w:val="000000"/>
          <w:rtl/>
        </w:rPr>
        <w:t>و</w:t>
      </w:r>
      <w:r w:rsidRPr="009B4ACE">
        <w:rPr>
          <w:color w:val="000000"/>
          <w:rtl/>
        </w:rPr>
        <w:t>تم تثبيت سعر الفائدة على سعر الليبور لتبادل الفرنك السويسري لمدة تصل حتى 15 سنة، بالإضافة إلى هامش بين 0</w:t>
      </w:r>
      <w:r>
        <w:rPr>
          <w:rFonts w:hint="cs"/>
          <w:color w:val="000000"/>
          <w:rtl/>
        </w:rPr>
        <w:t>,</w:t>
      </w:r>
      <w:r w:rsidRPr="009B4ACE">
        <w:rPr>
          <w:color w:val="000000"/>
          <w:rtl/>
        </w:rPr>
        <w:t>30</w:t>
      </w:r>
      <w:r>
        <w:rPr>
          <w:rFonts w:hint="cs"/>
          <w:color w:val="000000"/>
          <w:rtl/>
        </w:rPr>
        <w:t xml:space="preserve"> بالمائة</w:t>
      </w:r>
      <w:r w:rsidRPr="009B4ACE">
        <w:rPr>
          <w:color w:val="000000"/>
          <w:rtl/>
        </w:rPr>
        <w:t xml:space="preserve"> إلى 0</w:t>
      </w:r>
      <w:r>
        <w:rPr>
          <w:rFonts w:hint="cs"/>
          <w:color w:val="000000"/>
          <w:rtl/>
        </w:rPr>
        <w:t>,</w:t>
      </w:r>
      <w:r w:rsidRPr="009B4ACE">
        <w:rPr>
          <w:color w:val="000000"/>
          <w:rtl/>
        </w:rPr>
        <w:t>70</w:t>
      </w:r>
      <w:r>
        <w:rPr>
          <w:rFonts w:hint="cs"/>
          <w:color w:val="000000"/>
          <w:rtl/>
        </w:rPr>
        <w:t xml:space="preserve"> بالمائة</w:t>
      </w:r>
      <w:r w:rsidRPr="009B4ACE">
        <w:rPr>
          <w:color w:val="000000"/>
          <w:rtl/>
        </w:rPr>
        <w:t xml:space="preserve"> اعتماداً على طول أجل القرض وكما يتم تحديده من قبل "المنظمة". </w:t>
      </w:r>
      <w:r>
        <w:rPr>
          <w:rFonts w:hint="cs"/>
          <w:color w:val="000000"/>
          <w:rtl/>
        </w:rPr>
        <w:t>و</w:t>
      </w:r>
      <w:r w:rsidRPr="009B4ACE">
        <w:rPr>
          <w:color w:val="000000"/>
          <w:rtl/>
        </w:rPr>
        <w:t>بلغ إجمالي مدفوعات الفائدة في عام 2012 مبلغ 3</w:t>
      </w:r>
      <w:r>
        <w:rPr>
          <w:rFonts w:hint="cs"/>
          <w:color w:val="000000"/>
          <w:rtl/>
        </w:rPr>
        <w:t>,</w:t>
      </w:r>
      <w:r w:rsidRPr="009B4ACE">
        <w:rPr>
          <w:color w:val="000000"/>
          <w:rtl/>
        </w:rPr>
        <w:t xml:space="preserve">3 مليون فرنك سويسري. بالإضافة إلى سداد الفائدة. </w:t>
      </w:r>
      <w:r>
        <w:rPr>
          <w:rFonts w:hint="cs"/>
          <w:color w:val="000000"/>
          <w:rtl/>
        </w:rPr>
        <w:t>و</w:t>
      </w:r>
      <w:r w:rsidRPr="009B4ACE">
        <w:rPr>
          <w:color w:val="000000"/>
          <w:rtl/>
        </w:rPr>
        <w:t>ينص العقد على سداد قسط سنوي لتسوية أصل القرض بقيمة 3</w:t>
      </w:r>
      <w:r>
        <w:rPr>
          <w:rFonts w:hint="cs"/>
          <w:color w:val="000000"/>
          <w:rtl/>
        </w:rPr>
        <w:t>,</w:t>
      </w:r>
      <w:r w:rsidRPr="009B4ACE">
        <w:rPr>
          <w:color w:val="000000"/>
          <w:rtl/>
        </w:rPr>
        <w:t>0</w:t>
      </w:r>
      <w:r>
        <w:rPr>
          <w:rFonts w:hint="cs"/>
          <w:color w:val="000000"/>
          <w:rtl/>
        </w:rPr>
        <w:t xml:space="preserve"> بالمائة</w:t>
      </w:r>
      <w:r w:rsidRPr="009B4ACE">
        <w:rPr>
          <w:color w:val="000000"/>
          <w:rtl/>
        </w:rPr>
        <w:t xml:space="preserve"> من إجمالي المبلغ المقترض بدءاً من 28 فبراير 2012 للقرض الأصلي وقيمته 114 مليون فرنك سويسري، والقرض الإضافي وقدره 16 مليون فرنك </w:t>
      </w:r>
      <w:r>
        <w:rPr>
          <w:rFonts w:hint="cs"/>
          <w:rtl/>
        </w:rPr>
        <w:t>سويسري.</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في أكتوبر 2010، اتفق كل من 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نتونال دي جنيف وبنك ك</w:t>
      </w:r>
      <w:r>
        <w:rPr>
          <w:rFonts w:ascii="Arabic Typesetting" w:hAnsi="Arabic Typesetting" w:cs="Arabic Typesetting" w:hint="cs"/>
          <w:color w:val="000000"/>
          <w:sz w:val="36"/>
          <w:szCs w:val="36"/>
          <w:rtl/>
        </w:rPr>
        <w:t>ا</w:t>
      </w:r>
      <w:r w:rsidRPr="009B4ACE">
        <w:rPr>
          <w:rFonts w:ascii="Arabic Typesetting" w:hAnsi="Arabic Typesetting" w:cs="Arabic Typesetting"/>
          <w:color w:val="000000"/>
          <w:sz w:val="36"/>
          <w:szCs w:val="36"/>
          <w:rtl/>
        </w:rPr>
        <w:t xml:space="preserve">نتونال فودواز والويبو على تعديل اتفاقية القرض، بحيث يتم توفير مبلغ إضافي قدرة 40 مليون فرنك سويسري بغرض تمويل جزء من تكلفة بناء قاعة المؤتمرات الجديدة وإتاحتها للاستخدام خلال الفترة من 31 مارس 2011 إلى 31 مارس 2014.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تم تثبيت سعر الفائدة أيضا على سعر صرف الليبور للفرنك السويسري لمدة تصل إلى 15 عاماً، بالإضافة إلى هامش بين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30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إلى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70</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اعتماداً على طول فترة أجل القرض وكما تحدده الويبو. </w:t>
      </w: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ينص العقد مرة أخرى على سداد قسط سنوي من أصل مبلغ القرض يعادل 3</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من إجمالي المبلغ المقترض بدءاً من 31 مارس 2015 للقرض البالغ 40 مليون فرنك سويسري. وحتى 31 ديسمبر 2012، لم تسحب "المنظمة" القيمة الإضافية البالغة 40 مليون فرنك سويسري. وتجدر الإشارة إلى </w:t>
      </w:r>
      <w:r>
        <w:rPr>
          <w:rFonts w:ascii="Arabic Typesetting" w:hAnsi="Arabic Typesetting" w:cs="Arabic Typesetting" w:hint="cs"/>
          <w:color w:val="000000"/>
          <w:sz w:val="36"/>
          <w:szCs w:val="36"/>
          <w:rtl/>
        </w:rPr>
        <w:t>التزام</w:t>
      </w:r>
      <w:r w:rsidRPr="009B4ACE">
        <w:rPr>
          <w:rFonts w:ascii="Arabic Typesetting" w:hAnsi="Arabic Typesetting" w:cs="Arabic Typesetting"/>
          <w:color w:val="000000"/>
          <w:sz w:val="36"/>
          <w:szCs w:val="36"/>
          <w:rtl/>
        </w:rPr>
        <w:t xml:space="preserve"> "المنظمة" بسداد عمولة سنوية بواقع 0</w:t>
      </w:r>
      <w:r>
        <w:rPr>
          <w:rFonts w:ascii="Arabic Typesetting" w:hAnsi="Arabic Typesetting" w:cs="Arabic Typesetting" w:hint="cs"/>
          <w:color w:val="000000"/>
          <w:sz w:val="36"/>
          <w:szCs w:val="36"/>
          <w:rtl/>
        </w:rPr>
        <w:t>,</w:t>
      </w:r>
      <w:r w:rsidRPr="009B4ACE">
        <w:rPr>
          <w:rFonts w:ascii="Arabic Typesetting" w:hAnsi="Arabic Typesetting" w:cs="Arabic Typesetting"/>
          <w:color w:val="000000"/>
          <w:sz w:val="36"/>
          <w:szCs w:val="36"/>
          <w:rtl/>
        </w:rPr>
        <w:t>15</w:t>
      </w:r>
      <w:r>
        <w:rPr>
          <w:rFonts w:ascii="Arabic Typesetting" w:hAnsi="Arabic Typesetting" w:cs="Arabic Typesetting" w:hint="cs"/>
          <w:color w:val="000000"/>
          <w:sz w:val="36"/>
          <w:szCs w:val="36"/>
          <w:rtl/>
        </w:rPr>
        <w:t xml:space="preserve"> بالمائة</w:t>
      </w:r>
      <w:r w:rsidRPr="009B4ACE">
        <w:rPr>
          <w:rFonts w:ascii="Arabic Typesetting" w:hAnsi="Arabic Typesetting" w:cs="Arabic Typesetting"/>
          <w:color w:val="000000"/>
          <w:sz w:val="36"/>
          <w:szCs w:val="36"/>
          <w:rtl/>
        </w:rPr>
        <w:t xml:space="preserve"> على مبالغ القرض التي لم يتم سحبها أثناء فترة صلاحية </w:t>
      </w:r>
      <w:r>
        <w:rPr>
          <w:rFonts w:ascii="Arabic Typesetting" w:hAnsi="Arabic Typesetting" w:cs="Arabic Typesetting" w:hint="cs"/>
          <w:sz w:val="36"/>
          <w:szCs w:val="36"/>
          <w:rtl/>
        </w:rPr>
        <w:t>القرض.</w:t>
      </w:r>
    </w:p>
    <w:p w:rsidR="00E16243" w:rsidRPr="002869C3" w:rsidRDefault="00E16243" w:rsidP="002869C3">
      <w:pPr>
        <w:pStyle w:val="Heading2"/>
        <w:bidi/>
        <w:rPr>
          <w:rFonts w:ascii="Arabic Typesetting" w:hAnsi="Arabic Typesetting" w:cs="Arabic Typesetting"/>
          <w:i/>
          <w:iCs w:val="0"/>
          <w:sz w:val="40"/>
          <w:szCs w:val="40"/>
          <w:rtl/>
        </w:rPr>
      </w:pPr>
      <w:bookmarkStart w:id="31" w:name="_Toc362519114"/>
      <w:r w:rsidRPr="002869C3">
        <w:rPr>
          <w:rFonts w:ascii="Arabic Typesetting" w:hAnsi="Arabic Typesetting" w:cs="Arabic Typesetting" w:hint="cs"/>
          <w:i/>
          <w:iCs w:val="0"/>
          <w:sz w:val="40"/>
          <w:szCs w:val="40"/>
          <w:rtl/>
        </w:rPr>
        <w:lastRenderedPageBreak/>
        <w:t>الملاحظة 16: المخصصات</w:t>
      </w:r>
      <w:bookmarkEnd w:id="31"/>
    </w:p>
    <w:tbl>
      <w:tblPr>
        <w:bidiVisual/>
        <w:tblW w:w="0" w:type="auto"/>
        <w:tblLayout w:type="fixed"/>
        <w:tblLook w:val="04A0" w:firstRow="1" w:lastRow="0" w:firstColumn="1" w:lastColumn="0" w:noHBand="0" w:noVBand="1"/>
      </w:tblPr>
      <w:tblGrid>
        <w:gridCol w:w="2659"/>
        <w:gridCol w:w="2126"/>
        <w:gridCol w:w="2393"/>
        <w:gridCol w:w="2393"/>
      </w:tblGrid>
      <w:tr w:rsidR="00E16243" w:rsidRPr="00943F36" w:rsidTr="00E16243">
        <w:tc>
          <w:tcPr>
            <w:tcW w:w="2659" w:type="dxa"/>
            <w:shd w:val="clear" w:color="auto" w:fill="auto"/>
            <w:vAlign w:val="center"/>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2126" w:type="dxa"/>
            <w:shd w:val="clear" w:color="auto" w:fill="auto"/>
            <w:vAlign w:val="center"/>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2393" w:type="dxa"/>
            <w:shd w:val="clear" w:color="auto" w:fill="auto"/>
            <w:vAlign w:val="center"/>
          </w:tcPr>
          <w:p w:rsidR="00E16243" w:rsidRPr="00532731" w:rsidRDefault="00E16243" w:rsidP="00E16243">
            <w:pPr>
              <w:bidi/>
              <w:spacing w:line="280" w:lineRule="exact"/>
              <w:jc w:val="center"/>
              <w:rPr>
                <w:rFonts w:ascii="Arabic Typesetting" w:hAnsi="Arabic Typesetting" w:cs="Arabic Typesetting"/>
                <w:b/>
                <w:bCs/>
                <w:sz w:val="28"/>
                <w:szCs w:val="28"/>
                <w:rtl/>
                <w:lang w:bidi="ar-EG"/>
              </w:rPr>
            </w:pPr>
            <w:r w:rsidRPr="00532731">
              <w:rPr>
                <w:rFonts w:ascii="Arabic Typesetting" w:hAnsi="Arabic Typesetting" w:cs="Arabic Typesetting" w:hint="cs"/>
                <w:b/>
                <w:bCs/>
                <w:sz w:val="28"/>
                <w:szCs w:val="28"/>
                <w:rtl/>
                <w:lang w:bidi="ar-EG"/>
              </w:rPr>
              <w:t>31 ديسمبر 201</w:t>
            </w:r>
            <w:r>
              <w:rPr>
                <w:rFonts w:ascii="Arabic Typesetting" w:hAnsi="Arabic Typesetting" w:cs="Arabic Typesetting" w:hint="cs"/>
                <w:b/>
                <w:bCs/>
                <w:sz w:val="28"/>
                <w:szCs w:val="28"/>
                <w:rtl/>
                <w:lang w:bidi="ar-EG"/>
              </w:rPr>
              <w:t>2</w:t>
            </w:r>
          </w:p>
        </w:tc>
        <w:tc>
          <w:tcPr>
            <w:tcW w:w="2393" w:type="dxa"/>
            <w:shd w:val="clear" w:color="auto" w:fill="auto"/>
            <w:vAlign w:val="center"/>
          </w:tcPr>
          <w:p w:rsidR="00E16243" w:rsidRPr="00532731" w:rsidRDefault="00E16243" w:rsidP="00E16243">
            <w:pPr>
              <w:bidi/>
              <w:spacing w:line="280" w:lineRule="exact"/>
              <w:jc w:val="center"/>
              <w:rPr>
                <w:rFonts w:ascii="Arabic Typesetting" w:hAnsi="Arabic Typesetting" w:cs="Arabic Typesetting"/>
                <w:b/>
                <w:bCs/>
                <w:sz w:val="28"/>
                <w:szCs w:val="28"/>
                <w:rtl/>
                <w:lang w:bidi="ar-EG"/>
              </w:rPr>
            </w:pPr>
            <w:r w:rsidRPr="00532731">
              <w:rPr>
                <w:rFonts w:ascii="Arabic Typesetting" w:hAnsi="Arabic Typesetting" w:cs="Arabic Typesetting" w:hint="cs"/>
                <w:b/>
                <w:bCs/>
                <w:sz w:val="28"/>
                <w:szCs w:val="28"/>
                <w:rtl/>
                <w:lang w:bidi="ar-EG"/>
              </w:rPr>
              <w:t>31 ديسمبر 201</w:t>
            </w:r>
            <w:r>
              <w:rPr>
                <w:rFonts w:ascii="Arabic Typesetting" w:hAnsi="Arabic Typesetting" w:cs="Arabic Typesetting" w:hint="cs"/>
                <w:b/>
                <w:bCs/>
                <w:sz w:val="28"/>
                <w:szCs w:val="28"/>
                <w:rtl/>
                <w:lang w:bidi="ar-EG"/>
              </w:rPr>
              <w:t>1</w:t>
            </w:r>
          </w:p>
        </w:tc>
      </w:tr>
      <w:tr w:rsidR="00E16243" w:rsidRPr="00943F36" w:rsidTr="00E16243">
        <w:tc>
          <w:tcPr>
            <w:tcW w:w="2659" w:type="dxa"/>
            <w:shd w:val="clear" w:color="auto" w:fill="auto"/>
            <w:vAlign w:val="center"/>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2126" w:type="dxa"/>
            <w:shd w:val="clear" w:color="auto" w:fill="auto"/>
            <w:vAlign w:val="center"/>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4786" w:type="dxa"/>
            <w:gridSpan w:val="2"/>
            <w:tcBorders>
              <w:bottom w:val="single" w:sz="4" w:space="0" w:color="auto"/>
            </w:tcBorders>
            <w:shd w:val="clear" w:color="auto" w:fill="auto"/>
            <w:vAlign w:val="center"/>
          </w:tcPr>
          <w:p w:rsidR="00E16243" w:rsidRPr="00943F36" w:rsidRDefault="00E16243" w:rsidP="00E16243">
            <w:pPr>
              <w:bidi/>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(بآلاف الفرنكات السويسرية)</w:t>
            </w:r>
          </w:p>
        </w:tc>
      </w:tr>
      <w:tr w:rsidR="00E16243" w:rsidRPr="00943F36" w:rsidTr="00E16243">
        <w:tc>
          <w:tcPr>
            <w:tcW w:w="2659" w:type="dxa"/>
            <w:shd w:val="clear" w:color="auto" w:fill="auto"/>
          </w:tcPr>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hint="cs"/>
                <w:sz w:val="28"/>
                <w:szCs w:val="28"/>
                <w:rtl/>
                <w:lang w:bidi="ar-EG"/>
              </w:rPr>
              <w:t>منح التعليم المستحقة الدفع</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hint="cs"/>
                <w:sz w:val="28"/>
                <w:szCs w:val="28"/>
                <w:rtl/>
                <w:lang w:bidi="ar-EG"/>
              </w:rPr>
              <w:t>التكاليف القانونية</w:t>
            </w:r>
          </w:p>
        </w:tc>
        <w:tc>
          <w:tcPr>
            <w:tcW w:w="2126" w:type="dxa"/>
            <w:shd w:val="clear" w:color="auto" w:fill="auto"/>
          </w:tcPr>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hint="cs"/>
                <w:sz w:val="28"/>
                <w:szCs w:val="28"/>
                <w:rtl/>
                <w:lang w:bidi="ar-EG"/>
              </w:rPr>
              <w:t xml:space="preserve"> </w:t>
            </w:r>
          </w:p>
        </w:tc>
        <w:tc>
          <w:tcPr>
            <w:tcW w:w="2393"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lang w:bidi="ar-EG"/>
              </w:rPr>
              <w:t>1</w:t>
            </w:r>
            <w:r>
              <w:rPr>
                <w:rFonts w:ascii="Arabic Typesetting" w:hAnsi="Arabic Typesetting" w:cs="Arabic Typesetting" w:hint="cs"/>
                <w:sz w:val="28"/>
                <w:szCs w:val="28"/>
                <w:rtl/>
                <w:lang w:bidi="ar-EG"/>
              </w:rPr>
              <w:t>,</w:t>
            </w:r>
            <w:r>
              <w:rPr>
                <w:rFonts w:ascii="Arabic Typesetting" w:hAnsi="Arabic Typesetting" w:cs="Arabic Typesetting"/>
                <w:sz w:val="28"/>
                <w:szCs w:val="28"/>
                <w:lang w:bidi="ar-EG"/>
              </w:rPr>
              <w:t>761</w:t>
            </w:r>
          </w:p>
          <w:p w:rsidR="00E16243" w:rsidRPr="00943F36"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lang w:bidi="ar-EG"/>
              </w:rPr>
              <w:t>1</w:t>
            </w:r>
            <w:r>
              <w:rPr>
                <w:rFonts w:ascii="Arabic Typesetting" w:hAnsi="Arabic Typesetting" w:cs="Arabic Typesetting" w:hint="cs"/>
                <w:sz w:val="28"/>
                <w:szCs w:val="28"/>
                <w:rtl/>
                <w:lang w:bidi="ar-EG"/>
              </w:rPr>
              <w:t>,</w:t>
            </w:r>
            <w:r>
              <w:rPr>
                <w:rFonts w:ascii="Arabic Typesetting" w:hAnsi="Arabic Typesetting" w:cs="Arabic Typesetting"/>
                <w:sz w:val="28"/>
                <w:szCs w:val="28"/>
                <w:lang w:bidi="ar-EG"/>
              </w:rPr>
              <w:t>032</w:t>
            </w:r>
          </w:p>
        </w:tc>
        <w:tc>
          <w:tcPr>
            <w:tcW w:w="2393"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lang w:bidi="ar-EG"/>
              </w:rPr>
              <w:t>1</w:t>
            </w:r>
            <w:r>
              <w:rPr>
                <w:rFonts w:ascii="Arabic Typesetting" w:hAnsi="Arabic Typesetting" w:cs="Arabic Typesetting" w:hint="cs"/>
                <w:sz w:val="28"/>
                <w:szCs w:val="28"/>
                <w:rtl/>
                <w:lang w:bidi="ar-EG"/>
              </w:rPr>
              <w:t>,</w:t>
            </w:r>
            <w:r>
              <w:rPr>
                <w:rFonts w:ascii="Arabic Typesetting" w:hAnsi="Arabic Typesetting" w:cs="Arabic Typesetting"/>
                <w:sz w:val="28"/>
                <w:szCs w:val="28"/>
                <w:lang w:bidi="ar-EG"/>
              </w:rPr>
              <w:t>591</w:t>
            </w:r>
          </w:p>
          <w:p w:rsidR="00E16243" w:rsidRPr="00943F36"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sz w:val="28"/>
                <w:szCs w:val="28"/>
                <w:lang w:bidi="ar-EG"/>
              </w:rPr>
              <w:t>831</w:t>
            </w:r>
          </w:p>
        </w:tc>
      </w:tr>
      <w:tr w:rsidR="00E16243" w:rsidRPr="00943F36" w:rsidTr="00E16243">
        <w:tc>
          <w:tcPr>
            <w:tcW w:w="2659"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hint="cs"/>
                <w:b/>
                <w:bCs/>
                <w:sz w:val="28"/>
                <w:szCs w:val="28"/>
                <w:rtl/>
                <w:lang w:bidi="ar-EG"/>
              </w:rPr>
              <w:t>مجموع المخصصات</w:t>
            </w:r>
          </w:p>
        </w:tc>
        <w:tc>
          <w:tcPr>
            <w:tcW w:w="2126"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p>
        </w:tc>
        <w:tc>
          <w:tcPr>
            <w:tcW w:w="2393"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g"/>
                <w:b/>
                <w:bCs/>
                <w:sz w:val="28"/>
                <w:szCs w:val="28"/>
                <w:lang w:bidi="ar-EG"/>
              </w:rPr>
              <w:t>2</w:t>
            </w:r>
            <w:r>
              <w:rPr>
                <w:rFonts w:ascii="Arabic Typesetting" w:hAnsi="Arabic Typesetting" w:cs="Arabic Typesetting" w:hint="cs"/>
                <w:b/>
                <w:bCs/>
                <w:sz w:val="28"/>
                <w:szCs w:val="28"/>
                <w:rtl/>
                <w:lang w:bidi="ar-EG"/>
              </w:rPr>
              <w:t>,</w:t>
            </w:r>
            <w:r>
              <w:rPr>
                <w:rFonts w:ascii="Arabic Typesetting" w:hAnsi="Arabic Typesetting" w:cs="Arabic Typesetting"/>
                <w:b/>
                <w:bCs/>
                <w:sz w:val="28"/>
                <w:szCs w:val="28"/>
                <w:lang w:bidi="ar-EG"/>
              </w:rPr>
              <w:t>793</w:t>
            </w:r>
          </w:p>
        </w:tc>
        <w:tc>
          <w:tcPr>
            <w:tcW w:w="2393"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b/>
                <w:bCs/>
                <w:sz w:val="28"/>
                <w:szCs w:val="28"/>
                <w:rtl/>
                <w:lang w:bidi="ar-EG"/>
              </w:rPr>
            </w:pPr>
            <w:r>
              <w:rPr>
                <w:rFonts w:ascii="Arabic Typesetting" w:hAnsi="Arabic Typesetting" w:cs="Arabic Typesetting"/>
                <w:b/>
                <w:bCs/>
                <w:sz w:val="28"/>
                <w:szCs w:val="28"/>
                <w:lang w:bidi="ar-EG"/>
              </w:rPr>
              <w:t>2</w:t>
            </w:r>
            <w:r>
              <w:rPr>
                <w:rFonts w:ascii="Arabic Typesetting" w:hAnsi="Arabic Typesetting" w:cs="Arabic Typesetting" w:hint="cs"/>
                <w:b/>
                <w:bCs/>
                <w:sz w:val="28"/>
                <w:szCs w:val="28"/>
                <w:rtl/>
                <w:lang w:bidi="ar-EG"/>
              </w:rPr>
              <w:t>,</w:t>
            </w:r>
            <w:r>
              <w:rPr>
                <w:rFonts w:ascii="Arabic Typesetting" w:hAnsi="Arabic Typesetting" w:cs="Arabic Typesetting"/>
                <w:b/>
                <w:bCs/>
                <w:sz w:val="28"/>
                <w:szCs w:val="28"/>
                <w:lang w:bidi="ar-EG"/>
              </w:rPr>
              <w:t>422</w:t>
            </w:r>
          </w:p>
        </w:tc>
      </w:tr>
    </w:tbl>
    <w:p w:rsidR="00E16243" w:rsidRDefault="00E16243" w:rsidP="00E16243">
      <w:pPr>
        <w:pStyle w:val="NormalParaAR"/>
        <w:spacing w:before="240"/>
        <w:rPr>
          <w:rtl/>
        </w:rPr>
      </w:pPr>
      <w:r>
        <w:rPr>
          <w:rFonts w:hint="cs"/>
          <w:rtl/>
        </w:rPr>
        <w:t>تتعلق مخصصات منح</w:t>
      </w:r>
      <w:r w:rsidRPr="00F82332">
        <w:rPr>
          <w:rFonts w:hint="cs"/>
          <w:rtl/>
        </w:rPr>
        <w:t xml:space="preserve"> التعليم الواجب دفعها بعدد الأشهر التي مضت بين بداية السنة الدراسية/الجامعية و31 ديسمبر</w:t>
      </w:r>
      <w:r w:rsidRPr="00F82332">
        <w:rPr>
          <w:rFonts w:hint="eastAsia"/>
          <w:rtl/>
        </w:rPr>
        <w:t> </w:t>
      </w:r>
      <w:r>
        <w:rPr>
          <w:rFonts w:hint="cs"/>
          <w:rtl/>
        </w:rPr>
        <w:t>2012</w:t>
      </w:r>
      <w:r w:rsidRPr="00F82332">
        <w:rPr>
          <w:rFonts w:hint="eastAsia"/>
          <w:rtl/>
        </w:rPr>
        <w:t xml:space="preserve"> </w:t>
      </w:r>
      <w:r w:rsidRPr="00F82332">
        <w:rPr>
          <w:rFonts w:hint="cs"/>
          <w:rtl/>
        </w:rPr>
        <w:t>والتي أصبحت الرسوم الخاصة بها مستحقة الدفع.</w:t>
      </w:r>
      <w:r w:rsidRPr="00F82332">
        <w:t xml:space="preserve"> </w:t>
      </w:r>
      <w:r w:rsidRPr="00F82332">
        <w:rPr>
          <w:rFonts w:hint="cs"/>
          <w:rtl/>
        </w:rPr>
        <w:t xml:space="preserve">والمنظمة معرضة للإجراءات القضائية كجزء من أنشطة عملها العادي. </w:t>
      </w:r>
      <w:r>
        <w:rPr>
          <w:rFonts w:hint="cs"/>
          <w:rtl/>
        </w:rPr>
        <w:t>وقد ترتب</w:t>
      </w:r>
      <w:r w:rsidRPr="00F82332">
        <w:rPr>
          <w:rFonts w:hint="cs"/>
          <w:rtl/>
        </w:rPr>
        <w:t xml:space="preserve"> </w:t>
      </w:r>
      <w:r>
        <w:rPr>
          <w:rFonts w:hint="cs"/>
          <w:rtl/>
        </w:rPr>
        <w:t xml:space="preserve">على </w:t>
      </w:r>
      <w:r w:rsidRPr="00F82332">
        <w:rPr>
          <w:rFonts w:hint="cs"/>
          <w:rtl/>
        </w:rPr>
        <w:t>الأحداث التي وقعت قبل 31 ديسمبر</w:t>
      </w:r>
      <w:r w:rsidRPr="00F82332">
        <w:rPr>
          <w:rFonts w:hint="eastAsia"/>
          <w:rtl/>
        </w:rPr>
        <w:t> </w:t>
      </w:r>
      <w:r>
        <w:rPr>
          <w:rFonts w:hint="cs"/>
          <w:rtl/>
        </w:rPr>
        <w:t>2012</w:t>
      </w:r>
      <w:r w:rsidRPr="00F82332">
        <w:rPr>
          <w:rFonts w:hint="cs"/>
          <w:rtl/>
        </w:rPr>
        <w:t xml:space="preserve"> بعض الالتزامات القانونية </w:t>
      </w:r>
      <w:r>
        <w:rPr>
          <w:rFonts w:hint="cs"/>
          <w:rtl/>
        </w:rPr>
        <w:t xml:space="preserve">حتى </w:t>
      </w:r>
      <w:r w:rsidRPr="00F82332">
        <w:rPr>
          <w:rFonts w:hint="cs"/>
          <w:rtl/>
        </w:rPr>
        <w:t>تاريخ التقرير المالي. وبما أنه يحتمل أن تقتضي هذه الالتزامات تسوية في المستقبل وبما أنه بالإمكان تقدير المبالغ المتعلقة بعمليات التسوية بشكل موثوق، فقد وضعت المنظمة مخصصات لتغطية التكاليف القانونية. وقدرت المخصصات بأكبر قدر ممكن من الدقة على أساس المعلومات المتاحة.</w:t>
      </w:r>
    </w:p>
    <w:tbl>
      <w:tblPr>
        <w:bidiVisual/>
        <w:tblW w:w="0" w:type="auto"/>
        <w:jc w:val="center"/>
        <w:tblLayout w:type="fixed"/>
        <w:tblLook w:val="04A0" w:firstRow="1" w:lastRow="0" w:firstColumn="1" w:lastColumn="0" w:noHBand="0" w:noVBand="1"/>
      </w:tblPr>
      <w:tblGrid>
        <w:gridCol w:w="2643"/>
        <w:gridCol w:w="1114"/>
        <w:gridCol w:w="1671"/>
        <w:gridCol w:w="2506"/>
        <w:gridCol w:w="1637"/>
      </w:tblGrid>
      <w:tr w:rsidR="00E16243" w:rsidRPr="00943F36" w:rsidTr="00E16243">
        <w:trPr>
          <w:jc w:val="center"/>
        </w:trPr>
        <w:tc>
          <w:tcPr>
            <w:tcW w:w="2643"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1671" w:type="dxa"/>
            <w:tcBorders>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التكاليف القانونية</w:t>
            </w:r>
          </w:p>
        </w:tc>
        <w:tc>
          <w:tcPr>
            <w:tcW w:w="2506" w:type="dxa"/>
            <w:tcBorders>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المنح التعليمية</w:t>
            </w:r>
          </w:p>
          <w:p w:rsidR="00E16243" w:rsidRPr="00C542C1" w:rsidRDefault="00E16243" w:rsidP="00E16243">
            <w:pPr>
              <w:bidi/>
              <w:spacing w:line="280" w:lineRule="exact"/>
              <w:jc w:val="center"/>
              <w:rPr>
                <w:rFonts w:ascii="Arabic Typesetting" w:hAnsi="Arabic Typesetting" w:cs="Arabic Typesetting"/>
                <w:sz w:val="28"/>
                <w:szCs w:val="28"/>
                <w:rtl/>
                <w:lang w:bidi="ar-EG"/>
              </w:rPr>
            </w:pPr>
            <w:r w:rsidRPr="00C542C1">
              <w:rPr>
                <w:rFonts w:ascii="Arabic Typesetting" w:hAnsi="Arabic Typesetting" w:cs="Arabic Typesetting"/>
                <w:sz w:val="28"/>
                <w:szCs w:val="28"/>
                <w:rtl/>
                <w:lang w:bidi="ar-EG"/>
              </w:rPr>
              <w:t>(بآلاف الفرنكات السويسرية)</w:t>
            </w:r>
          </w:p>
        </w:tc>
        <w:tc>
          <w:tcPr>
            <w:tcW w:w="1637" w:type="dxa"/>
            <w:tcBorders>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المجموع</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الرصيد في 31 ديسمبر 2010</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1</w:t>
            </w:r>
            <w:r>
              <w:rPr>
                <w:rFonts w:ascii="Arabic Typesetting" w:hAnsi="Arabic Typesetting" w:cs="Arabic Typesetting" w:hint="cs"/>
                <w:b/>
                <w:bCs/>
                <w:sz w:val="28"/>
                <w:szCs w:val="28"/>
                <w:rtl/>
                <w:lang w:bidi="ar-EG"/>
              </w:rPr>
              <w:t>,</w:t>
            </w:r>
            <w:r w:rsidRPr="00943F36">
              <w:rPr>
                <w:rFonts w:ascii="Arabic Typesetting" w:hAnsi="Arabic Typesetting" w:cs="Arabic Typesetting"/>
                <w:b/>
                <w:bCs/>
                <w:sz w:val="28"/>
                <w:szCs w:val="28"/>
                <w:rtl/>
                <w:lang w:bidi="ar-EG"/>
              </w:rPr>
              <w:t>124</w:t>
            </w:r>
          </w:p>
        </w:tc>
        <w:tc>
          <w:tcPr>
            <w:tcW w:w="2506"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1</w:t>
            </w:r>
            <w:r>
              <w:rPr>
                <w:rFonts w:ascii="Arabic Typesetting" w:hAnsi="Arabic Typesetting" w:cs="Arabic Typesetting" w:hint="cs"/>
                <w:b/>
                <w:bCs/>
                <w:sz w:val="28"/>
                <w:szCs w:val="28"/>
                <w:rtl/>
                <w:lang w:bidi="ar-EG"/>
              </w:rPr>
              <w:t>,</w:t>
            </w:r>
            <w:r w:rsidRPr="00943F36">
              <w:rPr>
                <w:rFonts w:ascii="Arabic Typesetting" w:hAnsi="Arabic Typesetting" w:cs="Arabic Typesetting"/>
                <w:b/>
                <w:bCs/>
                <w:sz w:val="28"/>
                <w:szCs w:val="28"/>
                <w:rtl/>
                <w:lang w:bidi="ar-EG"/>
              </w:rPr>
              <w:t>488</w:t>
            </w:r>
          </w:p>
        </w:tc>
        <w:tc>
          <w:tcPr>
            <w:tcW w:w="1637"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2</w:t>
            </w:r>
            <w:r>
              <w:rPr>
                <w:rFonts w:ascii="Arabic Typesetting" w:hAnsi="Arabic Typesetting" w:cs="Arabic Typesetting" w:hint="cs"/>
                <w:b/>
                <w:bCs/>
                <w:sz w:val="28"/>
                <w:szCs w:val="28"/>
                <w:rtl/>
                <w:lang w:bidi="ar-EG"/>
              </w:rPr>
              <w:t>,</w:t>
            </w:r>
            <w:r w:rsidRPr="00943F36">
              <w:rPr>
                <w:rFonts w:ascii="Arabic Typesetting" w:hAnsi="Arabic Typesetting" w:cs="Arabic Typesetting"/>
                <w:b/>
                <w:bCs/>
                <w:sz w:val="28"/>
                <w:szCs w:val="28"/>
                <w:rtl/>
                <w:lang w:bidi="ar-EG"/>
              </w:rPr>
              <w:t>612</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p>
        </w:tc>
        <w:tc>
          <w:tcPr>
            <w:tcW w:w="1114" w:type="dxa"/>
            <w:shd w:val="clear" w:color="auto" w:fill="auto"/>
          </w:tcPr>
          <w:p w:rsidR="00E16243" w:rsidRPr="00943F36" w:rsidRDefault="00E16243" w:rsidP="00E16243">
            <w:pPr>
              <w:bidi/>
              <w:spacing w:line="280" w:lineRule="exact"/>
              <w:rPr>
                <w:rFonts w:ascii="Arabic Typesetting" w:hAnsi="Arabic Typesetting" w:cs="Arabic Typesetting"/>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tc>
        <w:tc>
          <w:tcPr>
            <w:tcW w:w="2506"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tc>
        <w:tc>
          <w:tcPr>
            <w:tcW w:w="1637"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التحركات في سنة 2011:</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مخصصات إضافية</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المبالغ المستخدمة</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مبالغ غير مستخدمة مسترجعة</w:t>
            </w:r>
          </w:p>
        </w:tc>
        <w:tc>
          <w:tcPr>
            <w:tcW w:w="1114" w:type="dxa"/>
            <w:shd w:val="clear" w:color="auto" w:fill="auto"/>
          </w:tcPr>
          <w:p w:rsidR="00E16243" w:rsidRPr="00943F36" w:rsidRDefault="00E16243" w:rsidP="00E16243">
            <w:pPr>
              <w:bidi/>
              <w:spacing w:line="280" w:lineRule="exact"/>
              <w:rPr>
                <w:rFonts w:ascii="Arabic Typesetting" w:hAnsi="Arabic Typesetting" w:cs="Arabic Typesetting"/>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148-</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145-</w:t>
            </w:r>
          </w:p>
        </w:tc>
        <w:tc>
          <w:tcPr>
            <w:tcW w:w="2506"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w:t>
            </w:r>
            <w:r>
              <w:rPr>
                <w:rFonts w:ascii="Arabic Typesetting" w:hAnsi="Arabic Typesetting" w:cs="Arabic Typesetting" w:hint="cs"/>
                <w:sz w:val="28"/>
                <w:szCs w:val="28"/>
                <w:rtl/>
                <w:lang w:bidi="ar-EG"/>
              </w:rPr>
              <w:t>,</w:t>
            </w:r>
            <w:r w:rsidRPr="00943F36">
              <w:rPr>
                <w:rFonts w:ascii="Arabic Typesetting" w:hAnsi="Arabic Typesetting" w:cs="Arabic Typesetting"/>
                <w:sz w:val="28"/>
                <w:szCs w:val="28"/>
                <w:rtl/>
                <w:lang w:bidi="ar-EG"/>
              </w:rPr>
              <w:t>591</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w:t>
            </w:r>
            <w:r>
              <w:rPr>
                <w:rFonts w:ascii="Arabic Typesetting" w:hAnsi="Arabic Typesetting" w:cs="Arabic Typesetting" w:hint="cs"/>
                <w:sz w:val="28"/>
                <w:szCs w:val="28"/>
                <w:rtl/>
                <w:lang w:bidi="ar-EG"/>
              </w:rPr>
              <w:t>,</w:t>
            </w:r>
            <w:r w:rsidRPr="00943F36">
              <w:rPr>
                <w:rFonts w:ascii="Arabic Typesetting" w:hAnsi="Arabic Typesetting" w:cs="Arabic Typesetting"/>
                <w:sz w:val="28"/>
                <w:szCs w:val="28"/>
                <w:rtl/>
                <w:lang w:bidi="ar-EG"/>
              </w:rPr>
              <w:t>488</w:t>
            </w:r>
            <w:r>
              <w:rPr>
                <w:rFonts w:ascii="Arabic Typesetting" w:hAnsi="Arabic Typesetting" w:cs="Arabic Typesetting" w:hint="cs"/>
                <w:sz w:val="28"/>
                <w:szCs w:val="28"/>
                <w:rtl/>
                <w:lang w:bidi="ar-EG"/>
              </w:rPr>
              <w:t>-</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w:t>
            </w:r>
          </w:p>
        </w:tc>
        <w:tc>
          <w:tcPr>
            <w:tcW w:w="1637" w:type="dxa"/>
            <w:tcBorders>
              <w:top w:val="single" w:sz="4" w:space="0" w:color="auto"/>
              <w:bottom w:val="single" w:sz="4" w:space="0" w:color="auto"/>
            </w:tcBorders>
            <w:shd w:val="clear" w:color="auto" w:fill="auto"/>
          </w:tcPr>
          <w:p w:rsidR="00E16243" w:rsidRPr="00943F36" w:rsidRDefault="00E16243" w:rsidP="00E16243">
            <w:pPr>
              <w:spacing w:line="280" w:lineRule="exact"/>
              <w:jc w:val="center"/>
              <w:rPr>
                <w:rFonts w:ascii="Arabic Typesetting" w:hAnsi="Arabic Typesetting" w:cs="Arabic Typesetting"/>
                <w:sz w:val="28"/>
                <w:szCs w:val="28"/>
                <w:rtl/>
                <w:lang w:bidi="ar-EG"/>
              </w:rPr>
            </w:pP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w:t>
            </w:r>
            <w:r>
              <w:rPr>
                <w:rFonts w:ascii="Arabic Typesetting" w:hAnsi="Arabic Typesetting" w:cs="Arabic Typesetting" w:hint="cs"/>
                <w:sz w:val="28"/>
                <w:szCs w:val="28"/>
                <w:rtl/>
                <w:lang w:bidi="ar-EG"/>
              </w:rPr>
              <w:t>,</w:t>
            </w:r>
            <w:r w:rsidRPr="00943F36">
              <w:rPr>
                <w:rFonts w:ascii="Arabic Typesetting" w:hAnsi="Arabic Typesetting" w:cs="Arabic Typesetting"/>
                <w:sz w:val="28"/>
                <w:szCs w:val="28"/>
                <w:rtl/>
                <w:lang w:bidi="ar-EG"/>
              </w:rPr>
              <w:t>591</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1.636-</w:t>
            </w:r>
          </w:p>
          <w:p w:rsidR="00E16243" w:rsidRPr="00943F36" w:rsidRDefault="00E16243" w:rsidP="00E16243">
            <w:pPr>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145-</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مجموع التحركات في سنة 2011</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293-</w:t>
            </w:r>
          </w:p>
        </w:tc>
        <w:tc>
          <w:tcPr>
            <w:tcW w:w="2506"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103</w:t>
            </w:r>
          </w:p>
        </w:tc>
        <w:tc>
          <w:tcPr>
            <w:tcW w:w="1637"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190-</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2506"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37"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الرصيد في 31 ديسمبر 2011</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831</w:t>
            </w:r>
          </w:p>
        </w:tc>
        <w:tc>
          <w:tcPr>
            <w:tcW w:w="2506"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1.591</w:t>
            </w:r>
          </w:p>
        </w:tc>
        <w:tc>
          <w:tcPr>
            <w:tcW w:w="1637"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2.422</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2506"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c>
          <w:tcPr>
            <w:tcW w:w="1637"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b/>
                <w:bCs/>
                <w:sz w:val="28"/>
                <w:szCs w:val="28"/>
                <w:rtl/>
                <w:lang w:bidi="ar-EG"/>
              </w:rPr>
            </w:pPr>
          </w:p>
        </w:tc>
      </w:tr>
      <w:tr w:rsidR="00E16243" w:rsidRPr="00943F36" w:rsidTr="00E16243">
        <w:trPr>
          <w:trHeight w:val="193"/>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التحركات في سنة 2012:</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مخصصات إضافية</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المبالغ المستخدمة</w:t>
            </w:r>
          </w:p>
          <w:p w:rsidR="00E16243" w:rsidRPr="00943F36" w:rsidRDefault="00E16243" w:rsidP="00E16243">
            <w:pPr>
              <w:bidi/>
              <w:spacing w:line="280" w:lineRule="exact"/>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مبالغ غير مستخدمة مسترجعة</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rPr>
                <w:rFonts w:ascii="Arabic Typesetting" w:hAnsi="Arabic Typesetting" w:cs="Arabic Typesetting"/>
                <w:sz w:val="28"/>
                <w:szCs w:val="28"/>
                <w:lang w:bidi="ar-EG"/>
              </w:rPr>
            </w:pPr>
          </w:p>
        </w:tc>
        <w:tc>
          <w:tcPr>
            <w:tcW w:w="1671"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776</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146-</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429-</w:t>
            </w:r>
          </w:p>
        </w:tc>
        <w:tc>
          <w:tcPr>
            <w:tcW w:w="2506"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1.761</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1.591-</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w:t>
            </w:r>
          </w:p>
        </w:tc>
        <w:tc>
          <w:tcPr>
            <w:tcW w:w="1637" w:type="dxa"/>
            <w:tcBorders>
              <w:top w:val="single" w:sz="4" w:space="0" w:color="auto"/>
              <w:bottom w:val="single" w:sz="4" w:space="0" w:color="auto"/>
            </w:tcBorders>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2.537</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1.737-</w:t>
            </w:r>
          </w:p>
          <w:p w:rsidR="00E16243" w:rsidRPr="00943F36" w:rsidRDefault="00E16243" w:rsidP="00E16243">
            <w:pPr>
              <w:bidi/>
              <w:spacing w:line="280" w:lineRule="exact"/>
              <w:jc w:val="center"/>
              <w:rPr>
                <w:rFonts w:ascii="Arabic Typesetting" w:hAnsi="Arabic Typesetting" w:cs="Arabic Typesetting"/>
                <w:sz w:val="28"/>
                <w:szCs w:val="28"/>
                <w:rtl/>
                <w:lang w:bidi="ar-EG"/>
              </w:rPr>
            </w:pPr>
            <w:r w:rsidRPr="00943F36">
              <w:rPr>
                <w:rFonts w:ascii="Arabic Typesetting" w:hAnsi="Arabic Typesetting" w:cs="Arabic Typesetting"/>
                <w:sz w:val="28"/>
                <w:szCs w:val="28"/>
                <w:rtl/>
                <w:lang w:bidi="ar-EG"/>
              </w:rPr>
              <w:t>429-</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b/>
                <w:bCs/>
                <w:sz w:val="28"/>
                <w:szCs w:val="28"/>
                <w:rtl/>
                <w:lang w:bidi="ar-EG"/>
              </w:rPr>
              <w:t>مجموع التحركات في سنة 201</w:t>
            </w:r>
            <w:r>
              <w:rPr>
                <w:rFonts w:ascii="Arabic Typesetting" w:hAnsi="Arabic Typesetting" w:cs="Arabic Typesetting" w:hint="cs"/>
                <w:b/>
                <w:bCs/>
                <w:sz w:val="28"/>
                <w:szCs w:val="28"/>
                <w:rtl/>
                <w:lang w:bidi="ar-EG"/>
              </w:rPr>
              <w:t>2</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1671"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b/>
                <w:bCs/>
                <w:sz w:val="28"/>
                <w:szCs w:val="28"/>
                <w:rtl/>
                <w:lang w:bidi="ar-EG"/>
              </w:rPr>
              <w:t>201</w:t>
            </w:r>
          </w:p>
        </w:tc>
        <w:tc>
          <w:tcPr>
            <w:tcW w:w="2506"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b/>
                <w:bCs/>
                <w:sz w:val="28"/>
                <w:szCs w:val="28"/>
                <w:rtl/>
                <w:lang w:bidi="ar-EG"/>
              </w:rPr>
              <w:t>170</w:t>
            </w:r>
          </w:p>
        </w:tc>
        <w:tc>
          <w:tcPr>
            <w:tcW w:w="1637"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b/>
                <w:bCs/>
                <w:sz w:val="28"/>
                <w:szCs w:val="28"/>
                <w:rtl/>
                <w:lang w:bidi="ar-EG"/>
              </w:rPr>
              <w:t>371</w:t>
            </w: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1671"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p>
        </w:tc>
        <w:tc>
          <w:tcPr>
            <w:tcW w:w="2506"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p>
        </w:tc>
        <w:tc>
          <w:tcPr>
            <w:tcW w:w="1637"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p>
        </w:tc>
      </w:tr>
      <w:tr w:rsidR="00E16243" w:rsidRPr="00943F36" w:rsidTr="00E16243">
        <w:trPr>
          <w:jc w:val="center"/>
        </w:trPr>
        <w:tc>
          <w:tcPr>
            <w:tcW w:w="2643" w:type="dxa"/>
            <w:shd w:val="clear" w:color="auto" w:fill="auto"/>
          </w:tcPr>
          <w:p w:rsidR="00E16243" w:rsidRPr="00943F36" w:rsidRDefault="00E16243" w:rsidP="00E16243">
            <w:pPr>
              <w:bidi/>
              <w:spacing w:line="280" w:lineRule="exact"/>
              <w:rPr>
                <w:rFonts w:ascii="Arabic Typesetting" w:hAnsi="Arabic Typesetting" w:cs="Arabic Typesetting"/>
                <w:b/>
                <w:bCs/>
                <w:sz w:val="28"/>
                <w:szCs w:val="28"/>
                <w:rtl/>
                <w:lang w:bidi="ar-EG"/>
              </w:rPr>
            </w:pPr>
            <w:r w:rsidRPr="00943F36">
              <w:rPr>
                <w:rFonts w:ascii="Arabic Typesetting" w:hAnsi="Arabic Typesetting" w:cs="Arabic Typesetting" w:hint="cs"/>
                <w:b/>
                <w:bCs/>
                <w:sz w:val="28"/>
                <w:szCs w:val="28"/>
                <w:rtl/>
                <w:lang w:bidi="ar-EG"/>
              </w:rPr>
              <w:t>الرصيد في 31 ديسمبر 201</w:t>
            </w:r>
            <w:r>
              <w:rPr>
                <w:rFonts w:ascii="Arabic Typesetting" w:hAnsi="Arabic Typesetting" w:cs="Arabic Typesetting" w:hint="cs"/>
                <w:b/>
                <w:bCs/>
                <w:sz w:val="28"/>
                <w:szCs w:val="28"/>
                <w:rtl/>
                <w:lang w:bidi="ar-EG"/>
              </w:rPr>
              <w:t>2</w:t>
            </w:r>
          </w:p>
        </w:tc>
        <w:tc>
          <w:tcPr>
            <w:tcW w:w="1114" w:type="dxa"/>
            <w:shd w:val="clear" w:color="auto" w:fill="auto"/>
          </w:tcPr>
          <w:p w:rsidR="00E16243" w:rsidRPr="00943F36" w:rsidRDefault="00E16243" w:rsidP="00E16243">
            <w:pPr>
              <w:bidi/>
              <w:spacing w:line="280" w:lineRule="exact"/>
              <w:jc w:val="center"/>
              <w:rPr>
                <w:rFonts w:ascii="Arabic Typesetting" w:hAnsi="Arabic Typesetting" w:cs="Arabic Typesetting"/>
                <w:sz w:val="28"/>
                <w:szCs w:val="28"/>
                <w:rtl/>
                <w:lang w:bidi="ar-EG"/>
              </w:rPr>
            </w:pPr>
          </w:p>
        </w:tc>
        <w:tc>
          <w:tcPr>
            <w:tcW w:w="1671"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hint="cs"/>
                <w:b/>
                <w:bCs/>
                <w:sz w:val="28"/>
                <w:szCs w:val="28"/>
                <w:rtl/>
                <w:lang w:bidi="ar-EG"/>
              </w:rPr>
              <w:t>1.032</w:t>
            </w:r>
          </w:p>
        </w:tc>
        <w:tc>
          <w:tcPr>
            <w:tcW w:w="2506"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hint="cs"/>
                <w:b/>
                <w:bCs/>
                <w:sz w:val="28"/>
                <w:szCs w:val="28"/>
                <w:rtl/>
                <w:lang w:bidi="ar-EG"/>
              </w:rPr>
              <w:t>1.761</w:t>
            </w:r>
          </w:p>
        </w:tc>
        <w:tc>
          <w:tcPr>
            <w:tcW w:w="1637" w:type="dxa"/>
            <w:tcBorders>
              <w:top w:val="single" w:sz="4" w:space="0" w:color="auto"/>
              <w:bottom w:val="single" w:sz="4" w:space="0" w:color="auto"/>
            </w:tcBorders>
            <w:shd w:val="clear" w:color="auto" w:fill="auto"/>
          </w:tcPr>
          <w:p w:rsidR="00E16243" w:rsidRPr="00301936" w:rsidRDefault="00E16243" w:rsidP="00E16243">
            <w:pPr>
              <w:bidi/>
              <w:spacing w:line="280" w:lineRule="exact"/>
              <w:jc w:val="center"/>
              <w:rPr>
                <w:rFonts w:ascii="Arabic Typesetting" w:hAnsi="Arabic Typesetting" w:cs="Arabic Typesetting"/>
                <w:b/>
                <w:bCs/>
                <w:sz w:val="28"/>
                <w:szCs w:val="28"/>
                <w:rtl/>
                <w:lang w:bidi="ar-EG"/>
              </w:rPr>
            </w:pPr>
            <w:r w:rsidRPr="00301936">
              <w:rPr>
                <w:rFonts w:ascii="Arabic Typesetting" w:hAnsi="Arabic Typesetting" w:cs="Arabic Typesetting" w:hint="cs"/>
                <w:b/>
                <w:bCs/>
                <w:sz w:val="28"/>
                <w:szCs w:val="28"/>
                <w:rtl/>
                <w:lang w:bidi="ar-EG"/>
              </w:rPr>
              <w:t>2.793</w:t>
            </w:r>
          </w:p>
        </w:tc>
      </w:tr>
    </w:tbl>
    <w:p w:rsidR="00E16243" w:rsidRPr="002869C3" w:rsidRDefault="00E16243" w:rsidP="002869C3">
      <w:pPr>
        <w:pStyle w:val="Heading2"/>
        <w:bidi/>
        <w:rPr>
          <w:rFonts w:ascii="Arabic Typesetting" w:hAnsi="Arabic Typesetting" w:cs="Arabic Typesetting"/>
          <w:i/>
          <w:iCs w:val="0"/>
          <w:sz w:val="40"/>
          <w:szCs w:val="40"/>
          <w:rtl/>
        </w:rPr>
      </w:pPr>
      <w:bookmarkStart w:id="32" w:name="_Toc362519115"/>
      <w:r w:rsidRPr="002869C3">
        <w:rPr>
          <w:rFonts w:ascii="Arabic Typesetting" w:hAnsi="Arabic Typesetting" w:cs="Arabic Typesetting" w:hint="cs"/>
          <w:i/>
          <w:iCs w:val="0"/>
          <w:sz w:val="40"/>
          <w:szCs w:val="40"/>
          <w:rtl/>
        </w:rPr>
        <w:t xml:space="preserve">الملاحظة 17:خصوم متداولة أخرى </w:t>
      </w:r>
      <w:r w:rsidRPr="002869C3">
        <w:rPr>
          <w:rFonts w:ascii="Arabic Typesetting" w:hAnsi="Arabic Typesetting" w:cs="Arabic Typesetting"/>
          <w:i/>
          <w:iCs w:val="0"/>
          <w:sz w:val="40"/>
          <w:szCs w:val="40"/>
          <w:rtl/>
        </w:rPr>
        <w:t>–</w:t>
      </w:r>
      <w:r w:rsidRPr="002869C3">
        <w:rPr>
          <w:rFonts w:ascii="Arabic Typesetting" w:hAnsi="Arabic Typesetting" w:cs="Arabic Typesetting" w:hint="cs"/>
          <w:i/>
          <w:iCs w:val="0"/>
          <w:sz w:val="40"/>
          <w:szCs w:val="40"/>
          <w:rtl/>
        </w:rPr>
        <w:t xml:space="preserve"> الحسابات الجارية</w:t>
      </w:r>
      <w:bookmarkEnd w:id="32"/>
    </w:p>
    <w:tbl>
      <w:tblPr>
        <w:bidiVisual/>
        <w:tblW w:w="0" w:type="auto"/>
        <w:jc w:val="center"/>
        <w:tblLayout w:type="fixed"/>
        <w:tblLook w:val="04A0" w:firstRow="1" w:lastRow="0" w:firstColumn="1" w:lastColumn="0" w:noHBand="0" w:noVBand="1"/>
      </w:tblPr>
      <w:tblGrid>
        <w:gridCol w:w="5069"/>
        <w:gridCol w:w="850"/>
        <w:gridCol w:w="1985"/>
        <w:gridCol w:w="1667"/>
      </w:tblGrid>
      <w:tr w:rsidR="00E16243" w:rsidRPr="00BA46FD" w:rsidTr="00E16243">
        <w:trPr>
          <w:jc w:val="center"/>
        </w:trPr>
        <w:tc>
          <w:tcPr>
            <w:tcW w:w="5069"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rPr>
            </w:pPr>
          </w:p>
        </w:tc>
        <w:tc>
          <w:tcPr>
            <w:tcW w:w="850"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985"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31 ديسمبر 201</w:t>
            </w:r>
            <w:r>
              <w:rPr>
                <w:rFonts w:ascii="Arabic Typesetting" w:hAnsi="Arabic Typesetting" w:cs="Arabic Typesetting" w:hint="cs"/>
                <w:sz w:val="28"/>
                <w:szCs w:val="28"/>
                <w:rtl/>
                <w:lang w:bidi="ar-EG"/>
              </w:rPr>
              <w:t>2</w:t>
            </w:r>
          </w:p>
        </w:tc>
        <w:tc>
          <w:tcPr>
            <w:tcW w:w="1667"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31 ديسمبر 201</w:t>
            </w:r>
            <w:r>
              <w:rPr>
                <w:rFonts w:ascii="Arabic Typesetting" w:hAnsi="Arabic Typesetting" w:cs="Arabic Typesetting" w:hint="cs"/>
                <w:sz w:val="28"/>
                <w:szCs w:val="28"/>
                <w:rtl/>
                <w:lang w:bidi="ar-EG"/>
              </w:rPr>
              <w:t>1</w:t>
            </w:r>
          </w:p>
        </w:tc>
      </w:tr>
      <w:tr w:rsidR="00E16243" w:rsidRPr="00BA46FD" w:rsidTr="00E16243">
        <w:trPr>
          <w:jc w:val="center"/>
        </w:trPr>
        <w:tc>
          <w:tcPr>
            <w:tcW w:w="5069"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850" w:type="dxa"/>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3652" w:type="dxa"/>
            <w:gridSpan w:val="2"/>
            <w:tcBorders>
              <w:bottom w:val="single" w:sz="4" w:space="0" w:color="auto"/>
            </w:tcBorders>
            <w:shd w:val="clear" w:color="auto" w:fill="auto"/>
            <w:vAlign w:val="center"/>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(بآلاف الفرنكات السويسرية)</w:t>
            </w:r>
          </w:p>
        </w:tc>
      </w:tr>
      <w:tr w:rsidR="00E16243" w:rsidRPr="00BA46FD" w:rsidTr="00E16243">
        <w:trPr>
          <w:jc w:val="center"/>
        </w:trPr>
        <w:tc>
          <w:tcPr>
            <w:tcW w:w="5069" w:type="dxa"/>
            <w:shd w:val="clear" w:color="auto" w:fill="auto"/>
          </w:tcPr>
          <w:p w:rsidR="00E16243" w:rsidRPr="00BA46FD" w:rsidRDefault="00E16243" w:rsidP="00E16243">
            <w:pPr>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 xml:space="preserve">حسابات جارية لمعاهدة التعاون بِشأن البراءات </w:t>
            </w:r>
            <w:r w:rsidRPr="00BA46FD">
              <w:rPr>
                <w:rFonts w:ascii="Arabic Typesetting" w:hAnsi="Arabic Typesetting" w:cs="Arabic Typesetting"/>
                <w:sz w:val="28"/>
                <w:szCs w:val="28"/>
                <w:rtl/>
                <w:lang w:bidi="ar-EG"/>
              </w:rPr>
              <w:t>–</w:t>
            </w:r>
            <w:r w:rsidRPr="00BA46FD">
              <w:rPr>
                <w:rFonts w:ascii="Arabic Typesetting" w:hAnsi="Arabic Typesetting" w:cs="Arabic Typesetting" w:hint="cs"/>
                <w:sz w:val="28"/>
                <w:szCs w:val="28"/>
                <w:rtl/>
                <w:lang w:bidi="ar-EG"/>
              </w:rPr>
              <w:t>إيطاليا واليابان</w:t>
            </w:r>
          </w:p>
          <w:p w:rsidR="00E16243" w:rsidRPr="00BA46FD" w:rsidRDefault="00E16243" w:rsidP="00E16243">
            <w:pPr>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حسابات جارية أخرى</w:t>
            </w:r>
          </w:p>
        </w:tc>
        <w:tc>
          <w:tcPr>
            <w:tcW w:w="850"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985" w:type="dxa"/>
            <w:tcBorders>
              <w:top w:val="single" w:sz="4" w:space="0" w:color="auto"/>
              <w:bottom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4</w:t>
            </w:r>
            <w:r>
              <w:rPr>
                <w:rFonts w:ascii="Arabic Typesetting" w:hAnsi="Arabic Typesetting" w:cs="Arabic Typesetting" w:hint="cs"/>
                <w:sz w:val="28"/>
                <w:szCs w:val="28"/>
                <w:rtl/>
                <w:lang w:bidi="ar-EG"/>
              </w:rPr>
              <w:t>,</w:t>
            </w:r>
            <w:r w:rsidRPr="00BA46FD">
              <w:rPr>
                <w:rFonts w:ascii="Arabic Typesetting" w:hAnsi="Arabic Typesetting" w:cs="Arabic Typesetting" w:hint="cs"/>
                <w:sz w:val="28"/>
                <w:szCs w:val="28"/>
                <w:rtl/>
                <w:lang w:bidi="ar-EG"/>
              </w:rPr>
              <w:t>841</w:t>
            </w:r>
          </w:p>
          <w:p w:rsidR="00E16243" w:rsidRPr="00BA46FD" w:rsidRDefault="00E16243" w:rsidP="00E16243">
            <w:pPr>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50</w:t>
            </w:r>
            <w:r>
              <w:rPr>
                <w:rFonts w:ascii="Arabic Typesetting" w:hAnsi="Arabic Typesetting" w:cs="Arabic Typesetting" w:hint="cs"/>
                <w:sz w:val="28"/>
                <w:szCs w:val="28"/>
                <w:rtl/>
                <w:lang w:bidi="ar-EG"/>
              </w:rPr>
              <w:t>,</w:t>
            </w:r>
            <w:r w:rsidRPr="00BA46FD">
              <w:rPr>
                <w:rFonts w:ascii="Arabic Typesetting" w:hAnsi="Arabic Typesetting" w:cs="Arabic Typesetting" w:hint="cs"/>
                <w:sz w:val="28"/>
                <w:szCs w:val="28"/>
                <w:rtl/>
                <w:lang w:bidi="ar-EG"/>
              </w:rPr>
              <w:t>731</w:t>
            </w:r>
          </w:p>
        </w:tc>
        <w:tc>
          <w:tcPr>
            <w:tcW w:w="1667" w:type="dxa"/>
            <w:tcBorders>
              <w:top w:val="single" w:sz="4" w:space="0" w:color="auto"/>
              <w:bottom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6</w:t>
            </w:r>
            <w:r>
              <w:rPr>
                <w:rFonts w:ascii="Arabic Typesetting" w:hAnsi="Arabic Typesetting" w:cs="Arabic Typesetting" w:hint="cs"/>
                <w:sz w:val="28"/>
                <w:szCs w:val="28"/>
                <w:rtl/>
                <w:lang w:bidi="ar-EG"/>
              </w:rPr>
              <w:t>,</w:t>
            </w:r>
            <w:r w:rsidRPr="00BA46FD">
              <w:rPr>
                <w:rFonts w:ascii="Arabic Typesetting" w:hAnsi="Arabic Typesetting" w:cs="Arabic Typesetting" w:hint="cs"/>
                <w:sz w:val="28"/>
                <w:szCs w:val="28"/>
                <w:rtl/>
                <w:lang w:bidi="ar-EG"/>
              </w:rPr>
              <w:t>825</w:t>
            </w:r>
          </w:p>
          <w:p w:rsidR="00E16243" w:rsidRPr="00BA46FD" w:rsidRDefault="00E16243" w:rsidP="00E16243">
            <w:pPr>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45</w:t>
            </w:r>
            <w:r>
              <w:rPr>
                <w:rFonts w:ascii="Arabic Typesetting" w:hAnsi="Arabic Typesetting" w:cs="Arabic Typesetting" w:hint="cs"/>
                <w:sz w:val="28"/>
                <w:szCs w:val="28"/>
                <w:rtl/>
                <w:lang w:bidi="ar-EG"/>
              </w:rPr>
              <w:t>,</w:t>
            </w:r>
            <w:r w:rsidRPr="00BA46FD">
              <w:rPr>
                <w:rFonts w:ascii="Arabic Typesetting" w:hAnsi="Arabic Typesetting" w:cs="Arabic Typesetting" w:hint="cs"/>
                <w:sz w:val="28"/>
                <w:szCs w:val="28"/>
                <w:rtl/>
                <w:lang w:bidi="ar-EG"/>
              </w:rPr>
              <w:t>246</w:t>
            </w:r>
          </w:p>
        </w:tc>
      </w:tr>
      <w:tr w:rsidR="00E16243" w:rsidRPr="00BA46FD" w:rsidTr="00E16243">
        <w:trPr>
          <w:jc w:val="center"/>
        </w:trPr>
        <w:tc>
          <w:tcPr>
            <w:tcW w:w="5069" w:type="dxa"/>
            <w:shd w:val="clear" w:color="auto" w:fill="auto"/>
          </w:tcPr>
          <w:p w:rsidR="00E16243" w:rsidRPr="00BA46FD" w:rsidRDefault="00E16243" w:rsidP="00E16243">
            <w:pPr>
              <w:bidi/>
              <w:spacing w:line="280" w:lineRule="exact"/>
              <w:rPr>
                <w:rFonts w:ascii="Arabic Typesetting" w:hAnsi="Arabic Typesetting" w:cs="Arabic Typesetting"/>
                <w:b/>
                <w:bCs/>
                <w:sz w:val="28"/>
                <w:szCs w:val="28"/>
                <w:rtl/>
                <w:lang w:bidi="ar-EG"/>
              </w:rPr>
            </w:pPr>
            <w:r w:rsidRPr="00BA46FD">
              <w:rPr>
                <w:rFonts w:ascii="Arabic Typesetting" w:hAnsi="Arabic Typesetting" w:cs="Arabic Typesetting" w:hint="cs"/>
                <w:b/>
                <w:bCs/>
                <w:sz w:val="28"/>
                <w:szCs w:val="28"/>
                <w:rtl/>
                <w:lang w:bidi="ar-EG"/>
              </w:rPr>
              <w:t>مجموع الحسابات الجارية</w:t>
            </w:r>
          </w:p>
        </w:tc>
        <w:tc>
          <w:tcPr>
            <w:tcW w:w="850" w:type="dxa"/>
            <w:shd w:val="clear" w:color="auto" w:fill="auto"/>
          </w:tcPr>
          <w:p w:rsidR="00E16243" w:rsidRPr="00BA46FD" w:rsidRDefault="00E16243" w:rsidP="00E16243">
            <w:pPr>
              <w:bidi/>
              <w:spacing w:line="280" w:lineRule="exact"/>
              <w:jc w:val="center"/>
              <w:rPr>
                <w:rFonts w:ascii="Arabic Typesetting" w:hAnsi="Arabic Typesetting" w:cs="Arabic Typesetting"/>
                <w:b/>
                <w:bCs/>
                <w:sz w:val="28"/>
                <w:szCs w:val="28"/>
                <w:rtl/>
                <w:lang w:bidi="ar-EG"/>
              </w:rPr>
            </w:pPr>
          </w:p>
        </w:tc>
        <w:tc>
          <w:tcPr>
            <w:tcW w:w="1985" w:type="dxa"/>
            <w:tcBorders>
              <w:top w:val="single" w:sz="4" w:space="0" w:color="auto"/>
              <w:bottom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b/>
                <w:bCs/>
                <w:sz w:val="28"/>
                <w:szCs w:val="28"/>
                <w:rtl/>
                <w:lang w:bidi="ar-EG"/>
              </w:rPr>
            </w:pPr>
            <w:r w:rsidRPr="00BA46FD">
              <w:rPr>
                <w:rFonts w:ascii="Arabic Typesetting" w:hAnsi="Arabic Typesetting" w:cs="Arabic Typesetting" w:hint="cs"/>
                <w:b/>
                <w:bCs/>
                <w:sz w:val="28"/>
                <w:szCs w:val="28"/>
                <w:rtl/>
                <w:lang w:bidi="ar-EG"/>
              </w:rPr>
              <w:t>55</w:t>
            </w:r>
            <w:r>
              <w:rPr>
                <w:rFonts w:ascii="Arabic Typesetting" w:hAnsi="Arabic Typesetting" w:cs="Arabic Typesetting" w:hint="cs"/>
                <w:b/>
                <w:bCs/>
                <w:sz w:val="28"/>
                <w:szCs w:val="28"/>
                <w:rtl/>
                <w:lang w:bidi="ar-EG"/>
              </w:rPr>
              <w:t>,</w:t>
            </w:r>
            <w:r w:rsidRPr="00BA46FD">
              <w:rPr>
                <w:rFonts w:ascii="Arabic Typesetting" w:hAnsi="Arabic Typesetting" w:cs="Arabic Typesetting" w:hint="cs"/>
                <w:b/>
                <w:bCs/>
                <w:sz w:val="28"/>
                <w:szCs w:val="28"/>
                <w:rtl/>
                <w:lang w:bidi="ar-EG"/>
              </w:rPr>
              <w:t>572</w:t>
            </w:r>
          </w:p>
        </w:tc>
        <w:tc>
          <w:tcPr>
            <w:tcW w:w="1667" w:type="dxa"/>
            <w:tcBorders>
              <w:top w:val="single" w:sz="4" w:space="0" w:color="auto"/>
              <w:bottom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b/>
                <w:bCs/>
                <w:sz w:val="28"/>
                <w:szCs w:val="28"/>
                <w:rtl/>
                <w:lang w:bidi="ar-EG"/>
              </w:rPr>
            </w:pPr>
            <w:r w:rsidRPr="00BA46FD">
              <w:rPr>
                <w:rFonts w:ascii="Arabic Typesetting" w:hAnsi="Arabic Typesetting" w:cs="Arabic Typesetting" w:hint="cs"/>
                <w:b/>
                <w:bCs/>
                <w:sz w:val="28"/>
                <w:szCs w:val="28"/>
                <w:rtl/>
                <w:lang w:bidi="ar-EG"/>
              </w:rPr>
              <w:t>52</w:t>
            </w:r>
            <w:r>
              <w:rPr>
                <w:rFonts w:ascii="Arabic Typesetting" w:hAnsi="Arabic Typesetting" w:cs="Arabic Typesetting" w:hint="cs"/>
                <w:b/>
                <w:bCs/>
                <w:sz w:val="28"/>
                <w:szCs w:val="28"/>
                <w:rtl/>
                <w:lang w:bidi="ar-EG"/>
              </w:rPr>
              <w:t>,</w:t>
            </w:r>
            <w:r w:rsidRPr="00BA46FD">
              <w:rPr>
                <w:rFonts w:ascii="Arabic Typesetting" w:hAnsi="Arabic Typesetting" w:cs="Arabic Typesetting" w:hint="cs"/>
                <w:b/>
                <w:bCs/>
                <w:sz w:val="28"/>
                <w:szCs w:val="28"/>
                <w:rtl/>
                <w:lang w:bidi="ar-EG"/>
              </w:rPr>
              <w:t>071</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تتيح المنظمة لمودعي طلبات العلامات التجارية والرسوم والنماذج الصناعية إمكانية إيداع أموال تحت باب "حسابات جارية" وتعمل المنظمة عمل الأمين عليها إلى أن يحين أوان استعمالها لتغطية الرسوم الواجب دفعها فيما يتعلق بالطلبات والتجديدات الفردية. وتمسك المنظمة تلك المبالغ إلى حين إيداع الطلبات المعنية. وفور استلام الطلب المعني والتصريح، يتم خفض رصيد الحساب الجاري وتُعامل الأموال على أنها ودائع إلى حين تسجيل الطلب.</w:t>
      </w:r>
    </w:p>
    <w:p w:rsidR="00E16243" w:rsidRDefault="00E16243" w:rsidP="00E16243">
      <w:pPr>
        <w:bidi/>
        <w:spacing w:after="240" w:line="360" w:lineRule="exact"/>
        <w:rPr>
          <w:rFonts w:ascii="Arabic Typesetting" w:hAnsi="Arabic Typesetting" w:cs="Arabic Typesetting"/>
          <w:sz w:val="36"/>
          <w:szCs w:val="36"/>
          <w:rtl/>
        </w:rPr>
      </w:pPr>
      <w:r w:rsidRPr="0046343B">
        <w:rPr>
          <w:rFonts w:ascii="Arabic Typesetting" w:hAnsi="Arabic Typesetting" w:cs="Arabic Typesetting" w:hint="cs"/>
          <w:sz w:val="36"/>
          <w:szCs w:val="36"/>
          <w:rtl/>
        </w:rPr>
        <w:lastRenderedPageBreak/>
        <w:t xml:space="preserve">وبالإضافة إلى ذلك، </w:t>
      </w:r>
      <w:r>
        <w:rPr>
          <w:rFonts w:ascii="Arabic Typesetting" w:hAnsi="Arabic Typesetting" w:cs="Arabic Typesetting" w:hint="cs"/>
          <w:sz w:val="36"/>
          <w:szCs w:val="36"/>
          <w:rtl/>
        </w:rPr>
        <w:t>تحتفظ</w:t>
      </w:r>
      <w:r w:rsidRPr="0046343B">
        <w:rPr>
          <w:rFonts w:ascii="Arabic Typesetting" w:hAnsi="Arabic Typesetting" w:cs="Arabic Typesetting" w:hint="cs"/>
          <w:sz w:val="36"/>
          <w:szCs w:val="36"/>
          <w:rtl/>
        </w:rPr>
        <w:t xml:space="preserve"> المنظمة </w:t>
      </w:r>
      <w:r>
        <w:rPr>
          <w:rFonts w:ascii="Arabic Typesetting" w:hAnsi="Arabic Typesetting" w:cs="Arabic Typesetting" w:hint="cs"/>
          <w:sz w:val="36"/>
          <w:szCs w:val="36"/>
          <w:rtl/>
        </w:rPr>
        <w:t>ب</w:t>
      </w:r>
      <w:r w:rsidRPr="0046343B">
        <w:rPr>
          <w:rFonts w:ascii="Arabic Typesetting" w:hAnsi="Arabic Typesetting" w:cs="Arabic Typesetting" w:hint="cs"/>
          <w:sz w:val="36"/>
          <w:szCs w:val="36"/>
          <w:rtl/>
        </w:rPr>
        <w:t>حسابات مصرفية باسمها من أجل توفير الآلية لبعض الأطراف المتعاقدة كي تستطيع تلك الأطراف تحويل الأموال التي تحصّلها بالنيابة عن المنظمة. ولا تعتبر المنظمة رصيد تلك الحسابات من باب الإيرادات حتى يُطلع الطرف المتعاقد المعني المنظمة بأن تلك الأموال المقيدة في تلك الحسابات تعد من إيرادات المنظمة.</w:t>
      </w:r>
    </w:p>
    <w:p w:rsidR="00E16243" w:rsidRPr="002869C3" w:rsidRDefault="00E16243" w:rsidP="002869C3">
      <w:pPr>
        <w:pStyle w:val="Heading2"/>
        <w:bidi/>
        <w:rPr>
          <w:rFonts w:ascii="Arabic Typesetting" w:hAnsi="Arabic Typesetting" w:cs="Arabic Typesetting"/>
          <w:i/>
          <w:iCs w:val="0"/>
          <w:sz w:val="40"/>
          <w:szCs w:val="40"/>
          <w:rtl/>
        </w:rPr>
      </w:pPr>
      <w:bookmarkStart w:id="33" w:name="_Toc362519116"/>
      <w:r w:rsidRPr="002869C3">
        <w:rPr>
          <w:rFonts w:ascii="Arabic Typesetting" w:hAnsi="Arabic Typesetting" w:cs="Arabic Typesetting" w:hint="cs"/>
          <w:i/>
          <w:iCs w:val="0"/>
          <w:sz w:val="40"/>
          <w:szCs w:val="40"/>
          <w:rtl/>
        </w:rPr>
        <w:t>الملاحظة 18: الأصول والخصوم المحتملة</w:t>
      </w:r>
      <w:bookmarkEnd w:id="33"/>
      <w:r w:rsidRPr="002869C3">
        <w:rPr>
          <w:rFonts w:ascii="Arabic Typesetting" w:hAnsi="Arabic Typesetting" w:cs="Arabic Typesetting" w:hint="cs"/>
          <w:i/>
          <w:iCs w:val="0"/>
          <w:sz w:val="40"/>
          <w:szCs w:val="40"/>
          <w:rtl/>
        </w:rPr>
        <w:t xml:space="preserve"> </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يوجد </w:t>
      </w:r>
      <w:r w:rsidRPr="00C715C7">
        <w:rPr>
          <w:rFonts w:ascii="Arabic Typesetting" w:hAnsi="Arabic Typesetting" w:cs="Arabic Typesetting"/>
          <w:sz w:val="36"/>
          <w:szCs w:val="36"/>
          <w:rtl/>
        </w:rPr>
        <w:t xml:space="preserve">نزاع </w:t>
      </w:r>
      <w:r>
        <w:rPr>
          <w:rFonts w:ascii="Arabic Typesetting" w:hAnsi="Arabic Typesetting" w:cs="Arabic Typesetting" w:hint="cs"/>
          <w:sz w:val="36"/>
          <w:szCs w:val="36"/>
          <w:rtl/>
        </w:rPr>
        <w:t>بين عدد</w:t>
      </w:r>
      <w:r>
        <w:rPr>
          <w:rFonts w:ascii="Arabic Typesetting" w:hAnsi="Arabic Typesetting" w:cs="Arabic Typesetting"/>
          <w:sz w:val="36"/>
          <w:szCs w:val="36"/>
          <w:rtl/>
        </w:rPr>
        <w:t xml:space="preserve"> من</w:t>
      </w:r>
      <w:r>
        <w:rPr>
          <w:rFonts w:ascii="Arabic Typesetting" w:hAnsi="Arabic Typesetting" w:cs="Arabic Typesetting" w:hint="cs"/>
          <w:sz w:val="36"/>
          <w:szCs w:val="36"/>
          <w:rtl/>
        </w:rPr>
        <w:t xml:space="preserve"> </w:t>
      </w:r>
      <w:r w:rsidRPr="00C715C7">
        <w:rPr>
          <w:rFonts w:ascii="Arabic Typesetting" w:hAnsi="Arabic Typesetting" w:cs="Arabic Typesetting"/>
          <w:sz w:val="36"/>
          <w:szCs w:val="36"/>
          <w:rtl/>
        </w:rPr>
        <w:t xml:space="preserve">موظفي الويبو </w:t>
      </w:r>
      <w:r>
        <w:rPr>
          <w:rFonts w:ascii="Arabic Typesetting" w:hAnsi="Arabic Typesetting" w:cs="Arabic Typesetting" w:hint="cs"/>
          <w:sz w:val="36"/>
          <w:szCs w:val="36"/>
          <w:rtl/>
        </w:rPr>
        <w:t>وال</w:t>
      </w:r>
      <w:r w:rsidRPr="00C715C7">
        <w:rPr>
          <w:rFonts w:ascii="Arabic Typesetting" w:hAnsi="Arabic Typesetting" w:cs="Arabic Typesetting"/>
          <w:sz w:val="36"/>
          <w:szCs w:val="36"/>
          <w:rtl/>
        </w:rPr>
        <w:t>منظمة</w:t>
      </w:r>
      <w:r>
        <w:rPr>
          <w:rFonts w:ascii="Arabic Typesetting" w:hAnsi="Arabic Typesetting" w:cs="Arabic Typesetting" w:hint="cs"/>
          <w:sz w:val="36"/>
          <w:szCs w:val="36"/>
          <w:rtl/>
        </w:rPr>
        <w:t>. وقد وردت الأحكام التي صدرت بشأن</w:t>
      </w:r>
      <w:r w:rsidRPr="00525063">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الدعاوى المرفوعة أمام</w:t>
      </w:r>
      <w:r w:rsidRPr="00525063">
        <w:rPr>
          <w:rFonts w:ascii="Arabic Typesetting" w:hAnsi="Arabic Typesetting" w:cs="Arabic Typesetting"/>
          <w:sz w:val="36"/>
          <w:szCs w:val="36"/>
          <w:rtl/>
        </w:rPr>
        <w:t xml:space="preserve"> </w:t>
      </w:r>
      <w:r w:rsidRPr="00862686">
        <w:rPr>
          <w:rFonts w:ascii="Arabic Typesetting" w:hAnsi="Arabic Typesetting" w:cs="Arabic Typesetting"/>
          <w:sz w:val="36"/>
          <w:szCs w:val="36"/>
          <w:rtl/>
        </w:rPr>
        <w:t xml:space="preserve">مجلس الويبو للتظلمات </w:t>
      </w:r>
      <w:r w:rsidRPr="00862686">
        <w:rPr>
          <w:rFonts w:ascii="Arabic Typesetting" w:hAnsi="Arabic Typesetting" w:cs="Arabic Typesetting"/>
          <w:sz w:val="36"/>
          <w:szCs w:val="36"/>
        </w:rPr>
        <w:t>(WAB)</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والمحكمة ال</w:t>
      </w:r>
      <w:r>
        <w:rPr>
          <w:rFonts w:ascii="Arabic Typesetting" w:hAnsi="Arabic Typesetting" w:cs="Arabic Typesetting" w:hint="cs"/>
          <w:sz w:val="36"/>
          <w:szCs w:val="36"/>
          <w:rtl/>
        </w:rPr>
        <w:t>إ</w:t>
      </w:r>
      <w:r w:rsidRPr="00862686">
        <w:rPr>
          <w:rFonts w:ascii="Arabic Typesetting" w:hAnsi="Arabic Typesetting" w:cs="Arabic Typesetting"/>
          <w:sz w:val="36"/>
          <w:szCs w:val="36"/>
          <w:rtl/>
        </w:rPr>
        <w:t>دارية التابعة لمنظمة العمل الدولية</w:t>
      </w:r>
      <w:r>
        <w:rPr>
          <w:rFonts w:ascii="Arabic Typesetting" w:hAnsi="Arabic Typesetting" w:cs="Arabic Typesetting" w:hint="cs"/>
          <w:sz w:val="36"/>
          <w:szCs w:val="36"/>
          <w:rtl/>
        </w:rPr>
        <w:t xml:space="preserve"> </w:t>
      </w:r>
      <w:r w:rsidRPr="00862686">
        <w:rPr>
          <w:rFonts w:ascii="Arabic Typesetting" w:hAnsi="Arabic Typesetting" w:cs="Arabic Typesetting"/>
          <w:sz w:val="36"/>
          <w:szCs w:val="36"/>
        </w:rPr>
        <w:t>(ILOAT)</w:t>
      </w:r>
      <w:r>
        <w:rPr>
          <w:rFonts w:ascii="Arabic Typesetting" w:hAnsi="Arabic Typesetting" w:cs="Arabic Typesetting" w:hint="cs"/>
          <w:sz w:val="36"/>
          <w:szCs w:val="36"/>
          <w:rtl/>
        </w:rPr>
        <w:t xml:space="preserve"> في الملاحظة رقم 16. ولم تصدر أحكام بشأن قضايا أخرى معينة منظورة أمام المجلس والمحكمة الإدارية حيث أفادت المشورة القانونية بأن من غير المحتمل أن تنشأ التزامات عن هذه القضايا. وتُقدر الخصوم المحتملة </w:t>
      </w:r>
      <w:r>
        <w:rPr>
          <w:rFonts w:ascii="Arabic Typesetting" w:hAnsi="Arabic Typesetting" w:cs="Arabic Typesetting" w:hint="cs"/>
          <w:sz w:val="36"/>
          <w:szCs w:val="36"/>
          <w:rtl/>
          <w:lang w:bidi="ar-EG"/>
        </w:rPr>
        <w:t>التي من الممكن أن تسددها المنظمة للدعاوى الناشئة عن هذه القضايا بنحو</w:t>
      </w:r>
      <w:r>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 xml:space="preserve">000 155 1 </w:t>
      </w:r>
      <w:r>
        <w:rPr>
          <w:rFonts w:ascii="Arabic Typesetting" w:hAnsi="Arabic Typesetting" w:cs="Arabic Typesetting" w:hint="cs"/>
          <w:sz w:val="36"/>
          <w:szCs w:val="36"/>
          <w:rtl/>
        </w:rPr>
        <w:t>فرنك سويسري حتى</w:t>
      </w:r>
      <w:r w:rsidRPr="00F71586">
        <w:rPr>
          <w:rFonts w:ascii="Arabic Typesetting" w:hAnsi="Arabic Typesetting" w:cs="Arabic Typesetting" w:hint="cs"/>
          <w:sz w:val="36"/>
          <w:szCs w:val="36"/>
          <w:rtl/>
        </w:rPr>
        <w:t xml:space="preserve"> تاريخ التقرير المالي. </w:t>
      </w:r>
      <w:r>
        <w:rPr>
          <w:rFonts w:ascii="Arabic Typesetting" w:hAnsi="Arabic Typesetting" w:cs="Arabic Typesetting" w:hint="cs"/>
          <w:sz w:val="36"/>
          <w:szCs w:val="36"/>
          <w:rtl/>
        </w:rPr>
        <w:t xml:space="preserve">كما توجد أيضا </w:t>
      </w:r>
      <w:r w:rsidRPr="00F71586">
        <w:rPr>
          <w:rFonts w:ascii="Arabic Typesetting" w:hAnsi="Arabic Typesetting" w:cs="Arabic Typesetting" w:hint="cs"/>
          <w:sz w:val="36"/>
          <w:szCs w:val="36"/>
          <w:rtl/>
        </w:rPr>
        <w:t>دعاوى</w:t>
      </w:r>
      <w:r>
        <w:rPr>
          <w:rFonts w:ascii="Arabic Typesetting" w:hAnsi="Arabic Typesetting" w:cs="Arabic Typesetting" w:hint="cs"/>
          <w:sz w:val="36"/>
          <w:szCs w:val="36"/>
          <w:rtl/>
        </w:rPr>
        <w:t xml:space="preserve"> أقامها</w:t>
      </w:r>
      <w:r w:rsidRPr="00F7158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موظفو</w:t>
      </w:r>
      <w:r w:rsidRPr="00F71586">
        <w:rPr>
          <w:rFonts w:ascii="Arabic Typesetting" w:hAnsi="Arabic Typesetting" w:cs="Arabic Typesetting" w:hint="cs"/>
          <w:sz w:val="36"/>
          <w:szCs w:val="36"/>
          <w:rtl/>
        </w:rPr>
        <w:t xml:space="preserve"> الويبو أمام </w:t>
      </w:r>
      <w:r w:rsidRPr="00E10D0E">
        <w:rPr>
          <w:rFonts w:ascii="Arabic Typesetting" w:hAnsi="Arabic Typesetting" w:cs="Arabic Typesetting"/>
          <w:sz w:val="36"/>
          <w:szCs w:val="36"/>
          <w:rtl/>
        </w:rPr>
        <w:t xml:space="preserve">اللجنة الاستشارية </w:t>
      </w:r>
      <w:r w:rsidRPr="00E10D0E">
        <w:rPr>
          <w:rFonts w:ascii="Arabic Typesetting" w:hAnsi="Arabic Typesetting" w:cs="Arabic Typesetting" w:hint="cs"/>
          <w:sz w:val="36"/>
          <w:szCs w:val="36"/>
          <w:rtl/>
        </w:rPr>
        <w:t>التابعة ل</w:t>
      </w:r>
      <w:r w:rsidRPr="00E10D0E">
        <w:rPr>
          <w:rFonts w:ascii="Arabic Typesetting" w:hAnsi="Arabic Typesetting" w:cs="Arabic Typesetting"/>
          <w:sz w:val="36"/>
          <w:szCs w:val="36"/>
          <w:rtl/>
        </w:rPr>
        <w:t>هيئة التظلمات المشتركة</w:t>
      </w:r>
      <w:r>
        <w:rPr>
          <w:rFonts w:ascii="Arabic Typesetting" w:hAnsi="Arabic Typesetting" w:cs="Arabic Typesetting" w:hint="cs"/>
          <w:sz w:val="36"/>
          <w:szCs w:val="36"/>
          <w:rtl/>
        </w:rPr>
        <w:t>، ودعاوى التُمس مُراجعتها</w:t>
      </w:r>
      <w:r w:rsidRPr="001E616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لم تتأكد بعد ال</w:t>
      </w:r>
      <w:r>
        <w:rPr>
          <w:rFonts w:ascii="Arabic Typesetting" w:hAnsi="Arabic Typesetting" w:cs="Arabic Typesetting"/>
          <w:sz w:val="36"/>
          <w:szCs w:val="36"/>
          <w:rtl/>
        </w:rPr>
        <w:t>مب</w:t>
      </w:r>
      <w:r>
        <w:rPr>
          <w:rFonts w:ascii="Arabic Typesetting" w:hAnsi="Arabic Typesetting" w:cs="Arabic Typesetting" w:hint="cs"/>
          <w:sz w:val="36"/>
          <w:szCs w:val="36"/>
          <w:rtl/>
        </w:rPr>
        <w:t>ا</w:t>
      </w:r>
      <w:r>
        <w:rPr>
          <w:rFonts w:ascii="Arabic Typesetting" w:hAnsi="Arabic Typesetting" w:cs="Arabic Typesetting"/>
          <w:sz w:val="36"/>
          <w:szCs w:val="36"/>
          <w:rtl/>
        </w:rPr>
        <w:t>لغ</w:t>
      </w:r>
      <w:r>
        <w:rPr>
          <w:rFonts w:ascii="Arabic Typesetting" w:hAnsi="Arabic Typesetting" w:cs="Arabic Typesetting" w:hint="cs"/>
          <w:sz w:val="36"/>
          <w:szCs w:val="36"/>
          <w:rtl/>
        </w:rPr>
        <w:t xml:space="preserve"> المترتبة على أي منها؛ ومن ثمَّ 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تُقيد لها أي مخصصات. وتُقدر الخصوم المحتملة التي قد تسددها المنظمة للتسويات الناشئة عن تلك القضايا بنحو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000</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170 فرنك سويسري في تاريخ إعداد التقرير المالي.</w:t>
      </w:r>
    </w:p>
    <w:p w:rsidR="00E16243" w:rsidRPr="001C719A"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وليس ل</w:t>
      </w:r>
      <w:r>
        <w:rPr>
          <w:rFonts w:ascii="Arabic Typesetting" w:hAnsi="Arabic Typesetting" w:cs="Arabic Typesetting"/>
          <w:sz w:val="36"/>
          <w:szCs w:val="36"/>
          <w:rtl/>
        </w:rPr>
        <w:t xml:space="preserve">لمنظمة </w:t>
      </w:r>
      <w:r>
        <w:rPr>
          <w:rFonts w:ascii="Arabic Typesetting" w:hAnsi="Arabic Typesetting" w:cs="Arabic Typesetting" w:hint="cs"/>
          <w:sz w:val="36"/>
          <w:szCs w:val="36"/>
          <w:rtl/>
        </w:rPr>
        <w:t xml:space="preserve">أية </w:t>
      </w:r>
      <w:r w:rsidRPr="00B17518">
        <w:rPr>
          <w:rFonts w:ascii="Arabic Typesetting" w:hAnsi="Arabic Typesetting" w:cs="Arabic Typesetting"/>
          <w:sz w:val="36"/>
          <w:szCs w:val="36"/>
          <w:rtl/>
        </w:rPr>
        <w:t xml:space="preserve">التزامات تعاقدية </w:t>
      </w:r>
      <w:r>
        <w:rPr>
          <w:rFonts w:ascii="Arabic Typesetting" w:hAnsi="Arabic Typesetting" w:cs="Arabic Typesetting" w:hint="cs"/>
          <w:sz w:val="36"/>
          <w:szCs w:val="36"/>
          <w:rtl/>
        </w:rPr>
        <w:t>كبيرة</w:t>
      </w:r>
      <w:r w:rsidRPr="00B17518">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غير مُقيدة. وفي 31 ديسمبر 2012 بلغت قيمة العقود غير المسددة المتصلة ببناء قاعة المؤتمرات الجديدة 26,3 مليون فرنك سويسري. </w:t>
      </w:r>
    </w:p>
    <w:p w:rsidR="00E16243" w:rsidRDefault="00E16243" w:rsidP="00E1624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وتجري المنظمة مفاوضات مع المقاول الرئيسي المسؤول عن تشييد المبنى الجديد و</w:t>
      </w:r>
      <w:r w:rsidRPr="00D10229">
        <w:rPr>
          <w:rFonts w:ascii="Arabic Typesetting" w:hAnsi="Arabic Typesetting" w:cs="Arabic Typesetting" w:hint="cs"/>
          <w:sz w:val="36"/>
          <w:szCs w:val="36"/>
          <w:rtl/>
        </w:rPr>
        <w:t xml:space="preserve">قاعة المؤتمرات الجديدة </w:t>
      </w:r>
      <w:r>
        <w:rPr>
          <w:rFonts w:ascii="Arabic Typesetting" w:hAnsi="Arabic Typesetting" w:cs="Arabic Typesetting" w:hint="cs"/>
          <w:sz w:val="36"/>
          <w:szCs w:val="36"/>
          <w:rtl/>
        </w:rPr>
        <w:t>فيما يتعلق بتأخر تسليم أجزاء من المباني. ولكن من المبكر تحديد مقدار التعويض الذي سيدفعه للمنظمة، رغم الاتفاق على بعض المدفوعات أثناء عام 2012.</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وعقب اندلاع حريق في مبنى أرباد بوكش في 27 أكتوبر 2011 تكبدت المنظمة تكاليف مباشرة تتعلق بإصلاح المبنى وتجديده وتنظيفه، كما تحملت التكاليف المتعلقة بتأجيل الاجتماع. وقد تلقت المنظمة تعويضا عن </w:t>
      </w:r>
      <w:r w:rsidRPr="005F5A14">
        <w:rPr>
          <w:rFonts w:ascii="Arabic Typesetting" w:hAnsi="Arabic Typesetting" w:cs="Arabic Typesetting" w:hint="cs"/>
          <w:sz w:val="36"/>
          <w:szCs w:val="36"/>
          <w:rtl/>
        </w:rPr>
        <w:t xml:space="preserve">التكاليف المباشرة </w:t>
      </w:r>
      <w:r>
        <w:rPr>
          <w:rFonts w:ascii="Arabic Typesetting" w:hAnsi="Arabic Typesetting" w:cs="Arabic Typesetting" w:hint="cs"/>
          <w:sz w:val="36"/>
          <w:szCs w:val="36"/>
          <w:rtl/>
        </w:rPr>
        <w:t>في</w:t>
      </w:r>
      <w:r w:rsidRPr="005F5A14">
        <w:rPr>
          <w:rFonts w:ascii="Arabic Typesetting" w:hAnsi="Arabic Typesetting" w:cs="Arabic Typesetting" w:hint="cs"/>
          <w:sz w:val="36"/>
          <w:szCs w:val="36"/>
          <w:rtl/>
        </w:rPr>
        <w:t xml:space="preserve"> عام</w:t>
      </w:r>
      <w:r>
        <w:rPr>
          <w:rFonts w:ascii="Arabic Typesetting" w:hAnsi="Arabic Typesetting" w:cs="Arabic Typesetting" w:hint="eastAsia"/>
          <w:sz w:val="36"/>
          <w:szCs w:val="36"/>
          <w:rtl/>
        </w:rPr>
        <w:t> </w:t>
      </w:r>
      <w:r w:rsidRPr="005F5A14">
        <w:rPr>
          <w:rFonts w:ascii="Arabic Typesetting" w:hAnsi="Arabic Typesetting" w:cs="Arabic Typesetting" w:hint="cs"/>
          <w:sz w:val="36"/>
          <w:szCs w:val="36"/>
          <w:rtl/>
        </w:rPr>
        <w:t xml:space="preserve">2012. </w:t>
      </w:r>
      <w:r>
        <w:rPr>
          <w:rFonts w:ascii="Arabic Typesetting" w:hAnsi="Arabic Typesetting" w:cs="Arabic Typesetting" w:hint="cs"/>
          <w:sz w:val="36"/>
          <w:szCs w:val="36"/>
          <w:rtl/>
        </w:rPr>
        <w:t>وتقوم</w:t>
      </w:r>
      <w:r w:rsidRPr="005F5A14">
        <w:rPr>
          <w:rFonts w:ascii="Arabic Typesetting" w:hAnsi="Arabic Typesetting" w:cs="Arabic Typesetting" w:hint="cs"/>
          <w:sz w:val="36"/>
          <w:szCs w:val="36"/>
          <w:rtl/>
        </w:rPr>
        <w:t xml:space="preserve"> المنظمة </w:t>
      </w:r>
      <w:r>
        <w:rPr>
          <w:rFonts w:ascii="Arabic Typesetting" w:hAnsi="Arabic Typesetting" w:cs="Arabic Typesetting" w:hint="cs"/>
          <w:sz w:val="36"/>
          <w:szCs w:val="36"/>
          <w:rtl/>
        </w:rPr>
        <w:t>بإجراءات المطالبة</w:t>
      </w:r>
      <w:r w:rsidRPr="005F5A14">
        <w:rPr>
          <w:rFonts w:ascii="Arabic Typesetting" w:hAnsi="Arabic Typesetting" w:cs="Arabic Typesetting" w:hint="cs"/>
          <w:sz w:val="36"/>
          <w:szCs w:val="36"/>
          <w:rtl/>
        </w:rPr>
        <w:t xml:space="preserve"> بسداد التكاليف المتعلقة بتأجيل الاجتماع. ولكن لا يزال من المبكر تحديد </w:t>
      </w:r>
      <w:r>
        <w:rPr>
          <w:rFonts w:ascii="Arabic Typesetting" w:hAnsi="Arabic Typesetting" w:cs="Arabic Typesetting" w:hint="cs"/>
          <w:sz w:val="36"/>
          <w:szCs w:val="36"/>
          <w:rtl/>
        </w:rPr>
        <w:t>إجمالي</w:t>
      </w:r>
      <w:r w:rsidRPr="005F5A14">
        <w:rPr>
          <w:rFonts w:ascii="Arabic Typesetting" w:hAnsi="Arabic Typesetting" w:cs="Arabic Typesetting" w:hint="cs"/>
          <w:sz w:val="36"/>
          <w:szCs w:val="36"/>
          <w:rtl/>
        </w:rPr>
        <w:t xml:space="preserve"> المبلغ الواجب </w:t>
      </w:r>
      <w:r>
        <w:rPr>
          <w:rFonts w:ascii="Arabic Typesetting" w:hAnsi="Arabic Typesetting" w:cs="Arabic Typesetting" w:hint="cs"/>
          <w:sz w:val="36"/>
          <w:szCs w:val="36"/>
          <w:rtl/>
        </w:rPr>
        <w:t>إعادته</w:t>
      </w:r>
      <w:r w:rsidRPr="005F5A14">
        <w:rPr>
          <w:rFonts w:ascii="Arabic Typesetting" w:hAnsi="Arabic Typesetting" w:cs="Arabic Typesetting" w:hint="cs"/>
          <w:sz w:val="36"/>
          <w:szCs w:val="36"/>
          <w:rtl/>
        </w:rPr>
        <w:t xml:space="preserve"> إلى المنظمة.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والويبو منظمة شريكة في المركز الدولي للحساب الإلكتروني وهو مرفق مشترك بين المنظمات لتقديم خدمات تكنولوجيا المعلومات. وبموجب ولاية المركز تتحمل المنظمات حصة من بعض الالتزامات الناجمة عن تسيير عمليات المركز.</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وللويبو التزامات تعاقدية تتعلق بترتيبات عقود الإيجار غير القابلة للإلغاء. وتتناول الملاحظة 19 تلك الالتزاما</w:t>
      </w:r>
      <w:r>
        <w:rPr>
          <w:rFonts w:ascii="Arabic Typesetting" w:hAnsi="Arabic Typesetting" w:cs="Arabic Typesetting" w:hint="eastAsia"/>
          <w:sz w:val="36"/>
          <w:szCs w:val="36"/>
          <w:rtl/>
        </w:rPr>
        <w:t>ت</w:t>
      </w:r>
      <w:r>
        <w:rPr>
          <w:rFonts w:ascii="Arabic Typesetting" w:hAnsi="Arabic Typesetting" w:cs="Arabic Typesetting" w:hint="cs"/>
          <w:sz w:val="36"/>
          <w:szCs w:val="36"/>
          <w:rtl/>
        </w:rPr>
        <w:t xml:space="preserve"> بالتفصيل.</w:t>
      </w:r>
    </w:p>
    <w:p w:rsidR="00E16243" w:rsidRPr="002869C3" w:rsidRDefault="00E16243" w:rsidP="002869C3">
      <w:pPr>
        <w:pStyle w:val="Heading2"/>
        <w:bidi/>
        <w:rPr>
          <w:rFonts w:ascii="Arabic Typesetting" w:hAnsi="Arabic Typesetting" w:cs="Arabic Typesetting"/>
          <w:i/>
          <w:iCs w:val="0"/>
          <w:sz w:val="40"/>
          <w:szCs w:val="40"/>
          <w:rtl/>
        </w:rPr>
      </w:pPr>
      <w:bookmarkStart w:id="34" w:name="_Toc362519117"/>
      <w:r w:rsidRPr="002869C3">
        <w:rPr>
          <w:rFonts w:ascii="Arabic Typesetting" w:hAnsi="Arabic Typesetting" w:cs="Arabic Typesetting" w:hint="cs"/>
          <w:i/>
          <w:iCs w:val="0"/>
          <w:sz w:val="40"/>
          <w:szCs w:val="40"/>
          <w:rtl/>
        </w:rPr>
        <w:lastRenderedPageBreak/>
        <w:t xml:space="preserve">الملاحظة 19: عقود الإيجار </w:t>
      </w:r>
      <w:r w:rsidRPr="002869C3">
        <w:rPr>
          <w:rFonts w:ascii="Arabic Typesetting" w:hAnsi="Arabic Typesetting" w:cs="Arabic Typesetting"/>
          <w:i/>
          <w:iCs w:val="0"/>
          <w:sz w:val="40"/>
          <w:szCs w:val="40"/>
          <w:rtl/>
        </w:rPr>
        <w:t>–</w:t>
      </w:r>
      <w:r w:rsidRPr="002869C3">
        <w:rPr>
          <w:rFonts w:ascii="Arabic Typesetting" w:hAnsi="Arabic Typesetting" w:cs="Arabic Typesetting" w:hint="cs"/>
          <w:i/>
          <w:iCs w:val="0"/>
          <w:sz w:val="40"/>
          <w:szCs w:val="40"/>
          <w:rtl/>
        </w:rPr>
        <w:t xml:space="preserve"> الويبو كمستأجر</w:t>
      </w:r>
      <w:bookmarkEnd w:id="34"/>
    </w:p>
    <w:p w:rsidR="00E16243" w:rsidRDefault="00E16243" w:rsidP="00462FC1">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للويبو عدد من عقود الإيجار تتيح لها أماكن ومساحات تخزين إضافية ومرافق متخصصة في جنيف، إضافة إلى ذلك، تستأجر المنظمة أيضا أماكن لمكاتبها التنسيقية في نيويورك وريو دي جانيرو وسنغافورة وطوكيو. ومعظم هذه العقود قابلة للإنهاء من قبل المنظمة وفقا لمدد الإخطار المحددة في العقود. وتستأجر المنظمة مكان لمكتبها التنسيقي في نيويورك بعقد 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قابل للإلغاء بمدفوعات مستحقة في نهاية فترة الإيجار على النحو التالي:</w:t>
      </w:r>
    </w:p>
    <w:tbl>
      <w:tblPr>
        <w:bidiVisual/>
        <w:tblW w:w="9571" w:type="dxa"/>
        <w:jc w:val="center"/>
        <w:tblLayout w:type="fixed"/>
        <w:tblLook w:val="04A0" w:firstRow="1" w:lastRow="0" w:firstColumn="1" w:lastColumn="0" w:noHBand="0" w:noVBand="1"/>
      </w:tblPr>
      <w:tblGrid>
        <w:gridCol w:w="3793"/>
        <w:gridCol w:w="992"/>
        <w:gridCol w:w="2393"/>
        <w:gridCol w:w="2393"/>
      </w:tblGrid>
      <w:tr w:rsidR="00E16243" w:rsidRPr="00BA46FD" w:rsidTr="00E16243">
        <w:trPr>
          <w:jc w:val="center"/>
        </w:trPr>
        <w:tc>
          <w:tcPr>
            <w:tcW w:w="3793" w:type="dxa"/>
            <w:shd w:val="clear" w:color="auto" w:fill="auto"/>
            <w:vAlign w:val="center"/>
          </w:tcPr>
          <w:p w:rsidR="00E16243" w:rsidRPr="00BA46FD" w:rsidRDefault="00E16243" w:rsidP="00462FC1">
            <w:pPr>
              <w:keepNext/>
              <w:bidi/>
              <w:spacing w:line="280" w:lineRule="exact"/>
              <w:rPr>
                <w:rFonts w:ascii="Arabic Typesetting" w:hAnsi="Arabic Typesetting" w:cs="Arabic Typesetting"/>
                <w:sz w:val="28"/>
                <w:szCs w:val="28"/>
                <w:rtl/>
              </w:rPr>
            </w:pPr>
          </w:p>
        </w:tc>
        <w:tc>
          <w:tcPr>
            <w:tcW w:w="992" w:type="dxa"/>
            <w:shd w:val="clear" w:color="auto" w:fill="auto"/>
            <w:vAlign w:val="center"/>
          </w:tcPr>
          <w:p w:rsidR="00E16243" w:rsidRPr="00BA46FD" w:rsidRDefault="00E16243" w:rsidP="00462FC1">
            <w:pPr>
              <w:keepNext/>
              <w:bidi/>
              <w:spacing w:line="280" w:lineRule="exact"/>
              <w:rPr>
                <w:rFonts w:ascii="Arabic Typesetting" w:hAnsi="Arabic Typesetting" w:cs="Arabic Typesetting"/>
                <w:sz w:val="28"/>
                <w:szCs w:val="28"/>
                <w:rtl/>
                <w:lang w:bidi="ar-EG"/>
              </w:rPr>
            </w:pPr>
          </w:p>
        </w:tc>
        <w:tc>
          <w:tcPr>
            <w:tcW w:w="2393" w:type="dxa"/>
            <w:shd w:val="clear" w:color="auto" w:fill="auto"/>
            <w:vAlign w:val="center"/>
          </w:tcPr>
          <w:p w:rsidR="00E16243" w:rsidRPr="00A637F7" w:rsidRDefault="00E16243" w:rsidP="00462FC1">
            <w:pPr>
              <w:keepNext/>
              <w:bidi/>
              <w:spacing w:line="280" w:lineRule="exact"/>
              <w:rPr>
                <w:rFonts w:ascii="Arabic Typesetting" w:hAnsi="Arabic Typesetting" w:cs="Arabic Typesetting"/>
                <w:b/>
                <w:bCs/>
                <w:sz w:val="28"/>
                <w:szCs w:val="28"/>
                <w:rtl/>
                <w:lang w:bidi="ar-EG"/>
              </w:rPr>
            </w:pPr>
            <w:r w:rsidRPr="00A637F7">
              <w:rPr>
                <w:rFonts w:ascii="Arabic Typesetting" w:hAnsi="Arabic Typesetting" w:cs="Arabic Typesetting" w:hint="cs"/>
                <w:b/>
                <w:bCs/>
                <w:sz w:val="28"/>
                <w:szCs w:val="28"/>
                <w:rtl/>
                <w:lang w:bidi="ar-EG"/>
              </w:rPr>
              <w:t>31 ديسمبر 2012</w:t>
            </w:r>
          </w:p>
        </w:tc>
        <w:tc>
          <w:tcPr>
            <w:tcW w:w="2393" w:type="dxa"/>
            <w:shd w:val="clear" w:color="auto" w:fill="auto"/>
            <w:vAlign w:val="center"/>
          </w:tcPr>
          <w:p w:rsidR="00E16243" w:rsidRPr="00A637F7" w:rsidRDefault="00E16243" w:rsidP="00462FC1">
            <w:pPr>
              <w:keepNext/>
              <w:bidi/>
              <w:spacing w:line="280" w:lineRule="exact"/>
              <w:rPr>
                <w:rFonts w:ascii="Arabic Typesetting" w:hAnsi="Arabic Typesetting" w:cs="Arabic Typesetting"/>
                <w:b/>
                <w:bCs/>
                <w:sz w:val="28"/>
                <w:szCs w:val="28"/>
                <w:rtl/>
                <w:lang w:bidi="ar-EG"/>
              </w:rPr>
            </w:pPr>
            <w:r w:rsidRPr="00A637F7">
              <w:rPr>
                <w:rFonts w:ascii="Arabic Typesetting" w:hAnsi="Arabic Typesetting" w:cs="Arabic Typesetting" w:hint="cs"/>
                <w:b/>
                <w:bCs/>
                <w:sz w:val="28"/>
                <w:szCs w:val="28"/>
                <w:rtl/>
                <w:lang w:bidi="ar-EG"/>
              </w:rPr>
              <w:t>31 ديسمبر 2011</w:t>
            </w:r>
          </w:p>
        </w:tc>
      </w:tr>
      <w:tr w:rsidR="00E16243" w:rsidRPr="00BA46FD" w:rsidTr="00E16243">
        <w:trPr>
          <w:jc w:val="center"/>
        </w:trPr>
        <w:tc>
          <w:tcPr>
            <w:tcW w:w="3793" w:type="dxa"/>
            <w:shd w:val="clear" w:color="auto" w:fill="auto"/>
            <w:vAlign w:val="center"/>
          </w:tcPr>
          <w:p w:rsidR="00E16243" w:rsidRPr="00BA46FD" w:rsidRDefault="00E16243" w:rsidP="00462FC1">
            <w:pPr>
              <w:keepNext/>
              <w:bidi/>
              <w:spacing w:line="280" w:lineRule="exact"/>
              <w:rPr>
                <w:rFonts w:ascii="Arabic Typesetting" w:hAnsi="Arabic Typesetting" w:cs="Arabic Typesetting"/>
                <w:sz w:val="28"/>
                <w:szCs w:val="28"/>
                <w:rtl/>
                <w:lang w:bidi="ar-EG"/>
              </w:rPr>
            </w:pPr>
          </w:p>
        </w:tc>
        <w:tc>
          <w:tcPr>
            <w:tcW w:w="992" w:type="dxa"/>
            <w:shd w:val="clear" w:color="auto" w:fill="auto"/>
            <w:vAlign w:val="center"/>
          </w:tcPr>
          <w:p w:rsidR="00E16243" w:rsidRPr="00BA46FD" w:rsidRDefault="00E16243" w:rsidP="00462FC1">
            <w:pPr>
              <w:keepNext/>
              <w:bidi/>
              <w:spacing w:line="280" w:lineRule="exact"/>
              <w:rPr>
                <w:rFonts w:ascii="Arabic Typesetting" w:hAnsi="Arabic Typesetting" w:cs="Arabic Typesetting"/>
                <w:sz w:val="28"/>
                <w:szCs w:val="28"/>
                <w:rtl/>
                <w:lang w:bidi="ar-EG"/>
              </w:rPr>
            </w:pPr>
          </w:p>
        </w:tc>
        <w:tc>
          <w:tcPr>
            <w:tcW w:w="4786" w:type="dxa"/>
            <w:gridSpan w:val="2"/>
            <w:shd w:val="clear" w:color="auto" w:fill="auto"/>
            <w:vAlign w:val="center"/>
          </w:tcPr>
          <w:p w:rsidR="00E16243" w:rsidRPr="00BA46FD" w:rsidRDefault="00E16243" w:rsidP="00462FC1">
            <w:pPr>
              <w:keepNext/>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u w:val="single"/>
                <w:rtl/>
                <w:lang w:bidi="ar-EG"/>
              </w:rPr>
              <w:t>(بآلاف الفرنكات السويسري</w:t>
            </w:r>
            <w:r w:rsidRPr="00BA46FD">
              <w:rPr>
                <w:rFonts w:ascii="Arabic Typesetting" w:hAnsi="Arabic Typesetting" w:cs="Arabic Typesetting" w:hint="cs"/>
                <w:sz w:val="28"/>
                <w:szCs w:val="28"/>
                <w:rtl/>
                <w:lang w:bidi="ar-EG"/>
              </w:rPr>
              <w:t>ة)</w:t>
            </w:r>
          </w:p>
        </w:tc>
      </w:tr>
      <w:tr w:rsidR="00E16243" w:rsidRPr="00BA46FD" w:rsidTr="00E16243">
        <w:trPr>
          <w:jc w:val="center"/>
        </w:trPr>
        <w:tc>
          <w:tcPr>
            <w:tcW w:w="3793" w:type="dxa"/>
            <w:shd w:val="clear" w:color="auto" w:fill="auto"/>
          </w:tcPr>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قبل انتهاء سنة واحدة</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بعد سنة واحدة ولكن قبل خمس سنوات</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بعد خمس سنوات</w:t>
            </w:r>
          </w:p>
        </w:tc>
        <w:tc>
          <w:tcPr>
            <w:tcW w:w="992" w:type="dxa"/>
            <w:shd w:val="clear" w:color="auto" w:fill="auto"/>
          </w:tcPr>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 xml:space="preserve"> </w:t>
            </w:r>
          </w:p>
        </w:tc>
        <w:tc>
          <w:tcPr>
            <w:tcW w:w="2393" w:type="dxa"/>
            <w:tcBorders>
              <w:bottom w:val="single" w:sz="4" w:space="0" w:color="auto"/>
            </w:tcBorders>
            <w:shd w:val="clear" w:color="auto" w:fill="auto"/>
          </w:tcPr>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19</w:t>
            </w:r>
            <w:r>
              <w:rPr>
                <w:rFonts w:ascii="Arabic Typesetting" w:hAnsi="Arabic Typesetting" w:cs="Arabic Typesetting" w:hint="cs"/>
                <w:sz w:val="28"/>
                <w:szCs w:val="28"/>
                <w:rtl/>
                <w:lang w:bidi="ar-EG"/>
              </w:rPr>
              <w:t>1</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318</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w:t>
            </w:r>
          </w:p>
        </w:tc>
        <w:tc>
          <w:tcPr>
            <w:tcW w:w="2393" w:type="dxa"/>
            <w:tcBorders>
              <w:bottom w:val="single" w:sz="4" w:space="0" w:color="auto"/>
            </w:tcBorders>
            <w:shd w:val="clear" w:color="auto" w:fill="auto"/>
          </w:tcPr>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19</w:t>
            </w:r>
            <w:r>
              <w:rPr>
                <w:rFonts w:ascii="Arabic Typesetting" w:hAnsi="Arabic Typesetting" w:cs="Arabic Typesetting" w:hint="cs"/>
                <w:sz w:val="28"/>
                <w:szCs w:val="28"/>
                <w:rtl/>
                <w:lang w:bidi="ar-EG"/>
              </w:rPr>
              <w:t>2</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513</w:t>
            </w:r>
          </w:p>
          <w:p w:rsidR="00E16243" w:rsidRPr="00BA46FD" w:rsidRDefault="00E16243" w:rsidP="00462FC1">
            <w:pPr>
              <w:keepNext/>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w:t>
            </w:r>
          </w:p>
        </w:tc>
      </w:tr>
      <w:tr w:rsidR="00E16243" w:rsidRPr="00BA46FD" w:rsidTr="00E16243">
        <w:trPr>
          <w:jc w:val="center"/>
        </w:trPr>
        <w:tc>
          <w:tcPr>
            <w:tcW w:w="3793" w:type="dxa"/>
            <w:shd w:val="clear" w:color="auto" w:fill="auto"/>
          </w:tcPr>
          <w:p w:rsidR="00E16243" w:rsidRPr="00BA46FD" w:rsidRDefault="00E16243" w:rsidP="00462FC1">
            <w:pPr>
              <w:keepNext/>
              <w:bidi/>
              <w:spacing w:line="280" w:lineRule="exact"/>
              <w:rPr>
                <w:rFonts w:ascii="Arabic Typesetting" w:hAnsi="Arabic Typesetting" w:cs="Arabic Typesetting"/>
                <w:b/>
                <w:bCs/>
                <w:sz w:val="28"/>
                <w:szCs w:val="28"/>
                <w:rtl/>
                <w:lang w:bidi="ar-EG"/>
              </w:rPr>
            </w:pPr>
            <w:r w:rsidRPr="00BA46FD">
              <w:rPr>
                <w:rFonts w:ascii="Arabic Typesetting" w:hAnsi="Arabic Typesetting" w:cs="Arabic Typesetting" w:hint="cs"/>
                <w:b/>
                <w:bCs/>
                <w:sz w:val="28"/>
                <w:szCs w:val="28"/>
                <w:rtl/>
                <w:lang w:bidi="ar-EG"/>
              </w:rPr>
              <w:t>مجموع عقود التأجير التشغيلية غير القابلة للإلغاء</w:t>
            </w:r>
          </w:p>
        </w:tc>
        <w:tc>
          <w:tcPr>
            <w:tcW w:w="992" w:type="dxa"/>
            <w:shd w:val="clear" w:color="auto" w:fill="auto"/>
          </w:tcPr>
          <w:p w:rsidR="00E16243" w:rsidRPr="00BA46FD" w:rsidRDefault="00E16243" w:rsidP="00462FC1">
            <w:pPr>
              <w:keepNext/>
              <w:bidi/>
              <w:spacing w:line="280" w:lineRule="exact"/>
              <w:rPr>
                <w:rFonts w:ascii="Arabic Typesetting" w:hAnsi="Arabic Typesetting" w:cs="Arabic Typesetting"/>
                <w:b/>
                <w:bCs/>
                <w:sz w:val="28"/>
                <w:szCs w:val="28"/>
                <w:rtl/>
                <w:lang w:bidi="ar-EG"/>
              </w:rPr>
            </w:pPr>
          </w:p>
        </w:tc>
        <w:tc>
          <w:tcPr>
            <w:tcW w:w="2393" w:type="dxa"/>
            <w:tcBorders>
              <w:top w:val="single" w:sz="4" w:space="0" w:color="auto"/>
              <w:bottom w:val="single" w:sz="4" w:space="0" w:color="auto"/>
            </w:tcBorders>
            <w:shd w:val="clear" w:color="auto" w:fill="auto"/>
          </w:tcPr>
          <w:p w:rsidR="00E16243" w:rsidRPr="00BA46FD" w:rsidRDefault="00E16243" w:rsidP="00462FC1">
            <w:pPr>
              <w:keepNext/>
              <w:bidi/>
              <w:spacing w:line="280" w:lineRule="exact"/>
              <w:rPr>
                <w:rFonts w:ascii="Arabic Typesetting" w:hAnsi="Arabic Typesetting" w:cs="Arabic Typesetting"/>
                <w:b/>
                <w:bCs/>
                <w:sz w:val="28"/>
                <w:szCs w:val="28"/>
                <w:rtl/>
                <w:lang w:bidi="ar-EG"/>
              </w:rPr>
            </w:pPr>
            <w:r>
              <w:rPr>
                <w:rFonts w:ascii="Arabic Typesetting" w:hAnsi="Arabic Typesetting" w:cs="Arabic Typesetting" w:hint="cs"/>
                <w:b/>
                <w:bCs/>
                <w:sz w:val="28"/>
                <w:szCs w:val="28"/>
                <w:rtl/>
                <w:lang w:bidi="ar-EG"/>
              </w:rPr>
              <w:t>509</w:t>
            </w:r>
          </w:p>
        </w:tc>
        <w:tc>
          <w:tcPr>
            <w:tcW w:w="2393" w:type="dxa"/>
            <w:tcBorders>
              <w:top w:val="single" w:sz="4" w:space="0" w:color="auto"/>
              <w:bottom w:val="single" w:sz="4" w:space="0" w:color="auto"/>
            </w:tcBorders>
            <w:shd w:val="clear" w:color="auto" w:fill="auto"/>
          </w:tcPr>
          <w:p w:rsidR="00E16243" w:rsidRPr="00BA46FD" w:rsidRDefault="00E16243" w:rsidP="00462FC1">
            <w:pPr>
              <w:keepNext/>
              <w:bidi/>
              <w:spacing w:line="280" w:lineRule="exact"/>
              <w:rPr>
                <w:rFonts w:ascii="Arabic Typesetting" w:hAnsi="Arabic Typesetting" w:cs="Arabic Typesetting"/>
                <w:b/>
                <w:bCs/>
                <w:sz w:val="28"/>
                <w:szCs w:val="28"/>
                <w:rtl/>
                <w:lang w:bidi="ar-EG"/>
              </w:rPr>
            </w:pPr>
            <w:r>
              <w:rPr>
                <w:rFonts w:ascii="Arabic Typesetting" w:hAnsi="Arabic Typesetting" w:cs="Arabic Typesetting" w:hint="cs"/>
                <w:b/>
                <w:bCs/>
                <w:sz w:val="28"/>
                <w:szCs w:val="28"/>
                <w:rtl/>
                <w:lang w:bidi="ar-EG"/>
              </w:rPr>
              <w:t>705</w:t>
            </w:r>
          </w:p>
        </w:tc>
      </w:tr>
    </w:tbl>
    <w:p w:rsidR="00E16243" w:rsidRDefault="00E16243" w:rsidP="00E16243">
      <w:pPr>
        <w:bidi/>
        <w:spacing w:before="240" w:after="240" w:line="360" w:lineRule="exact"/>
        <w:rPr>
          <w:rFonts w:ascii="Arabic Typesetting" w:hAnsi="Arabic Typesetting" w:cs="Arabic Typesetting"/>
          <w:sz w:val="36"/>
          <w:szCs w:val="36"/>
          <w:rtl/>
        </w:rPr>
      </w:pPr>
      <w:r w:rsidRPr="00006C88">
        <w:rPr>
          <w:rFonts w:ascii="Arabic Typesetting" w:hAnsi="Arabic Typesetting" w:cs="Arabic Typesetting" w:hint="cs"/>
          <w:sz w:val="36"/>
          <w:szCs w:val="36"/>
          <w:rtl/>
        </w:rPr>
        <w:t xml:space="preserve">وليس لدى الويبو أي إيجارات غير مسددة تقيد على أنها إيجارات تمويلية حتى تاريخ التقرير المالي. وتبلغ قيمة إجمالي المبالغ المدفوعة مقابل التأجير </w:t>
      </w:r>
      <w:r>
        <w:rPr>
          <w:rFonts w:ascii="Arabic Typesetting" w:hAnsi="Arabic Typesetting" w:cs="Arabic Typesetting" w:hint="cs"/>
          <w:sz w:val="36"/>
          <w:szCs w:val="36"/>
          <w:rtl/>
        </w:rPr>
        <w:t>والمقيدة في باب المصروفات في فترة التقرير المالي مبلغ 2,1 مليون فرنك سويسري [7,1 مليون فرنك سويسري في سنة 2011].</w:t>
      </w:r>
    </w:p>
    <w:p w:rsidR="00E16243" w:rsidRPr="002869C3" w:rsidRDefault="00E16243" w:rsidP="002869C3">
      <w:pPr>
        <w:pStyle w:val="Heading2"/>
        <w:bidi/>
        <w:rPr>
          <w:rFonts w:ascii="Arabic Typesetting" w:hAnsi="Arabic Typesetting" w:cs="Arabic Typesetting"/>
          <w:i/>
          <w:iCs w:val="0"/>
          <w:sz w:val="40"/>
          <w:szCs w:val="40"/>
          <w:rtl/>
        </w:rPr>
      </w:pPr>
      <w:bookmarkStart w:id="35" w:name="_Toc362519118"/>
      <w:r w:rsidRPr="002869C3">
        <w:rPr>
          <w:rFonts w:ascii="Arabic Typesetting" w:hAnsi="Arabic Typesetting" w:cs="Arabic Typesetting" w:hint="cs"/>
          <w:i/>
          <w:iCs w:val="0"/>
          <w:sz w:val="40"/>
          <w:szCs w:val="40"/>
          <w:rtl/>
        </w:rPr>
        <w:t>الملاحظة 20: معاملات بين أطراف مترابطة</w:t>
      </w:r>
      <w:bookmarkEnd w:id="35"/>
    </w:p>
    <w:p w:rsidR="00E16243" w:rsidRDefault="00E16243" w:rsidP="00E16243">
      <w:pPr>
        <w:bidi/>
        <w:spacing w:after="240" w:line="360" w:lineRule="exact"/>
        <w:rPr>
          <w:rFonts w:ascii="Arabic Typesetting" w:hAnsi="Arabic Typesetting" w:cs="Arabic Typesetting"/>
          <w:sz w:val="36"/>
          <w:szCs w:val="36"/>
          <w:rtl/>
        </w:rPr>
      </w:pPr>
      <w:r w:rsidRPr="009E3A71">
        <w:rPr>
          <w:rFonts w:ascii="Arabic Typesetting" w:hAnsi="Arabic Typesetting" w:cs="Arabic Typesetting" w:hint="cs"/>
          <w:sz w:val="36"/>
          <w:szCs w:val="36"/>
          <w:rtl/>
        </w:rPr>
        <w:t>تتولى جمعية الويبو المؤلفة من ممثلي جميع البلدان الأعضاء تسيير المنظمة. ولا تحصل هذه البلدان على مكافأة من المنظمة. ويسهر المدير</w:t>
      </w:r>
      <w:r>
        <w:rPr>
          <w:rFonts w:ascii="Arabic Typesetting" w:hAnsi="Arabic Typesetting" w:cs="Arabic Typesetting" w:hint="cs"/>
          <w:sz w:val="36"/>
          <w:szCs w:val="36"/>
          <w:rtl/>
        </w:rPr>
        <w:t xml:space="preserve"> العام ونائباه ومساعداه والمسؤولون (موظفو الإدارة الرئيسيون) على إدارة المنظمة ويحصلون على مكافأة من المنظمة. ويشمل المبلغ الإجمالي للمكافأة المدفوعة إلى الموظفين الإداريين الرئيسيين الرواتب والبدلات والأسفار الرسمية وغير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ذلك من المستحقات المدفوعة بناء على النظام الداخلي للويبو ولوائحه والمطبقة على جميع الموظفين. ويحصل المدير العام ونائباه ومساعداه أيضا على منحة التمثيل. والموظفون الإداريون الرئيسيون أعضاء في صندوق الأمم المتحدة المشترك للمعاشات التقاعدية الذي يساهم فيه الموظفون والمنظمة ويحق لهم الاشتراك في خطة التأمين على الصحة بما في ذلك خطة التأمين الصحي ما بعد الخدمة إذا ما استوفوا شروط الأهلية.</w:t>
      </w:r>
    </w:p>
    <w:p w:rsidR="00E16243" w:rsidRDefault="00E16243" w:rsidP="00E16243">
      <w:pPr>
        <w:bidi/>
        <w:spacing w:after="240" w:line="360" w:lineRule="exact"/>
        <w:rPr>
          <w:rFonts w:ascii="Arabic Typesetting" w:hAnsi="Arabic Typesetting" w:cs="Arabic Typesetting"/>
          <w:sz w:val="36"/>
          <w:szCs w:val="36"/>
          <w:rtl/>
        </w:rPr>
      </w:pPr>
      <w:r w:rsidRPr="009E3A71">
        <w:rPr>
          <w:rFonts w:ascii="Arabic Typesetting" w:hAnsi="Arabic Typesetting" w:cs="Arabic Typesetting" w:hint="cs"/>
          <w:sz w:val="36"/>
          <w:szCs w:val="36"/>
          <w:rtl/>
        </w:rPr>
        <w:t>ولا تملك المنظمة</w:t>
      </w:r>
      <w:r>
        <w:rPr>
          <w:rFonts w:ascii="Arabic Typesetting" w:hAnsi="Arabic Typesetting" w:cs="Arabic Typesetting" w:hint="cs"/>
          <w:sz w:val="36"/>
          <w:szCs w:val="36"/>
          <w:rtl/>
        </w:rPr>
        <w:t xml:space="preserve"> حقوق ملكية في</w:t>
      </w:r>
      <w:r w:rsidRPr="00991013">
        <w:rPr>
          <w:rFonts w:ascii="Arabic Typesetting" w:hAnsi="Arabic Typesetting" w:cs="Arabic Typesetting"/>
          <w:sz w:val="36"/>
          <w:szCs w:val="36"/>
          <w:rtl/>
        </w:rPr>
        <w:t xml:space="preserve"> جمعيات أو </w:t>
      </w:r>
      <w:r>
        <w:rPr>
          <w:rFonts w:ascii="Arabic Typesetting" w:hAnsi="Arabic Typesetting" w:cs="Arabic Typesetting" w:hint="cs"/>
          <w:sz w:val="36"/>
          <w:szCs w:val="36"/>
          <w:rtl/>
        </w:rPr>
        <w:t>مشروعات</w:t>
      </w:r>
      <w:r w:rsidRPr="00991013">
        <w:rPr>
          <w:rFonts w:ascii="Arabic Typesetting" w:hAnsi="Arabic Typesetting" w:cs="Arabic Typesetting"/>
          <w:sz w:val="36"/>
          <w:szCs w:val="36"/>
          <w:rtl/>
        </w:rPr>
        <w:t xml:space="preserve"> مشتركة و</w:t>
      </w:r>
      <w:r>
        <w:rPr>
          <w:rFonts w:ascii="Arabic Typesetting" w:hAnsi="Arabic Typesetting" w:cs="Arabic Typesetting" w:hint="cs"/>
          <w:sz w:val="36"/>
          <w:szCs w:val="36"/>
          <w:rtl/>
        </w:rPr>
        <w:t xml:space="preserve">لا </w:t>
      </w:r>
      <w:r w:rsidRPr="00991013">
        <w:rPr>
          <w:rFonts w:ascii="Arabic Typesetting" w:hAnsi="Arabic Typesetting" w:cs="Arabic Typesetting"/>
          <w:sz w:val="36"/>
          <w:szCs w:val="36"/>
          <w:rtl/>
        </w:rPr>
        <w:t>أية كيانات تسيطر عليها</w:t>
      </w:r>
      <w:r>
        <w:rPr>
          <w:rFonts w:ascii="Arabic Typesetting" w:hAnsi="Arabic Typesetting" w:cs="Arabic Typesetting" w:hint="cs"/>
          <w:sz w:val="36"/>
          <w:szCs w:val="36"/>
          <w:rtl/>
        </w:rPr>
        <w:t>. والويبو عضو في صندوق الأمم المتحدة المشترك للمعاشات التقاعدية وبعض أعضاء المنظمة الحاليين والسابقين هم أعضاء في صندوق الويبو المغلق للمعاشات التقاعدية. وعلاقة المنظمة مع هذين الصندوقين مبينة بالتفصيل في الملاحظة 12.</w:t>
      </w:r>
    </w:p>
    <w:p w:rsidR="00E16243" w:rsidRDefault="00E16243" w:rsidP="00E16243">
      <w:pPr>
        <w:bidi/>
        <w:spacing w:after="240" w:line="360" w:lineRule="exact"/>
        <w:rPr>
          <w:rFonts w:ascii="Arabic Typesetting" w:hAnsi="Arabic Typesetting" w:cs="Arabic Typesetting"/>
          <w:sz w:val="36"/>
          <w:szCs w:val="36"/>
          <w:rtl/>
        </w:rPr>
      </w:pPr>
      <w:r w:rsidRPr="005A3181">
        <w:rPr>
          <w:rFonts w:ascii="Arabic Typesetting" w:hAnsi="Arabic Typesetting" w:cs="Arabic Typesetting" w:hint="cs"/>
          <w:sz w:val="36"/>
          <w:szCs w:val="36"/>
          <w:rtl/>
        </w:rPr>
        <w:t>وللمنظمة علاقة مع</w:t>
      </w:r>
      <w:r>
        <w:rPr>
          <w:rFonts w:ascii="Arabic Typesetting" w:hAnsi="Arabic Typesetting" w:cs="Arabic Typesetting" w:hint="cs"/>
          <w:sz w:val="36"/>
          <w:szCs w:val="36"/>
          <w:rtl/>
        </w:rPr>
        <w:t xml:space="preserve"> ا</w:t>
      </w:r>
      <w:r w:rsidRPr="00B87109">
        <w:rPr>
          <w:rFonts w:ascii="Arabic Typesetting" w:hAnsi="Arabic Typesetting" w:cs="Arabic Typesetting"/>
          <w:sz w:val="36"/>
          <w:szCs w:val="36"/>
          <w:rtl/>
        </w:rPr>
        <w:t>لاتحاد الدولي لحماية المصنفات النباتية الجديدة</w:t>
      </w:r>
      <w:r>
        <w:rPr>
          <w:rFonts w:ascii="Arabic Typesetting" w:hAnsi="Arabic Typesetting" w:cs="Arabic Typesetting" w:hint="cs"/>
          <w:sz w:val="36"/>
          <w:szCs w:val="36"/>
          <w:rtl/>
        </w:rPr>
        <w:t xml:space="preserve"> (الأوبوف) حيث يشغل المدير العام للمنظمة منصب الأمين العام للأوبوف. وهي مسؤولة عن توفير الأماكن وإدارة شؤون الموظفين وإدارة الشؤون المالية وخدمات المشتريات </w:t>
      </w:r>
      <w:r w:rsidRPr="00B00AFD">
        <w:rPr>
          <w:rFonts w:ascii="Arabic Typesetting" w:hAnsi="Arabic Typesetting" w:cs="Arabic Typesetting" w:hint="cs"/>
          <w:spacing w:val="-4"/>
          <w:sz w:val="36"/>
          <w:szCs w:val="36"/>
          <w:rtl/>
        </w:rPr>
        <w:t xml:space="preserve">وغير ذلك من خدمات الدعم الإداري المتاحة للأوبوف بناء على بنود اتفاق مبرم بين المنظمة والأوبوف بتاريخ 26 نوفمبر </w:t>
      </w:r>
      <w:r>
        <w:rPr>
          <w:rFonts w:ascii="Arabic Typesetting" w:hAnsi="Arabic Typesetting" w:cs="Arabic Typesetting" w:hint="cs"/>
          <w:sz w:val="36"/>
          <w:szCs w:val="36"/>
          <w:rtl/>
        </w:rPr>
        <w:t xml:space="preserve">1982. وترد الأوبوف إلى المنظمة تكاليف تلك الخدمات وفقا لبنود الاتفاق المذكور. </w:t>
      </w:r>
    </w:p>
    <w:p w:rsidR="00E16243" w:rsidRDefault="00E16243" w:rsidP="00E16243">
      <w:pPr>
        <w:bidi/>
        <w:spacing w:after="240" w:line="360" w:lineRule="exact"/>
        <w:rPr>
          <w:rFonts w:ascii="Arabic Typesetting" w:hAnsi="Arabic Typesetting" w:cs="Arabic Typesetting"/>
          <w:sz w:val="36"/>
          <w:szCs w:val="36"/>
          <w:rtl/>
        </w:rPr>
      </w:pPr>
      <w:r w:rsidRPr="00333EB7">
        <w:rPr>
          <w:rFonts w:ascii="Arabic Typesetting" w:hAnsi="Arabic Typesetting" w:cs="Arabic Typesetting" w:hint="cs"/>
          <w:sz w:val="36"/>
          <w:szCs w:val="36"/>
          <w:rtl/>
        </w:rPr>
        <w:t>ويتألف مجلس الأوبوف</w:t>
      </w:r>
      <w:r>
        <w:rPr>
          <w:rFonts w:ascii="Arabic Typesetting" w:hAnsi="Arabic Typesetting" w:cs="Arabic Typesetting" w:hint="cs"/>
          <w:sz w:val="36"/>
          <w:szCs w:val="36"/>
          <w:rtl/>
        </w:rPr>
        <w:t xml:space="preserve"> وهو الهيئة الرئاسية للأوبوف من ممثلي الأطراف المتعاقدة في </w:t>
      </w:r>
      <w:r w:rsidRPr="00096C91">
        <w:rPr>
          <w:rFonts w:ascii="Arabic Typesetting" w:hAnsi="Arabic Typesetting" w:cs="Arabic Typesetting"/>
          <w:sz w:val="36"/>
          <w:szCs w:val="36"/>
          <w:rtl/>
        </w:rPr>
        <w:t>الاتفاقية الدولية لحماية الأصناف النباتية الجديدة</w:t>
      </w:r>
      <w:r>
        <w:rPr>
          <w:rFonts w:ascii="Arabic Typesetting" w:hAnsi="Arabic Typesetting" w:cs="Arabic Typesetting" w:hint="cs"/>
          <w:sz w:val="36"/>
          <w:szCs w:val="36"/>
          <w:rtl/>
        </w:rPr>
        <w:t xml:space="preserve"> بتاريخ 2 ديسمبر 1961 كما عدلت. وبناء على النظام الداخلي للأوبوف ولائحته يمارس مكتب الاتحاد المؤلف من الأمين العام للأوبوف والموظفين، مهامه في استقلالية تامة عن المنظمة.</w:t>
      </w:r>
    </w:p>
    <w:p w:rsidR="00E16243" w:rsidRDefault="00E16243" w:rsidP="00E16243">
      <w:pPr>
        <w:bidi/>
        <w:spacing w:after="240" w:line="360" w:lineRule="exact"/>
        <w:rPr>
          <w:rFonts w:ascii="Arabic Typesetting" w:hAnsi="Arabic Typesetting" w:cs="Arabic Typesetting"/>
          <w:sz w:val="36"/>
          <w:szCs w:val="36"/>
          <w:rtl/>
        </w:rPr>
      </w:pPr>
      <w:r w:rsidRPr="00224678">
        <w:rPr>
          <w:rFonts w:ascii="Arabic Typesetting" w:hAnsi="Arabic Typesetting" w:cs="Arabic Typesetting" w:hint="cs"/>
          <w:sz w:val="36"/>
          <w:szCs w:val="36"/>
          <w:rtl/>
        </w:rPr>
        <w:lastRenderedPageBreak/>
        <w:t>وعلاوة على إرجاع جميع</w:t>
      </w:r>
      <w:r>
        <w:rPr>
          <w:rFonts w:ascii="Arabic Typesetting" w:hAnsi="Arabic Typesetting" w:cs="Arabic Typesetting" w:hint="cs"/>
          <w:sz w:val="36"/>
          <w:szCs w:val="36"/>
          <w:rtl/>
        </w:rPr>
        <w:t xml:space="preserve"> الأموال التي تكبدتها المنظمة نيابة عن الأوبوف، تحصل المنظمة على مبلغ 618 ألف فرنك سويسري سنويا من الأوبوف لتغطية تكاليف الخدمات المتاحة بناء على الاتفاق المبرم بين المنظمتين. ولا توجد أية معاملات أخرى ذات شأن مع أطراف معنية خلال سنة 2012.</w:t>
      </w:r>
    </w:p>
    <w:p w:rsidR="00E16243" w:rsidRDefault="00E16243" w:rsidP="00E16243">
      <w:pPr>
        <w:bidi/>
        <w:spacing w:after="240" w:line="360" w:lineRule="exact"/>
        <w:rPr>
          <w:rFonts w:ascii="Arabic Typesetting" w:hAnsi="Arabic Typesetting" w:cs="Arabic Typesetting"/>
          <w:sz w:val="36"/>
          <w:szCs w:val="36"/>
          <w:rtl/>
        </w:rPr>
      </w:pPr>
    </w:p>
    <w:p w:rsidR="00E16243"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ويبين الجدول التالي عدد الموظفين في المناصب الإدارية الرئيسية وأجرهم المجمع:</w:t>
      </w:r>
    </w:p>
    <w:tbl>
      <w:tblPr>
        <w:bidiVisual/>
        <w:tblW w:w="0" w:type="auto"/>
        <w:jc w:val="center"/>
        <w:tblInd w:w="172" w:type="dxa"/>
        <w:tblLook w:val="04A0" w:firstRow="1" w:lastRow="0" w:firstColumn="1" w:lastColumn="0" w:noHBand="0" w:noVBand="1"/>
      </w:tblPr>
      <w:tblGrid>
        <w:gridCol w:w="2329"/>
        <w:gridCol w:w="300"/>
        <w:gridCol w:w="1276"/>
        <w:gridCol w:w="1842"/>
        <w:gridCol w:w="284"/>
        <w:gridCol w:w="1417"/>
        <w:gridCol w:w="1951"/>
      </w:tblGrid>
      <w:tr w:rsidR="00E16243" w:rsidRPr="00BA46FD" w:rsidTr="00E16243">
        <w:trPr>
          <w:jc w:val="center"/>
        </w:trPr>
        <w:tc>
          <w:tcPr>
            <w:tcW w:w="2329"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300"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3118" w:type="dxa"/>
            <w:gridSpan w:val="2"/>
            <w:tcBorders>
              <w:top w:val="single" w:sz="4" w:space="0" w:color="auto"/>
              <w:bottom w:val="single" w:sz="4" w:space="0" w:color="auto"/>
            </w:tcBorders>
            <w:shd w:val="clear" w:color="auto" w:fill="auto"/>
          </w:tcPr>
          <w:p w:rsidR="00E16243" w:rsidRPr="00E86C58" w:rsidRDefault="00E16243" w:rsidP="00E16243">
            <w:pPr>
              <w:bidi/>
              <w:spacing w:line="280" w:lineRule="exact"/>
              <w:jc w:val="center"/>
              <w:rPr>
                <w:rFonts w:ascii="Arabic Typesetting" w:hAnsi="Arabic Typesetting" w:cs="Arabic Typesetting"/>
                <w:b/>
                <w:bCs/>
                <w:sz w:val="28"/>
                <w:szCs w:val="28"/>
                <w:rtl/>
                <w:lang w:bidi="ar-EG"/>
              </w:rPr>
            </w:pPr>
            <w:r w:rsidRPr="00E86C58">
              <w:rPr>
                <w:rFonts w:ascii="Arabic Typesetting" w:hAnsi="Arabic Typesetting" w:cs="Arabic Typesetting" w:hint="cs"/>
                <w:b/>
                <w:bCs/>
                <w:sz w:val="28"/>
                <w:szCs w:val="28"/>
                <w:rtl/>
                <w:lang w:bidi="ar-EG"/>
              </w:rPr>
              <w:t>201</w:t>
            </w:r>
            <w:r>
              <w:rPr>
                <w:rFonts w:ascii="Arabic Typesetting" w:hAnsi="Arabic Typesetting" w:cs="Arabic Typesetting" w:hint="cs"/>
                <w:b/>
                <w:bCs/>
                <w:sz w:val="28"/>
                <w:szCs w:val="28"/>
                <w:rtl/>
                <w:lang w:bidi="ar-EG"/>
              </w:rPr>
              <w:t>2</w:t>
            </w:r>
          </w:p>
        </w:tc>
        <w:tc>
          <w:tcPr>
            <w:tcW w:w="284" w:type="dxa"/>
            <w:tcBorders>
              <w:top w:val="single" w:sz="4" w:space="0" w:color="auto"/>
              <w:bottom w:val="single" w:sz="4" w:space="0" w:color="auto"/>
            </w:tcBorders>
            <w:shd w:val="clear" w:color="auto" w:fill="auto"/>
          </w:tcPr>
          <w:p w:rsidR="00E16243" w:rsidRPr="00E86C58" w:rsidRDefault="00E16243" w:rsidP="00E16243">
            <w:pPr>
              <w:bidi/>
              <w:spacing w:line="280" w:lineRule="exact"/>
              <w:jc w:val="center"/>
              <w:rPr>
                <w:rFonts w:ascii="Arabic Typesetting" w:hAnsi="Arabic Typesetting" w:cs="Arabic Typesetting"/>
                <w:b/>
                <w:bCs/>
                <w:sz w:val="28"/>
                <w:szCs w:val="28"/>
                <w:rtl/>
                <w:lang w:bidi="ar-EG"/>
              </w:rPr>
            </w:pPr>
          </w:p>
        </w:tc>
        <w:tc>
          <w:tcPr>
            <w:tcW w:w="3368" w:type="dxa"/>
            <w:gridSpan w:val="2"/>
            <w:tcBorders>
              <w:top w:val="single" w:sz="4" w:space="0" w:color="auto"/>
              <w:bottom w:val="single" w:sz="4" w:space="0" w:color="auto"/>
            </w:tcBorders>
            <w:shd w:val="clear" w:color="auto" w:fill="auto"/>
          </w:tcPr>
          <w:p w:rsidR="00E16243" w:rsidRPr="00E86C58" w:rsidRDefault="00E16243" w:rsidP="00E16243">
            <w:pPr>
              <w:bidi/>
              <w:spacing w:line="280" w:lineRule="exact"/>
              <w:jc w:val="center"/>
              <w:rPr>
                <w:rFonts w:ascii="Arabic Typesetting" w:hAnsi="Arabic Typesetting" w:cs="Arabic Typesetting"/>
                <w:b/>
                <w:bCs/>
                <w:sz w:val="28"/>
                <w:szCs w:val="28"/>
                <w:rtl/>
                <w:lang w:bidi="ar-EG"/>
              </w:rPr>
            </w:pPr>
            <w:r w:rsidRPr="00E86C58">
              <w:rPr>
                <w:rFonts w:ascii="Arabic Typesetting" w:hAnsi="Arabic Typesetting" w:cs="Arabic Typesetting" w:hint="cs"/>
                <w:b/>
                <w:bCs/>
                <w:sz w:val="28"/>
                <w:szCs w:val="28"/>
                <w:rtl/>
                <w:lang w:bidi="ar-EG"/>
              </w:rPr>
              <w:t>201</w:t>
            </w:r>
            <w:r>
              <w:rPr>
                <w:rFonts w:ascii="Arabic Typesetting" w:hAnsi="Arabic Typesetting" w:cs="Arabic Typesetting" w:hint="cs"/>
                <w:b/>
                <w:bCs/>
                <w:sz w:val="28"/>
                <w:szCs w:val="28"/>
                <w:rtl/>
                <w:lang w:bidi="ar-EG"/>
              </w:rPr>
              <w:t>1</w:t>
            </w:r>
          </w:p>
        </w:tc>
      </w:tr>
      <w:tr w:rsidR="00E16243" w:rsidRPr="00BA46FD" w:rsidTr="00E16243">
        <w:trPr>
          <w:jc w:val="center"/>
        </w:trPr>
        <w:tc>
          <w:tcPr>
            <w:tcW w:w="2329"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300"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276" w:type="dxa"/>
            <w:tcBorders>
              <w:top w:val="single" w:sz="4" w:space="0" w:color="auto"/>
              <w:bottom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عدد الأفراد</w:t>
            </w:r>
          </w:p>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(كمتوسط)</w:t>
            </w:r>
          </w:p>
        </w:tc>
        <w:tc>
          <w:tcPr>
            <w:tcW w:w="1842" w:type="dxa"/>
            <w:tcBorders>
              <w:top w:val="single" w:sz="4" w:space="0" w:color="auto"/>
              <w:bottom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الأجر المجمّع</w:t>
            </w:r>
          </w:p>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(بالفرنك السويسري)</w:t>
            </w:r>
          </w:p>
        </w:tc>
        <w:tc>
          <w:tcPr>
            <w:tcW w:w="284" w:type="dxa"/>
            <w:tcBorders>
              <w:top w:val="single" w:sz="4" w:space="0" w:color="auto"/>
              <w:bottom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417" w:type="dxa"/>
            <w:tcBorders>
              <w:top w:val="single" w:sz="4" w:space="0" w:color="auto"/>
              <w:bottom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عدد الأفراد</w:t>
            </w:r>
          </w:p>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(كمتوسط)</w:t>
            </w:r>
          </w:p>
        </w:tc>
        <w:tc>
          <w:tcPr>
            <w:tcW w:w="1951" w:type="dxa"/>
            <w:tcBorders>
              <w:top w:val="single" w:sz="4" w:space="0" w:color="auto"/>
              <w:bottom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الأجر المجمّع</w:t>
            </w:r>
          </w:p>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(بالفرنك السويسري)</w:t>
            </w:r>
          </w:p>
        </w:tc>
      </w:tr>
      <w:tr w:rsidR="00E16243" w:rsidRPr="00BA46FD" w:rsidTr="00E16243">
        <w:trPr>
          <w:jc w:val="center"/>
        </w:trPr>
        <w:tc>
          <w:tcPr>
            <w:tcW w:w="2329" w:type="dxa"/>
            <w:shd w:val="clear" w:color="auto" w:fill="auto"/>
          </w:tcPr>
          <w:p w:rsidR="00E16243" w:rsidRPr="00BA46FD" w:rsidRDefault="00E16243" w:rsidP="00E16243">
            <w:pPr>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المدير العام والنواب والمساعدون</w:t>
            </w:r>
          </w:p>
        </w:tc>
        <w:tc>
          <w:tcPr>
            <w:tcW w:w="300"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276" w:type="dxa"/>
            <w:tcBorders>
              <w:top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8.00</w:t>
            </w:r>
          </w:p>
        </w:tc>
        <w:tc>
          <w:tcPr>
            <w:tcW w:w="1842" w:type="dxa"/>
            <w:tcBorders>
              <w:top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2</w:t>
            </w:r>
            <w:r>
              <w:rPr>
                <w:rFonts w:ascii="Arabic Typesetting" w:hAnsi="Arabic Typesetting" w:cs="Arabic Typesetting" w:hint="cs"/>
                <w:sz w:val="28"/>
                <w:szCs w:val="28"/>
                <w:rtl/>
              </w:rPr>
              <w:t>,</w:t>
            </w:r>
            <w:r>
              <w:rPr>
                <w:rFonts w:ascii="Arabic Typesetting" w:hAnsi="Arabic Typesetting" w:cs="Arabic Typesetting" w:hint="cs"/>
                <w:sz w:val="28"/>
                <w:szCs w:val="28"/>
                <w:rtl/>
                <w:lang w:bidi="ar-EG"/>
              </w:rPr>
              <w:t>904,182</w:t>
            </w:r>
          </w:p>
        </w:tc>
        <w:tc>
          <w:tcPr>
            <w:tcW w:w="284" w:type="dxa"/>
            <w:tcBorders>
              <w:top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417" w:type="dxa"/>
            <w:tcBorders>
              <w:top w:val="single" w:sz="4" w:space="0" w:color="auto"/>
            </w:tcBorders>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8.00</w:t>
            </w:r>
          </w:p>
        </w:tc>
        <w:tc>
          <w:tcPr>
            <w:tcW w:w="1951" w:type="dxa"/>
            <w:tcBorders>
              <w:top w:val="single" w:sz="4" w:space="0" w:color="auto"/>
            </w:tcBorders>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3,074,073</w:t>
            </w:r>
          </w:p>
        </w:tc>
      </w:tr>
      <w:tr w:rsidR="00E16243" w:rsidRPr="00BA46FD" w:rsidTr="00E16243">
        <w:trPr>
          <w:jc w:val="center"/>
        </w:trPr>
        <w:tc>
          <w:tcPr>
            <w:tcW w:w="2329" w:type="dxa"/>
            <w:shd w:val="clear" w:color="auto" w:fill="auto"/>
          </w:tcPr>
          <w:p w:rsidR="00E16243" w:rsidRPr="00BA46FD" w:rsidRDefault="00E16243" w:rsidP="00E16243">
            <w:pPr>
              <w:bidi/>
              <w:spacing w:line="280" w:lineRule="exact"/>
              <w:rPr>
                <w:rFonts w:ascii="Arabic Typesetting" w:hAnsi="Arabic Typesetting" w:cs="Arabic Typesetting"/>
                <w:sz w:val="28"/>
                <w:szCs w:val="28"/>
                <w:rtl/>
                <w:lang w:bidi="ar-EG"/>
              </w:rPr>
            </w:pPr>
            <w:r w:rsidRPr="00BA46FD">
              <w:rPr>
                <w:rFonts w:ascii="Arabic Typesetting" w:hAnsi="Arabic Typesetting" w:cs="Arabic Typesetting" w:hint="cs"/>
                <w:sz w:val="28"/>
                <w:szCs w:val="28"/>
                <w:rtl/>
                <w:lang w:bidi="ar-EG"/>
              </w:rPr>
              <w:t>كبار الموظفين</w:t>
            </w:r>
          </w:p>
        </w:tc>
        <w:tc>
          <w:tcPr>
            <w:tcW w:w="300" w:type="dxa"/>
            <w:shd w:val="clear" w:color="auto" w:fill="auto"/>
          </w:tcPr>
          <w:p w:rsidR="00E16243" w:rsidRPr="00BA46FD" w:rsidRDefault="00E16243" w:rsidP="00E16243">
            <w:pPr>
              <w:bidi/>
              <w:spacing w:line="280" w:lineRule="exact"/>
              <w:jc w:val="center"/>
              <w:rPr>
                <w:rFonts w:ascii="Arabic Typesetting" w:hAnsi="Arabic Typesetting" w:cs="Arabic Typesetting"/>
                <w:sz w:val="28"/>
                <w:szCs w:val="28"/>
                <w:rtl/>
                <w:lang w:bidi="ar-EG"/>
              </w:rPr>
            </w:pPr>
          </w:p>
        </w:tc>
        <w:tc>
          <w:tcPr>
            <w:tcW w:w="1276" w:type="dxa"/>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13.33</w:t>
            </w:r>
          </w:p>
        </w:tc>
        <w:tc>
          <w:tcPr>
            <w:tcW w:w="1842" w:type="dxa"/>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3,954,229</w:t>
            </w:r>
          </w:p>
        </w:tc>
        <w:tc>
          <w:tcPr>
            <w:tcW w:w="284" w:type="dxa"/>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p>
        </w:tc>
        <w:tc>
          <w:tcPr>
            <w:tcW w:w="1417" w:type="dxa"/>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14.02</w:t>
            </w:r>
          </w:p>
        </w:tc>
        <w:tc>
          <w:tcPr>
            <w:tcW w:w="1951" w:type="dxa"/>
            <w:shd w:val="clear" w:color="auto" w:fill="auto"/>
          </w:tcPr>
          <w:p w:rsidR="00E16243" w:rsidRPr="00BA46FD" w:rsidRDefault="00E16243" w:rsidP="00E16243">
            <w:pPr>
              <w:spacing w:line="280" w:lineRule="exact"/>
              <w:jc w:val="center"/>
              <w:rPr>
                <w:rFonts w:ascii="Arabic Typesetting" w:hAnsi="Arabic Typesetting" w:cs="Arabic Typesetting"/>
                <w:sz w:val="28"/>
                <w:szCs w:val="28"/>
                <w:rtl/>
                <w:lang w:bidi="ar-EG"/>
              </w:rPr>
            </w:pPr>
            <w:r>
              <w:rPr>
                <w:rFonts w:ascii="Arabic Typesetting" w:hAnsi="Arabic Typesetting" w:cs="Arabic Typesetting" w:hint="cs"/>
                <w:sz w:val="28"/>
                <w:szCs w:val="28"/>
                <w:rtl/>
                <w:lang w:bidi="ar-EG"/>
              </w:rPr>
              <w:t>4,403,484</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لا تتاح القروض للموظفين في المناصب الإدارية الرئيسية ولا لأفراد أسرهم المقربين، بينما تُتاح للفئات الأخرى من الموظفين. كما لا يدفع أجر أو تعويض آخر للموظفين في المناصب الإدارية الرئيسية أو لأفراد أسرهم المقربين.</w:t>
      </w:r>
    </w:p>
    <w:p w:rsidR="00E16243" w:rsidRPr="002869C3" w:rsidRDefault="00E16243" w:rsidP="002869C3">
      <w:pPr>
        <w:pStyle w:val="Heading2"/>
        <w:bidi/>
        <w:rPr>
          <w:rFonts w:ascii="Arabic Typesetting" w:hAnsi="Arabic Typesetting" w:cs="Arabic Typesetting"/>
          <w:i/>
          <w:iCs w:val="0"/>
          <w:sz w:val="40"/>
          <w:szCs w:val="40"/>
          <w:rtl/>
        </w:rPr>
      </w:pPr>
      <w:bookmarkStart w:id="36" w:name="_Toc362519119"/>
      <w:r w:rsidRPr="002869C3">
        <w:rPr>
          <w:rFonts w:ascii="Arabic Typesetting" w:hAnsi="Arabic Typesetting" w:cs="Arabic Typesetting" w:hint="cs"/>
          <w:i/>
          <w:iCs w:val="0"/>
          <w:sz w:val="40"/>
          <w:szCs w:val="40"/>
          <w:rtl/>
        </w:rPr>
        <w:t>الملاحظة 21: الأموال الاحتياطية ورصيد الأموال</w:t>
      </w:r>
      <w:bookmarkEnd w:id="36"/>
    </w:p>
    <w:tbl>
      <w:tblPr>
        <w:bidiVisual/>
        <w:tblW w:w="0" w:type="auto"/>
        <w:jc w:val="center"/>
        <w:tblInd w:w="-177" w:type="dxa"/>
        <w:tblLook w:val="04A0" w:firstRow="1" w:lastRow="0" w:firstColumn="1" w:lastColumn="0" w:noHBand="0" w:noVBand="1"/>
      </w:tblPr>
      <w:tblGrid>
        <w:gridCol w:w="1037"/>
        <w:gridCol w:w="850"/>
        <w:gridCol w:w="1418"/>
        <w:gridCol w:w="1417"/>
        <w:gridCol w:w="1560"/>
        <w:gridCol w:w="1275"/>
        <w:gridCol w:w="993"/>
        <w:gridCol w:w="779"/>
      </w:tblGrid>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p>
        </w:tc>
        <w:tc>
          <w:tcPr>
            <w:tcW w:w="850" w:type="dxa"/>
            <w:tcBorders>
              <w:bottom w:val="single" w:sz="4" w:space="0" w:color="auto"/>
            </w:tcBorders>
            <w:shd w:val="clear" w:color="auto" w:fill="auto"/>
            <w:vAlign w:val="center"/>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31 ديسمبر 2011</w:t>
            </w:r>
          </w:p>
        </w:tc>
        <w:tc>
          <w:tcPr>
            <w:tcW w:w="1418" w:type="dxa"/>
            <w:tcBorders>
              <w:bottom w:val="single" w:sz="4" w:space="0" w:color="auto"/>
            </w:tcBorders>
            <w:shd w:val="clear" w:color="auto" w:fill="auto"/>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البرنامج والميزانية فائض السنة (قبل التسويات بناء على</w:t>
            </w:r>
            <w:r w:rsidRPr="00CB6781">
              <w:rPr>
                <w:rFonts w:hint="cs"/>
                <w:b/>
                <w:bCs/>
                <w:sz w:val="24"/>
                <w:szCs w:val="24"/>
                <w:rtl/>
              </w:rPr>
              <w:t xml:space="preserve"> </w:t>
            </w:r>
            <w:r w:rsidRPr="00CB6781">
              <w:rPr>
                <w:rFonts w:ascii="Arabic Typesetting" w:hAnsi="Arabic Typesetting" w:cs="Arabic Typesetting" w:hint="cs"/>
                <w:b/>
                <w:bCs/>
                <w:sz w:val="24"/>
                <w:szCs w:val="24"/>
                <w:rtl/>
              </w:rPr>
              <w:t>المعايير المحاسبية الدولية للقطاع</w:t>
            </w:r>
            <w:r>
              <w:rPr>
                <w:rFonts w:ascii="Arabic Typesetting" w:hAnsi="Arabic Typesetting" w:cs="Arabic Typesetting" w:hint="eastAsia"/>
                <w:b/>
                <w:bCs/>
                <w:sz w:val="24"/>
                <w:szCs w:val="24"/>
                <w:rtl/>
              </w:rPr>
              <w:t> </w:t>
            </w:r>
            <w:r w:rsidRPr="00CB6781">
              <w:rPr>
                <w:rFonts w:ascii="Arabic Typesetting" w:hAnsi="Arabic Typesetting" w:cs="Arabic Typesetting" w:hint="cs"/>
                <w:b/>
                <w:bCs/>
                <w:sz w:val="24"/>
                <w:szCs w:val="24"/>
                <w:rtl/>
              </w:rPr>
              <w:t>العام)</w:t>
            </w:r>
          </w:p>
        </w:tc>
        <w:tc>
          <w:tcPr>
            <w:tcW w:w="1417" w:type="dxa"/>
            <w:tcBorders>
              <w:bottom w:val="single" w:sz="4" w:space="0" w:color="auto"/>
            </w:tcBorders>
            <w:shd w:val="clear" w:color="auto" w:fill="auto"/>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الحسابات الخاصة فائض السنة (قبل التسويات بناء على المعايير المحاسبية الدولية للقطاع العام)</w:t>
            </w:r>
          </w:p>
        </w:tc>
        <w:tc>
          <w:tcPr>
            <w:tcW w:w="1560" w:type="dxa"/>
            <w:tcBorders>
              <w:bottom w:val="single" w:sz="4" w:space="0" w:color="auto"/>
            </w:tcBorders>
            <w:shd w:val="clear" w:color="auto" w:fill="auto"/>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مشاريع تمول من الأموال الاحتياطية (قبل التسويات بناء على المعايير المحاسبية الدولية للقطاع</w:t>
            </w:r>
            <w:r>
              <w:rPr>
                <w:rFonts w:ascii="Arabic Typesetting" w:hAnsi="Arabic Typesetting" w:cs="Arabic Typesetting" w:hint="eastAsia"/>
                <w:b/>
                <w:bCs/>
                <w:sz w:val="24"/>
                <w:szCs w:val="24"/>
                <w:rtl/>
              </w:rPr>
              <w:t> </w:t>
            </w:r>
            <w:r w:rsidRPr="00CB6781">
              <w:rPr>
                <w:rFonts w:ascii="Arabic Typesetting" w:hAnsi="Arabic Typesetting" w:cs="Arabic Typesetting" w:hint="cs"/>
                <w:b/>
                <w:bCs/>
                <w:sz w:val="24"/>
                <w:szCs w:val="24"/>
                <w:rtl/>
              </w:rPr>
              <w:t>العام)</w:t>
            </w:r>
          </w:p>
        </w:tc>
        <w:tc>
          <w:tcPr>
            <w:tcW w:w="1275" w:type="dxa"/>
            <w:tcBorders>
              <w:bottom w:val="single" w:sz="4" w:space="0" w:color="auto"/>
            </w:tcBorders>
            <w:shd w:val="clear" w:color="auto" w:fill="auto"/>
            <w:vAlign w:val="center"/>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تسويات العام بناء على المعايير المحاسبية الدولية للقطاع العام</w:t>
            </w:r>
          </w:p>
        </w:tc>
        <w:tc>
          <w:tcPr>
            <w:tcW w:w="993" w:type="dxa"/>
            <w:tcBorders>
              <w:bottom w:val="single" w:sz="4" w:space="0" w:color="auto"/>
            </w:tcBorders>
            <w:shd w:val="clear" w:color="auto" w:fill="auto"/>
            <w:vAlign w:val="center"/>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نقل الفوائض المجمّعة</w:t>
            </w:r>
          </w:p>
        </w:tc>
        <w:tc>
          <w:tcPr>
            <w:tcW w:w="779" w:type="dxa"/>
            <w:tcBorders>
              <w:bottom w:val="single" w:sz="4" w:space="0" w:color="auto"/>
            </w:tcBorders>
            <w:shd w:val="clear" w:color="auto" w:fill="auto"/>
            <w:vAlign w:val="center"/>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31 ديسمبر 2012</w:t>
            </w:r>
          </w:p>
        </w:tc>
      </w:tr>
      <w:tr w:rsidR="00E16243" w:rsidRPr="00CB6781" w:rsidTr="00E16243">
        <w:trPr>
          <w:jc w:val="center"/>
        </w:trPr>
        <w:tc>
          <w:tcPr>
            <w:tcW w:w="9285" w:type="dxa"/>
            <w:gridSpan w:val="8"/>
            <w:shd w:val="clear" w:color="auto" w:fill="auto"/>
          </w:tcPr>
          <w:p w:rsidR="00E16243" w:rsidRPr="00CB6781" w:rsidRDefault="00E16243" w:rsidP="00E16243">
            <w:pPr>
              <w:keepNext/>
              <w:bidi/>
              <w:spacing w:line="280" w:lineRule="exact"/>
              <w:jc w:val="center"/>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(بآلاف الفرنكات السويسرية)</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b/>
                <w:bCs/>
                <w:sz w:val="24"/>
                <w:szCs w:val="24"/>
                <w:rtl/>
              </w:rPr>
              <w:t>البرنامج والميزانية فائض</w:t>
            </w:r>
            <w:r>
              <w:rPr>
                <w:rFonts w:ascii="Arabic Typesetting" w:hAnsi="Arabic Typesetting" w:cs="Arabic Typesetting" w:hint="cs"/>
                <w:b/>
                <w:bCs/>
                <w:sz w:val="24"/>
                <w:szCs w:val="24"/>
                <w:rtl/>
              </w:rPr>
              <w:t>/</w:t>
            </w:r>
            <w:r w:rsidRPr="00CB6781">
              <w:rPr>
                <w:rFonts w:ascii="Arabic Typesetting" w:hAnsi="Arabic Typesetting" w:cs="Arabic Typesetting" w:hint="cs"/>
                <w:b/>
                <w:bCs/>
                <w:sz w:val="24"/>
                <w:szCs w:val="24"/>
                <w:rtl/>
              </w:rPr>
              <w:t>عجز السنة</w:t>
            </w:r>
          </w:p>
        </w:tc>
        <w:tc>
          <w:tcPr>
            <w:tcW w:w="85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8"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50</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984</w:t>
            </w:r>
          </w:p>
        </w:tc>
        <w:tc>
          <w:tcPr>
            <w:tcW w:w="1417"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56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275"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28</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867-</w:t>
            </w:r>
          </w:p>
        </w:tc>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117-</w:t>
            </w:r>
          </w:p>
        </w:tc>
        <w:tc>
          <w:tcPr>
            <w:tcW w:w="779"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الحسابات الخاصة فائض/عجز السنة</w:t>
            </w:r>
          </w:p>
        </w:tc>
        <w:tc>
          <w:tcPr>
            <w:tcW w:w="85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8"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7"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384</w:t>
            </w:r>
          </w:p>
        </w:tc>
        <w:tc>
          <w:tcPr>
            <w:tcW w:w="156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275"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384</w:t>
            </w:r>
          </w:p>
        </w:tc>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779"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الفائض/(العجز) المجمّع</w:t>
            </w:r>
          </w:p>
        </w:tc>
        <w:tc>
          <w:tcPr>
            <w:tcW w:w="85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139</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141</w:t>
            </w:r>
          </w:p>
        </w:tc>
        <w:tc>
          <w:tcPr>
            <w:tcW w:w="1418"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7"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56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11</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015-</w:t>
            </w:r>
          </w:p>
        </w:tc>
        <w:tc>
          <w:tcPr>
            <w:tcW w:w="1275"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4</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608</w:t>
            </w:r>
          </w:p>
        </w:tc>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117</w:t>
            </w:r>
          </w:p>
        </w:tc>
        <w:tc>
          <w:tcPr>
            <w:tcW w:w="779"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154</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851</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صناديق رؤوس الأموال العاملة</w:t>
            </w:r>
          </w:p>
        </w:tc>
        <w:tc>
          <w:tcPr>
            <w:tcW w:w="85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8</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342</w:t>
            </w:r>
          </w:p>
        </w:tc>
        <w:tc>
          <w:tcPr>
            <w:tcW w:w="1418"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7"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560"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275"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779" w:type="dxa"/>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8</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342</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فائض إعادة التقييم</w:t>
            </w:r>
          </w:p>
        </w:tc>
        <w:tc>
          <w:tcPr>
            <w:tcW w:w="850"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15</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046</w:t>
            </w:r>
          </w:p>
        </w:tc>
        <w:tc>
          <w:tcPr>
            <w:tcW w:w="1418"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417"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p>
        </w:tc>
        <w:tc>
          <w:tcPr>
            <w:tcW w:w="1560"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1275"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993"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779" w:type="dxa"/>
            <w:tcBorders>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15</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046</w:t>
            </w:r>
          </w:p>
        </w:tc>
      </w:tr>
      <w:tr w:rsidR="00E16243" w:rsidRPr="00CB6781" w:rsidTr="00E16243">
        <w:trPr>
          <w:jc w:val="center"/>
        </w:trPr>
        <w:tc>
          <w:tcPr>
            <w:tcW w:w="993" w:type="dxa"/>
            <w:shd w:val="clear" w:color="auto" w:fill="auto"/>
          </w:tcPr>
          <w:p w:rsidR="00E16243" w:rsidRPr="00CB6781" w:rsidRDefault="00E16243" w:rsidP="00E16243">
            <w:pPr>
              <w:keepNext/>
              <w:bidi/>
              <w:spacing w:line="280" w:lineRule="exact"/>
              <w:rPr>
                <w:rFonts w:ascii="Arabic Typesetting" w:hAnsi="Arabic Typesetting" w:cs="Arabic Typesetting"/>
                <w:b/>
                <w:bCs/>
                <w:sz w:val="24"/>
                <w:szCs w:val="24"/>
                <w:rtl/>
              </w:rPr>
            </w:pPr>
            <w:r w:rsidRPr="00CB6781">
              <w:rPr>
                <w:rFonts w:ascii="Arabic Typesetting" w:hAnsi="Arabic Typesetting" w:cs="Arabic Typesetting" w:hint="cs"/>
                <w:b/>
                <w:bCs/>
                <w:sz w:val="24"/>
                <w:szCs w:val="24"/>
                <w:rtl/>
              </w:rPr>
              <w:t>صافي الأصول</w:t>
            </w:r>
          </w:p>
        </w:tc>
        <w:tc>
          <w:tcPr>
            <w:tcW w:w="850"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162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529</w:t>
            </w:r>
          </w:p>
        </w:tc>
        <w:tc>
          <w:tcPr>
            <w:tcW w:w="1418"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50</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984</w:t>
            </w:r>
          </w:p>
        </w:tc>
        <w:tc>
          <w:tcPr>
            <w:tcW w:w="1417"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384</w:t>
            </w:r>
          </w:p>
        </w:tc>
        <w:tc>
          <w:tcPr>
            <w:tcW w:w="1560"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11</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015-</w:t>
            </w:r>
          </w:p>
        </w:tc>
        <w:tc>
          <w:tcPr>
            <w:tcW w:w="1275"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26</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643-</w:t>
            </w:r>
          </w:p>
        </w:tc>
        <w:tc>
          <w:tcPr>
            <w:tcW w:w="993"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w:t>
            </w:r>
          </w:p>
        </w:tc>
        <w:tc>
          <w:tcPr>
            <w:tcW w:w="779" w:type="dxa"/>
            <w:tcBorders>
              <w:top w:val="single" w:sz="4" w:space="0" w:color="auto"/>
              <w:bottom w:val="single" w:sz="4" w:space="0" w:color="auto"/>
            </w:tcBorders>
            <w:shd w:val="clear" w:color="auto" w:fill="auto"/>
          </w:tcPr>
          <w:p w:rsidR="00E16243" w:rsidRPr="00CB6781" w:rsidRDefault="00E16243" w:rsidP="00E16243">
            <w:pPr>
              <w:keepNext/>
              <w:bidi/>
              <w:spacing w:line="280" w:lineRule="exact"/>
              <w:rPr>
                <w:rFonts w:ascii="Arabic Typesetting" w:hAnsi="Arabic Typesetting" w:cs="Arabic Typesetting"/>
                <w:sz w:val="24"/>
                <w:szCs w:val="24"/>
                <w:rtl/>
              </w:rPr>
            </w:pPr>
            <w:r w:rsidRPr="00CB6781">
              <w:rPr>
                <w:rFonts w:ascii="Arabic Typesetting" w:hAnsi="Arabic Typesetting" w:cs="Arabic Typesetting" w:hint="cs"/>
                <w:sz w:val="24"/>
                <w:szCs w:val="24"/>
                <w:rtl/>
              </w:rPr>
              <w:t>178</w:t>
            </w:r>
            <w:r>
              <w:rPr>
                <w:rFonts w:ascii="Arabic Typesetting" w:hAnsi="Arabic Typesetting" w:cs="Arabic Typesetting" w:hint="cs"/>
                <w:sz w:val="24"/>
                <w:szCs w:val="24"/>
                <w:rtl/>
              </w:rPr>
              <w:t>,</w:t>
            </w:r>
            <w:r w:rsidRPr="00CB6781">
              <w:rPr>
                <w:rFonts w:ascii="Arabic Typesetting" w:hAnsi="Arabic Typesetting" w:cs="Arabic Typesetting" w:hint="cs"/>
                <w:sz w:val="24"/>
                <w:szCs w:val="24"/>
                <w:rtl/>
              </w:rPr>
              <w:t>239</w:t>
            </w:r>
          </w:p>
        </w:tc>
      </w:tr>
    </w:tbl>
    <w:p w:rsidR="00E16243" w:rsidRDefault="00E16243" w:rsidP="00E16243">
      <w:pPr>
        <w:bidi/>
        <w:spacing w:after="240" w:line="360" w:lineRule="exact"/>
        <w:rPr>
          <w:rFonts w:ascii="Arabic Typesetting" w:hAnsi="Arabic Typesetting" w:cs="Arabic Typesetting"/>
          <w:b/>
          <w:bCs/>
          <w:sz w:val="42"/>
          <w:szCs w:val="42"/>
          <w:rtl/>
        </w:rPr>
      </w:pPr>
    </w:p>
    <w:p w:rsidR="00E16243" w:rsidRDefault="00E16243" w:rsidP="00E16243">
      <w:pPr>
        <w:keepNext/>
        <w:bidi/>
        <w:spacing w:after="240" w:line="360" w:lineRule="exact"/>
        <w:rPr>
          <w:rFonts w:ascii="Arabic Typesetting" w:hAnsi="Arabic Typesetting" w:cs="Arabic Typesetting"/>
          <w:sz w:val="36"/>
          <w:szCs w:val="36"/>
          <w:rtl/>
        </w:rPr>
      </w:pPr>
      <w:r w:rsidRPr="000B245B">
        <w:rPr>
          <w:rFonts w:ascii="Arabic Typesetting" w:hAnsi="Arabic Typesetting" w:cs="Arabic Typesetting" w:hint="cs"/>
          <w:sz w:val="36"/>
          <w:szCs w:val="36"/>
          <w:rtl/>
        </w:rPr>
        <w:lastRenderedPageBreak/>
        <w:t>يمثل</w:t>
      </w:r>
      <w:r w:rsidRPr="000B245B">
        <w:rPr>
          <w:rFonts w:ascii="Arabic Typesetting" w:hAnsi="Arabic Typesetting" w:cs="Arabic Typesetting"/>
          <w:sz w:val="36"/>
          <w:szCs w:val="36"/>
          <w:rtl/>
        </w:rPr>
        <w:t xml:space="preserve"> رصيد</w:t>
      </w:r>
      <w:r w:rsidRPr="002C51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أموال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2C5110">
        <w:rPr>
          <w:rFonts w:ascii="Arabic Typesetting" w:hAnsi="Arabic Typesetting" w:cs="Arabic Typesetting"/>
          <w:sz w:val="36"/>
          <w:szCs w:val="36"/>
          <w:rtl/>
        </w:rPr>
        <w:t>لمنظمة</w:t>
      </w:r>
      <w:r>
        <w:rPr>
          <w:rFonts w:ascii="Arabic Typesetting" w:hAnsi="Arabic Typesetting" w:cs="Arabic Typesetting" w:hint="cs"/>
          <w:sz w:val="36"/>
          <w:szCs w:val="36"/>
          <w:rtl/>
        </w:rPr>
        <w:t xml:space="preserve"> </w:t>
      </w:r>
      <w:r w:rsidRPr="002C5110">
        <w:rPr>
          <w:rFonts w:ascii="Arabic Typesetting" w:hAnsi="Arabic Typesetting" w:cs="Arabic Typesetting"/>
          <w:sz w:val="36"/>
          <w:szCs w:val="36"/>
          <w:rtl/>
        </w:rPr>
        <w:t>النتيجة الصافية المتراكمة</w:t>
      </w:r>
      <w:r>
        <w:rPr>
          <w:rFonts w:ascii="Arabic Typesetting" w:hAnsi="Arabic Typesetting" w:cs="Arabic Typesetting" w:hint="cs"/>
          <w:sz w:val="36"/>
          <w:szCs w:val="36"/>
          <w:rtl/>
        </w:rPr>
        <w:t xml:space="preserve"> للعمليات في سنة 2012 وفي الفترات السابقة. ويشمل رصيد الأموال المبلغ المجنب لتمويل مستحقات ما بعد الخدمة </w:t>
      </w:r>
      <w:r>
        <w:rPr>
          <w:rFonts w:ascii="Arabic Typesetting" w:hAnsi="Arabic Typesetting" w:cs="Arabic Typesetting" w:hint="cs"/>
          <w:sz w:val="36"/>
          <w:szCs w:val="36"/>
          <w:rtl/>
          <w:lang w:bidi="ar-EG"/>
        </w:rPr>
        <w:t>من</w:t>
      </w:r>
      <w:r>
        <w:rPr>
          <w:rFonts w:ascii="Arabic Typesetting" w:hAnsi="Arabic Typesetting" w:cs="Arabic Typesetting" w:hint="cs"/>
          <w:sz w:val="36"/>
          <w:szCs w:val="36"/>
          <w:rtl/>
        </w:rPr>
        <w:t xml:space="preserve"> رسم فُرض على صافي الراتب مضاف إليه تسوية المقر. وبلغ هذ الرسم قبل سنة 2012 ستة في المائة وسيُخفض إلى 2 في المائة ابتداء من يناير 2012.</w:t>
      </w:r>
    </w:p>
    <w:p w:rsidR="00E16243" w:rsidRDefault="00E16243" w:rsidP="00E16243">
      <w:pPr>
        <w:keepNext/>
        <w:bidi/>
        <w:spacing w:after="240" w:line="360" w:lineRule="exact"/>
        <w:rPr>
          <w:rFonts w:ascii="Arabic Typesetting" w:hAnsi="Arabic Typesetting" w:cs="Arabic Typesetting"/>
          <w:sz w:val="36"/>
          <w:szCs w:val="36"/>
          <w:rtl/>
          <w:lang w:bidi="ar-EG"/>
        </w:rPr>
      </w:pPr>
      <w:r w:rsidRPr="00F12F7C">
        <w:rPr>
          <w:rFonts w:ascii="Arabic Typesetting" w:hAnsi="Arabic Typesetting" w:cs="Arabic Typesetting" w:hint="cs"/>
          <w:sz w:val="36"/>
          <w:szCs w:val="36"/>
          <w:rtl/>
        </w:rPr>
        <w:t>وتشمل عملية</w:t>
      </w:r>
      <w:r>
        <w:rPr>
          <w:rFonts w:ascii="Arabic Typesetting" w:hAnsi="Arabic Typesetting" w:cs="Arabic Typesetting" w:hint="cs"/>
          <w:sz w:val="36"/>
          <w:szCs w:val="36"/>
          <w:rtl/>
        </w:rPr>
        <w:t xml:space="preserve"> إعادة تقييم الفائض الاحتياطي نتائج إعادة تقييم (من التكلفة التاريخية إلى القيم العادلة) الأرض التي تملكها المنظمة والتي يجري تشييد المبنى الجديد عليها. وقد حددت القيمة العادلة بواسطة عملية تقييم مستقلة.</w:t>
      </w:r>
    </w:p>
    <w:p w:rsidR="00E16243" w:rsidRDefault="00E16243" w:rsidP="00E16243">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وتشمل الأموال</w:t>
      </w:r>
      <w:r>
        <w:rPr>
          <w:rFonts w:ascii="Arabic Typesetting" w:hAnsi="Arabic Typesetting" w:cs="Arabic Typesetting" w:hint="cs"/>
          <w:sz w:val="36"/>
          <w:szCs w:val="36"/>
          <w:rtl/>
        </w:rPr>
        <w:t xml:space="preserve"> الاحتياطية </w:t>
      </w:r>
      <w:r>
        <w:rPr>
          <w:rFonts w:ascii="Arabic Typesetting" w:hAnsi="Arabic Typesetting" w:cs="Arabic Typesetting"/>
          <w:sz w:val="36"/>
          <w:szCs w:val="36"/>
          <w:rtl/>
        </w:rPr>
        <w:t>صناديق رؤوس الأموال العامل</w:t>
      </w:r>
      <w:r>
        <w:rPr>
          <w:rFonts w:ascii="Arabic Typesetting" w:hAnsi="Arabic Typesetting" w:cs="Arabic Typesetting" w:hint="cs"/>
          <w:sz w:val="36"/>
          <w:szCs w:val="36"/>
          <w:rtl/>
        </w:rPr>
        <w:t xml:space="preserve">ة التي أنشأتها جمعيات الدول الأعضاء لكل اتحاد </w:t>
      </w:r>
      <w:r w:rsidRPr="00144173">
        <w:rPr>
          <w:rFonts w:ascii="Arabic Typesetting" w:hAnsi="Arabic Typesetting" w:cs="Arabic Typesetting"/>
          <w:sz w:val="36"/>
          <w:szCs w:val="36"/>
          <w:rtl/>
        </w:rPr>
        <w:t>لتمويل اعتمادات مقدمة في حالة وجود عجز مؤقت في السيولة</w:t>
      </w:r>
      <w:r>
        <w:rPr>
          <w:rFonts w:ascii="Arabic Typesetting" w:hAnsi="Arabic Typesetting" w:cs="Arabic Typesetting" w:hint="cs"/>
          <w:sz w:val="36"/>
          <w:szCs w:val="36"/>
          <w:rtl/>
        </w:rPr>
        <w:t>.</w:t>
      </w:r>
    </w:p>
    <w:p w:rsidR="00E16243" w:rsidRDefault="00E16243" w:rsidP="00E16243">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ويضم رأس</w:t>
      </w:r>
      <w:r>
        <w:rPr>
          <w:rFonts w:ascii="Arabic Typesetting" w:hAnsi="Arabic Typesetting" w:cs="Arabic Typesetting" w:hint="cs"/>
          <w:sz w:val="36"/>
          <w:szCs w:val="36"/>
          <w:rtl/>
        </w:rPr>
        <w:t xml:space="preserve"> مال الويبو الفائض المتراكم وصناديق رؤوس الأموال العاملة التي تُشكل جزءا من صافي أصولها. ويدار رأس المال بناء على ال</w:t>
      </w:r>
      <w:r w:rsidRPr="00056319">
        <w:rPr>
          <w:rFonts w:ascii="Arabic Typesetting" w:hAnsi="Arabic Typesetting" w:cs="Arabic Typesetting"/>
          <w:sz w:val="36"/>
          <w:szCs w:val="36"/>
          <w:rtl/>
        </w:rPr>
        <w:t xml:space="preserve">سياسة </w:t>
      </w:r>
      <w:r>
        <w:rPr>
          <w:rFonts w:ascii="Arabic Typesetting" w:hAnsi="Arabic Typesetting" w:cs="Arabic Typesetting" w:hint="cs"/>
          <w:sz w:val="36"/>
          <w:szCs w:val="36"/>
          <w:rtl/>
        </w:rPr>
        <w:t>الخاصة</w:t>
      </w:r>
      <w:r w:rsidRPr="00056319">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sidRPr="00056319">
        <w:rPr>
          <w:rFonts w:ascii="Arabic Typesetting" w:hAnsi="Arabic Typesetting" w:cs="Arabic Typesetting"/>
          <w:sz w:val="36"/>
          <w:szCs w:val="36"/>
          <w:rtl/>
        </w:rPr>
        <w:t>الأموال الاحتياطية والمبادئ المطبقة</w:t>
      </w:r>
      <w:r w:rsidRPr="00056319">
        <w:rPr>
          <w:rtl/>
        </w:rPr>
        <w:t xml:space="preserve"> </w:t>
      </w:r>
      <w:r w:rsidRPr="00056319">
        <w:rPr>
          <w:rFonts w:ascii="Arabic Typesetting" w:hAnsi="Arabic Typesetting" w:cs="Arabic Typesetting"/>
          <w:sz w:val="36"/>
          <w:szCs w:val="36"/>
          <w:rtl/>
        </w:rPr>
        <w:t>على استخدام الاحتياطيات</w:t>
      </w:r>
      <w:r>
        <w:rPr>
          <w:rFonts w:ascii="Arabic Typesetting" w:hAnsi="Arabic Typesetting" w:cs="Arabic Typesetting" w:hint="cs"/>
          <w:sz w:val="36"/>
          <w:szCs w:val="36"/>
          <w:rtl/>
        </w:rPr>
        <w:t xml:space="preserve"> التي اعتمدتها جمعيات الدول </w:t>
      </w:r>
      <w:r w:rsidRPr="00F20947">
        <w:rPr>
          <w:rFonts w:ascii="Arabic Typesetting" w:hAnsi="Arabic Typesetting" w:cs="Arabic Typesetting" w:hint="cs"/>
          <w:sz w:val="36"/>
          <w:szCs w:val="36"/>
          <w:rtl/>
        </w:rPr>
        <w:t>الأعضاء في الويبو</w:t>
      </w:r>
      <w:r>
        <w:rPr>
          <w:rFonts w:ascii="Arabic Typesetting" w:hAnsi="Arabic Typesetting" w:cs="Arabic Typesetting" w:hint="cs"/>
          <w:sz w:val="36"/>
          <w:szCs w:val="36"/>
          <w:rtl/>
        </w:rPr>
        <w:t xml:space="preserve"> في سلسلة اجتماعاتها الثامنة والأربعين في </w:t>
      </w:r>
      <w:r w:rsidRPr="00556152">
        <w:rPr>
          <w:rFonts w:ascii="Arabic Typesetting" w:hAnsi="Arabic Typesetting" w:cs="Arabic Typesetting" w:hint="cs"/>
          <w:sz w:val="36"/>
          <w:szCs w:val="36"/>
          <w:rtl/>
        </w:rPr>
        <w:t xml:space="preserve">سنة 2010 [الوثيقة </w:t>
      </w:r>
      <w:r w:rsidRPr="00556152">
        <w:rPr>
          <w:rFonts w:ascii="Arabic Typesetting" w:hAnsi="Arabic Typesetting" w:cs="Arabic Typesetting"/>
          <w:sz w:val="36"/>
          <w:szCs w:val="36"/>
        </w:rPr>
        <w:t>A/48/9</w:t>
      </w:r>
      <w:r w:rsidRPr="00556152">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556152">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w:t>
      </w:r>
      <w:r>
        <w:rPr>
          <w:rFonts w:ascii="Arabic Typesetting" w:hAnsi="Arabic Typesetting" w:cs="Arabic Typesetting" w:hint="cs"/>
          <w:sz w:val="36"/>
          <w:szCs w:val="36"/>
          <w:rtl/>
        </w:rPr>
        <w:t>ت</w:t>
      </w:r>
      <w:r>
        <w:rPr>
          <w:rFonts w:ascii="Arabic Typesetting" w:hAnsi="Arabic Typesetting" w:cs="Arabic Typesetting"/>
          <w:sz w:val="36"/>
          <w:szCs w:val="36"/>
          <w:rtl/>
        </w:rPr>
        <w:t>حدّد</w:t>
      </w:r>
      <w:r>
        <w:rPr>
          <w:rFonts w:ascii="Arabic Typesetting" w:hAnsi="Arabic Typesetting" w:cs="Arabic Typesetting" w:hint="cs"/>
          <w:sz w:val="36"/>
          <w:szCs w:val="36"/>
          <w:rtl/>
        </w:rPr>
        <w:t xml:space="preserve"> السياسة </w:t>
      </w:r>
      <w:r>
        <w:rPr>
          <w:rFonts w:ascii="Arabic Typesetting" w:hAnsi="Arabic Typesetting" w:cs="Arabic Typesetting"/>
          <w:sz w:val="36"/>
          <w:szCs w:val="36"/>
          <w:rtl/>
        </w:rPr>
        <w:t>المستو</w:t>
      </w:r>
      <w:r>
        <w:rPr>
          <w:rFonts w:ascii="Arabic Typesetting" w:hAnsi="Arabic Typesetting" w:cs="Arabic Typesetting" w:hint="cs"/>
          <w:sz w:val="36"/>
          <w:szCs w:val="36"/>
          <w:rtl/>
        </w:rPr>
        <w:t>ى</w:t>
      </w:r>
      <w:r>
        <w:rPr>
          <w:rFonts w:ascii="Arabic Typesetting" w:hAnsi="Arabic Typesetting" w:cs="Arabic Typesetting"/>
          <w:sz w:val="36"/>
          <w:szCs w:val="36"/>
          <w:rtl/>
        </w:rPr>
        <w:t xml:space="preserve"> المستهدف</w:t>
      </w:r>
      <w:r>
        <w:rPr>
          <w:rFonts w:ascii="Arabic Typesetting" w:hAnsi="Arabic Typesetting" w:cs="Arabic Typesetting" w:hint="cs"/>
          <w:sz w:val="36"/>
          <w:szCs w:val="36"/>
          <w:rtl/>
        </w:rPr>
        <w:t xml:space="preserve"> من الفائض المتراكم</w:t>
      </w:r>
      <w:r w:rsidRPr="00ED2EEF">
        <w:rPr>
          <w:rtl/>
        </w:rPr>
        <w:t xml:space="preserve"> </w:t>
      </w:r>
      <w:r w:rsidRPr="00ED2EEF">
        <w:rPr>
          <w:rFonts w:ascii="Arabic Typesetting" w:hAnsi="Arabic Typesetting" w:cs="Arabic Typesetting"/>
          <w:sz w:val="36"/>
          <w:szCs w:val="36"/>
          <w:rtl/>
        </w:rPr>
        <w:t>كنسبة مئوية من النفقات المقدرة لفترة السنتين</w:t>
      </w:r>
      <w:r>
        <w:rPr>
          <w:rFonts w:ascii="Arabic Typesetting" w:hAnsi="Arabic Typesetting" w:cs="Arabic Typesetting" w:hint="cs"/>
          <w:sz w:val="36"/>
          <w:szCs w:val="36"/>
          <w:rtl/>
        </w:rPr>
        <w:t xml:space="preserve"> لكل اتحاد ينتمي إلى المنظمة. وعلاوة على ذلك، يتحدد حسب الاتفاقات التعاهدية لكل اتحاد مستوى صناديق رؤوس الأموال العاملة. وتُدخر الأموال التي تبلغ المستوى المستهدف بالنسبة إلى الفائض المتراكم وصناديق رؤوس الأموال العاملة للحفاظ على مستوى كاف من السيولة ولتغطية أي عجز تشغيلي، إن حدث. ويجوز للجمعيات إتاحة الأموال الفائضة المتراكمة التي تتجاوز المستوى المستهدف لتمويل عملية إدخال تحسينات رأسمالية أو أية أولويات أخرى وفقا لسياسة استخدام الاحتياطيات التي وضعتها جمعيات الويبو. </w:t>
      </w:r>
    </w:p>
    <w:p w:rsidR="00E16243" w:rsidRPr="002869C3" w:rsidRDefault="00E16243" w:rsidP="002869C3">
      <w:pPr>
        <w:pStyle w:val="Heading2"/>
        <w:bidi/>
        <w:rPr>
          <w:rFonts w:ascii="Arabic Typesetting" w:hAnsi="Arabic Typesetting" w:cs="Arabic Typesetting"/>
          <w:i/>
          <w:iCs w:val="0"/>
          <w:sz w:val="40"/>
          <w:szCs w:val="40"/>
          <w:rtl/>
        </w:rPr>
      </w:pPr>
      <w:bookmarkStart w:id="37" w:name="_Toc362519120"/>
      <w:r w:rsidRPr="002869C3">
        <w:rPr>
          <w:rFonts w:ascii="Arabic Typesetting" w:hAnsi="Arabic Typesetting" w:cs="Arabic Typesetting" w:hint="cs"/>
          <w:i/>
          <w:iCs w:val="0"/>
          <w:sz w:val="40"/>
          <w:szCs w:val="40"/>
          <w:rtl/>
        </w:rPr>
        <w:t xml:space="preserve">الملاحظة 22: التوفيق بين </w:t>
      </w:r>
      <w:r w:rsidRPr="002869C3">
        <w:rPr>
          <w:rFonts w:ascii="Arabic Typesetting" w:hAnsi="Arabic Typesetting" w:cs="Arabic Typesetting"/>
          <w:i/>
          <w:iCs w:val="0"/>
          <w:sz w:val="40"/>
          <w:szCs w:val="40"/>
          <w:rtl/>
        </w:rPr>
        <w:t>بيان مقارن للميزانية</w:t>
      </w:r>
      <w:r w:rsidRPr="002869C3">
        <w:rPr>
          <w:rFonts w:ascii="Arabic Typesetting" w:hAnsi="Arabic Typesetting" w:cs="Arabic Typesetting" w:hint="cs"/>
          <w:i/>
          <w:iCs w:val="0"/>
          <w:sz w:val="40"/>
          <w:szCs w:val="40"/>
          <w:rtl/>
        </w:rPr>
        <w:t xml:space="preserve"> (البيان المالي الخامس) وبيان الأداء المالي (البيان المالي الثاني)</w:t>
      </w:r>
      <w:bookmarkEnd w:id="37"/>
      <w:r w:rsidRPr="002869C3">
        <w:rPr>
          <w:rFonts w:ascii="Arabic Typesetting" w:hAnsi="Arabic Typesetting" w:cs="Arabic Typesetting" w:hint="cs"/>
          <w:i/>
          <w:iCs w:val="0"/>
          <w:sz w:val="40"/>
          <w:szCs w:val="40"/>
          <w:rtl/>
        </w:rPr>
        <w:t xml:space="preserve"> </w:t>
      </w:r>
    </w:p>
    <w:p w:rsidR="00E16243" w:rsidRPr="002243E4" w:rsidRDefault="00E16243" w:rsidP="00E16243">
      <w:pPr>
        <w:pStyle w:val="NormalParaAR"/>
        <w:rPr>
          <w:color w:val="FF0000"/>
          <w:rtl/>
          <w:lang w:bidi="ar-EG"/>
        </w:rPr>
      </w:pPr>
      <w:r>
        <w:rPr>
          <w:rFonts w:hint="cs"/>
          <w:rtl/>
        </w:rPr>
        <w:t>أُعد برنامج وميزانية الويبو على أساس الاستحقاق المعدّل وفقا للنظام المالي ولائحته، ووافقت عليهما جمعيات الدول الأعضاء. وقد حددت وثيقة البرنامج والميزانية ميزانية تقديرية لفترة السنتين 2012</w:t>
      </w:r>
      <w:r w:rsidRPr="00EC241C">
        <w:rPr>
          <w:rFonts w:hint="cs"/>
          <w:rtl/>
        </w:rPr>
        <w:t xml:space="preserve"> </w:t>
      </w:r>
      <w:r>
        <w:rPr>
          <w:rFonts w:hint="cs"/>
          <w:rtl/>
        </w:rPr>
        <w:t xml:space="preserve">/13 قدرها 647,4 مليون فرنك سويسري. </w:t>
      </w:r>
    </w:p>
    <w:p w:rsidR="00E16243" w:rsidRDefault="00E16243" w:rsidP="00E16243">
      <w:pPr>
        <w:pStyle w:val="NormalParaAR"/>
        <w:tabs>
          <w:tab w:val="right" w:pos="1558"/>
        </w:tabs>
        <w:rPr>
          <w:rtl/>
        </w:rPr>
      </w:pPr>
      <w:r>
        <w:rPr>
          <w:rFonts w:hint="cs"/>
          <w:rtl/>
        </w:rPr>
        <w:t>وبالنسبة إلى سنة 2012، وهي السنة الأولى من فترة السنتين، فقد بلغت الإيرادات المقدرة في الميزانية الأصلية والميزانية النهائية 318,3 مليون فرنك سويسري، كما بلغت المصروفات المقدرة في الميزانية الأصلية للسنة الأولى من فترة السنتين 232,7 مليون فرنك سويسري، وذلك استنادا إلى ميزانية فترة السنتين. أما نفقات السنة الأولى في الميزانية النهائية فقد بلغت 324,1 مليون فرنك سويسري. في حين بلغت الإيرادات الفعلية على أساس الاستحقاق المقارن في السنة ذاتها 341,1</w:t>
      </w:r>
      <w:r w:rsidRPr="00982221">
        <w:rPr>
          <w:rFonts w:ascii="Arial" w:hAnsi="Arial" w:cs="Arial" w:hint="cs"/>
          <w:sz w:val="22"/>
          <w:szCs w:val="20"/>
          <w:rtl/>
        </w:rPr>
        <w:t xml:space="preserve"> </w:t>
      </w:r>
      <w:r w:rsidRPr="00982221">
        <w:rPr>
          <w:rFonts w:hint="cs"/>
          <w:rtl/>
        </w:rPr>
        <w:t>مليون فرنك سويسري</w:t>
      </w:r>
      <w:r>
        <w:rPr>
          <w:rFonts w:hint="cs"/>
          <w:rtl/>
        </w:rPr>
        <w:t xml:space="preserve">، وبلغت المصروفات الفعلية </w:t>
      </w:r>
      <w:r w:rsidRPr="00AD31F3">
        <w:rPr>
          <w:rFonts w:hint="cs"/>
          <w:rtl/>
        </w:rPr>
        <w:t xml:space="preserve">على أساس الاستحقاق المقارن في السنة ذاتها </w:t>
      </w:r>
      <w:r>
        <w:rPr>
          <w:rFonts w:hint="cs"/>
          <w:rtl/>
        </w:rPr>
        <w:t>290,1  مليون فرنك سويسري.</w:t>
      </w:r>
    </w:p>
    <w:p w:rsidR="00E16243" w:rsidRDefault="00E16243" w:rsidP="00E16243">
      <w:pPr>
        <w:pStyle w:val="NormalParaAR"/>
        <w:rPr>
          <w:rtl/>
        </w:rPr>
      </w:pPr>
      <w:r>
        <w:rPr>
          <w:rFonts w:hint="cs"/>
          <w:rtl/>
        </w:rPr>
        <w:t>ويُقدم</w:t>
      </w:r>
      <w:r w:rsidRPr="00E86AA7">
        <w:rPr>
          <w:rFonts w:hint="cs"/>
          <w:rtl/>
        </w:rPr>
        <w:t xml:space="preserve"> تقرير</w:t>
      </w:r>
      <w:r>
        <w:rPr>
          <w:rFonts w:hint="cs"/>
          <w:rtl/>
        </w:rPr>
        <w:t xml:space="preserve"> أداء البرنامج لعام 2012 شرحا لكل من التغييرات التي حدثت في الميزانية الأصلية والميزانية النهائية بعد التحويلات، والاختلافات المهمة بين الميزانية والمبالغ الفعلية. وتُعد</w:t>
      </w:r>
      <w:r w:rsidRPr="006B5088">
        <w:rPr>
          <w:rFonts w:hint="cs"/>
          <w:rtl/>
        </w:rPr>
        <w:t xml:space="preserve"> ميزانية الويبو</w:t>
      </w:r>
      <w:r>
        <w:rPr>
          <w:rFonts w:hint="cs"/>
          <w:rtl/>
        </w:rPr>
        <w:t xml:space="preserve"> وحساباتها المالية باستخدام أساسين مختلفين هما بيان الوضع المالي وبيان الأداء المالي. أما بيان</w:t>
      </w:r>
      <w:r w:rsidRPr="004251A3">
        <w:rPr>
          <w:rtl/>
        </w:rPr>
        <w:t xml:space="preserve"> التغيّرات في الأصول</w:t>
      </w:r>
      <w:r>
        <w:rPr>
          <w:rtl/>
        </w:rPr>
        <w:t xml:space="preserve"> الصافية</w:t>
      </w:r>
      <w:r>
        <w:rPr>
          <w:rFonts w:hint="cs"/>
          <w:rtl/>
        </w:rPr>
        <w:t xml:space="preserve"> وبيان حركة الأموال فيُعدان على أساس الاستحقاق الكامل، بينما يُعد بيان مقارن للميزانية والمبالغ الفعلية (البيان المالي الخامس) على أساس الاستحقاق المعدل.</w:t>
      </w:r>
    </w:p>
    <w:p w:rsidR="00E16243" w:rsidRDefault="00E16243" w:rsidP="00E16243">
      <w:pPr>
        <w:pStyle w:val="NormalParaAR"/>
        <w:rPr>
          <w:rtl/>
        </w:rPr>
      </w:pPr>
      <w:r w:rsidRPr="00944313">
        <w:rPr>
          <w:rFonts w:hint="cs"/>
          <w:rtl/>
        </w:rPr>
        <w:t xml:space="preserve">وكما يقتضي المعيار 24 من المعايير المحاسبية الدولية للقطاع العام، فقد تم التوفيق بين المبالغ الفعلية الواردة على أساس مقارن في البيان المالي الخامس والمبالغ الفعلية في الحسابات المالية </w:t>
      </w:r>
      <w:r>
        <w:rPr>
          <w:rFonts w:hint="cs"/>
          <w:rtl/>
        </w:rPr>
        <w:t>التي تحدد أية اختلافات</w:t>
      </w:r>
      <w:r w:rsidRPr="00944313">
        <w:rPr>
          <w:rFonts w:hint="cs"/>
          <w:rtl/>
        </w:rPr>
        <w:t xml:space="preserve"> في الأساس والتوقيت </w:t>
      </w:r>
      <w:r>
        <w:rPr>
          <w:rFonts w:hint="cs"/>
          <w:rtl/>
        </w:rPr>
        <w:t>والاختلاف</w:t>
      </w:r>
      <w:r w:rsidRPr="00944313">
        <w:rPr>
          <w:rFonts w:hint="cs"/>
          <w:rtl/>
        </w:rPr>
        <w:t xml:space="preserve"> بحسب الجهة المعنية. و</w:t>
      </w:r>
      <w:r>
        <w:rPr>
          <w:rFonts w:hint="cs"/>
          <w:rtl/>
        </w:rPr>
        <w:t>مع أن</w:t>
      </w:r>
      <w:r w:rsidRPr="00944313">
        <w:rPr>
          <w:rFonts w:hint="cs"/>
          <w:rtl/>
        </w:rPr>
        <w:t xml:space="preserve"> الجمعيات</w:t>
      </w:r>
      <w:r>
        <w:rPr>
          <w:rFonts w:hint="cs"/>
          <w:rtl/>
        </w:rPr>
        <w:t xml:space="preserve"> </w:t>
      </w:r>
      <w:r w:rsidRPr="00944313">
        <w:rPr>
          <w:rFonts w:hint="cs"/>
          <w:rtl/>
        </w:rPr>
        <w:t xml:space="preserve">تعتمد ميزانية الويبو على أساس فترة سنتين </w:t>
      </w:r>
      <w:r>
        <w:rPr>
          <w:rFonts w:hint="cs"/>
          <w:rtl/>
        </w:rPr>
        <w:t>فإنها</w:t>
      </w:r>
      <w:r w:rsidRPr="00944313">
        <w:rPr>
          <w:rFonts w:hint="cs"/>
          <w:rtl/>
        </w:rPr>
        <w:t xml:space="preserve"> تُعد تقديرات منفصلة لكل </w:t>
      </w:r>
      <w:r>
        <w:rPr>
          <w:rFonts w:hint="cs"/>
          <w:rtl/>
        </w:rPr>
        <w:t>سنة</w:t>
      </w:r>
      <w:r w:rsidRPr="00944313">
        <w:rPr>
          <w:rFonts w:hint="cs"/>
          <w:rtl/>
        </w:rPr>
        <w:t xml:space="preserve"> </w:t>
      </w:r>
      <w:r>
        <w:rPr>
          <w:rFonts w:hint="cs"/>
          <w:rtl/>
        </w:rPr>
        <w:t>من السنتين</w:t>
      </w:r>
      <w:r w:rsidRPr="00417589">
        <w:rPr>
          <w:rFonts w:hint="cs"/>
          <w:b/>
          <w:bCs/>
          <w:rtl/>
        </w:rPr>
        <w:t>؛</w:t>
      </w:r>
      <w:r w:rsidRPr="00944313">
        <w:rPr>
          <w:rFonts w:hint="cs"/>
          <w:rtl/>
        </w:rPr>
        <w:t xml:space="preserve"> وبناء على ذلك، لا يوجد اختلافات في توقيت الإبلاغ عنها. وتُعزى الاختلافات في الأساس إلى إعداد الميزانية المعتمدة على أساس غير أساس الاستحقاق المحاسبي الكامل. وتشمل الاختلافات في الأساس اهتلاك الأصول وتسجيل </w:t>
      </w:r>
      <w:r w:rsidRPr="00944313">
        <w:rPr>
          <w:rFonts w:hint="cs"/>
          <w:rtl/>
        </w:rPr>
        <w:lastRenderedPageBreak/>
        <w:t>المخصصات بالكامل وتأجيل الإيرادات غير المحصّلة. وتُعد الاختلافات بحسب الجهة المعنية مؤشرا على إدراج المشروعات الممولة من الأموال الاحتي</w:t>
      </w:r>
      <w:r>
        <w:rPr>
          <w:rFonts w:hint="cs"/>
          <w:rtl/>
        </w:rPr>
        <w:t>اطية في الحسابات المالية للويبو</w:t>
      </w:r>
      <w:r w:rsidRPr="00944313">
        <w:rPr>
          <w:rFonts w:hint="cs"/>
          <w:rtl/>
        </w:rPr>
        <w:t>، وهي</w:t>
      </w:r>
      <w:r w:rsidRPr="00D249E9">
        <w:rPr>
          <w:rFonts w:hint="cs"/>
          <w:rtl/>
        </w:rPr>
        <w:t xml:space="preserve"> مشروعات لم ترد في الوثيقة المنشورة لبرنامج وميزانية الويبو. كما تُعزى الاختلافات في العرض إلى معاملة المكاسب المتعلقة بالممتلكات الاستثمارية بوصفها أنشطة استثمارية في البيان المالي الرابع.</w:t>
      </w:r>
    </w:p>
    <w:p w:rsidR="00E16243" w:rsidRDefault="00E16243" w:rsidP="00E16243">
      <w:pPr>
        <w:pStyle w:val="NormalParaAR"/>
        <w:keepNext/>
        <w:rPr>
          <w:rtl/>
          <w:lang w:bidi="ar-EG"/>
        </w:rPr>
      </w:pPr>
      <w:r>
        <w:rPr>
          <w:rFonts w:hint="cs"/>
          <w:rtl/>
        </w:rPr>
        <w:t>التوفيق في سنة 2012:</w:t>
      </w:r>
    </w:p>
    <w:tbl>
      <w:tblPr>
        <w:bidiVisual/>
        <w:tblW w:w="9312" w:type="dxa"/>
        <w:jc w:val="center"/>
        <w:tblInd w:w="262" w:type="dxa"/>
        <w:tblLook w:val="04A0" w:firstRow="1" w:lastRow="0" w:firstColumn="1" w:lastColumn="0" w:noHBand="0" w:noVBand="1"/>
      </w:tblPr>
      <w:tblGrid>
        <w:gridCol w:w="3956"/>
        <w:gridCol w:w="1273"/>
        <w:gridCol w:w="1420"/>
        <w:gridCol w:w="1276"/>
        <w:gridCol w:w="1387"/>
      </w:tblGrid>
      <w:tr w:rsidR="00E16243" w:rsidRPr="001070A4" w:rsidTr="00E16243">
        <w:trPr>
          <w:jc w:val="center"/>
        </w:trPr>
        <w:tc>
          <w:tcPr>
            <w:tcW w:w="9312" w:type="dxa"/>
            <w:gridSpan w:val="5"/>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sidRPr="001070A4">
              <w:rPr>
                <w:rFonts w:hint="cs"/>
                <w:sz w:val="28"/>
                <w:szCs w:val="28"/>
                <w:rtl/>
                <w:lang w:bidi="ar-EG"/>
              </w:rPr>
              <w:t xml:space="preserve">                                                </w:t>
            </w:r>
            <w:r>
              <w:rPr>
                <w:rFonts w:hint="cs"/>
                <w:sz w:val="28"/>
                <w:szCs w:val="28"/>
                <w:rtl/>
                <w:lang w:bidi="ar-EG"/>
              </w:rPr>
              <w:t xml:space="preserve">  </w:t>
            </w:r>
            <w:r w:rsidRPr="001070A4">
              <w:rPr>
                <w:rFonts w:hint="cs"/>
                <w:sz w:val="28"/>
                <w:szCs w:val="28"/>
                <w:rtl/>
                <w:lang w:bidi="ar-EG"/>
              </w:rPr>
              <w:t xml:space="preserve">    </w:t>
            </w:r>
            <w:r w:rsidRPr="0006195F">
              <w:rPr>
                <w:rFonts w:hint="cs"/>
                <w:b/>
                <w:bCs/>
                <w:sz w:val="28"/>
                <w:szCs w:val="28"/>
                <w:rtl/>
                <w:lang w:bidi="ar-EG"/>
              </w:rPr>
              <w:t>2102</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p>
        </w:tc>
        <w:tc>
          <w:tcPr>
            <w:tcW w:w="1273" w:type="dxa"/>
            <w:tcBorders>
              <w:top w:val="single" w:sz="4" w:space="0" w:color="auto"/>
              <w:bottom w:val="single" w:sz="4" w:space="0" w:color="auto"/>
            </w:tcBorders>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Pr>
                <w:rFonts w:hint="cs"/>
                <w:b/>
                <w:bCs/>
                <w:sz w:val="28"/>
                <w:szCs w:val="28"/>
                <w:rtl/>
                <w:lang w:bidi="ar-EG"/>
              </w:rPr>
              <w:t>التشغيل</w:t>
            </w:r>
          </w:p>
        </w:tc>
        <w:tc>
          <w:tcPr>
            <w:tcW w:w="1420" w:type="dxa"/>
            <w:tcBorders>
              <w:top w:val="single" w:sz="4" w:space="0" w:color="auto"/>
              <w:bottom w:val="single" w:sz="4" w:space="0" w:color="auto"/>
            </w:tcBorders>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sidRPr="0006195F">
              <w:rPr>
                <w:rFonts w:hint="cs"/>
                <w:b/>
                <w:bCs/>
                <w:sz w:val="28"/>
                <w:szCs w:val="28"/>
                <w:rtl/>
                <w:lang w:bidi="ar-EG"/>
              </w:rPr>
              <w:t>الاستثمار</w:t>
            </w:r>
          </w:p>
        </w:tc>
        <w:tc>
          <w:tcPr>
            <w:tcW w:w="1276" w:type="dxa"/>
            <w:tcBorders>
              <w:top w:val="single" w:sz="4" w:space="0" w:color="auto"/>
              <w:bottom w:val="single" w:sz="4" w:space="0" w:color="auto"/>
            </w:tcBorders>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sidRPr="0006195F">
              <w:rPr>
                <w:rFonts w:hint="cs"/>
                <w:b/>
                <w:bCs/>
                <w:sz w:val="28"/>
                <w:szCs w:val="28"/>
                <w:rtl/>
                <w:lang w:bidi="ar-EG"/>
              </w:rPr>
              <w:t>التمويل</w:t>
            </w:r>
          </w:p>
        </w:tc>
        <w:tc>
          <w:tcPr>
            <w:tcW w:w="1387" w:type="dxa"/>
            <w:tcBorders>
              <w:top w:val="single" w:sz="4" w:space="0" w:color="auto"/>
              <w:bottom w:val="single" w:sz="4" w:space="0" w:color="auto"/>
            </w:tcBorders>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sidRPr="0006195F">
              <w:rPr>
                <w:rFonts w:hint="cs"/>
                <w:b/>
                <w:bCs/>
                <w:sz w:val="28"/>
                <w:szCs w:val="28"/>
                <w:rtl/>
                <w:lang w:bidi="ar-EG"/>
              </w:rPr>
              <w:t>المجموع</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p>
        </w:tc>
        <w:tc>
          <w:tcPr>
            <w:tcW w:w="5356" w:type="dxa"/>
            <w:gridSpan w:val="4"/>
            <w:tcBorders>
              <w:top w:val="single" w:sz="4" w:space="0" w:color="auto"/>
              <w:bottom w:val="single" w:sz="4" w:space="0" w:color="auto"/>
            </w:tcBorders>
            <w:shd w:val="clear" w:color="auto" w:fill="auto"/>
          </w:tcPr>
          <w:p w:rsidR="00E16243" w:rsidRPr="0006195F" w:rsidRDefault="00E16243" w:rsidP="00E16243">
            <w:pPr>
              <w:pStyle w:val="NormalParaAR"/>
              <w:keepNext/>
              <w:spacing w:after="0" w:line="280" w:lineRule="exact"/>
              <w:jc w:val="center"/>
              <w:rPr>
                <w:b/>
                <w:bCs/>
                <w:sz w:val="28"/>
                <w:szCs w:val="28"/>
                <w:rtl/>
                <w:lang w:bidi="ar-EG"/>
              </w:rPr>
            </w:pPr>
            <w:r w:rsidRPr="001070A4">
              <w:rPr>
                <w:rFonts w:hint="cs"/>
                <w:sz w:val="28"/>
                <w:szCs w:val="28"/>
                <w:rtl/>
                <w:lang w:bidi="ar-EG"/>
              </w:rPr>
              <w:t>(بآلاف الفرنكات السويسرية)</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b/>
                <w:bCs/>
                <w:sz w:val="28"/>
                <w:szCs w:val="28"/>
                <w:rtl/>
                <w:lang w:bidi="ar-EG"/>
              </w:rPr>
            </w:pPr>
            <w:r w:rsidRPr="001070A4">
              <w:rPr>
                <w:rFonts w:hint="cs"/>
                <w:b/>
                <w:bCs/>
                <w:sz w:val="28"/>
                <w:szCs w:val="28"/>
                <w:rtl/>
                <w:lang w:bidi="ar-EG"/>
              </w:rPr>
              <w:t>المبلغ الفعلي على أساس مقارن (البيان الخامس)</w:t>
            </w:r>
          </w:p>
        </w:tc>
        <w:tc>
          <w:tcPr>
            <w:tcW w:w="1273"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50</w:t>
            </w:r>
            <w:r>
              <w:rPr>
                <w:rFonts w:hint="cs"/>
                <w:b/>
                <w:bCs/>
                <w:sz w:val="28"/>
                <w:szCs w:val="28"/>
                <w:rtl/>
                <w:lang w:bidi="ar-EG"/>
              </w:rPr>
              <w:t>,</w:t>
            </w:r>
            <w:r w:rsidRPr="001070A4">
              <w:rPr>
                <w:rFonts w:hint="cs"/>
                <w:b/>
                <w:bCs/>
                <w:sz w:val="28"/>
                <w:szCs w:val="28"/>
                <w:rtl/>
                <w:lang w:bidi="ar-EG"/>
              </w:rPr>
              <w:t>984</w:t>
            </w:r>
          </w:p>
        </w:tc>
        <w:tc>
          <w:tcPr>
            <w:tcW w:w="1420"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276"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387"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50</w:t>
            </w:r>
            <w:r>
              <w:rPr>
                <w:rFonts w:hint="cs"/>
                <w:b/>
                <w:bCs/>
                <w:sz w:val="28"/>
                <w:szCs w:val="28"/>
                <w:rtl/>
                <w:lang w:bidi="ar-EG"/>
              </w:rPr>
              <w:t>,</w:t>
            </w:r>
            <w:r w:rsidRPr="001070A4">
              <w:rPr>
                <w:rFonts w:hint="cs"/>
                <w:b/>
                <w:bCs/>
                <w:sz w:val="28"/>
                <w:szCs w:val="28"/>
                <w:rtl/>
                <w:lang w:bidi="ar-EG"/>
              </w:rPr>
              <w:t>984</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Pr>
                <w:rFonts w:hint="cs"/>
                <w:sz w:val="28"/>
                <w:szCs w:val="28"/>
                <w:rtl/>
                <w:lang w:bidi="ar-EG"/>
              </w:rPr>
              <w:t>الاهتلاك والاستهلاك والأ</w:t>
            </w:r>
            <w:r w:rsidRPr="001070A4">
              <w:rPr>
                <w:rFonts w:hint="cs"/>
                <w:sz w:val="28"/>
                <w:szCs w:val="28"/>
                <w:rtl/>
                <w:lang w:bidi="ar-EG"/>
              </w:rPr>
              <w:t>ضرار</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8</w:t>
            </w:r>
            <w:r>
              <w:rPr>
                <w:rFonts w:hint="cs"/>
                <w:sz w:val="28"/>
                <w:szCs w:val="28"/>
                <w:rtl/>
                <w:lang w:bidi="ar-EG"/>
              </w:rPr>
              <w:t>,</w:t>
            </w:r>
            <w:r w:rsidRPr="001070A4">
              <w:rPr>
                <w:rFonts w:hint="cs"/>
                <w:sz w:val="28"/>
                <w:szCs w:val="28"/>
                <w:rtl/>
                <w:lang w:bidi="ar-EG"/>
              </w:rPr>
              <w:t>101-</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8</w:t>
            </w:r>
            <w:r>
              <w:rPr>
                <w:rFonts w:hint="cs"/>
                <w:sz w:val="28"/>
                <w:szCs w:val="28"/>
                <w:rtl/>
                <w:lang w:bidi="ar-EG"/>
              </w:rPr>
              <w:t>,</w:t>
            </w:r>
            <w:r w:rsidRPr="001070A4">
              <w:rPr>
                <w:rFonts w:hint="cs"/>
                <w:sz w:val="28"/>
                <w:szCs w:val="28"/>
                <w:rtl/>
                <w:lang w:bidi="ar-EG"/>
              </w:rPr>
              <w:t>101-</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اقتناء المعدات والتصرف فيها</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114</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114</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رسملة مصروفات البناء</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5</w:t>
            </w:r>
            <w:r>
              <w:rPr>
                <w:rFonts w:hint="cs"/>
                <w:sz w:val="28"/>
                <w:szCs w:val="28"/>
                <w:rtl/>
                <w:lang w:bidi="ar-EG"/>
              </w:rPr>
              <w:t>,</w:t>
            </w:r>
            <w:r w:rsidRPr="001070A4">
              <w:rPr>
                <w:rFonts w:hint="cs"/>
                <w:sz w:val="28"/>
                <w:szCs w:val="28"/>
                <w:rtl/>
                <w:lang w:bidi="ar-EG"/>
              </w:rPr>
              <w:t>863</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5</w:t>
            </w:r>
            <w:r>
              <w:rPr>
                <w:rFonts w:hint="cs"/>
                <w:sz w:val="28"/>
                <w:szCs w:val="28"/>
                <w:rtl/>
                <w:lang w:bidi="ar-EG"/>
              </w:rPr>
              <w:t>,</w:t>
            </w:r>
            <w:r w:rsidRPr="001070A4">
              <w:rPr>
                <w:rFonts w:hint="cs"/>
                <w:sz w:val="28"/>
                <w:szCs w:val="28"/>
                <w:rtl/>
                <w:lang w:bidi="ar-EG"/>
              </w:rPr>
              <w:t>863</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رسملة الأصول غير الملموسة</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560</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560</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إعادة تقييم الممتلكات الاستثمارية</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469</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469</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 xml:space="preserve">التغيرات في </w:t>
            </w:r>
            <w:r w:rsidRPr="001070A4">
              <w:rPr>
                <w:sz w:val="28"/>
                <w:szCs w:val="28"/>
                <w:rtl/>
              </w:rPr>
              <w:t>الالتزامات المتعلقة باستحقاقات</w:t>
            </w:r>
            <w:r w:rsidRPr="001070A4">
              <w:rPr>
                <w:rFonts w:hint="cs"/>
                <w:sz w:val="28"/>
                <w:szCs w:val="28"/>
                <w:rtl/>
              </w:rPr>
              <w:t xml:space="preserve"> الموظفين</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7</w:t>
            </w:r>
            <w:r>
              <w:rPr>
                <w:rFonts w:hint="cs"/>
                <w:sz w:val="28"/>
                <w:szCs w:val="28"/>
                <w:rtl/>
                <w:lang w:bidi="ar-EG"/>
              </w:rPr>
              <w:t>,</w:t>
            </w:r>
            <w:r w:rsidRPr="001070A4">
              <w:rPr>
                <w:rFonts w:hint="cs"/>
                <w:sz w:val="28"/>
                <w:szCs w:val="28"/>
                <w:rtl/>
                <w:lang w:bidi="ar-EG"/>
              </w:rPr>
              <w:t>293-</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7</w:t>
            </w:r>
            <w:r>
              <w:rPr>
                <w:rFonts w:hint="cs"/>
                <w:sz w:val="28"/>
                <w:szCs w:val="28"/>
                <w:rtl/>
                <w:lang w:bidi="ar-EG"/>
              </w:rPr>
              <w:t>,</w:t>
            </w:r>
            <w:r w:rsidRPr="001070A4">
              <w:rPr>
                <w:rFonts w:hint="cs"/>
                <w:sz w:val="28"/>
                <w:szCs w:val="28"/>
                <w:rtl/>
                <w:lang w:bidi="ar-EG"/>
              </w:rPr>
              <w:t>293-</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Pr>
                <w:rFonts w:hint="cs"/>
                <w:sz w:val="28"/>
                <w:szCs w:val="28"/>
                <w:rtl/>
                <w:lang w:bidi="ar-EG"/>
              </w:rPr>
              <w:t xml:space="preserve">إرجاء الإيرادات المتحصلة من </w:t>
            </w:r>
            <w:r w:rsidRPr="001070A4">
              <w:rPr>
                <w:rFonts w:hint="cs"/>
                <w:sz w:val="28"/>
                <w:szCs w:val="28"/>
                <w:rtl/>
                <w:lang w:bidi="ar-EG"/>
              </w:rPr>
              <w:t>الرسوم</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15</w:t>
            </w:r>
            <w:r>
              <w:rPr>
                <w:rFonts w:hint="cs"/>
                <w:sz w:val="28"/>
                <w:szCs w:val="28"/>
                <w:rtl/>
                <w:lang w:bidi="ar-EG"/>
              </w:rPr>
              <w:t>,</w:t>
            </w:r>
            <w:r w:rsidRPr="001070A4">
              <w:rPr>
                <w:rFonts w:hint="cs"/>
                <w:sz w:val="28"/>
                <w:szCs w:val="28"/>
                <w:rtl/>
                <w:lang w:bidi="ar-EG"/>
              </w:rPr>
              <w:t>040-</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15</w:t>
            </w:r>
            <w:r>
              <w:rPr>
                <w:rFonts w:hint="cs"/>
                <w:sz w:val="28"/>
                <w:szCs w:val="28"/>
                <w:rtl/>
                <w:lang w:bidi="ar-EG"/>
              </w:rPr>
              <w:t>,</w:t>
            </w:r>
            <w:r w:rsidRPr="001070A4">
              <w:rPr>
                <w:rFonts w:hint="cs"/>
                <w:sz w:val="28"/>
                <w:szCs w:val="28"/>
                <w:rtl/>
                <w:lang w:bidi="ar-EG"/>
              </w:rPr>
              <w:t>040-</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إيرادات أخرى مؤجلة</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734-</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734-</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تغير مخصصات الديون المشكوك في تحصيلها</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42</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42</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إثبات</w:t>
            </w:r>
            <w:r>
              <w:rPr>
                <w:rFonts w:hint="cs"/>
                <w:sz w:val="28"/>
                <w:szCs w:val="28"/>
                <w:rtl/>
                <w:lang w:bidi="ar-EG"/>
              </w:rPr>
              <w:t>/</w:t>
            </w:r>
            <w:r w:rsidRPr="001070A4">
              <w:rPr>
                <w:rFonts w:hint="cs"/>
                <w:sz w:val="28"/>
                <w:szCs w:val="28"/>
                <w:rtl/>
                <w:lang w:bidi="ar-EG"/>
              </w:rPr>
              <w:t>تقييد المخزون</w:t>
            </w:r>
          </w:p>
        </w:tc>
        <w:tc>
          <w:tcPr>
            <w:tcW w:w="1273"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139-</w:t>
            </w:r>
          </w:p>
        </w:tc>
        <w:tc>
          <w:tcPr>
            <w:tcW w:w="1420"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139-</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إثبات إيرادات حسابات خاصة</w:t>
            </w:r>
          </w:p>
        </w:tc>
        <w:tc>
          <w:tcPr>
            <w:tcW w:w="1273"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2</w:t>
            </w:r>
            <w:r>
              <w:rPr>
                <w:rFonts w:hint="cs"/>
                <w:sz w:val="28"/>
                <w:szCs w:val="28"/>
                <w:rtl/>
                <w:lang w:bidi="ar-EG"/>
              </w:rPr>
              <w:t>,</w:t>
            </w:r>
            <w:r w:rsidRPr="001070A4">
              <w:rPr>
                <w:rFonts w:hint="cs"/>
                <w:sz w:val="28"/>
                <w:szCs w:val="28"/>
                <w:rtl/>
                <w:lang w:bidi="ar-EG"/>
              </w:rPr>
              <w:t>384-</w:t>
            </w:r>
          </w:p>
        </w:tc>
        <w:tc>
          <w:tcPr>
            <w:tcW w:w="1420"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2</w:t>
            </w:r>
            <w:r>
              <w:rPr>
                <w:rFonts w:hint="cs"/>
                <w:sz w:val="28"/>
                <w:szCs w:val="28"/>
                <w:rtl/>
                <w:lang w:bidi="ar-EG"/>
              </w:rPr>
              <w:t>,</w:t>
            </w:r>
            <w:r w:rsidRPr="001070A4">
              <w:rPr>
                <w:rFonts w:hint="cs"/>
                <w:sz w:val="28"/>
                <w:szCs w:val="28"/>
                <w:rtl/>
                <w:lang w:bidi="ar-EG"/>
              </w:rPr>
              <w:t>384-</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b/>
                <w:bCs/>
                <w:sz w:val="28"/>
                <w:szCs w:val="28"/>
                <w:rtl/>
                <w:lang w:bidi="ar-EG"/>
              </w:rPr>
            </w:pPr>
            <w:r w:rsidRPr="001070A4">
              <w:rPr>
                <w:rFonts w:hint="cs"/>
                <w:b/>
                <w:bCs/>
                <w:sz w:val="28"/>
                <w:szCs w:val="28"/>
                <w:rtl/>
                <w:lang w:bidi="ar-EG"/>
              </w:rPr>
              <w:t>مجموع الاختلافات في الأساس</w:t>
            </w:r>
          </w:p>
        </w:tc>
        <w:tc>
          <w:tcPr>
            <w:tcW w:w="1273"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27</w:t>
            </w:r>
            <w:r>
              <w:rPr>
                <w:rFonts w:hint="cs"/>
                <w:b/>
                <w:bCs/>
                <w:sz w:val="28"/>
                <w:szCs w:val="28"/>
                <w:rtl/>
                <w:lang w:bidi="ar-EG"/>
              </w:rPr>
              <w:t>,</w:t>
            </w:r>
            <w:r w:rsidRPr="001070A4">
              <w:rPr>
                <w:rFonts w:hint="cs"/>
                <w:b/>
                <w:bCs/>
                <w:sz w:val="28"/>
                <w:szCs w:val="28"/>
                <w:rtl/>
                <w:lang w:bidi="ar-EG"/>
              </w:rPr>
              <w:t>112-</w:t>
            </w:r>
          </w:p>
        </w:tc>
        <w:tc>
          <w:tcPr>
            <w:tcW w:w="1420"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469</w:t>
            </w:r>
          </w:p>
        </w:tc>
        <w:tc>
          <w:tcPr>
            <w:tcW w:w="1276"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387"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26</w:t>
            </w:r>
            <w:r>
              <w:rPr>
                <w:rFonts w:hint="cs"/>
                <w:b/>
                <w:bCs/>
                <w:sz w:val="28"/>
                <w:szCs w:val="28"/>
                <w:rtl/>
                <w:lang w:bidi="ar-EG"/>
              </w:rPr>
              <w:t>,</w:t>
            </w:r>
            <w:r w:rsidRPr="001070A4">
              <w:rPr>
                <w:rFonts w:hint="cs"/>
                <w:b/>
                <w:bCs/>
                <w:sz w:val="28"/>
                <w:szCs w:val="28"/>
                <w:rtl/>
                <w:lang w:bidi="ar-EG"/>
              </w:rPr>
              <w:t>643-</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المشاريع الممولة من الأموال الاحتياطية</w:t>
            </w:r>
          </w:p>
        </w:tc>
        <w:tc>
          <w:tcPr>
            <w:tcW w:w="1273" w:type="dxa"/>
            <w:tcBorders>
              <w:top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11</w:t>
            </w:r>
            <w:r>
              <w:rPr>
                <w:rFonts w:hint="cs"/>
                <w:sz w:val="28"/>
                <w:szCs w:val="28"/>
                <w:rtl/>
                <w:lang w:bidi="ar-EG"/>
              </w:rPr>
              <w:t>,</w:t>
            </w:r>
            <w:r w:rsidRPr="001070A4">
              <w:rPr>
                <w:rFonts w:hint="cs"/>
                <w:sz w:val="28"/>
                <w:szCs w:val="28"/>
                <w:rtl/>
                <w:lang w:bidi="ar-EG"/>
              </w:rPr>
              <w:t>015-</w:t>
            </w:r>
          </w:p>
        </w:tc>
        <w:tc>
          <w:tcPr>
            <w:tcW w:w="1420" w:type="dxa"/>
            <w:tcBorders>
              <w:top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tcBorders>
              <w:top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tcBorders>
              <w:top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11</w:t>
            </w:r>
            <w:r>
              <w:rPr>
                <w:rFonts w:hint="cs"/>
                <w:sz w:val="28"/>
                <w:szCs w:val="28"/>
                <w:rtl/>
                <w:lang w:bidi="ar-EG"/>
              </w:rPr>
              <w:t>,</w:t>
            </w:r>
            <w:r w:rsidRPr="001070A4">
              <w:rPr>
                <w:rFonts w:hint="cs"/>
                <w:sz w:val="28"/>
                <w:szCs w:val="28"/>
                <w:rtl/>
                <w:lang w:bidi="ar-EG"/>
              </w:rPr>
              <w:t>015-</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r w:rsidRPr="001070A4">
              <w:rPr>
                <w:rFonts w:hint="cs"/>
                <w:sz w:val="28"/>
                <w:szCs w:val="28"/>
                <w:rtl/>
                <w:lang w:bidi="ar-EG"/>
              </w:rPr>
              <w:t>الحسابات الخاصة</w:t>
            </w:r>
          </w:p>
        </w:tc>
        <w:tc>
          <w:tcPr>
            <w:tcW w:w="1273"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2</w:t>
            </w:r>
            <w:r>
              <w:rPr>
                <w:rFonts w:hint="cs"/>
                <w:sz w:val="28"/>
                <w:szCs w:val="28"/>
                <w:rtl/>
                <w:lang w:bidi="ar-EG"/>
              </w:rPr>
              <w:t>,</w:t>
            </w:r>
            <w:r w:rsidRPr="001070A4">
              <w:rPr>
                <w:rFonts w:hint="cs"/>
                <w:sz w:val="28"/>
                <w:szCs w:val="28"/>
                <w:rtl/>
                <w:lang w:bidi="ar-EG"/>
              </w:rPr>
              <w:t>384</w:t>
            </w:r>
          </w:p>
        </w:tc>
        <w:tc>
          <w:tcPr>
            <w:tcW w:w="1420"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276"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w:t>
            </w:r>
          </w:p>
        </w:tc>
        <w:tc>
          <w:tcPr>
            <w:tcW w:w="1387" w:type="dxa"/>
            <w:tcBorders>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r w:rsidRPr="001070A4">
              <w:rPr>
                <w:rFonts w:hint="cs"/>
                <w:sz w:val="28"/>
                <w:szCs w:val="28"/>
                <w:rtl/>
                <w:lang w:bidi="ar-EG"/>
              </w:rPr>
              <w:t>2</w:t>
            </w:r>
            <w:r>
              <w:rPr>
                <w:rFonts w:hint="cs"/>
                <w:sz w:val="28"/>
                <w:szCs w:val="28"/>
                <w:rtl/>
                <w:lang w:bidi="ar-EG"/>
              </w:rPr>
              <w:t>,</w:t>
            </w:r>
            <w:r w:rsidRPr="001070A4">
              <w:rPr>
                <w:rFonts w:hint="cs"/>
                <w:sz w:val="28"/>
                <w:szCs w:val="28"/>
                <w:rtl/>
                <w:lang w:bidi="ar-EG"/>
              </w:rPr>
              <w:t>384</w:t>
            </w:r>
          </w:p>
        </w:tc>
      </w:tr>
      <w:tr w:rsidR="00E16243" w:rsidRPr="001070A4" w:rsidTr="00E16243">
        <w:trPr>
          <w:jc w:val="center"/>
        </w:trPr>
        <w:tc>
          <w:tcPr>
            <w:tcW w:w="3956" w:type="dxa"/>
            <w:shd w:val="clear" w:color="auto" w:fill="auto"/>
          </w:tcPr>
          <w:p w:rsidR="00E16243" w:rsidRPr="001D5F7C" w:rsidRDefault="00E16243" w:rsidP="00E16243">
            <w:pPr>
              <w:pStyle w:val="NormalParaAR"/>
              <w:keepNext/>
              <w:spacing w:after="0" w:line="280" w:lineRule="exact"/>
              <w:rPr>
                <w:b/>
                <w:bCs/>
                <w:sz w:val="28"/>
                <w:szCs w:val="28"/>
                <w:rtl/>
                <w:lang w:bidi="ar-EG"/>
              </w:rPr>
            </w:pPr>
            <w:r w:rsidRPr="001D5F7C">
              <w:rPr>
                <w:rFonts w:hint="cs"/>
                <w:b/>
                <w:bCs/>
                <w:sz w:val="28"/>
                <w:szCs w:val="28"/>
                <w:rtl/>
                <w:lang w:bidi="ar-EG"/>
              </w:rPr>
              <w:t>مجموع الاختلافات بين جهات التمويل</w:t>
            </w:r>
          </w:p>
        </w:tc>
        <w:tc>
          <w:tcPr>
            <w:tcW w:w="1273"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8</w:t>
            </w:r>
            <w:r>
              <w:rPr>
                <w:rFonts w:hint="cs"/>
                <w:b/>
                <w:bCs/>
                <w:sz w:val="28"/>
                <w:szCs w:val="28"/>
                <w:rtl/>
                <w:lang w:bidi="ar-EG"/>
              </w:rPr>
              <w:t>,</w:t>
            </w:r>
            <w:r w:rsidRPr="001070A4">
              <w:rPr>
                <w:rFonts w:hint="cs"/>
                <w:b/>
                <w:bCs/>
                <w:sz w:val="28"/>
                <w:szCs w:val="28"/>
                <w:rtl/>
                <w:lang w:bidi="ar-EG"/>
              </w:rPr>
              <w:t>631-</w:t>
            </w:r>
          </w:p>
        </w:tc>
        <w:tc>
          <w:tcPr>
            <w:tcW w:w="1420"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276"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387"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8</w:t>
            </w:r>
            <w:r>
              <w:rPr>
                <w:rFonts w:hint="cs"/>
                <w:b/>
                <w:bCs/>
                <w:sz w:val="28"/>
                <w:szCs w:val="28"/>
                <w:rtl/>
                <w:lang w:bidi="ar-EG"/>
              </w:rPr>
              <w:t>,</w:t>
            </w:r>
            <w:r w:rsidRPr="001070A4">
              <w:rPr>
                <w:rFonts w:hint="cs"/>
                <w:b/>
                <w:bCs/>
                <w:sz w:val="28"/>
                <w:szCs w:val="28"/>
                <w:rtl/>
                <w:lang w:bidi="ar-EG"/>
              </w:rPr>
              <w:t>631-</w:t>
            </w: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sz w:val="28"/>
                <w:szCs w:val="28"/>
                <w:rtl/>
                <w:lang w:bidi="ar-EG"/>
              </w:rPr>
            </w:pPr>
          </w:p>
        </w:tc>
        <w:tc>
          <w:tcPr>
            <w:tcW w:w="1273"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p>
        </w:tc>
        <w:tc>
          <w:tcPr>
            <w:tcW w:w="1420"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p>
        </w:tc>
        <w:tc>
          <w:tcPr>
            <w:tcW w:w="1276"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p>
        </w:tc>
        <w:tc>
          <w:tcPr>
            <w:tcW w:w="1387"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sz w:val="28"/>
                <w:szCs w:val="28"/>
                <w:rtl/>
                <w:lang w:bidi="ar-EG"/>
              </w:rPr>
            </w:pPr>
          </w:p>
        </w:tc>
      </w:tr>
      <w:tr w:rsidR="00E16243" w:rsidRPr="001070A4" w:rsidTr="00E16243">
        <w:trPr>
          <w:jc w:val="center"/>
        </w:trPr>
        <w:tc>
          <w:tcPr>
            <w:tcW w:w="3956" w:type="dxa"/>
            <w:shd w:val="clear" w:color="auto" w:fill="auto"/>
          </w:tcPr>
          <w:p w:rsidR="00E16243" w:rsidRPr="001070A4" w:rsidRDefault="00E16243" w:rsidP="00E16243">
            <w:pPr>
              <w:pStyle w:val="NormalParaAR"/>
              <w:keepNext/>
              <w:spacing w:after="0" w:line="280" w:lineRule="exact"/>
              <w:rPr>
                <w:b/>
                <w:bCs/>
                <w:sz w:val="28"/>
                <w:szCs w:val="28"/>
                <w:rtl/>
                <w:lang w:bidi="ar-EG"/>
              </w:rPr>
            </w:pPr>
            <w:r w:rsidRPr="001070A4">
              <w:rPr>
                <w:rFonts w:hint="cs"/>
                <w:b/>
                <w:bCs/>
                <w:sz w:val="28"/>
                <w:szCs w:val="28"/>
                <w:rtl/>
                <w:lang w:bidi="ar-EG"/>
              </w:rPr>
              <w:t>المبالغ الفعلية في بيان الأداء المالي (البيان الثاني)</w:t>
            </w:r>
          </w:p>
        </w:tc>
        <w:tc>
          <w:tcPr>
            <w:tcW w:w="1273"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15</w:t>
            </w:r>
            <w:r>
              <w:rPr>
                <w:rFonts w:hint="cs"/>
                <w:b/>
                <w:bCs/>
                <w:sz w:val="28"/>
                <w:szCs w:val="28"/>
                <w:rtl/>
                <w:lang w:bidi="ar-EG"/>
              </w:rPr>
              <w:t>,</w:t>
            </w:r>
            <w:r w:rsidRPr="001070A4">
              <w:rPr>
                <w:rFonts w:hint="cs"/>
                <w:b/>
                <w:bCs/>
                <w:sz w:val="28"/>
                <w:szCs w:val="28"/>
                <w:rtl/>
                <w:lang w:bidi="ar-EG"/>
              </w:rPr>
              <w:t>241</w:t>
            </w:r>
          </w:p>
        </w:tc>
        <w:tc>
          <w:tcPr>
            <w:tcW w:w="1420"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469</w:t>
            </w:r>
          </w:p>
        </w:tc>
        <w:tc>
          <w:tcPr>
            <w:tcW w:w="1276"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w:t>
            </w:r>
          </w:p>
        </w:tc>
        <w:tc>
          <w:tcPr>
            <w:tcW w:w="1387" w:type="dxa"/>
            <w:tcBorders>
              <w:top w:val="single" w:sz="4" w:space="0" w:color="auto"/>
              <w:bottom w:val="single" w:sz="4" w:space="0" w:color="auto"/>
            </w:tcBorders>
            <w:shd w:val="clear" w:color="auto" w:fill="auto"/>
          </w:tcPr>
          <w:p w:rsidR="00E16243" w:rsidRPr="001070A4" w:rsidRDefault="00E16243" w:rsidP="00E16243">
            <w:pPr>
              <w:pStyle w:val="NormalParaAR"/>
              <w:keepNext/>
              <w:spacing w:after="0" w:line="280" w:lineRule="exact"/>
              <w:jc w:val="center"/>
              <w:rPr>
                <w:b/>
                <w:bCs/>
                <w:sz w:val="28"/>
                <w:szCs w:val="28"/>
                <w:rtl/>
                <w:lang w:bidi="ar-EG"/>
              </w:rPr>
            </w:pPr>
            <w:r w:rsidRPr="001070A4">
              <w:rPr>
                <w:rFonts w:hint="cs"/>
                <w:b/>
                <w:bCs/>
                <w:sz w:val="28"/>
                <w:szCs w:val="28"/>
                <w:rtl/>
                <w:lang w:bidi="ar-EG"/>
              </w:rPr>
              <w:t>15</w:t>
            </w:r>
            <w:r>
              <w:rPr>
                <w:rFonts w:hint="cs"/>
                <w:b/>
                <w:bCs/>
                <w:sz w:val="28"/>
                <w:szCs w:val="28"/>
                <w:rtl/>
                <w:lang w:bidi="ar-EG"/>
              </w:rPr>
              <w:t>,</w:t>
            </w:r>
            <w:r w:rsidRPr="001070A4">
              <w:rPr>
                <w:rFonts w:hint="cs"/>
                <w:b/>
                <w:bCs/>
                <w:sz w:val="28"/>
                <w:szCs w:val="28"/>
                <w:rtl/>
                <w:lang w:bidi="ar-EG"/>
              </w:rPr>
              <w:t>710</w:t>
            </w:r>
          </w:p>
        </w:tc>
      </w:tr>
    </w:tbl>
    <w:p w:rsidR="00E16243" w:rsidRDefault="00E16243" w:rsidP="00E16243">
      <w:pPr>
        <w:pStyle w:val="NormalParaAR"/>
        <w:rPr>
          <w:rtl/>
          <w:lang w:bidi="ar-EG"/>
        </w:rPr>
      </w:pPr>
    </w:p>
    <w:p w:rsidR="00E16243" w:rsidRPr="002869C3" w:rsidRDefault="00E16243" w:rsidP="002869C3">
      <w:pPr>
        <w:pStyle w:val="Heading2"/>
        <w:bidi/>
        <w:rPr>
          <w:rFonts w:ascii="Arabic Typesetting" w:hAnsi="Arabic Typesetting" w:cs="Arabic Typesetting"/>
          <w:i/>
          <w:iCs w:val="0"/>
          <w:sz w:val="40"/>
          <w:szCs w:val="40"/>
          <w:rtl/>
        </w:rPr>
      </w:pPr>
      <w:bookmarkStart w:id="38" w:name="_Toc362519121"/>
      <w:r w:rsidRPr="002869C3">
        <w:rPr>
          <w:rFonts w:ascii="Arabic Typesetting" w:hAnsi="Arabic Typesetting" w:cs="Arabic Typesetting" w:hint="cs"/>
          <w:i/>
          <w:iCs w:val="0"/>
          <w:sz w:val="40"/>
          <w:szCs w:val="40"/>
          <w:rtl/>
        </w:rPr>
        <w:lastRenderedPageBreak/>
        <w:t>الملاحظة 23: الإيرادات</w:t>
      </w:r>
      <w:bookmarkEnd w:id="38"/>
    </w:p>
    <w:tbl>
      <w:tblPr>
        <w:bidiVisual/>
        <w:tblW w:w="0" w:type="auto"/>
        <w:jc w:val="center"/>
        <w:tblInd w:w="259" w:type="dxa"/>
        <w:tblLook w:val="04A0" w:firstRow="1" w:lastRow="0" w:firstColumn="1" w:lastColumn="0" w:noHBand="0" w:noVBand="1"/>
      </w:tblPr>
      <w:tblGrid>
        <w:gridCol w:w="2114"/>
        <w:gridCol w:w="992"/>
        <w:gridCol w:w="992"/>
        <w:gridCol w:w="1417"/>
        <w:gridCol w:w="1982"/>
        <w:gridCol w:w="992"/>
        <w:gridCol w:w="823"/>
      </w:tblGrid>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p>
        </w:tc>
        <w:tc>
          <w:tcPr>
            <w:tcW w:w="992" w:type="dxa"/>
            <w:tcBorders>
              <w:top w:val="single" w:sz="4" w:space="0" w:color="auto"/>
              <w:bottom w:val="single" w:sz="4" w:space="0" w:color="auto"/>
            </w:tcBorders>
            <w:shd w:val="clear" w:color="auto" w:fill="auto"/>
          </w:tcPr>
          <w:p w:rsidR="00E16243" w:rsidRPr="005A466D" w:rsidRDefault="00E16243" w:rsidP="00E16243">
            <w:pPr>
              <w:keepNext/>
              <w:bidi/>
              <w:spacing w:line="280" w:lineRule="exact"/>
              <w:jc w:val="center"/>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البرنامج والميزانية</w:t>
            </w:r>
          </w:p>
        </w:tc>
        <w:tc>
          <w:tcPr>
            <w:tcW w:w="992" w:type="dxa"/>
            <w:tcBorders>
              <w:top w:val="single" w:sz="4" w:space="0" w:color="auto"/>
              <w:bottom w:val="single" w:sz="4" w:space="0" w:color="auto"/>
            </w:tcBorders>
            <w:shd w:val="clear" w:color="auto" w:fill="auto"/>
          </w:tcPr>
          <w:p w:rsidR="00E16243" w:rsidRPr="005A466D" w:rsidRDefault="00E16243" w:rsidP="00E16243">
            <w:pPr>
              <w:keepNext/>
              <w:bidi/>
              <w:spacing w:line="280" w:lineRule="exact"/>
              <w:jc w:val="center"/>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حسابات خاصة</w:t>
            </w:r>
          </w:p>
        </w:tc>
        <w:tc>
          <w:tcPr>
            <w:tcW w:w="1417" w:type="dxa"/>
            <w:tcBorders>
              <w:top w:val="single" w:sz="4" w:space="0" w:color="auto"/>
              <w:bottom w:val="single" w:sz="4" w:space="0" w:color="auto"/>
            </w:tcBorders>
            <w:shd w:val="clear" w:color="auto" w:fill="auto"/>
          </w:tcPr>
          <w:p w:rsidR="00E16243" w:rsidRPr="005A466D" w:rsidRDefault="00E16243" w:rsidP="00E16243">
            <w:pPr>
              <w:keepNext/>
              <w:bidi/>
              <w:spacing w:line="280" w:lineRule="exact"/>
              <w:jc w:val="center"/>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مشاريع تمول من الأموال الاحتياطية</w:t>
            </w:r>
          </w:p>
        </w:tc>
        <w:tc>
          <w:tcPr>
            <w:tcW w:w="1982" w:type="dxa"/>
            <w:tcBorders>
              <w:top w:val="single" w:sz="4" w:space="0" w:color="auto"/>
              <w:bottom w:val="single" w:sz="4" w:space="0" w:color="auto"/>
            </w:tcBorders>
            <w:shd w:val="clear" w:color="auto" w:fill="auto"/>
          </w:tcPr>
          <w:p w:rsidR="00E16243" w:rsidRPr="005A466D" w:rsidRDefault="00E16243" w:rsidP="00E16243">
            <w:pPr>
              <w:keepNext/>
              <w:bidi/>
              <w:spacing w:line="280" w:lineRule="exact"/>
              <w:jc w:val="center"/>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تسويات بناء على المعايير المحاسبية الدولية للقطاع العام</w:t>
            </w:r>
          </w:p>
        </w:tc>
        <w:tc>
          <w:tcPr>
            <w:tcW w:w="1815" w:type="dxa"/>
            <w:gridSpan w:val="2"/>
            <w:tcBorders>
              <w:top w:val="single" w:sz="4" w:space="0" w:color="auto"/>
              <w:bottom w:val="single" w:sz="4" w:space="0" w:color="auto"/>
            </w:tcBorders>
            <w:shd w:val="clear" w:color="auto" w:fill="auto"/>
            <w:vAlign w:val="center"/>
          </w:tcPr>
          <w:p w:rsidR="00E16243" w:rsidRPr="005A466D" w:rsidRDefault="00E16243" w:rsidP="00E16243">
            <w:pPr>
              <w:keepNext/>
              <w:bidi/>
              <w:spacing w:line="280" w:lineRule="exact"/>
              <w:jc w:val="center"/>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المجموع</w:t>
            </w:r>
          </w:p>
        </w:tc>
      </w:tr>
      <w:tr w:rsidR="00E16243" w:rsidRPr="005A466D" w:rsidTr="00E16243">
        <w:trPr>
          <w:jc w:val="center"/>
        </w:trPr>
        <w:tc>
          <w:tcPr>
            <w:tcW w:w="9312" w:type="dxa"/>
            <w:gridSpan w:val="7"/>
            <w:shd w:val="clear" w:color="auto" w:fill="auto"/>
          </w:tcPr>
          <w:p w:rsidR="00E16243" w:rsidRPr="005A466D" w:rsidRDefault="00E16243" w:rsidP="00E16243">
            <w:pPr>
              <w:keepNext/>
              <w:bidi/>
              <w:spacing w:line="280" w:lineRule="exact"/>
              <w:jc w:val="center"/>
              <w:rPr>
                <w:rFonts w:ascii="Arabic Typesetting" w:hAnsi="Arabic Typesetting" w:cs="Arabic Typesetting"/>
                <w:sz w:val="28"/>
                <w:szCs w:val="28"/>
                <w:rtl/>
              </w:rPr>
            </w:pPr>
            <w:r w:rsidRPr="005A466D">
              <w:rPr>
                <w:rFonts w:ascii="Arabic Typesetting" w:hAnsi="Arabic Typesetting" w:cs="Arabic Typesetting" w:hint="cs"/>
                <w:sz w:val="28"/>
                <w:szCs w:val="28"/>
                <w:rtl/>
              </w:rPr>
              <w:t>(بآلاف الفرنكات السويسرية)</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2012</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2012</w:t>
            </w:r>
          </w:p>
        </w:tc>
        <w:tc>
          <w:tcPr>
            <w:tcW w:w="1417"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2012</w:t>
            </w:r>
          </w:p>
        </w:tc>
        <w:tc>
          <w:tcPr>
            <w:tcW w:w="198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2012</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2012</w:t>
            </w:r>
          </w:p>
        </w:tc>
        <w:tc>
          <w:tcPr>
            <w:tcW w:w="823"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201</w:t>
            </w:r>
            <w:r>
              <w:rPr>
                <w:rFonts w:ascii="Arabic Typesetting" w:hAnsi="Arabic Typesetting" w:cs="Arabic Typesetting" w:hint="cs"/>
                <w:b/>
                <w:bCs/>
                <w:sz w:val="28"/>
                <w:szCs w:val="28"/>
                <w:rtl/>
              </w:rPr>
              <w:t>1</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الإسهامات</w:t>
            </w:r>
            <w:r w:rsidRPr="005A466D">
              <w:rPr>
                <w:rFonts w:ascii="Arabic Typesetting" w:hAnsi="Arabic Typesetting" w:cs="Arabic Typesetting" w:hint="cs"/>
                <w:sz w:val="28"/>
                <w:szCs w:val="28"/>
                <w:rtl/>
              </w:rPr>
              <w:t xml:space="preserve"> المقدرة</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17</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549</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42</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17</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591</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17</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462</w:t>
            </w:r>
          </w:p>
        </w:tc>
      </w:tr>
      <w:tr w:rsidR="00E16243" w:rsidRPr="005A466D" w:rsidTr="00E16243">
        <w:trPr>
          <w:jc w:val="center"/>
        </w:trPr>
        <w:tc>
          <w:tcPr>
            <w:tcW w:w="2114" w:type="dxa"/>
            <w:shd w:val="clear" w:color="auto" w:fill="auto"/>
            <w:vAlign w:val="center"/>
          </w:tcPr>
          <w:p w:rsidR="00E16243" w:rsidRPr="005A466D" w:rsidRDefault="00E16243" w:rsidP="00E16243">
            <w:pPr>
              <w:keepNext/>
              <w:bidi/>
              <w:spacing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الإ</w:t>
            </w:r>
            <w:r w:rsidRPr="005A466D">
              <w:rPr>
                <w:rFonts w:ascii="Arabic Typesetting" w:hAnsi="Arabic Typesetting" w:cs="Arabic Typesetting" w:hint="cs"/>
                <w:sz w:val="28"/>
                <w:szCs w:val="28"/>
                <w:rtl/>
              </w:rPr>
              <w:t>سهامات الطوعية</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10</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173</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436-</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7</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737</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8</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532</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عائدات المنشورات</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630</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630</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670</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عائدات الاستثمار</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326</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9</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469</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804</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293</w:t>
            </w:r>
          </w:p>
          <w:p w:rsidR="00E16243" w:rsidRPr="005A466D" w:rsidRDefault="00E16243" w:rsidP="00E16243">
            <w:pPr>
              <w:keepNext/>
              <w:bidi/>
              <w:spacing w:line="280" w:lineRule="exact"/>
              <w:rPr>
                <w:rFonts w:ascii="Arabic Typesetting" w:hAnsi="Arabic Typesetting" w:cs="Arabic Typesetting"/>
                <w:sz w:val="28"/>
                <w:szCs w:val="28"/>
                <w:rtl/>
              </w:rPr>
            </w:pP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رسوم نظام  معاهدة التعاون بشأن البراءات</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262</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011</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13</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834-</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248</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177</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206</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621</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رسوم نظام  مدريد</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52</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756</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158-</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51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598</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50</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959</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رسوم نظام لاهاي</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3</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083</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47-</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3</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036</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996</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رسوم أخرى</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4</w:t>
            </w:r>
          </w:p>
        </w:tc>
        <w:tc>
          <w:tcPr>
            <w:tcW w:w="823"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3</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المجموع الفرعي للرسوم</w:t>
            </w:r>
          </w:p>
        </w:tc>
        <w:tc>
          <w:tcPr>
            <w:tcW w:w="992"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317</w:t>
            </w:r>
            <w:r>
              <w:rPr>
                <w:rFonts w:ascii="Arabic Typesetting" w:hAnsi="Arabic Typesetting" w:cs="Arabic Typesetting" w:hint="cs"/>
                <w:b/>
                <w:bCs/>
                <w:sz w:val="28"/>
                <w:szCs w:val="28"/>
                <w:rtl/>
              </w:rPr>
              <w:t>,</w:t>
            </w:r>
            <w:r w:rsidRPr="005A466D">
              <w:rPr>
                <w:rFonts w:ascii="Arabic Typesetting" w:hAnsi="Arabic Typesetting" w:cs="Arabic Typesetting" w:hint="cs"/>
                <w:b/>
                <w:bCs/>
                <w:sz w:val="28"/>
                <w:szCs w:val="28"/>
                <w:rtl/>
              </w:rPr>
              <w:t>854</w:t>
            </w:r>
          </w:p>
        </w:tc>
        <w:tc>
          <w:tcPr>
            <w:tcW w:w="992"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w:t>
            </w:r>
          </w:p>
        </w:tc>
        <w:tc>
          <w:tcPr>
            <w:tcW w:w="1417"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w:t>
            </w:r>
          </w:p>
        </w:tc>
        <w:tc>
          <w:tcPr>
            <w:tcW w:w="1982"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15</w:t>
            </w:r>
            <w:r>
              <w:rPr>
                <w:rFonts w:ascii="Arabic Typesetting" w:hAnsi="Arabic Typesetting" w:cs="Arabic Typesetting" w:hint="cs"/>
                <w:b/>
                <w:bCs/>
                <w:sz w:val="28"/>
                <w:szCs w:val="28"/>
                <w:rtl/>
              </w:rPr>
              <w:t>,</w:t>
            </w:r>
            <w:r w:rsidRPr="005A466D">
              <w:rPr>
                <w:rFonts w:ascii="Arabic Typesetting" w:hAnsi="Arabic Typesetting" w:cs="Arabic Typesetting" w:hint="cs"/>
                <w:b/>
                <w:bCs/>
                <w:sz w:val="28"/>
                <w:szCs w:val="28"/>
                <w:rtl/>
              </w:rPr>
              <w:t>039-</w:t>
            </w:r>
          </w:p>
        </w:tc>
        <w:tc>
          <w:tcPr>
            <w:tcW w:w="992"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302</w:t>
            </w:r>
            <w:r>
              <w:rPr>
                <w:rFonts w:ascii="Arabic Typesetting" w:hAnsi="Arabic Typesetting" w:cs="Arabic Typesetting" w:hint="cs"/>
                <w:b/>
                <w:bCs/>
                <w:sz w:val="28"/>
                <w:szCs w:val="28"/>
                <w:rtl/>
              </w:rPr>
              <w:t>,</w:t>
            </w:r>
            <w:r w:rsidRPr="005A466D">
              <w:rPr>
                <w:rFonts w:ascii="Arabic Typesetting" w:hAnsi="Arabic Typesetting" w:cs="Arabic Typesetting" w:hint="cs"/>
                <w:b/>
                <w:bCs/>
                <w:sz w:val="28"/>
                <w:szCs w:val="28"/>
                <w:rtl/>
              </w:rPr>
              <w:t>815</w:t>
            </w:r>
          </w:p>
        </w:tc>
        <w:tc>
          <w:tcPr>
            <w:tcW w:w="823" w:type="dxa"/>
            <w:tcBorders>
              <w:top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260</w:t>
            </w:r>
            <w:r>
              <w:rPr>
                <w:rFonts w:ascii="Arabic Typesetting" w:hAnsi="Arabic Typesetting" w:cs="Arabic Typesetting" w:hint="cs"/>
                <w:b/>
                <w:bCs/>
                <w:sz w:val="28"/>
                <w:szCs w:val="28"/>
                <w:rtl/>
              </w:rPr>
              <w:t>,</w:t>
            </w:r>
            <w:r w:rsidRPr="005A466D">
              <w:rPr>
                <w:rFonts w:ascii="Arabic Typesetting" w:hAnsi="Arabic Typesetting" w:cs="Arabic Typesetting" w:hint="cs"/>
                <w:b/>
                <w:bCs/>
                <w:sz w:val="28"/>
                <w:szCs w:val="28"/>
                <w:rtl/>
              </w:rPr>
              <w:t>579</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التحكيم والوساطة</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643</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643</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480</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مكاسب (خسائر) صرف العملات</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851-</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21-</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872-</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457-</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تكاليف دعم البرنامج</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705</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98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705-</w:t>
            </w:r>
          </w:p>
        </w:tc>
        <w:tc>
          <w:tcPr>
            <w:tcW w:w="992"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823"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Pr>
                <w:rFonts w:ascii="Arabic Typesetting" w:hAnsi="Arabic Typesetting" w:cs="Arabic Typesetting" w:hint="cs"/>
                <w:sz w:val="28"/>
                <w:szCs w:val="28"/>
                <w:rtl/>
              </w:rPr>
              <w:t>إيرادات أخرى</w:t>
            </w:r>
            <w:r w:rsidRPr="005A466D">
              <w:rPr>
                <w:rFonts w:ascii="Arabic Typesetting" w:hAnsi="Arabic Typesetting" w:cs="Arabic Typesetting" w:hint="cs"/>
                <w:sz w:val="28"/>
                <w:szCs w:val="28"/>
                <w:rtl/>
              </w:rPr>
              <w:t>/نثرية</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206</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w:t>
            </w:r>
          </w:p>
        </w:tc>
        <w:tc>
          <w:tcPr>
            <w:tcW w:w="1417"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3</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803</w:t>
            </w:r>
          </w:p>
        </w:tc>
        <w:tc>
          <w:tcPr>
            <w:tcW w:w="198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361-</w:t>
            </w:r>
          </w:p>
        </w:tc>
        <w:tc>
          <w:tcPr>
            <w:tcW w:w="992"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5</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648</w:t>
            </w:r>
          </w:p>
        </w:tc>
        <w:tc>
          <w:tcPr>
            <w:tcW w:w="823" w:type="dxa"/>
            <w:tcBorders>
              <w:bottom w:val="single" w:sz="4" w:space="0" w:color="auto"/>
            </w:tcBorders>
            <w:shd w:val="clear" w:color="auto" w:fill="auto"/>
          </w:tcPr>
          <w:p w:rsidR="00E16243" w:rsidRPr="005A466D" w:rsidRDefault="00E16243" w:rsidP="00E16243">
            <w:pPr>
              <w:keepNext/>
              <w:bidi/>
              <w:spacing w:line="280" w:lineRule="exact"/>
              <w:rPr>
                <w:rFonts w:ascii="Arabic Typesetting" w:hAnsi="Arabic Typesetting" w:cs="Arabic Typesetting"/>
                <w:sz w:val="28"/>
                <w:szCs w:val="28"/>
                <w:rtl/>
              </w:rPr>
            </w:pPr>
            <w:r w:rsidRPr="005A466D">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5A466D">
              <w:rPr>
                <w:rFonts w:ascii="Arabic Typesetting" w:hAnsi="Arabic Typesetting" w:cs="Arabic Typesetting" w:hint="cs"/>
                <w:sz w:val="28"/>
                <w:szCs w:val="28"/>
                <w:rtl/>
              </w:rPr>
              <w:t>578</w:t>
            </w:r>
          </w:p>
        </w:tc>
      </w:tr>
      <w:tr w:rsidR="00E16243" w:rsidRPr="005A466D" w:rsidTr="00E16243">
        <w:trPr>
          <w:jc w:val="center"/>
        </w:trPr>
        <w:tc>
          <w:tcPr>
            <w:tcW w:w="2114" w:type="dxa"/>
            <w:shd w:val="clear" w:color="auto" w:fill="auto"/>
          </w:tcPr>
          <w:p w:rsidR="00E16243" w:rsidRPr="005A466D" w:rsidRDefault="00E16243" w:rsidP="00E16243">
            <w:pPr>
              <w:keepNext/>
              <w:bidi/>
              <w:spacing w:line="280" w:lineRule="exact"/>
              <w:rPr>
                <w:rFonts w:ascii="Arabic Typesetting" w:hAnsi="Arabic Typesetting" w:cs="Arabic Typesetting"/>
                <w:b/>
                <w:bCs/>
                <w:sz w:val="28"/>
                <w:szCs w:val="28"/>
                <w:rtl/>
              </w:rPr>
            </w:pPr>
            <w:r w:rsidRPr="005A466D">
              <w:rPr>
                <w:rFonts w:ascii="Arabic Typesetting" w:hAnsi="Arabic Typesetting" w:cs="Arabic Typesetting" w:hint="cs"/>
                <w:b/>
                <w:bCs/>
                <w:sz w:val="28"/>
                <w:szCs w:val="28"/>
                <w:rtl/>
              </w:rPr>
              <w:t>إجمالي الإيرادات</w:t>
            </w:r>
          </w:p>
        </w:tc>
        <w:tc>
          <w:tcPr>
            <w:tcW w:w="992"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341,062</w:t>
            </w:r>
          </w:p>
        </w:tc>
        <w:tc>
          <w:tcPr>
            <w:tcW w:w="992"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10,161</w:t>
            </w:r>
          </w:p>
        </w:tc>
        <w:tc>
          <w:tcPr>
            <w:tcW w:w="1417"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3,803</w:t>
            </w:r>
          </w:p>
        </w:tc>
        <w:tc>
          <w:tcPr>
            <w:tcW w:w="1982"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18,030-</w:t>
            </w:r>
          </w:p>
        </w:tc>
        <w:tc>
          <w:tcPr>
            <w:tcW w:w="992"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336,996</w:t>
            </w:r>
          </w:p>
        </w:tc>
        <w:tc>
          <w:tcPr>
            <w:tcW w:w="823" w:type="dxa"/>
            <w:tcBorders>
              <w:top w:val="single" w:sz="4" w:space="0" w:color="auto"/>
              <w:bottom w:val="single" w:sz="4" w:space="0" w:color="auto"/>
            </w:tcBorders>
            <w:shd w:val="clear" w:color="auto" w:fill="auto"/>
          </w:tcPr>
          <w:p w:rsidR="00E16243" w:rsidRPr="00215FC1" w:rsidRDefault="00E16243" w:rsidP="00E16243">
            <w:pPr>
              <w:keepNext/>
              <w:bidi/>
              <w:spacing w:line="280" w:lineRule="exact"/>
              <w:rPr>
                <w:rFonts w:ascii="Arabic Typesetting" w:hAnsi="Arabic Typesetting" w:cs="Arabic Typesetting"/>
                <w:b/>
                <w:bCs/>
                <w:sz w:val="28"/>
                <w:szCs w:val="28"/>
                <w:u w:val="double"/>
                <w:rtl/>
              </w:rPr>
            </w:pPr>
            <w:r w:rsidRPr="00215FC1">
              <w:rPr>
                <w:rFonts w:ascii="Arabic Typesetting" w:hAnsi="Arabic Typesetting" w:cs="Arabic Typesetting" w:hint="cs"/>
                <w:b/>
                <w:bCs/>
                <w:sz w:val="28"/>
                <w:szCs w:val="28"/>
                <w:u w:val="double"/>
                <w:rtl/>
              </w:rPr>
              <w:t>293,137</w:t>
            </w:r>
          </w:p>
        </w:tc>
      </w:tr>
    </w:tbl>
    <w:p w:rsidR="00E16243" w:rsidRPr="00FA79D5" w:rsidRDefault="00E16243" w:rsidP="00E16243">
      <w:pPr>
        <w:keepNext/>
        <w:bidi/>
        <w:spacing w:after="240" w:line="360" w:lineRule="exact"/>
        <w:rPr>
          <w:rFonts w:ascii="Arabic Typesetting" w:hAnsi="Arabic Typesetting" w:cs="Arabic Typesetting"/>
          <w:b/>
          <w:bCs/>
          <w:sz w:val="44"/>
          <w:szCs w:val="44"/>
          <w:rtl/>
        </w:rPr>
      </w:pPr>
    </w:p>
    <w:p w:rsidR="00E16243" w:rsidRDefault="00E16243" w:rsidP="00E16243">
      <w:pPr>
        <w:bidi/>
        <w:spacing w:after="240" w:line="360" w:lineRule="exact"/>
        <w:rPr>
          <w:rFonts w:ascii="Arabic Typesetting" w:hAnsi="Arabic Typesetting" w:cs="Arabic Typesetting"/>
          <w:sz w:val="36"/>
          <w:szCs w:val="36"/>
          <w:rtl/>
        </w:rPr>
      </w:pPr>
      <w:r w:rsidRPr="00441C1F">
        <w:rPr>
          <w:rFonts w:ascii="Arabic Typesetting" w:hAnsi="Arabic Typesetting" w:cs="Arabic Typesetting" w:hint="cs"/>
          <w:sz w:val="36"/>
          <w:szCs w:val="36"/>
          <w:rtl/>
        </w:rPr>
        <w:t>المبالغ المبينة في باب البرنامج والميزانية هي الإيرادات الفعلية المحصلة المتعلقة بميزانية المنظمة كما اعتمدتها الجمعيات. وأما الإسهامات</w:t>
      </w:r>
      <w:r>
        <w:rPr>
          <w:rFonts w:ascii="Arabic Typesetting" w:hAnsi="Arabic Typesetting" w:cs="Arabic Typesetting" w:hint="cs"/>
          <w:sz w:val="36"/>
          <w:szCs w:val="36"/>
          <w:rtl/>
        </w:rPr>
        <w:t xml:space="preserve"> الطوعية فهي الإيرادات المحصلة من تبرعات من جهات مانحة لفائدة مشروعات فردية  تحت حسابات فردية غير مدرجة في البرنامج والميزانية.</w:t>
      </w:r>
    </w:p>
    <w:p w:rsidR="00E16243" w:rsidRDefault="00E16243" w:rsidP="00E16243">
      <w:pPr>
        <w:bidi/>
        <w:spacing w:after="240" w:line="36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وتتعلق التسويات المنجزة وفقا للمعايير المحاسبية الدولية للقطاع العام بتأجيل الإيرادات غير المحصّلة. وتؤجل الإيرادات المتأتية من الإسهامات الطوعية إلى حين تحصيلها من خلال تقديم الخدمات الخاصة التي نصت عليها خطة العمل المتفق عليها مع الجهة المانحة. وتشمل الإسهامات الطوعية مبلغا مستلما قدره 10,4 مليون فرنك سويسري مخصوما منه الأموال المعادة إلى الجهات المانحة (انظر المرفق الثالث)، مع تسوية بناء على المعايير المحاسبية الدولية للقطاع العام قدرها 2,4 مليون فرنك سويسري للتحركات في الإيرادات المؤجلة.</w:t>
      </w:r>
    </w:p>
    <w:p w:rsidR="00E16243" w:rsidRPr="006918D3" w:rsidRDefault="00E16243" w:rsidP="00E1624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وتؤجل الإيرادات المتأتية من رسوم معاهدة التعاون بشأن البراءات ومدريد إلى حين تحصيلها من خلال نشر الطلب الدولي وفقا للقواعد المطبقة في كل اتحاد.</w:t>
      </w:r>
    </w:p>
    <w:p w:rsidR="00E16243" w:rsidRPr="002869C3" w:rsidRDefault="00E16243" w:rsidP="002869C3">
      <w:pPr>
        <w:pStyle w:val="Heading2"/>
        <w:bidi/>
        <w:rPr>
          <w:rFonts w:ascii="Arabic Typesetting" w:hAnsi="Arabic Typesetting" w:cs="Arabic Typesetting"/>
          <w:i/>
          <w:iCs w:val="0"/>
          <w:sz w:val="40"/>
          <w:szCs w:val="40"/>
          <w:rtl/>
        </w:rPr>
      </w:pPr>
      <w:bookmarkStart w:id="39" w:name="_Toc362519122"/>
      <w:r w:rsidRPr="002869C3">
        <w:rPr>
          <w:rFonts w:ascii="Arabic Typesetting" w:hAnsi="Arabic Typesetting" w:cs="Arabic Typesetting" w:hint="cs"/>
          <w:i/>
          <w:iCs w:val="0"/>
          <w:sz w:val="40"/>
          <w:szCs w:val="40"/>
          <w:rtl/>
        </w:rPr>
        <w:lastRenderedPageBreak/>
        <w:t>الملاحظة 24: المصروفات</w:t>
      </w:r>
      <w:bookmarkEnd w:id="39"/>
    </w:p>
    <w:tbl>
      <w:tblPr>
        <w:bidiVisual/>
        <w:tblW w:w="0" w:type="auto"/>
        <w:jc w:val="center"/>
        <w:tblInd w:w="48" w:type="dxa"/>
        <w:tblLook w:val="04A0" w:firstRow="1" w:lastRow="0" w:firstColumn="1" w:lastColumn="0" w:noHBand="0" w:noVBand="1"/>
      </w:tblPr>
      <w:tblGrid>
        <w:gridCol w:w="2325"/>
        <w:gridCol w:w="992"/>
        <w:gridCol w:w="992"/>
        <w:gridCol w:w="1417"/>
        <w:gridCol w:w="1982"/>
        <w:gridCol w:w="992"/>
        <w:gridCol w:w="823"/>
      </w:tblGrid>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p>
        </w:tc>
        <w:tc>
          <w:tcPr>
            <w:tcW w:w="992" w:type="dxa"/>
            <w:tcBorders>
              <w:top w:val="single" w:sz="4" w:space="0" w:color="auto"/>
              <w:bottom w:val="single" w:sz="4" w:space="0" w:color="auto"/>
            </w:tcBorders>
            <w:shd w:val="clear" w:color="auto" w:fill="auto"/>
          </w:tcPr>
          <w:p w:rsidR="00E16243" w:rsidRPr="00D655C3" w:rsidRDefault="00E16243" w:rsidP="00E16243">
            <w:pPr>
              <w:keepNext/>
              <w:bidi/>
              <w:spacing w:line="280" w:lineRule="exact"/>
              <w:jc w:val="center"/>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البرنامج والميزانية</w:t>
            </w:r>
          </w:p>
        </w:tc>
        <w:tc>
          <w:tcPr>
            <w:tcW w:w="992" w:type="dxa"/>
            <w:tcBorders>
              <w:top w:val="single" w:sz="4" w:space="0" w:color="auto"/>
              <w:bottom w:val="single" w:sz="4" w:space="0" w:color="auto"/>
            </w:tcBorders>
            <w:shd w:val="clear" w:color="auto" w:fill="auto"/>
          </w:tcPr>
          <w:p w:rsidR="00E16243" w:rsidRPr="00D655C3" w:rsidRDefault="00E16243" w:rsidP="00E16243">
            <w:pPr>
              <w:keepNext/>
              <w:bidi/>
              <w:spacing w:line="280" w:lineRule="exact"/>
              <w:jc w:val="center"/>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حسابات خاصة</w:t>
            </w:r>
          </w:p>
        </w:tc>
        <w:tc>
          <w:tcPr>
            <w:tcW w:w="1417" w:type="dxa"/>
            <w:tcBorders>
              <w:top w:val="single" w:sz="4" w:space="0" w:color="auto"/>
              <w:bottom w:val="single" w:sz="4" w:space="0" w:color="auto"/>
            </w:tcBorders>
            <w:shd w:val="clear" w:color="auto" w:fill="auto"/>
          </w:tcPr>
          <w:p w:rsidR="00E16243" w:rsidRPr="00D655C3" w:rsidRDefault="00E16243" w:rsidP="00E16243">
            <w:pPr>
              <w:keepNext/>
              <w:bidi/>
              <w:spacing w:line="280" w:lineRule="exact"/>
              <w:jc w:val="center"/>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مشاريع تمول من الأموال الاحتياطية</w:t>
            </w:r>
          </w:p>
        </w:tc>
        <w:tc>
          <w:tcPr>
            <w:tcW w:w="1982" w:type="dxa"/>
            <w:tcBorders>
              <w:top w:val="single" w:sz="4" w:space="0" w:color="auto"/>
              <w:bottom w:val="single" w:sz="4" w:space="0" w:color="auto"/>
            </w:tcBorders>
            <w:shd w:val="clear" w:color="auto" w:fill="auto"/>
          </w:tcPr>
          <w:p w:rsidR="00E16243" w:rsidRPr="00D655C3" w:rsidRDefault="00E16243" w:rsidP="00E16243">
            <w:pPr>
              <w:keepNext/>
              <w:bidi/>
              <w:spacing w:line="280" w:lineRule="exact"/>
              <w:jc w:val="center"/>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تسويات بناء على المعايير المحاسبية الدولية للقطاع العام</w:t>
            </w:r>
          </w:p>
        </w:tc>
        <w:tc>
          <w:tcPr>
            <w:tcW w:w="1815" w:type="dxa"/>
            <w:gridSpan w:val="2"/>
            <w:tcBorders>
              <w:top w:val="single" w:sz="4" w:space="0" w:color="auto"/>
              <w:bottom w:val="single" w:sz="4" w:space="0" w:color="auto"/>
            </w:tcBorders>
            <w:shd w:val="clear" w:color="auto" w:fill="auto"/>
            <w:vAlign w:val="center"/>
          </w:tcPr>
          <w:p w:rsidR="00E16243" w:rsidRPr="00D655C3" w:rsidRDefault="00E16243" w:rsidP="00E16243">
            <w:pPr>
              <w:keepNext/>
              <w:bidi/>
              <w:spacing w:line="280" w:lineRule="exact"/>
              <w:jc w:val="center"/>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المجموع</w:t>
            </w:r>
          </w:p>
        </w:tc>
      </w:tr>
      <w:tr w:rsidR="00E16243" w:rsidRPr="00D655C3" w:rsidTr="00E16243">
        <w:trPr>
          <w:jc w:val="center"/>
        </w:trPr>
        <w:tc>
          <w:tcPr>
            <w:tcW w:w="9523" w:type="dxa"/>
            <w:gridSpan w:val="7"/>
            <w:shd w:val="clear" w:color="auto" w:fill="auto"/>
          </w:tcPr>
          <w:p w:rsidR="00E16243" w:rsidRPr="00D655C3" w:rsidRDefault="00E16243" w:rsidP="00E16243">
            <w:pPr>
              <w:keepNext/>
              <w:bidi/>
              <w:spacing w:line="280" w:lineRule="exact"/>
              <w:jc w:val="center"/>
              <w:rPr>
                <w:rFonts w:ascii="Arabic Typesetting" w:hAnsi="Arabic Typesetting" w:cs="Arabic Typesetting"/>
                <w:sz w:val="28"/>
                <w:szCs w:val="28"/>
                <w:rtl/>
              </w:rPr>
            </w:pPr>
            <w:r>
              <w:rPr>
                <w:rFonts w:ascii="Arabic Typesetting" w:hAnsi="Arabic Typesetting" w:cs="Arabic Typesetting"/>
                <w:sz w:val="28"/>
                <w:szCs w:val="28"/>
                <w:rtl/>
              </w:rPr>
              <w:tab/>
            </w:r>
            <w:r>
              <w:rPr>
                <w:rFonts w:ascii="Arabic Typesetting" w:hAnsi="Arabic Typesetting" w:cs="Arabic Typesetting" w:hint="cs"/>
                <w:sz w:val="28"/>
                <w:szCs w:val="28"/>
                <w:rtl/>
              </w:rPr>
              <w:tab/>
            </w:r>
            <w:r>
              <w:rPr>
                <w:rFonts w:ascii="Arabic Typesetting" w:hAnsi="Arabic Typesetting" w:cs="Arabic Typesetting"/>
                <w:sz w:val="28"/>
                <w:szCs w:val="28"/>
                <w:rtl/>
              </w:rPr>
              <w:tab/>
            </w:r>
            <w:r w:rsidRPr="00D655C3">
              <w:rPr>
                <w:rFonts w:ascii="Arabic Typesetting" w:hAnsi="Arabic Typesetting" w:cs="Arabic Typesetting" w:hint="cs"/>
                <w:sz w:val="28"/>
                <w:szCs w:val="28"/>
                <w:rtl/>
              </w:rPr>
              <w:t>(بآلاف الفرنكات السويسرية)</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c>
          <w:tcPr>
            <w:tcW w:w="1417"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c>
          <w:tcPr>
            <w:tcW w:w="198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c>
          <w:tcPr>
            <w:tcW w:w="823"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2012</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نفقات الموظفين</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199</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165</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479</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064</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134</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212</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824</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209</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554</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السفر والمنح</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099</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109</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381</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17</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586</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20</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745</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خدمات تعاقدية</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49</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620</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036</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320</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54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975</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50</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103</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مصروفات  التشغيل</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052</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201</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023</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708-</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568</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30</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791</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الإمدادات والمواد</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656</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33</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476</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513-</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652</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309</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الأثاث والمعدات</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473</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81</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173</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150-</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577</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753</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البناء</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13</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399</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4</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412-</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الاهتلاك والاستهلاك والأضرار</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1417"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198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104</w:t>
            </w:r>
          </w:p>
        </w:tc>
        <w:tc>
          <w:tcPr>
            <w:tcW w:w="992"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104</w:t>
            </w:r>
          </w:p>
        </w:tc>
        <w:tc>
          <w:tcPr>
            <w:tcW w:w="823"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091</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تكاليف دعم البرنامج</w:t>
            </w: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838</w:t>
            </w:r>
          </w:p>
        </w:tc>
        <w:tc>
          <w:tcPr>
            <w:tcW w:w="1417"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198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838-</w:t>
            </w:r>
          </w:p>
        </w:tc>
        <w:tc>
          <w:tcPr>
            <w:tcW w:w="992"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c>
          <w:tcPr>
            <w:tcW w:w="823" w:type="dxa"/>
            <w:tcBorders>
              <w:bottom w:val="single" w:sz="4" w:space="0" w:color="auto"/>
            </w:tcBorders>
            <w:shd w:val="clear" w:color="auto" w:fill="auto"/>
          </w:tcPr>
          <w:p w:rsidR="00E16243" w:rsidRPr="00D655C3" w:rsidRDefault="00E16243" w:rsidP="00E16243">
            <w:pPr>
              <w:keepNext/>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w:t>
            </w:r>
          </w:p>
        </w:tc>
      </w:tr>
      <w:tr w:rsidR="00E16243" w:rsidRPr="00D655C3" w:rsidTr="00E16243">
        <w:trPr>
          <w:jc w:val="center"/>
        </w:trPr>
        <w:tc>
          <w:tcPr>
            <w:tcW w:w="2325" w:type="dxa"/>
            <w:shd w:val="clear" w:color="auto" w:fill="auto"/>
          </w:tcPr>
          <w:p w:rsidR="00E16243" w:rsidRPr="00D655C3" w:rsidRDefault="00E16243" w:rsidP="00E16243">
            <w:pPr>
              <w:keepNext/>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إجمالي المصروفات</w:t>
            </w:r>
          </w:p>
        </w:tc>
        <w:tc>
          <w:tcPr>
            <w:tcW w:w="992"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290,078</w:t>
            </w:r>
          </w:p>
        </w:tc>
        <w:tc>
          <w:tcPr>
            <w:tcW w:w="992"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7,777</w:t>
            </w:r>
          </w:p>
        </w:tc>
        <w:tc>
          <w:tcPr>
            <w:tcW w:w="1417"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14,818</w:t>
            </w:r>
          </w:p>
        </w:tc>
        <w:tc>
          <w:tcPr>
            <w:tcW w:w="1982"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8,613</w:t>
            </w:r>
          </w:p>
        </w:tc>
        <w:tc>
          <w:tcPr>
            <w:tcW w:w="992"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321,286</w:t>
            </w:r>
          </w:p>
        </w:tc>
        <w:tc>
          <w:tcPr>
            <w:tcW w:w="823" w:type="dxa"/>
            <w:tcBorders>
              <w:top w:val="single" w:sz="4" w:space="0" w:color="auto"/>
              <w:bottom w:val="single" w:sz="4" w:space="0" w:color="auto"/>
            </w:tcBorders>
            <w:shd w:val="clear" w:color="auto" w:fill="auto"/>
          </w:tcPr>
          <w:p w:rsidR="00E16243" w:rsidRPr="009A0100" w:rsidRDefault="00E16243" w:rsidP="00E16243">
            <w:pPr>
              <w:keepNext/>
              <w:bidi/>
              <w:spacing w:line="280" w:lineRule="exact"/>
              <w:rPr>
                <w:rFonts w:ascii="Arabic Typesetting" w:hAnsi="Arabic Typesetting" w:cs="Arabic Typesetting"/>
                <w:b/>
                <w:bCs/>
                <w:sz w:val="28"/>
                <w:szCs w:val="28"/>
                <w:u w:val="double"/>
                <w:rtl/>
              </w:rPr>
            </w:pPr>
            <w:r w:rsidRPr="009A0100">
              <w:rPr>
                <w:rFonts w:ascii="Arabic Typesetting" w:hAnsi="Arabic Typesetting" w:cs="Arabic Typesetting" w:hint="cs"/>
                <w:b/>
                <w:bCs/>
                <w:sz w:val="28"/>
                <w:szCs w:val="28"/>
                <w:u w:val="double"/>
                <w:rtl/>
              </w:rPr>
              <w:t>325,346</w:t>
            </w:r>
          </w:p>
        </w:tc>
      </w:tr>
    </w:tbl>
    <w:p w:rsidR="00E16243" w:rsidRDefault="00E16243" w:rsidP="00E16243">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تُقيد المصروفات في البرنامج والميزانية والحسابات الخاصة والمشاريع الممولة من الأموال الاحتياطية على أساس الاستحقاق المعدل، حيث تقيد المصروفات عندما تستلم السلع وتقدم الخدمات. ومع ذلك تدون، قبل تطبيق التسويات وفقا </w:t>
      </w:r>
      <w:r w:rsidRPr="00C30197">
        <w:rPr>
          <w:rFonts w:ascii="Arabic Typesetting" w:hAnsi="Arabic Typesetting" w:cs="Arabic Typesetting"/>
          <w:sz w:val="36"/>
          <w:szCs w:val="36"/>
          <w:rtl/>
        </w:rPr>
        <w:t>ل</w:t>
      </w:r>
      <w:r>
        <w:rPr>
          <w:rFonts w:ascii="Arabic Typesetting" w:hAnsi="Arabic Typesetting" w:cs="Arabic Typesetting" w:hint="cs"/>
          <w:sz w:val="36"/>
          <w:szCs w:val="36"/>
          <w:rtl/>
        </w:rPr>
        <w:t>ل</w:t>
      </w:r>
      <w:r w:rsidRPr="00C30197">
        <w:rPr>
          <w:rFonts w:ascii="Arabic Typesetting" w:hAnsi="Arabic Typesetting" w:cs="Arabic Typesetting"/>
          <w:sz w:val="36"/>
          <w:szCs w:val="36"/>
          <w:rtl/>
        </w:rPr>
        <w:t>م</w:t>
      </w:r>
      <w:r>
        <w:rPr>
          <w:rFonts w:ascii="Arabic Typesetting" w:hAnsi="Arabic Typesetting" w:cs="Arabic Typesetting"/>
          <w:sz w:val="36"/>
          <w:szCs w:val="36"/>
          <w:rtl/>
        </w:rPr>
        <w:t>عايير المحاسب</w:t>
      </w:r>
      <w:r>
        <w:rPr>
          <w:rFonts w:ascii="Arabic Typesetting" w:hAnsi="Arabic Typesetting" w:cs="Arabic Typesetting" w:hint="cs"/>
          <w:sz w:val="36"/>
          <w:szCs w:val="36"/>
          <w:rtl/>
        </w:rPr>
        <w:t>ي</w:t>
      </w:r>
      <w:r w:rsidRPr="00C30197">
        <w:rPr>
          <w:rFonts w:ascii="Arabic Typesetting" w:hAnsi="Arabic Typesetting" w:cs="Arabic Typesetting"/>
          <w:sz w:val="36"/>
          <w:szCs w:val="36"/>
          <w:rtl/>
        </w:rPr>
        <w:t>ة الدولية للقطاع العام</w:t>
      </w:r>
      <w:r>
        <w:rPr>
          <w:rFonts w:ascii="Arabic Typesetting" w:hAnsi="Arabic Typesetting" w:cs="Arabic Typesetting" w:hint="cs"/>
          <w:sz w:val="36"/>
          <w:szCs w:val="36"/>
          <w:rtl/>
        </w:rPr>
        <w:t>،</w:t>
      </w:r>
      <w:r w:rsidRPr="00C3019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تكاليف اقتناء المعدات والمصروفات المتعلقة بإعداد قوائم الموجودات والمصروفات المتعلقة بالبناء كمصروفات عندما تسدد، ولا تقيد مخصصات مستحقات الموظفين ما بعد الخدمة إلا في حدود ما تم تمويله. وعلاوة على ذلك، لا تقيد التغييرات في مخصصات القروض المشكوك فيها واهتلاك المعدات والمباني وإتاحة المعدات كمصروفات.</w:t>
      </w:r>
    </w:p>
    <w:p w:rsidR="00E16243" w:rsidRDefault="00E16243" w:rsidP="00E16243">
      <w:pPr>
        <w:bidi/>
        <w:spacing w:after="240" w:line="360" w:lineRule="exact"/>
        <w:rPr>
          <w:rFonts w:ascii="Arabic Typesetting" w:hAnsi="Arabic Typesetting" w:cs="Arabic Typesetting"/>
          <w:sz w:val="36"/>
          <w:szCs w:val="36"/>
          <w:rtl/>
        </w:rPr>
      </w:pPr>
      <w:r w:rsidRPr="00566670">
        <w:rPr>
          <w:rFonts w:ascii="Arabic Typesetting" w:hAnsi="Arabic Typesetting" w:cs="Arabic Typesetting" w:hint="cs"/>
          <w:sz w:val="36"/>
          <w:szCs w:val="36"/>
          <w:rtl/>
        </w:rPr>
        <w:t>وتشمل نفقات الموظفين</w:t>
      </w:r>
      <w:r>
        <w:rPr>
          <w:rFonts w:ascii="Arabic Typesetting" w:hAnsi="Arabic Typesetting" w:cs="Arabic Typesetting" w:hint="cs"/>
          <w:sz w:val="36"/>
          <w:szCs w:val="36"/>
          <w:rtl/>
        </w:rPr>
        <w:t xml:space="preserve"> مستحقات الموظفين المؤقتين مثل الراتب الأساسي وتسوية المقر وبدل الإعالة والمساهمة في صندوق المعاشات التقاعدية وعطلة زيارة الوطن وغير ذلك من مستحقات الموظفين الدائمين والمؤقتين والخبراء الاستشاريين. ويشمل المبلغ المبين تحت عنوان التسويات بناء على المعايير المحاسبية الدولية للقطاع العام التغييرات الرئيسية في مخصصات الالتزامات المتعلقة باستحقاقات الموظفين (7,3 مليون فرنك سويسري)، كما يشمل تحويلات الأعمال الجارية في إطار خدمات الخبراء الاستشاريين المتعلقة بمشروعات البناء والتكاليف المرتبطة بقائمة موجودات المنشورات.</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وتشمل مصاريف السفر تكاليف تذكرة السفر جوا، وبدل الإقامة اليومي و</w:t>
      </w:r>
      <w:r w:rsidRPr="00FD4172">
        <w:rPr>
          <w:rFonts w:ascii="Arabic Typesetting" w:hAnsi="Arabic Typesetting" w:cs="Arabic Typesetting"/>
          <w:sz w:val="36"/>
          <w:szCs w:val="36"/>
          <w:rtl/>
        </w:rPr>
        <w:t>مصروفات محطات السفر والوصول</w:t>
      </w:r>
      <w:r>
        <w:rPr>
          <w:rFonts w:ascii="Arabic Typesetting" w:hAnsi="Arabic Typesetting" w:cs="Arabic Typesetting" w:hint="cs"/>
          <w:sz w:val="36"/>
          <w:szCs w:val="36"/>
          <w:rtl/>
        </w:rPr>
        <w:t xml:space="preserve"> وغير ذلك من </w:t>
      </w:r>
      <w:r w:rsidRPr="00725DAD">
        <w:rPr>
          <w:rFonts w:ascii="Arabic Typesetting" w:hAnsi="Arabic Typesetting" w:cs="Arabic Typesetting" w:hint="cs"/>
          <w:sz w:val="36"/>
          <w:szCs w:val="36"/>
          <w:rtl/>
        </w:rPr>
        <w:t>تكاليف السفر</w:t>
      </w:r>
      <w:r>
        <w:rPr>
          <w:rFonts w:ascii="Arabic Typesetting" w:hAnsi="Arabic Typesetting" w:cs="Arabic Typesetting" w:hint="cs"/>
          <w:sz w:val="36"/>
          <w:szCs w:val="36"/>
          <w:rtl/>
        </w:rPr>
        <w:t xml:space="preserve"> لفائدة موظف يسافر في مهمة رسمية وتكاليف سفر المشاركين والمحاضرين والمنتفعين بالمنح الدراسية فيما يتعلق بالأنشطة التدريبية. وتشمل الخدمات التعاقدية اتفاقات مبرمة مع المترجمين والمترجمين الفوريين وغيرهم من الموظفين أو الخبراء الاستشاريين. وتشمل المصروفات التشغيلية بنودا مثل إيجار المباني والصيانة والمرافق وأتعاب المصارف وتكاليف</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الاتصالات.</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وتوضع تكاليف اهتلاك المباني (6,3 مليون فرنك سويسري) والأصول غير الملموسة (0,5 مليون فرنك سويسري) والمعدات (1,3 مليون فرنك سويسري) تحت باب التسويات بناء على المعايير المحاسبية الدولية للقطاع العام. </w:t>
      </w:r>
      <w:r w:rsidRPr="00BC4266">
        <w:rPr>
          <w:rFonts w:ascii="Arabic Typesetting" w:hAnsi="Arabic Typesetting" w:cs="Arabic Typesetting" w:hint="cs"/>
          <w:sz w:val="36"/>
          <w:szCs w:val="36"/>
          <w:rtl/>
        </w:rPr>
        <w:t>وعلاوة على ذلك</w:t>
      </w:r>
      <w:r>
        <w:rPr>
          <w:rFonts w:ascii="Arabic Typesetting" w:hAnsi="Arabic Typesetting" w:cs="Arabic Typesetting" w:hint="cs"/>
          <w:sz w:val="36"/>
          <w:szCs w:val="36"/>
          <w:rtl/>
        </w:rPr>
        <w:t xml:space="preserve"> فإن تحويل تكاليف البناء والإضافات إلى المباني (5,9 مليون فرنك سويسري) إلى أصول ثابتة مدرج أيضا في التسويات بناء على المعايير المحاسبية الدولية للقطاع العام.</w:t>
      </w:r>
    </w:p>
    <w:p w:rsidR="00E16243" w:rsidRPr="002869C3" w:rsidRDefault="00E16243" w:rsidP="002869C3">
      <w:pPr>
        <w:pStyle w:val="Heading2"/>
        <w:bidi/>
        <w:rPr>
          <w:rFonts w:ascii="Arabic Typesetting" w:hAnsi="Arabic Typesetting" w:cs="Arabic Typesetting"/>
          <w:i/>
          <w:iCs w:val="0"/>
          <w:sz w:val="40"/>
          <w:szCs w:val="40"/>
          <w:rtl/>
        </w:rPr>
      </w:pPr>
      <w:bookmarkStart w:id="40" w:name="_Toc362519123"/>
      <w:r w:rsidRPr="002869C3">
        <w:rPr>
          <w:rFonts w:ascii="Arabic Typesetting" w:hAnsi="Arabic Typesetting" w:cs="Arabic Typesetting" w:hint="cs"/>
          <w:i/>
          <w:iCs w:val="0"/>
          <w:sz w:val="40"/>
          <w:szCs w:val="40"/>
          <w:rtl/>
        </w:rPr>
        <w:t>الملاحظة 25: مكاسب وخسائر متعلقة بسعر صرف العملات</w:t>
      </w:r>
      <w:bookmarkEnd w:id="40"/>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تحقق المنظمة أرباحا وتتكبد خسائر تتعلق بسعر صرف العملات على معاملات حسابات دائنة وحسابات مدينة بعملات أخرى غير الفرنك السويسري استنادا إلى معدل سعر الصرف المطبق في تاريخ المعاملات. وتتحقق أرباح وخسائر تتعلق بسعر صرف العملات أيضا من الرسوم الدولية ورسم المناولة في إطار معاهدة التعاون بشأن البراءات عندما تحصلها المنظمة </w:t>
      </w:r>
      <w:r>
        <w:rPr>
          <w:rFonts w:ascii="Arabic Typesetting" w:hAnsi="Arabic Typesetting" w:cs="Arabic Typesetting" w:hint="cs"/>
          <w:sz w:val="36"/>
          <w:szCs w:val="36"/>
          <w:rtl/>
        </w:rPr>
        <w:lastRenderedPageBreak/>
        <w:t xml:space="preserve">بعملات أخرى غير الفرنك السويسري، ومن المبالغ المدفوعة إلى </w:t>
      </w:r>
      <w:r w:rsidRPr="00A11649">
        <w:rPr>
          <w:rFonts w:ascii="Arabic Typesetting" w:hAnsi="Arabic Typesetting" w:cs="Arabic Typesetting"/>
          <w:sz w:val="36"/>
          <w:szCs w:val="36"/>
          <w:rtl/>
        </w:rPr>
        <w:t>إدارات البحث الدولي بناء على معاهدة</w:t>
      </w:r>
      <w:r>
        <w:rPr>
          <w:rFonts w:ascii="Arabic Typesetting" w:hAnsi="Arabic Typesetting" w:cs="Arabic Typesetting" w:hint="cs"/>
          <w:sz w:val="36"/>
          <w:szCs w:val="36"/>
          <w:rtl/>
        </w:rPr>
        <w:t xml:space="preserve"> التعاون بشأن البراءات والتي تقدر قيمتها بعملة هذه الإدارات ولكن الويبو تحصلها بالفرنك السويسري أو يحصلها </w:t>
      </w:r>
      <w:r w:rsidRPr="0058172F">
        <w:rPr>
          <w:rFonts w:ascii="Arabic Typesetting" w:hAnsi="Arabic Typesetting" w:cs="Arabic Typesetting"/>
          <w:sz w:val="36"/>
          <w:szCs w:val="36"/>
          <w:rtl/>
        </w:rPr>
        <w:t>مكتب تسلم الطلبات الوطني</w:t>
      </w:r>
      <w:r>
        <w:rPr>
          <w:rFonts w:ascii="Arabic Typesetting" w:hAnsi="Arabic Typesetting" w:cs="Arabic Typesetting" w:hint="cs"/>
          <w:sz w:val="36"/>
          <w:szCs w:val="36"/>
          <w:rtl/>
        </w:rPr>
        <w:t xml:space="preserve"> بالعملة المحلية. وإضافة إلى ذلك، تقيد في البيانات المالية الأرباح والخسائر غير المحققة المتعلقة بإعادة تقييم حسابات البنوك وغير ذلك من الأصول النقدية والخصوم بالفرنك السويسري بسعر الصرف المطبق في تاريخ تقديم التقرير. ويقيد الأثر الصافي لجميع الأرباح والخسائر البالغة 6,6 مليون فرنك سويسري والمتعلقة بسعر الصرف بوصفه جزءا من الإيرادات في بيان الأداء المالي، بصورة رئيسية في سطور رسوم معاهدة التعاون بشأن البراءات (7,5 مليون فرنك سويسري) والإيرادات الأخرى/النثرية (-0,9 مليون فرنك سويسري).</w:t>
      </w:r>
    </w:p>
    <w:tbl>
      <w:tblPr>
        <w:bidiVisual/>
        <w:tblW w:w="0" w:type="auto"/>
        <w:jc w:val="center"/>
        <w:tblLook w:val="04A0" w:firstRow="1" w:lastRow="0" w:firstColumn="1" w:lastColumn="0" w:noHBand="0" w:noVBand="1"/>
      </w:tblPr>
      <w:tblGrid>
        <w:gridCol w:w="4214"/>
        <w:gridCol w:w="1988"/>
        <w:gridCol w:w="1846"/>
        <w:gridCol w:w="1523"/>
      </w:tblGrid>
      <w:tr w:rsidR="00E16243" w:rsidRPr="00D655C3" w:rsidTr="00E16243">
        <w:trPr>
          <w:jc w:val="center"/>
        </w:trPr>
        <w:tc>
          <w:tcPr>
            <w:tcW w:w="4211" w:type="dxa"/>
            <w:shd w:val="clear" w:color="auto" w:fill="auto"/>
          </w:tcPr>
          <w:p w:rsidR="00E16243" w:rsidRPr="007513ED" w:rsidRDefault="00E16243" w:rsidP="00E16243">
            <w:pPr>
              <w:bidi/>
              <w:spacing w:line="280" w:lineRule="exact"/>
              <w:rPr>
                <w:rFonts w:ascii="Arabic Typesetting" w:hAnsi="Arabic Typesetting" w:cs="Arabic Typesetting"/>
                <w:b/>
                <w:bCs/>
                <w:sz w:val="28"/>
                <w:szCs w:val="28"/>
                <w:rtl/>
              </w:rPr>
            </w:pPr>
          </w:p>
        </w:tc>
        <w:tc>
          <w:tcPr>
            <w:tcW w:w="1989" w:type="dxa"/>
            <w:tcBorders>
              <w:top w:val="single" w:sz="4" w:space="0" w:color="auto"/>
              <w:bottom w:val="single" w:sz="4" w:space="0" w:color="auto"/>
            </w:tcBorders>
            <w:shd w:val="clear" w:color="auto" w:fill="auto"/>
            <w:vAlign w:val="bottom"/>
          </w:tcPr>
          <w:p w:rsidR="00E16243" w:rsidRPr="007513ED" w:rsidRDefault="00E16243" w:rsidP="00E16243">
            <w:pPr>
              <w:bidi/>
              <w:spacing w:line="280" w:lineRule="exact"/>
              <w:jc w:val="center"/>
              <w:rPr>
                <w:rFonts w:ascii="Arabic Typesetting" w:hAnsi="Arabic Typesetting" w:cs="Arabic Typesetting"/>
                <w:b/>
                <w:bCs/>
                <w:sz w:val="28"/>
                <w:szCs w:val="28"/>
                <w:rtl/>
              </w:rPr>
            </w:pPr>
            <w:r w:rsidRPr="007513ED">
              <w:rPr>
                <w:rFonts w:ascii="Arabic Typesetting" w:hAnsi="Arabic Typesetting" w:cs="Arabic Typesetting" w:hint="cs"/>
                <w:b/>
                <w:bCs/>
                <w:sz w:val="28"/>
                <w:szCs w:val="28"/>
                <w:rtl/>
              </w:rPr>
              <w:t>المكاسب</w:t>
            </w:r>
          </w:p>
        </w:tc>
        <w:tc>
          <w:tcPr>
            <w:tcW w:w="1847" w:type="dxa"/>
            <w:tcBorders>
              <w:top w:val="single" w:sz="4" w:space="0" w:color="auto"/>
              <w:bottom w:val="single" w:sz="4" w:space="0" w:color="auto"/>
            </w:tcBorders>
            <w:shd w:val="clear" w:color="auto" w:fill="auto"/>
            <w:vAlign w:val="center"/>
          </w:tcPr>
          <w:p w:rsidR="00E16243" w:rsidRPr="007513ED" w:rsidRDefault="00E16243" w:rsidP="00E16243">
            <w:pPr>
              <w:bidi/>
              <w:spacing w:line="280" w:lineRule="exact"/>
              <w:jc w:val="center"/>
              <w:rPr>
                <w:rFonts w:ascii="Arabic Typesetting" w:hAnsi="Arabic Typesetting" w:cs="Arabic Typesetting"/>
                <w:b/>
                <w:bCs/>
                <w:sz w:val="28"/>
                <w:szCs w:val="28"/>
                <w:rtl/>
              </w:rPr>
            </w:pPr>
            <w:r w:rsidRPr="007513ED">
              <w:rPr>
                <w:rFonts w:ascii="Arabic Typesetting" w:hAnsi="Arabic Typesetting" w:cs="Arabic Typesetting" w:hint="cs"/>
                <w:b/>
                <w:bCs/>
                <w:sz w:val="28"/>
                <w:szCs w:val="28"/>
                <w:rtl/>
              </w:rPr>
              <w:t>الخسائر</w:t>
            </w:r>
          </w:p>
        </w:tc>
        <w:tc>
          <w:tcPr>
            <w:tcW w:w="1524" w:type="dxa"/>
            <w:tcBorders>
              <w:top w:val="single" w:sz="4" w:space="0" w:color="auto"/>
              <w:bottom w:val="single" w:sz="4" w:space="0" w:color="auto"/>
            </w:tcBorders>
            <w:shd w:val="clear" w:color="auto" w:fill="auto"/>
            <w:vAlign w:val="center"/>
          </w:tcPr>
          <w:p w:rsidR="00E16243" w:rsidRPr="007513ED" w:rsidRDefault="00E16243" w:rsidP="00E16243">
            <w:pPr>
              <w:bidi/>
              <w:spacing w:line="280" w:lineRule="exact"/>
              <w:jc w:val="center"/>
              <w:rPr>
                <w:rFonts w:ascii="Arabic Typesetting" w:hAnsi="Arabic Typesetting" w:cs="Arabic Typesetting"/>
                <w:b/>
                <w:bCs/>
                <w:sz w:val="28"/>
                <w:szCs w:val="28"/>
                <w:rtl/>
              </w:rPr>
            </w:pPr>
            <w:r w:rsidRPr="007513ED">
              <w:rPr>
                <w:rFonts w:ascii="Arabic Typesetting" w:hAnsi="Arabic Typesetting" w:cs="Arabic Typesetting" w:hint="cs"/>
                <w:b/>
                <w:bCs/>
                <w:sz w:val="28"/>
                <w:szCs w:val="28"/>
                <w:rtl/>
              </w:rPr>
              <w:t>الأثر الصافي 2012</w:t>
            </w:r>
          </w:p>
        </w:tc>
      </w:tr>
      <w:tr w:rsidR="00E16243" w:rsidRPr="00D655C3" w:rsidTr="00E16243">
        <w:trPr>
          <w:jc w:val="center"/>
        </w:trPr>
        <w:tc>
          <w:tcPr>
            <w:tcW w:w="9571" w:type="dxa"/>
            <w:gridSpan w:val="4"/>
            <w:shd w:val="clear" w:color="auto" w:fill="auto"/>
          </w:tcPr>
          <w:p w:rsidR="00E16243" w:rsidRPr="00D655C3" w:rsidRDefault="00E16243" w:rsidP="00E16243">
            <w:pPr>
              <w:bidi/>
              <w:spacing w:line="280" w:lineRule="exact"/>
              <w:jc w:val="center"/>
              <w:rPr>
                <w:rFonts w:ascii="Arabic Typesetting" w:hAnsi="Arabic Typesetting" w:cs="Arabic Typesetting"/>
                <w:sz w:val="28"/>
                <w:szCs w:val="28"/>
                <w:rtl/>
              </w:rPr>
            </w:pPr>
            <w:r>
              <w:rPr>
                <w:rFonts w:ascii="Arabic Typesetting" w:hAnsi="Arabic Typesetting" w:cs="Arabic Typesetting" w:hint="cs"/>
                <w:sz w:val="28"/>
                <w:szCs w:val="28"/>
                <w:rtl/>
              </w:rPr>
              <w:t xml:space="preserve">                                                                   </w:t>
            </w:r>
            <w:r w:rsidRPr="00D655C3">
              <w:rPr>
                <w:rFonts w:ascii="Arabic Typesetting" w:hAnsi="Arabic Typesetting" w:cs="Arabic Typesetting" w:hint="cs"/>
                <w:sz w:val="28"/>
                <w:szCs w:val="28"/>
                <w:rtl/>
              </w:rPr>
              <w:t>(بآلاف الفرنكات السويسرية)</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حسابات دائنة</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298</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972-</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674-</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حسابات مدينة</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296</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153-</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143</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 xml:space="preserve">الرسوم المحصلة </w:t>
            </w:r>
            <w:r>
              <w:rPr>
                <w:rFonts w:ascii="Arabic Typesetting" w:hAnsi="Arabic Typesetting" w:cs="Arabic Typesetting" w:hint="cs"/>
                <w:sz w:val="28"/>
                <w:szCs w:val="28"/>
                <w:rtl/>
              </w:rPr>
              <w:t>ل</w:t>
            </w:r>
            <w:r w:rsidRPr="00D655C3">
              <w:rPr>
                <w:rFonts w:ascii="Arabic Typesetting" w:hAnsi="Arabic Typesetting" w:cs="Arabic Typesetting" w:hint="cs"/>
                <w:sz w:val="28"/>
                <w:szCs w:val="28"/>
                <w:rtl/>
              </w:rPr>
              <w:t xml:space="preserve">معاهدة التعاون بشأن البراءات </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609</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79-</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530</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إدارة البحث الدولي بناء على معاهدة التعاون بشأن البراءات</w:t>
            </w:r>
          </w:p>
        </w:tc>
        <w:tc>
          <w:tcPr>
            <w:tcW w:w="1984"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63</w:t>
            </w:r>
          </w:p>
        </w:tc>
        <w:tc>
          <w:tcPr>
            <w:tcW w:w="1847"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268-</w:t>
            </w:r>
          </w:p>
        </w:tc>
        <w:tc>
          <w:tcPr>
            <w:tcW w:w="1524"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205-</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b/>
                <w:bCs/>
                <w:sz w:val="28"/>
                <w:szCs w:val="28"/>
                <w:rtl/>
              </w:rPr>
            </w:pPr>
            <w:r>
              <w:rPr>
                <w:rFonts w:ascii="Arabic Typesetting" w:hAnsi="Arabic Typesetting" w:cs="Arabic Typesetting" w:hint="cs"/>
                <w:b/>
                <w:bCs/>
                <w:sz w:val="28"/>
                <w:szCs w:val="28"/>
                <w:rtl/>
              </w:rPr>
              <w:t>مجموع</w:t>
            </w:r>
            <w:r w:rsidRPr="00D655C3">
              <w:rPr>
                <w:rFonts w:ascii="Arabic Typesetting" w:hAnsi="Arabic Typesetting" w:cs="Arabic Typesetting" w:hint="cs"/>
                <w:b/>
                <w:bCs/>
                <w:sz w:val="28"/>
                <w:szCs w:val="28"/>
                <w:rtl/>
              </w:rPr>
              <w:t xml:space="preserve"> المكاسب / (خسائر ) المحققة</w:t>
            </w:r>
          </w:p>
        </w:tc>
        <w:tc>
          <w:tcPr>
            <w:tcW w:w="1984" w:type="dxa"/>
            <w:tcBorders>
              <w:top w:val="single" w:sz="4" w:space="0" w:color="auto"/>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9</w:t>
            </w:r>
            <w:r>
              <w:rPr>
                <w:rFonts w:ascii="Arabic Typesetting" w:hAnsi="Arabic Typesetting" w:cs="Arabic Typesetting" w:hint="cs"/>
                <w:b/>
                <w:bCs/>
                <w:sz w:val="28"/>
                <w:szCs w:val="28"/>
                <w:rtl/>
              </w:rPr>
              <w:t>,</w:t>
            </w:r>
            <w:r w:rsidRPr="00D655C3">
              <w:rPr>
                <w:rFonts w:ascii="Arabic Typesetting" w:hAnsi="Arabic Typesetting" w:cs="Arabic Typesetting" w:hint="cs"/>
                <w:b/>
                <w:bCs/>
                <w:sz w:val="28"/>
                <w:szCs w:val="28"/>
                <w:rtl/>
              </w:rPr>
              <w:t>266</w:t>
            </w:r>
          </w:p>
        </w:tc>
        <w:tc>
          <w:tcPr>
            <w:tcW w:w="1847" w:type="dxa"/>
            <w:tcBorders>
              <w:top w:val="single" w:sz="4" w:space="0" w:color="auto"/>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2</w:t>
            </w:r>
            <w:r>
              <w:rPr>
                <w:rFonts w:ascii="Arabic Typesetting" w:hAnsi="Arabic Typesetting" w:cs="Arabic Typesetting" w:hint="cs"/>
                <w:b/>
                <w:bCs/>
                <w:sz w:val="28"/>
                <w:szCs w:val="28"/>
                <w:rtl/>
              </w:rPr>
              <w:t>,</w:t>
            </w:r>
            <w:r w:rsidRPr="00D655C3">
              <w:rPr>
                <w:rFonts w:ascii="Arabic Typesetting" w:hAnsi="Arabic Typesetting" w:cs="Arabic Typesetting" w:hint="cs"/>
                <w:b/>
                <w:bCs/>
                <w:sz w:val="28"/>
                <w:szCs w:val="28"/>
                <w:rtl/>
              </w:rPr>
              <w:t>472-</w:t>
            </w:r>
          </w:p>
        </w:tc>
        <w:tc>
          <w:tcPr>
            <w:tcW w:w="1524" w:type="dxa"/>
            <w:tcBorders>
              <w:top w:val="single" w:sz="4" w:space="0" w:color="auto"/>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b/>
                <w:bCs/>
                <w:sz w:val="28"/>
                <w:szCs w:val="28"/>
                <w:rtl/>
              </w:rPr>
            </w:pPr>
            <w:r w:rsidRPr="00D655C3">
              <w:rPr>
                <w:rFonts w:ascii="Arabic Typesetting" w:hAnsi="Arabic Typesetting" w:cs="Arabic Typesetting" w:hint="cs"/>
                <w:b/>
                <w:bCs/>
                <w:sz w:val="28"/>
                <w:szCs w:val="28"/>
                <w:rtl/>
              </w:rPr>
              <w:t>6</w:t>
            </w:r>
            <w:r>
              <w:rPr>
                <w:rFonts w:ascii="Arabic Typesetting" w:hAnsi="Arabic Typesetting" w:cs="Arabic Typesetting" w:hint="cs"/>
                <w:b/>
                <w:bCs/>
                <w:sz w:val="28"/>
                <w:szCs w:val="28"/>
                <w:rtl/>
              </w:rPr>
              <w:t>,</w:t>
            </w:r>
            <w:r w:rsidRPr="00D655C3">
              <w:rPr>
                <w:rFonts w:ascii="Arabic Typesetting" w:hAnsi="Arabic Typesetting" w:cs="Arabic Typesetting" w:hint="cs"/>
                <w:b/>
                <w:bCs/>
                <w:sz w:val="28"/>
                <w:szCs w:val="28"/>
                <w:rtl/>
              </w:rPr>
              <w:t>794</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 xml:space="preserve">الحسابات البنكية </w:t>
            </w:r>
          </w:p>
        </w:tc>
        <w:tc>
          <w:tcPr>
            <w:tcW w:w="1984" w:type="dxa"/>
            <w:tcBorders>
              <w:top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711</w:t>
            </w:r>
          </w:p>
        </w:tc>
        <w:tc>
          <w:tcPr>
            <w:tcW w:w="1847" w:type="dxa"/>
            <w:tcBorders>
              <w:top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878-</w:t>
            </w:r>
          </w:p>
        </w:tc>
        <w:tc>
          <w:tcPr>
            <w:tcW w:w="1524" w:type="dxa"/>
            <w:tcBorders>
              <w:top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167-</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حساب خاص- حسابات بنكية</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97</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111-</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14-</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حسابات معاهدة التعاون بشأن البراءات لدى البنوك</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212</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210-</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حسابات التحكيم والوساطة لدى البنوك</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109</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137-</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28-</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الحسابات الجارية لمعاهدة التعاون بشأن البراءات</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109</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76-</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33</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 xml:space="preserve">أصول وخصوم أخرى للتحكيم والوساطة </w:t>
            </w:r>
          </w:p>
        </w:tc>
        <w:tc>
          <w:tcPr>
            <w:tcW w:w="198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157</w:t>
            </w:r>
          </w:p>
        </w:tc>
        <w:tc>
          <w:tcPr>
            <w:tcW w:w="1847"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155-</w:t>
            </w:r>
          </w:p>
        </w:tc>
        <w:tc>
          <w:tcPr>
            <w:tcW w:w="1524"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2</w:t>
            </w:r>
          </w:p>
        </w:tc>
      </w:tr>
      <w:tr w:rsidR="00E16243" w:rsidRPr="00D655C3" w:rsidTr="00E16243">
        <w:trPr>
          <w:jc w:val="center"/>
        </w:trPr>
        <w:tc>
          <w:tcPr>
            <w:tcW w:w="4216" w:type="dxa"/>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أصول وخصوم أخرى</w:t>
            </w:r>
          </w:p>
        </w:tc>
        <w:tc>
          <w:tcPr>
            <w:tcW w:w="1984"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793</w:t>
            </w:r>
          </w:p>
        </w:tc>
        <w:tc>
          <w:tcPr>
            <w:tcW w:w="1847"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w:t>
            </w:r>
            <w:r>
              <w:rPr>
                <w:rFonts w:ascii="Arabic Typesetting" w:hAnsi="Arabic Typesetting" w:cs="Arabic Typesetting" w:hint="cs"/>
                <w:sz w:val="28"/>
                <w:szCs w:val="28"/>
                <w:rtl/>
              </w:rPr>
              <w:t>,</w:t>
            </w:r>
            <w:r w:rsidRPr="00D655C3">
              <w:rPr>
                <w:rFonts w:ascii="Arabic Typesetting" w:hAnsi="Arabic Typesetting" w:cs="Arabic Typesetting" w:hint="cs"/>
                <w:sz w:val="28"/>
                <w:szCs w:val="28"/>
                <w:rtl/>
              </w:rPr>
              <w:t>812-</w:t>
            </w:r>
          </w:p>
        </w:tc>
        <w:tc>
          <w:tcPr>
            <w:tcW w:w="1524" w:type="dxa"/>
            <w:tcBorders>
              <w:bottom w:val="single" w:sz="4" w:space="0" w:color="auto"/>
            </w:tcBorders>
            <w:shd w:val="clear" w:color="auto" w:fill="auto"/>
          </w:tcPr>
          <w:p w:rsidR="00E16243" w:rsidRPr="00D655C3" w:rsidRDefault="00E16243" w:rsidP="00E16243">
            <w:pPr>
              <w:bidi/>
              <w:spacing w:line="280" w:lineRule="exact"/>
              <w:rPr>
                <w:rFonts w:ascii="Arabic Typesetting" w:hAnsi="Arabic Typesetting" w:cs="Arabic Typesetting"/>
                <w:sz w:val="28"/>
                <w:szCs w:val="28"/>
                <w:rtl/>
              </w:rPr>
            </w:pPr>
            <w:r w:rsidRPr="00D655C3">
              <w:rPr>
                <w:rFonts w:ascii="Arabic Typesetting" w:hAnsi="Arabic Typesetting" w:cs="Arabic Typesetting" w:hint="cs"/>
                <w:sz w:val="28"/>
                <w:szCs w:val="28"/>
                <w:rtl/>
              </w:rPr>
              <w:t>19-</w:t>
            </w:r>
          </w:p>
        </w:tc>
      </w:tr>
      <w:tr w:rsidR="00E16243" w:rsidRPr="00D655C3" w:rsidTr="00E16243">
        <w:trPr>
          <w:jc w:val="center"/>
        </w:trPr>
        <w:tc>
          <w:tcPr>
            <w:tcW w:w="4216" w:type="dxa"/>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r w:rsidRPr="00563928">
              <w:rPr>
                <w:rFonts w:ascii="Arabic Typesetting" w:hAnsi="Arabic Typesetting" w:cs="Arabic Typesetting" w:hint="cs"/>
                <w:b/>
                <w:bCs/>
                <w:sz w:val="28"/>
                <w:szCs w:val="28"/>
                <w:rtl/>
              </w:rPr>
              <w:t>مجموع المكاسب (الخسائر) غير المحققة</w:t>
            </w:r>
          </w:p>
        </w:tc>
        <w:tc>
          <w:tcPr>
            <w:tcW w:w="1984" w:type="dxa"/>
            <w:tcBorders>
              <w:top w:val="single" w:sz="4" w:space="0" w:color="auto"/>
              <w:bottom w:val="single" w:sz="4" w:space="0" w:color="auto"/>
            </w:tcBorders>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r>
              <w:rPr>
                <w:rFonts w:ascii="Arabic Typesetting" w:hAnsi="Arabic Typesetting" w:cs="Arabic Typesetting" w:hint="cs"/>
                <w:b/>
                <w:bCs/>
                <w:sz w:val="28"/>
                <w:szCs w:val="28"/>
                <w:rtl/>
              </w:rPr>
              <w:t>3,188</w:t>
            </w:r>
          </w:p>
        </w:tc>
        <w:tc>
          <w:tcPr>
            <w:tcW w:w="1847" w:type="dxa"/>
            <w:tcBorders>
              <w:top w:val="single" w:sz="4" w:space="0" w:color="auto"/>
              <w:bottom w:val="single" w:sz="4" w:space="0" w:color="auto"/>
            </w:tcBorders>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r>
              <w:rPr>
                <w:rFonts w:ascii="Arabic Typesetting" w:hAnsi="Arabic Typesetting" w:cs="Arabic Typesetting" w:hint="cs"/>
                <w:b/>
                <w:bCs/>
                <w:sz w:val="28"/>
                <w:szCs w:val="28"/>
                <w:rtl/>
              </w:rPr>
              <w:t>3,379-</w:t>
            </w:r>
          </w:p>
        </w:tc>
        <w:tc>
          <w:tcPr>
            <w:tcW w:w="1524" w:type="dxa"/>
            <w:tcBorders>
              <w:top w:val="single" w:sz="4" w:space="0" w:color="auto"/>
              <w:bottom w:val="single" w:sz="4" w:space="0" w:color="auto"/>
            </w:tcBorders>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r>
              <w:rPr>
                <w:rFonts w:ascii="Arabic Typesetting" w:hAnsi="Arabic Typesetting" w:cs="Arabic Typesetting" w:hint="cs"/>
                <w:b/>
                <w:bCs/>
                <w:sz w:val="28"/>
                <w:szCs w:val="28"/>
                <w:rtl/>
              </w:rPr>
              <w:t>191-</w:t>
            </w:r>
          </w:p>
        </w:tc>
      </w:tr>
      <w:tr w:rsidR="00E16243" w:rsidRPr="00D655C3" w:rsidTr="00E16243">
        <w:trPr>
          <w:jc w:val="center"/>
        </w:trPr>
        <w:tc>
          <w:tcPr>
            <w:tcW w:w="4216" w:type="dxa"/>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p>
        </w:tc>
        <w:tc>
          <w:tcPr>
            <w:tcW w:w="1984" w:type="dxa"/>
            <w:tcBorders>
              <w:top w:val="single" w:sz="4" w:space="0" w:color="auto"/>
              <w:bottom w:val="single" w:sz="4" w:space="0" w:color="auto"/>
            </w:tcBorders>
            <w:shd w:val="clear" w:color="auto" w:fill="auto"/>
          </w:tcPr>
          <w:p w:rsidR="00E16243" w:rsidRDefault="00E16243" w:rsidP="00E16243">
            <w:pPr>
              <w:bidi/>
              <w:spacing w:line="280" w:lineRule="exact"/>
              <w:rPr>
                <w:rFonts w:ascii="Arabic Typesetting" w:hAnsi="Arabic Typesetting" w:cs="Arabic Typesetting"/>
                <w:b/>
                <w:bCs/>
                <w:sz w:val="28"/>
                <w:szCs w:val="28"/>
                <w:rtl/>
              </w:rPr>
            </w:pPr>
          </w:p>
        </w:tc>
        <w:tc>
          <w:tcPr>
            <w:tcW w:w="1847" w:type="dxa"/>
            <w:tcBorders>
              <w:top w:val="single" w:sz="4" w:space="0" w:color="auto"/>
              <w:bottom w:val="single" w:sz="4" w:space="0" w:color="auto"/>
            </w:tcBorders>
            <w:shd w:val="clear" w:color="auto" w:fill="auto"/>
          </w:tcPr>
          <w:p w:rsidR="00E16243" w:rsidRDefault="00E16243" w:rsidP="00E16243">
            <w:pPr>
              <w:bidi/>
              <w:spacing w:line="280" w:lineRule="exact"/>
              <w:rPr>
                <w:rFonts w:ascii="Arabic Typesetting" w:hAnsi="Arabic Typesetting" w:cs="Arabic Typesetting"/>
                <w:b/>
                <w:bCs/>
                <w:sz w:val="28"/>
                <w:szCs w:val="28"/>
                <w:rtl/>
              </w:rPr>
            </w:pPr>
          </w:p>
        </w:tc>
        <w:tc>
          <w:tcPr>
            <w:tcW w:w="1524" w:type="dxa"/>
            <w:tcBorders>
              <w:top w:val="single" w:sz="4" w:space="0" w:color="auto"/>
              <w:bottom w:val="single" w:sz="4" w:space="0" w:color="auto"/>
            </w:tcBorders>
            <w:shd w:val="clear" w:color="auto" w:fill="auto"/>
          </w:tcPr>
          <w:p w:rsidR="00E16243" w:rsidRDefault="00E16243" w:rsidP="00E16243">
            <w:pPr>
              <w:bidi/>
              <w:spacing w:line="280" w:lineRule="exact"/>
              <w:rPr>
                <w:rFonts w:ascii="Arabic Typesetting" w:hAnsi="Arabic Typesetting" w:cs="Arabic Typesetting"/>
                <w:b/>
                <w:bCs/>
                <w:sz w:val="28"/>
                <w:szCs w:val="28"/>
                <w:rtl/>
              </w:rPr>
            </w:pPr>
          </w:p>
        </w:tc>
      </w:tr>
      <w:tr w:rsidR="00E16243" w:rsidRPr="00D655C3" w:rsidTr="00E16243">
        <w:trPr>
          <w:jc w:val="center"/>
        </w:trPr>
        <w:tc>
          <w:tcPr>
            <w:tcW w:w="4216" w:type="dxa"/>
            <w:shd w:val="clear" w:color="auto" w:fill="auto"/>
          </w:tcPr>
          <w:p w:rsidR="00E16243" w:rsidRPr="00563928" w:rsidRDefault="00E16243" w:rsidP="00E16243">
            <w:pPr>
              <w:bidi/>
              <w:spacing w:line="280" w:lineRule="exact"/>
              <w:rPr>
                <w:rFonts w:ascii="Arabic Typesetting" w:hAnsi="Arabic Typesetting" w:cs="Arabic Typesetting"/>
                <w:b/>
                <w:bCs/>
                <w:sz w:val="28"/>
                <w:szCs w:val="28"/>
                <w:rtl/>
              </w:rPr>
            </w:pPr>
            <w:r>
              <w:rPr>
                <w:rFonts w:ascii="Arabic Typesetting" w:hAnsi="Arabic Typesetting" w:cs="Arabic Typesetting" w:hint="cs"/>
                <w:b/>
                <w:bCs/>
                <w:sz w:val="28"/>
                <w:szCs w:val="28"/>
                <w:rtl/>
              </w:rPr>
              <w:t>مجموع مكاسب (خسائر) صرف العملات</w:t>
            </w:r>
          </w:p>
        </w:tc>
        <w:tc>
          <w:tcPr>
            <w:tcW w:w="1984" w:type="dxa"/>
            <w:tcBorders>
              <w:top w:val="single" w:sz="4" w:space="0" w:color="auto"/>
              <w:bottom w:val="single" w:sz="4" w:space="0" w:color="auto"/>
            </w:tcBorders>
            <w:shd w:val="clear" w:color="auto" w:fill="auto"/>
          </w:tcPr>
          <w:p w:rsidR="00E16243" w:rsidRPr="0054092B" w:rsidRDefault="00E16243" w:rsidP="00E16243">
            <w:pPr>
              <w:bidi/>
              <w:spacing w:line="280" w:lineRule="exact"/>
              <w:rPr>
                <w:rFonts w:ascii="Arabic Typesetting" w:hAnsi="Arabic Typesetting" w:cs="Arabic Typesetting"/>
                <w:b/>
                <w:bCs/>
                <w:sz w:val="28"/>
                <w:szCs w:val="28"/>
                <w:u w:val="double"/>
                <w:rtl/>
              </w:rPr>
            </w:pPr>
            <w:r w:rsidRPr="0054092B">
              <w:rPr>
                <w:rFonts w:ascii="Arabic Typesetting" w:hAnsi="Arabic Typesetting" w:cs="Arabic Typesetting" w:hint="cs"/>
                <w:b/>
                <w:bCs/>
                <w:sz w:val="28"/>
                <w:szCs w:val="28"/>
                <w:u w:val="double"/>
                <w:rtl/>
              </w:rPr>
              <w:t>12,454</w:t>
            </w:r>
          </w:p>
        </w:tc>
        <w:tc>
          <w:tcPr>
            <w:tcW w:w="1847" w:type="dxa"/>
            <w:tcBorders>
              <w:top w:val="single" w:sz="4" w:space="0" w:color="auto"/>
              <w:bottom w:val="single" w:sz="4" w:space="0" w:color="auto"/>
            </w:tcBorders>
            <w:shd w:val="clear" w:color="auto" w:fill="auto"/>
          </w:tcPr>
          <w:p w:rsidR="00E16243" w:rsidRPr="0054092B" w:rsidRDefault="00E16243" w:rsidP="00E16243">
            <w:pPr>
              <w:bidi/>
              <w:spacing w:line="280" w:lineRule="exact"/>
              <w:rPr>
                <w:rFonts w:ascii="Arabic Typesetting" w:hAnsi="Arabic Typesetting" w:cs="Arabic Typesetting"/>
                <w:b/>
                <w:bCs/>
                <w:sz w:val="28"/>
                <w:szCs w:val="28"/>
                <w:u w:val="double"/>
                <w:rtl/>
              </w:rPr>
            </w:pPr>
            <w:r w:rsidRPr="0054092B">
              <w:rPr>
                <w:rFonts w:ascii="Arabic Typesetting" w:hAnsi="Arabic Typesetting" w:cs="Arabic Typesetting" w:hint="cs"/>
                <w:b/>
                <w:bCs/>
                <w:sz w:val="28"/>
                <w:szCs w:val="28"/>
                <w:u w:val="double"/>
                <w:rtl/>
              </w:rPr>
              <w:t>5,851-</w:t>
            </w:r>
          </w:p>
        </w:tc>
        <w:tc>
          <w:tcPr>
            <w:tcW w:w="1524" w:type="dxa"/>
            <w:tcBorders>
              <w:top w:val="single" w:sz="4" w:space="0" w:color="auto"/>
              <w:bottom w:val="single" w:sz="4" w:space="0" w:color="auto"/>
            </w:tcBorders>
            <w:shd w:val="clear" w:color="auto" w:fill="auto"/>
          </w:tcPr>
          <w:p w:rsidR="00E16243" w:rsidRPr="0054092B" w:rsidRDefault="00E16243" w:rsidP="00E16243">
            <w:pPr>
              <w:bidi/>
              <w:spacing w:line="280" w:lineRule="exact"/>
              <w:rPr>
                <w:rFonts w:ascii="Arabic Typesetting" w:hAnsi="Arabic Typesetting" w:cs="Arabic Typesetting"/>
                <w:b/>
                <w:bCs/>
                <w:sz w:val="28"/>
                <w:szCs w:val="28"/>
                <w:u w:val="double"/>
                <w:rtl/>
              </w:rPr>
            </w:pPr>
            <w:r w:rsidRPr="0054092B">
              <w:rPr>
                <w:rFonts w:ascii="Arabic Typesetting" w:hAnsi="Arabic Typesetting" w:cs="Arabic Typesetting" w:hint="cs"/>
                <w:b/>
                <w:bCs/>
                <w:sz w:val="28"/>
                <w:szCs w:val="28"/>
                <w:u w:val="double"/>
                <w:rtl/>
              </w:rPr>
              <w:t>6,603</w:t>
            </w:r>
          </w:p>
        </w:tc>
      </w:tr>
    </w:tbl>
    <w:p w:rsidR="00E16243" w:rsidRPr="002869C3" w:rsidRDefault="00E16243" w:rsidP="002869C3">
      <w:pPr>
        <w:pStyle w:val="Heading2"/>
        <w:bidi/>
        <w:rPr>
          <w:rFonts w:ascii="Arabic Typesetting" w:hAnsi="Arabic Typesetting" w:cs="Arabic Typesetting"/>
          <w:i/>
          <w:iCs w:val="0"/>
          <w:sz w:val="40"/>
          <w:szCs w:val="40"/>
          <w:rtl/>
        </w:rPr>
      </w:pPr>
      <w:bookmarkStart w:id="41" w:name="_Toc362519124"/>
      <w:r w:rsidRPr="002869C3">
        <w:rPr>
          <w:rFonts w:ascii="Arabic Typesetting" w:hAnsi="Arabic Typesetting" w:cs="Arabic Typesetting" w:hint="cs"/>
          <w:i/>
          <w:iCs w:val="0"/>
          <w:sz w:val="40"/>
          <w:szCs w:val="40"/>
          <w:rtl/>
        </w:rPr>
        <w:t>الملاحظة 26: أحداث طرأت بعد تاريخ تقديم التقرير المالي</w:t>
      </w:r>
      <w:bookmarkEnd w:id="41"/>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تحدد تاريخ 31 ديسمبر 2012 لكي تقدم الويبو تقريرها المالي، كما أُذن بإصدار بياناتها المالية في تاريخ 3 مايو 2013. ولم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تحدث في الفترة الممتدة من تاريخ تقديم التقرير إلى التاريخ الذي أذن فيه بإصدار البيانات المالية أية أحداث مهمة إيجابية أو سلبية قد تؤثر في البيانات.</w:t>
      </w:r>
    </w:p>
    <w:p w:rsidR="00E16243" w:rsidRPr="002869C3" w:rsidRDefault="00E16243" w:rsidP="002869C3">
      <w:pPr>
        <w:pStyle w:val="Heading2"/>
        <w:bidi/>
        <w:rPr>
          <w:rFonts w:ascii="Arabic Typesetting" w:hAnsi="Arabic Typesetting" w:cs="Arabic Typesetting"/>
          <w:i/>
          <w:iCs w:val="0"/>
          <w:sz w:val="40"/>
          <w:szCs w:val="40"/>
          <w:rtl/>
        </w:rPr>
      </w:pPr>
      <w:bookmarkStart w:id="42" w:name="_Toc362519125"/>
      <w:r w:rsidRPr="002869C3">
        <w:rPr>
          <w:rFonts w:ascii="Arabic Typesetting" w:hAnsi="Arabic Typesetting" w:cs="Arabic Typesetting" w:hint="cs"/>
          <w:i/>
          <w:iCs w:val="0"/>
          <w:sz w:val="40"/>
          <w:szCs w:val="40"/>
          <w:rtl/>
        </w:rPr>
        <w:t xml:space="preserve">الملاحظة 27: </w:t>
      </w:r>
      <w:r w:rsidRPr="002869C3">
        <w:rPr>
          <w:rFonts w:ascii="Arabic Typesetting" w:hAnsi="Arabic Typesetting" w:cs="Arabic Typesetting"/>
          <w:i/>
          <w:iCs w:val="0"/>
          <w:sz w:val="40"/>
          <w:szCs w:val="40"/>
          <w:rtl/>
        </w:rPr>
        <w:t>إعداد تقارير القطاعات</w:t>
      </w:r>
      <w:bookmarkEnd w:id="42"/>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تُعرض تقارير</w:t>
      </w:r>
      <w:r>
        <w:rPr>
          <w:rFonts w:ascii="Arabic Typesetting" w:hAnsi="Arabic Typesetting" w:cs="Arabic Typesetting" w:hint="cs"/>
          <w:sz w:val="36"/>
          <w:szCs w:val="36"/>
          <w:rtl/>
        </w:rPr>
        <w:t xml:space="preserve"> القطاعات في شكل يمثل مختلف الاتحادات والقطاعات التي تتألف منها المنظمة العالمية للملكية الفكرية. وقد أنشئت الاتحادات بموجب مختلف المعاهدات التي تديرها الويبو.</w:t>
      </w:r>
    </w:p>
    <w:p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وتم توحيد تقارير اتحادات</w:t>
      </w:r>
      <w:r>
        <w:rPr>
          <w:rFonts w:ascii="Arabic Typesetting" w:hAnsi="Arabic Typesetting" w:cs="Arabic Typesetting" w:hint="cs"/>
          <w:sz w:val="36"/>
          <w:szCs w:val="36"/>
          <w:rtl/>
        </w:rPr>
        <w:t xml:space="preserve"> الويبو الممولة من الاشتراكات لأغراض تتعلق بالتقديم. وتشمل هذه الاتحادات اتحادات باريس وبرن ولوكارنو ونيس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إلى جانب المهام التي تغطيها اتفاقية الويبو. ويخضع كل من اتحاد معاهدة التعاون بشأن البراءات واتحاد مدريد (العلامات التجارية) واتحاد لاهاي (النماذج والرسوم الصناعية) واتحاد لشبونة (تسميات المنشأ) لجمعية عامة تجتمع سنويا لاعتماد الميزانية واتخاذ إجراءات أخرى حسبما يكون مناسبا بناء على المعاهدات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المعنية.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وتملك المنظمة ككل الأصول والخصوم، خلاف الأموال الاحتياطية التي تكون صافي الأصول، وهي مسؤولة عنها، وليس لاتحادات أو قطاعات بعينها أصول أو خصوم. وتدعم الأصول والخصوم عامة عددا كبيرا من الأنشطة التي تقدم الخدمات في </w:t>
      </w:r>
      <w:r>
        <w:rPr>
          <w:rFonts w:ascii="Arabic Typesetting" w:hAnsi="Arabic Typesetting" w:cs="Arabic Typesetting" w:hint="cs"/>
          <w:sz w:val="36"/>
          <w:szCs w:val="36"/>
          <w:rtl/>
        </w:rPr>
        <w:lastRenderedPageBreak/>
        <w:t>إطار الاتحادات المتعددة (القطاعات). ويتعلق الاستثناء الوحيد بالملكية الاستثمارية في ميران الذي ترجع ملكيته إلى اتحاد مدريد. وبناء على ذلك، فإن الأصول والخصوم الفردية لا تذكر عند الكشف عن المعلومات المتعلقة بالقطاعات أو الاتحادات الفردية. ولا تبين القطاعات الفردية إلا صافي الأصول/الممتلكات بما في ذلك صناديق رؤوس الأموال العاملة.</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وتسند معظم الإيرادات في حسابات الويبو بحسب كل اتحاد. ووزعت الإيرادات المحصلة من الفوائد على الاتحادات استنادا إلى مجموع المبالغ الاحتياطية من السيولة والإيرادات المتداولة في سنة 2012. وتقسم المصروفات بحسب كل برنامج ثم يعاد تخصيصها ثانية لفائدة الاتحادات المختلفة استنادا إلى منهجية تحظى بقبول الجمعية العامة للويبو حيث إن هذه العملية جزء من اعتماد برنامج الويبو وميزانيتها للفترة 2012/13.</w:t>
      </w:r>
    </w:p>
    <w:p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وخصص جزء منفصل للإسهامات الطوعية وهي أموال تديرها الويبو نيابة عن الجهات المانحة لتنفيذ برامج تتعلق بولاية الويبو. وتحسب الإيرادات والمصروفات المتصلة بالإسهامات الطوعية (حسابات خاصة) بشكل منفصل في نظام المحاسبة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المالية </w:t>
      </w:r>
    </w:p>
    <w:p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وتقسم جميع المصروفات على الاتحادات التي تتشكل منها القطاعات استنادا إلى منهجية التوزيع المعتمدة. وتدون مصروفات قطاع الحسابات الخاصة المتعلقة بالإسهامات الطوعية المقدمة للمنظمة، بوصفها تكاليف متداولة. وتعتبر تكاليف برنامج الدعم التي تكبدتها الاتحادات لدعم الحسابات الخاصة التكاليف الوحيدة المشتركة بين القطاعات. وتمول الحسابات الخاصة تكاليف برنامج الدعم استنادا إلى نسبة مئوية من إجمالي النفقات المباشرة المحددة في الاتفاق المبرم مع الجهة المانحة.</w:t>
      </w:r>
    </w:p>
    <w:p w:rsidR="00E16243" w:rsidRPr="007E283A" w:rsidRDefault="00E16243" w:rsidP="00E16243">
      <w:pPr>
        <w:bidi/>
        <w:spacing w:after="240" w:line="360" w:lineRule="exact"/>
        <w:rPr>
          <w:rFonts w:ascii="Arabic Typesetting" w:hAnsi="Arabic Typesetting" w:cs="Arabic Typesetting"/>
          <w:sz w:val="36"/>
          <w:szCs w:val="36"/>
          <w:rtl/>
          <w:lang w:bidi="ar-EG"/>
        </w:rPr>
      </w:pPr>
    </w:p>
    <w:p w:rsidR="00E16243" w:rsidRPr="006918D3" w:rsidRDefault="00E16243" w:rsidP="00EF1E16">
      <w:pPr>
        <w:pStyle w:val="NormalParaAR"/>
        <w:rPr>
          <w:b/>
          <w:bCs/>
          <w:rtl/>
        </w:rPr>
      </w:pPr>
      <w:r w:rsidRPr="006918D3">
        <w:rPr>
          <w:b/>
          <w:bCs/>
          <w:rtl/>
        </w:rPr>
        <w:br w:type="page"/>
      </w:r>
      <w:r w:rsidRPr="000E07B7">
        <w:rPr>
          <w:rFonts w:hint="cs"/>
          <w:b/>
          <w:bCs/>
          <w:rtl/>
        </w:rPr>
        <w:lastRenderedPageBreak/>
        <w:t>الإيرادات والمصروفات والاحتياطي بحسب كل قطاع</w:t>
      </w:r>
    </w:p>
    <w:p w:rsidR="00462FC1" w:rsidRDefault="000E07B7" w:rsidP="00C52105">
      <w:pPr>
        <w:pStyle w:val="NormalParaAR"/>
        <w:tabs>
          <w:tab w:val="left" w:pos="986"/>
        </w:tabs>
        <w:spacing w:line="240" w:lineRule="auto"/>
        <w:jc w:val="center"/>
        <w:rPr>
          <w:rtl/>
          <w:lang w:bidi="ar-EG"/>
        </w:rPr>
      </w:pPr>
      <w:r w:rsidRPr="000E07B7">
        <w:rPr>
          <w:noProof/>
          <w:rtl/>
        </w:rPr>
        <w:drawing>
          <wp:inline distT="0" distB="0" distL="0" distR="0" wp14:anchorId="50B7570C" wp14:editId="24934399">
            <wp:extent cx="5943600" cy="74199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7416012"/>
                    </a:xfrm>
                    <a:prstGeom prst="rect">
                      <a:avLst/>
                    </a:prstGeom>
                    <a:noFill/>
                    <a:ln>
                      <a:noFill/>
                    </a:ln>
                  </pic:spPr>
                </pic:pic>
              </a:graphicData>
            </a:graphic>
          </wp:inline>
        </w:drawing>
      </w:r>
    </w:p>
    <w:p w:rsidR="00E16243" w:rsidRDefault="00E16243" w:rsidP="00EF1E16">
      <w:pPr>
        <w:pStyle w:val="NormalParaAR"/>
        <w:tabs>
          <w:tab w:val="left" w:pos="986"/>
        </w:tabs>
        <w:spacing w:after="0"/>
        <w:rPr>
          <w:rtl/>
          <w:lang w:bidi="ar-EG"/>
        </w:rPr>
      </w:pPr>
      <w:r w:rsidRPr="00E02B61">
        <w:rPr>
          <w:rFonts w:hint="cs"/>
          <w:rtl/>
          <w:lang w:bidi="ar-EG"/>
        </w:rPr>
        <w:t xml:space="preserve">ملحوظة: تولى اتحاد مدريد تمويل مساهمة اتحاد لاهاي في برنامج تحديث التكنولوجيا المعلوماتية لأنظمة لاهاي ومدريد الدولية للتسجيل وقدرها 3 ملايين فرنك سويسري. وسوف يسدد اتحاد لاهاي المبلغ  إلى اتحاد مدريد </w:t>
      </w:r>
      <w:r w:rsidRPr="00E02B61">
        <w:rPr>
          <w:rFonts w:hint="cs"/>
          <w:rtl/>
          <w:lang w:bidi="ar"/>
        </w:rPr>
        <w:t>بمجرد أن</w:t>
      </w:r>
      <w:r w:rsidRPr="00E02B61">
        <w:rPr>
          <w:rtl/>
          <w:lang w:bidi="ar"/>
        </w:rPr>
        <w:t xml:space="preserve"> يسمح مستوى صندوق الاحتياطي </w:t>
      </w:r>
      <w:r w:rsidRPr="00E02B61">
        <w:rPr>
          <w:rFonts w:hint="cs"/>
          <w:rtl/>
          <w:lang w:bidi="ar"/>
        </w:rPr>
        <w:t>ل</w:t>
      </w:r>
      <w:r w:rsidRPr="00E02B61">
        <w:rPr>
          <w:rtl/>
          <w:lang w:bidi="ar"/>
        </w:rPr>
        <w:t xml:space="preserve">اتحاد لاهاي بذلك. - حسابات خاصة </w:t>
      </w:r>
      <w:r w:rsidRPr="00E02B61">
        <w:rPr>
          <w:rFonts w:hint="cs"/>
          <w:rtl/>
          <w:lang w:bidi="ar"/>
        </w:rPr>
        <w:t>ل</w:t>
      </w:r>
      <w:r w:rsidRPr="00E02B61">
        <w:rPr>
          <w:rtl/>
          <w:lang w:bidi="ar"/>
        </w:rPr>
        <w:t>مساهمات الجهات المانحة</w:t>
      </w:r>
      <w:r w:rsidRPr="00E02B61">
        <w:rPr>
          <w:rFonts w:hint="cs"/>
          <w:rtl/>
          <w:lang w:bidi="ar-EG"/>
        </w:rPr>
        <w:t>.</w:t>
      </w:r>
    </w:p>
    <w:p w:rsidR="00E16243" w:rsidRDefault="00E16243" w:rsidP="006E5D68">
      <w:pPr>
        <w:rPr>
          <w:rtl/>
          <w:lang w:bidi="ar-EG"/>
        </w:rPr>
      </w:pPr>
    </w:p>
    <w:p w:rsidR="006E5D68" w:rsidRDefault="006E5D68" w:rsidP="006E5D68">
      <w:pPr>
        <w:rPr>
          <w:rtl/>
          <w:lang w:bidi="ar-EG"/>
        </w:rPr>
        <w:sectPr w:rsidR="006E5D68" w:rsidSect="00E16243">
          <w:headerReference w:type="even" r:id="rId37"/>
          <w:pgSz w:w="11907" w:h="16840" w:code="9"/>
          <w:pgMar w:top="567" w:right="1418" w:bottom="1418" w:left="1134" w:header="510" w:footer="1021" w:gutter="0"/>
          <w:cols w:space="720"/>
          <w:titlePg/>
          <w:docGrid w:linePitch="299"/>
        </w:sectPr>
      </w:pPr>
    </w:p>
    <w:p w:rsidR="00E16243" w:rsidRPr="002869C3" w:rsidRDefault="00E16243" w:rsidP="00BA3CBF">
      <w:pPr>
        <w:pStyle w:val="NormalParaAR"/>
        <w:spacing w:after="60"/>
        <w:jc w:val="center"/>
        <w:outlineLvl w:val="0"/>
        <w:rPr>
          <w:b/>
          <w:bCs/>
          <w:sz w:val="40"/>
          <w:szCs w:val="40"/>
          <w:rtl/>
        </w:rPr>
      </w:pPr>
      <w:bookmarkStart w:id="43" w:name="_Toc362519126"/>
      <w:r w:rsidRPr="002869C3">
        <w:rPr>
          <w:rFonts w:hint="cs"/>
          <w:b/>
          <w:bCs/>
          <w:sz w:val="40"/>
          <w:szCs w:val="40"/>
          <w:rtl/>
        </w:rPr>
        <w:lastRenderedPageBreak/>
        <w:t>المرفق الأول</w:t>
      </w:r>
      <w:bookmarkEnd w:id="43"/>
      <w:r w:rsidRPr="002869C3">
        <w:rPr>
          <w:rFonts w:hint="cs"/>
          <w:b/>
          <w:bCs/>
          <w:sz w:val="40"/>
          <w:szCs w:val="40"/>
          <w:rtl/>
        </w:rPr>
        <w:t xml:space="preserve"> </w:t>
      </w:r>
    </w:p>
    <w:p w:rsidR="00E16243" w:rsidRPr="00881442" w:rsidRDefault="00E16243" w:rsidP="00BA3CBF">
      <w:pPr>
        <w:pStyle w:val="NormalParaAR"/>
        <w:spacing w:after="60"/>
        <w:jc w:val="center"/>
        <w:outlineLvl w:val="0"/>
        <w:rPr>
          <w:b/>
          <w:bCs/>
          <w:sz w:val="40"/>
          <w:szCs w:val="40"/>
          <w:highlight w:val="red"/>
          <w:rtl/>
        </w:rPr>
      </w:pPr>
      <w:r w:rsidRPr="002869C3">
        <w:rPr>
          <w:rFonts w:hint="cs"/>
          <w:b/>
          <w:bCs/>
          <w:sz w:val="40"/>
          <w:szCs w:val="40"/>
          <w:rtl/>
        </w:rPr>
        <w:t xml:space="preserve"> </w:t>
      </w:r>
      <w:bookmarkStart w:id="44" w:name="_Toc362519127"/>
      <w:r w:rsidRPr="002869C3">
        <w:rPr>
          <w:rFonts w:hint="cs"/>
          <w:b/>
          <w:bCs/>
          <w:sz w:val="40"/>
          <w:szCs w:val="40"/>
          <w:rtl/>
        </w:rPr>
        <w:t>بيان الوضع المالي بحسب كل نشاط [غير مراجع]</w:t>
      </w:r>
      <w:bookmarkEnd w:id="44"/>
      <w:r w:rsidRPr="002869C3">
        <w:rPr>
          <w:rFonts w:hint="cs"/>
          <w:b/>
          <w:bCs/>
          <w:sz w:val="40"/>
          <w:szCs w:val="40"/>
          <w:rtl/>
        </w:rPr>
        <w:t xml:space="preserve"> </w:t>
      </w:r>
    </w:p>
    <w:p w:rsidR="00E16243" w:rsidRDefault="00E16243" w:rsidP="00BA3CBF">
      <w:pPr>
        <w:pStyle w:val="NormalParaAR"/>
        <w:spacing w:after="0"/>
        <w:jc w:val="center"/>
        <w:rPr>
          <w:b/>
          <w:bCs/>
          <w:sz w:val="30"/>
          <w:szCs w:val="30"/>
          <w:rtl/>
        </w:rPr>
      </w:pPr>
      <w:r w:rsidRPr="00BA3CBF">
        <w:rPr>
          <w:rFonts w:hint="cs"/>
          <w:b/>
          <w:bCs/>
          <w:sz w:val="30"/>
          <w:szCs w:val="30"/>
          <w:rtl/>
        </w:rPr>
        <w:t>في 31 ديسمبر 2012</w:t>
      </w:r>
      <w:r>
        <w:rPr>
          <w:rFonts w:hint="cs"/>
          <w:b/>
          <w:bCs/>
          <w:sz w:val="30"/>
          <w:szCs w:val="30"/>
          <w:rtl/>
        </w:rPr>
        <w:t xml:space="preserve"> </w:t>
      </w:r>
    </w:p>
    <w:p w:rsidR="00E16243" w:rsidRDefault="00E16243" w:rsidP="00BA3CBF">
      <w:pPr>
        <w:pStyle w:val="NormalParaAR"/>
        <w:spacing w:after="60" w:line="300" w:lineRule="exact"/>
        <w:jc w:val="center"/>
        <w:rPr>
          <w:b/>
          <w:bCs/>
          <w:sz w:val="30"/>
          <w:szCs w:val="30"/>
          <w:rtl/>
        </w:rPr>
      </w:pPr>
      <w:r>
        <w:rPr>
          <w:rFonts w:hint="cs"/>
          <w:b/>
          <w:bCs/>
          <w:sz w:val="30"/>
          <w:szCs w:val="30"/>
          <w:rtl/>
        </w:rPr>
        <w:t>(بآلاف ا</w:t>
      </w:r>
      <w:r w:rsidRPr="00B331DE">
        <w:rPr>
          <w:rFonts w:hint="cs"/>
          <w:b/>
          <w:bCs/>
          <w:sz w:val="30"/>
          <w:szCs w:val="30"/>
          <w:rtl/>
        </w:rPr>
        <w:t>لفرنك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p>
    <w:p w:rsidR="00E16243" w:rsidRPr="00B331DE" w:rsidRDefault="00BA3CBF" w:rsidP="00BA3CBF">
      <w:pPr>
        <w:pStyle w:val="NormalParaAR"/>
        <w:spacing w:after="0" w:line="240" w:lineRule="auto"/>
        <w:jc w:val="center"/>
        <w:rPr>
          <w:b/>
          <w:bCs/>
          <w:sz w:val="30"/>
          <w:szCs w:val="30"/>
          <w:rtl/>
        </w:rPr>
      </w:pPr>
      <w:r>
        <w:rPr>
          <w:b/>
          <w:bCs/>
          <w:noProof/>
          <w:sz w:val="30"/>
          <w:szCs w:val="30"/>
        </w:rPr>
        <w:drawing>
          <wp:inline distT="0" distB="0" distL="0" distR="0" wp14:anchorId="2EAE111E">
            <wp:extent cx="8324850" cy="4819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333740" cy="4824797"/>
                    </a:xfrm>
                    <a:prstGeom prst="rect">
                      <a:avLst/>
                    </a:prstGeom>
                    <a:noFill/>
                  </pic:spPr>
                </pic:pic>
              </a:graphicData>
            </a:graphic>
          </wp:inline>
        </w:drawing>
      </w:r>
    </w:p>
    <w:p w:rsidR="00E16243" w:rsidRPr="002869C3" w:rsidRDefault="00E16243" w:rsidP="00821049">
      <w:pPr>
        <w:pStyle w:val="NormalParaAR"/>
        <w:spacing w:after="60"/>
        <w:jc w:val="center"/>
        <w:outlineLvl w:val="0"/>
        <w:rPr>
          <w:b/>
          <w:bCs/>
          <w:sz w:val="40"/>
          <w:szCs w:val="40"/>
          <w:rtl/>
        </w:rPr>
      </w:pPr>
      <w:r>
        <w:rPr>
          <w:rtl/>
        </w:rPr>
        <w:br w:type="page"/>
      </w:r>
      <w:bookmarkStart w:id="45" w:name="_Toc362519128"/>
      <w:r w:rsidRPr="002869C3">
        <w:rPr>
          <w:rFonts w:hint="cs"/>
          <w:b/>
          <w:bCs/>
          <w:sz w:val="40"/>
          <w:szCs w:val="40"/>
          <w:rtl/>
        </w:rPr>
        <w:lastRenderedPageBreak/>
        <w:t>المرفق الثاني</w:t>
      </w:r>
      <w:bookmarkEnd w:id="45"/>
    </w:p>
    <w:p w:rsidR="00E16243" w:rsidRPr="00881442" w:rsidRDefault="00E16243" w:rsidP="00821049">
      <w:pPr>
        <w:pStyle w:val="NormalParaAR"/>
        <w:spacing w:after="60"/>
        <w:jc w:val="center"/>
        <w:outlineLvl w:val="0"/>
        <w:rPr>
          <w:b/>
          <w:bCs/>
          <w:sz w:val="40"/>
          <w:szCs w:val="40"/>
          <w:highlight w:val="red"/>
          <w:rtl/>
        </w:rPr>
      </w:pPr>
      <w:bookmarkStart w:id="46" w:name="_Toc362519129"/>
      <w:r w:rsidRPr="002869C3">
        <w:rPr>
          <w:rFonts w:hint="cs"/>
          <w:b/>
          <w:bCs/>
          <w:sz w:val="40"/>
          <w:szCs w:val="40"/>
          <w:rtl/>
        </w:rPr>
        <w:t>بيان الأداء المالي بحسب كل نشاط [غير مراجع]</w:t>
      </w:r>
      <w:bookmarkEnd w:id="46"/>
    </w:p>
    <w:p w:rsidR="00E16243" w:rsidRPr="00B331DE" w:rsidRDefault="00E16243" w:rsidP="00E16243">
      <w:pPr>
        <w:pStyle w:val="NormalParaAR"/>
        <w:spacing w:after="0"/>
        <w:jc w:val="center"/>
        <w:rPr>
          <w:b/>
          <w:bCs/>
          <w:sz w:val="30"/>
          <w:szCs w:val="30"/>
          <w:rtl/>
        </w:rPr>
      </w:pPr>
      <w:r w:rsidRPr="00821049">
        <w:rPr>
          <w:rFonts w:hint="cs"/>
          <w:b/>
          <w:bCs/>
          <w:sz w:val="30"/>
          <w:szCs w:val="30"/>
          <w:rtl/>
        </w:rPr>
        <w:t>للسنة المنتهية في 31 ديسمبر 2012</w:t>
      </w:r>
    </w:p>
    <w:p w:rsidR="00E16243" w:rsidRPr="00B331DE" w:rsidRDefault="00E16243" w:rsidP="00821049">
      <w:pPr>
        <w:pStyle w:val="NormalParaAR"/>
        <w:spacing w:after="60"/>
        <w:jc w:val="center"/>
        <w:rPr>
          <w:b/>
          <w:bCs/>
          <w:rtl/>
          <w:lang w:bidi="ar-EG"/>
        </w:rPr>
      </w:pPr>
      <w:r>
        <w:rPr>
          <w:rFonts w:hint="cs"/>
          <w:b/>
          <w:bCs/>
          <w:sz w:val="30"/>
          <w:szCs w:val="30"/>
          <w:rtl/>
        </w:rPr>
        <w:t>(بآلاف ال</w:t>
      </w:r>
      <w:r w:rsidRPr="00B331DE">
        <w:rPr>
          <w:rFonts w:hint="cs"/>
          <w:b/>
          <w:bCs/>
          <w:sz w:val="30"/>
          <w:szCs w:val="30"/>
          <w:rtl/>
        </w:rPr>
        <w:t>فرنك</w:t>
      </w:r>
      <w:r>
        <w:rPr>
          <w:rFonts w:hint="cs"/>
          <w:b/>
          <w:bCs/>
          <w:sz w:val="30"/>
          <w:szCs w:val="30"/>
          <w:rtl/>
        </w:rPr>
        <w:t>ات</w:t>
      </w:r>
      <w:r w:rsidRPr="00B331DE">
        <w:rPr>
          <w:rFonts w:hint="cs"/>
          <w:b/>
          <w:bCs/>
          <w:sz w:val="30"/>
          <w:szCs w:val="30"/>
          <w:rtl/>
        </w:rPr>
        <w:t xml:space="preserve"> السويسري</w:t>
      </w:r>
      <w:r>
        <w:rPr>
          <w:rFonts w:hint="cs"/>
          <w:b/>
          <w:bCs/>
          <w:sz w:val="30"/>
          <w:szCs w:val="30"/>
          <w:rtl/>
        </w:rPr>
        <w:t>ة</w:t>
      </w:r>
      <w:r w:rsidRPr="00B331DE">
        <w:rPr>
          <w:rFonts w:hint="cs"/>
          <w:b/>
          <w:bCs/>
          <w:sz w:val="30"/>
          <w:szCs w:val="30"/>
          <w:rtl/>
        </w:rPr>
        <w:t>)</w:t>
      </w:r>
    </w:p>
    <w:p w:rsidR="00E16243" w:rsidRPr="00B34BDA" w:rsidRDefault="00821049" w:rsidP="00847A27">
      <w:pPr>
        <w:pStyle w:val="NormalParaAR"/>
        <w:spacing w:after="0" w:line="240" w:lineRule="auto"/>
        <w:jc w:val="center"/>
        <w:rPr>
          <w:rtl/>
          <w:lang w:bidi="ar-EG"/>
        </w:rPr>
      </w:pPr>
      <w:r w:rsidRPr="00821049">
        <w:rPr>
          <w:noProof/>
          <w:rtl/>
        </w:rPr>
        <w:drawing>
          <wp:inline distT="0" distB="0" distL="0" distR="0" wp14:anchorId="1B1C50F2" wp14:editId="285A03A5">
            <wp:extent cx="9429750" cy="47625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0" cy="4762500"/>
                    </a:xfrm>
                    <a:prstGeom prst="rect">
                      <a:avLst/>
                    </a:prstGeom>
                    <a:noFill/>
                    <a:ln>
                      <a:noFill/>
                    </a:ln>
                  </pic:spPr>
                </pic:pic>
              </a:graphicData>
            </a:graphic>
          </wp:inline>
        </w:drawing>
      </w:r>
    </w:p>
    <w:p w:rsidR="00E16243" w:rsidRPr="002869C3" w:rsidRDefault="00E16243" w:rsidP="007E6A8A">
      <w:pPr>
        <w:pStyle w:val="NormalParaAR"/>
        <w:spacing w:after="0"/>
        <w:jc w:val="center"/>
        <w:outlineLvl w:val="0"/>
        <w:rPr>
          <w:b/>
          <w:bCs/>
          <w:sz w:val="40"/>
          <w:szCs w:val="40"/>
          <w:rtl/>
        </w:rPr>
      </w:pPr>
      <w:r>
        <w:rPr>
          <w:rtl/>
        </w:rPr>
        <w:br w:type="page"/>
      </w:r>
      <w:bookmarkStart w:id="47" w:name="_Toc362519130"/>
      <w:r w:rsidRPr="002869C3">
        <w:rPr>
          <w:rFonts w:hint="cs"/>
          <w:b/>
          <w:bCs/>
          <w:sz w:val="40"/>
          <w:szCs w:val="40"/>
          <w:rtl/>
        </w:rPr>
        <w:lastRenderedPageBreak/>
        <w:t>المرفق الثالث</w:t>
      </w:r>
      <w:bookmarkEnd w:id="47"/>
      <w:r w:rsidRPr="002869C3">
        <w:rPr>
          <w:rFonts w:hint="cs"/>
          <w:b/>
          <w:bCs/>
          <w:sz w:val="40"/>
          <w:szCs w:val="40"/>
          <w:rtl/>
        </w:rPr>
        <w:t xml:space="preserve"> </w:t>
      </w:r>
    </w:p>
    <w:p w:rsidR="00E16243" w:rsidRPr="002869C3" w:rsidRDefault="00E16243" w:rsidP="001C719A">
      <w:pPr>
        <w:pStyle w:val="NormalParaAR"/>
        <w:spacing w:after="0"/>
        <w:jc w:val="center"/>
        <w:outlineLvl w:val="0"/>
        <w:rPr>
          <w:b/>
          <w:bCs/>
          <w:sz w:val="40"/>
          <w:szCs w:val="40"/>
          <w:rtl/>
        </w:rPr>
      </w:pPr>
      <w:bookmarkStart w:id="48" w:name="_Toc362519131"/>
      <w:r w:rsidRPr="002869C3">
        <w:rPr>
          <w:rFonts w:hint="cs"/>
          <w:b/>
          <w:bCs/>
          <w:sz w:val="40"/>
          <w:szCs w:val="40"/>
          <w:rtl/>
        </w:rPr>
        <w:t>حسابات خاصة بحسب مساهمة المانحين</w:t>
      </w:r>
      <w:bookmarkEnd w:id="48"/>
    </w:p>
    <w:p w:rsidR="00E16243" w:rsidRPr="006918D3" w:rsidRDefault="00226DAE" w:rsidP="00E16243">
      <w:pPr>
        <w:pStyle w:val="NormalParaAR"/>
        <w:spacing w:after="0"/>
        <w:jc w:val="center"/>
        <w:rPr>
          <w:b/>
          <w:bCs/>
          <w:rtl/>
        </w:rPr>
      </w:pPr>
      <w:r w:rsidRPr="00EF291B">
        <w:rPr>
          <w:rFonts w:hint="cs"/>
          <w:b/>
          <w:bCs/>
          <w:rtl/>
        </w:rPr>
        <w:t>للسنة المنتهية</w:t>
      </w:r>
      <w:r w:rsidR="00E16243" w:rsidRPr="00EF291B">
        <w:rPr>
          <w:rFonts w:hint="cs"/>
          <w:b/>
          <w:bCs/>
          <w:rtl/>
        </w:rPr>
        <w:t xml:space="preserve"> في 31 ديسمبر 2012</w:t>
      </w:r>
    </w:p>
    <w:p w:rsidR="00E16243" w:rsidRPr="00B331DE" w:rsidRDefault="00E16243" w:rsidP="001C719A">
      <w:pPr>
        <w:pStyle w:val="NormalParaAR"/>
        <w:spacing w:after="0"/>
        <w:jc w:val="center"/>
        <w:rPr>
          <w:b/>
          <w:bCs/>
          <w:sz w:val="30"/>
          <w:szCs w:val="30"/>
          <w:rtl/>
          <w:lang w:bidi="ar-EG"/>
        </w:rPr>
      </w:pPr>
      <w:r w:rsidRPr="00B331DE">
        <w:rPr>
          <w:rFonts w:hint="cs"/>
          <w:b/>
          <w:bCs/>
          <w:sz w:val="30"/>
          <w:szCs w:val="30"/>
          <w:rtl/>
        </w:rPr>
        <w:t>(بالفرنك السويسري)</w:t>
      </w:r>
    </w:p>
    <w:p w:rsidR="00E16243" w:rsidRDefault="00EF291B" w:rsidP="00E569D6">
      <w:pPr>
        <w:pStyle w:val="NormalParaAR"/>
        <w:spacing w:after="0" w:line="240" w:lineRule="auto"/>
        <w:jc w:val="center"/>
      </w:pPr>
      <w:r w:rsidRPr="00EF291B">
        <w:rPr>
          <w:noProof/>
          <w:rtl/>
        </w:rPr>
        <w:drawing>
          <wp:inline distT="0" distB="0" distL="0" distR="0" wp14:anchorId="7E538AB0" wp14:editId="65FC6D75">
            <wp:extent cx="9429750" cy="4229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32925" cy="4230524"/>
                    </a:xfrm>
                    <a:prstGeom prst="rect">
                      <a:avLst/>
                    </a:prstGeom>
                    <a:noFill/>
                    <a:ln>
                      <a:noFill/>
                    </a:ln>
                  </pic:spPr>
                </pic:pic>
              </a:graphicData>
            </a:graphic>
          </wp:inline>
        </w:drawing>
      </w:r>
    </w:p>
    <w:p w:rsidR="00E16243" w:rsidRPr="00E8010C" w:rsidRDefault="00E16243" w:rsidP="00EF291B">
      <w:pPr>
        <w:pStyle w:val="NormalParaAR"/>
        <w:spacing w:after="0" w:line="340" w:lineRule="exact"/>
      </w:pPr>
      <w:r w:rsidRPr="00E8010C">
        <w:rPr>
          <w:rFonts w:hint="cs"/>
          <w:rtl/>
        </w:rPr>
        <w:t>أعد هذا الج</w:t>
      </w:r>
      <w:r>
        <w:rPr>
          <w:rFonts w:hint="cs"/>
          <w:rtl/>
        </w:rPr>
        <w:t>دول بما يتفق مع متطلبات الإبلاغ</w:t>
      </w:r>
      <w:r w:rsidRPr="00E8010C">
        <w:rPr>
          <w:rFonts w:hint="cs"/>
          <w:rtl/>
        </w:rPr>
        <w:t xml:space="preserve"> إلى الجهات المانحة في إطار المعايير المحاسبية لمنظومة الأمم المتحدة التي لا تشمل مستحقات النفقات. ولا يشمل هذا الجدول تسويات الأرصدة الختامية في (31 ديسمبر 2012) بناء على المعايير المحاسبية الدولية للقطاع العام ، لكنها أُدرجت ضمن المبالغ المستلمة قبل استحقاقها المبينة في الملاحظة 14 (انظر </w:t>
      </w:r>
      <w:r w:rsidR="00E569D6" w:rsidRPr="00E8010C">
        <w:rPr>
          <w:rFonts w:hint="cs"/>
          <w:rtl/>
        </w:rPr>
        <w:t>سطر. الإيرادا</w:t>
      </w:r>
      <w:r w:rsidR="00E569D6" w:rsidRPr="00E8010C">
        <w:rPr>
          <w:rFonts w:hint="eastAsia"/>
          <w:rtl/>
        </w:rPr>
        <w:t>ت</w:t>
      </w:r>
      <w:r w:rsidRPr="00E8010C">
        <w:rPr>
          <w:rFonts w:hint="cs"/>
          <w:rtl/>
        </w:rPr>
        <w:t xml:space="preserve"> غير التبادلية</w:t>
      </w:r>
      <w:r>
        <w:rPr>
          <w:rFonts w:hint="eastAsia"/>
          <w:rtl/>
        </w:rPr>
        <w:t> </w:t>
      </w:r>
      <w:r w:rsidRPr="00E8010C">
        <w:rPr>
          <w:rFonts w:hint="cs"/>
          <w:rtl/>
        </w:rPr>
        <w:t>المؤجلة).</w:t>
      </w:r>
      <w:bookmarkStart w:id="49" w:name="_GoBack"/>
      <w:bookmarkEnd w:id="49"/>
    </w:p>
    <w:sectPr w:rsidR="00E16243" w:rsidRPr="00E8010C" w:rsidSect="00635449">
      <w:headerReference w:type="first" r:id="rId41"/>
      <w:pgSz w:w="16840" w:h="11907" w:orient="landscape" w:code="9"/>
      <w:pgMar w:top="1134" w:right="1418" w:bottom="851"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99" w:rsidRDefault="00FB4F99">
      <w:r>
        <w:separator/>
      </w:r>
    </w:p>
  </w:endnote>
  <w:endnote w:type="continuationSeparator" w:id="0">
    <w:p w:rsidR="00FB4F99" w:rsidRDefault="00F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Default="00FB4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1C719A" w:rsidRDefault="00FB4F99" w:rsidP="001C7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Default="00FB4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99" w:rsidRDefault="00FB4F99" w:rsidP="009622BF">
      <w:pPr>
        <w:bidi/>
      </w:pPr>
      <w:bookmarkStart w:id="0" w:name="OLE_LINK1"/>
      <w:bookmarkStart w:id="1" w:name="OLE_LINK2"/>
      <w:r>
        <w:separator/>
      </w:r>
      <w:bookmarkEnd w:id="0"/>
      <w:bookmarkEnd w:id="1"/>
    </w:p>
  </w:footnote>
  <w:footnote w:type="continuationSeparator" w:id="0">
    <w:p w:rsidR="00FB4F99" w:rsidRDefault="00FB4F99"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B73ABF" w:rsidRDefault="00FB4F99" w:rsidP="003C0687">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FB4F99" w:rsidRPr="00E56204" w:rsidRDefault="00FB4F99" w:rsidP="003C0687">
    <w:pPr>
      <w:pStyle w:val="Header"/>
      <w:bidi/>
      <w:rPr>
        <w:rStyle w:val="PageNumber"/>
        <w:rFonts w:ascii="Arabic Typesetting" w:hAnsi="Arabic Typesetting" w:cs="Arabic Typesetting"/>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6371A4">
      <w:rPr>
        <w:rStyle w:val="PageNumber"/>
        <w:noProof/>
        <w:szCs w:val="22"/>
      </w:rPr>
      <w:t>34</w:t>
    </w:r>
    <w:r w:rsidRPr="005826AB">
      <w:rPr>
        <w:rStyle w:val="PageNumber"/>
        <w:szCs w:val="22"/>
      </w:rPr>
      <w:fldChar w:fldCharType="end"/>
    </w:r>
  </w:p>
  <w:p w:rsidR="00FB4F99" w:rsidRPr="005826AB" w:rsidRDefault="00FB4F99" w:rsidP="000C096B">
    <w:pPr>
      <w:pStyle w:val="Header"/>
      <w:bidi/>
      <w:rPr>
        <w:rFonts w:ascii="Arabic Typesetting" w:hAnsi="Arabic Typesetting" w:cs="Arabic Typesetting"/>
        <w:b/>
        <w:bCs/>
        <w:szCs w:val="22"/>
        <w:rtl/>
        <w:lang w:val="fr-CH" w:bidi="ar-L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B73ABF" w:rsidRDefault="00FB4F99" w:rsidP="003C0687">
    <w:pPr>
      <w:pStyle w:val="Header"/>
      <w:tabs>
        <w:tab w:val="clear" w:pos="4536"/>
        <w:tab w:val="clear" w:pos="9072"/>
      </w:tabs>
      <w:bidi/>
      <w:ind w:left="4" w:right="220"/>
      <w:jc w:val="right"/>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FB4F99" w:rsidRPr="000C096B" w:rsidRDefault="00FB4F99" w:rsidP="00236C92">
    <w:pPr>
      <w:pStyle w:val="Header"/>
      <w:tabs>
        <w:tab w:val="clear" w:pos="9072"/>
      </w:tabs>
      <w:bidi/>
      <w:ind w:right="142"/>
      <w:jc w:val="right"/>
      <w:rPr>
        <w:rStyle w:val="PageNumber"/>
        <w:rFonts w:ascii="Arabic Typesetting" w:hAnsi="Arabic Typesetting" w:cs="Arabic Typesetting"/>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6371A4">
      <w:rPr>
        <w:rStyle w:val="PageNumber"/>
        <w:noProof/>
        <w:szCs w:val="22"/>
      </w:rPr>
      <w:t>59</w:t>
    </w:r>
    <w:r w:rsidRPr="005826AB">
      <w:rPr>
        <w:rStyle w:val="PageNumber"/>
        <w:szCs w:val="22"/>
      </w:rPr>
      <w:fldChar w:fldCharType="end"/>
    </w:r>
  </w:p>
  <w:p w:rsidR="00FB4F99" w:rsidRPr="000C096B" w:rsidRDefault="00FB4F99" w:rsidP="000C096B">
    <w:pPr>
      <w:pStyle w:val="Header"/>
      <w:tabs>
        <w:tab w:val="clear" w:pos="9072"/>
      </w:tabs>
      <w:bidi/>
      <w:ind w:right="142"/>
      <w:jc w:val="right"/>
      <w:rPr>
        <w:rFonts w:ascii="Arabic Typesetting" w:hAnsi="Arabic Typesetting" w:cs="Arabic Typesettin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B73ABF" w:rsidRDefault="00FB4F99" w:rsidP="0072027F">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FB4F99" w:rsidRDefault="00FB4F99" w:rsidP="0072027F">
    <w:pPr>
      <w:pStyle w:val="Header"/>
      <w:bidi/>
      <w:rPr>
        <w:rStyle w:val="PageNumber"/>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6371A4">
      <w:rPr>
        <w:rStyle w:val="PageNumber"/>
        <w:noProof/>
        <w:szCs w:val="22"/>
      </w:rPr>
      <w:t>2</w:t>
    </w:r>
    <w:r w:rsidRPr="005826AB">
      <w:rPr>
        <w:rStyle w:val="PageNumber"/>
        <w:szCs w:val="22"/>
      </w:rPr>
      <w:fldChar w:fldCharType="end"/>
    </w:r>
  </w:p>
  <w:p w:rsidR="00FB4F99" w:rsidRPr="0072027F" w:rsidRDefault="00FB4F99" w:rsidP="000C096B">
    <w:pPr>
      <w:pStyle w:val="Header"/>
      <w:bidi/>
      <w:rPr>
        <w:rStyle w:val="PageNumber"/>
        <w:rFonts w:ascii="Arabic Typesetting" w:hAnsi="Arabic Typesetting" w:cs="Arabic Typesetting"/>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B73ABF" w:rsidRDefault="00FB4F99" w:rsidP="00E56204">
    <w:pPr>
      <w:pStyle w:val="Header"/>
      <w:tabs>
        <w:tab w:val="clear" w:pos="4536"/>
        <w:tab w:val="clear" w:pos="9072"/>
      </w:tabs>
      <w:bidi/>
      <w:ind w:left="4" w:right="220"/>
      <w:rPr>
        <w:rFonts w:ascii="Arabic Typesetting" w:hAnsi="Arabic Typesetting" w:cs="Arabic Typesetting"/>
        <w:b/>
        <w:bCs/>
        <w:sz w:val="32"/>
        <w:szCs w:val="32"/>
        <w:rtl/>
        <w:lang w:val="fr-CH" w:bidi="ar-LB"/>
      </w:rPr>
    </w:pPr>
    <w:r w:rsidRPr="003C0687">
      <w:rPr>
        <w:rFonts w:ascii="Arabic Typesetting" w:hAnsi="Arabic Typesetting" w:cs="Arabic Typesetting"/>
        <w:b/>
        <w:bCs/>
        <w:sz w:val="32"/>
        <w:szCs w:val="32"/>
        <w:rtl/>
        <w:lang w:val="fr-CH" w:bidi="ar-LB"/>
      </w:rPr>
      <w:t>التقرير المالي السنوي والبيانات المالية السنوية لعام 2012</w:t>
    </w:r>
  </w:p>
  <w:p w:rsidR="00FB4F99" w:rsidRPr="00575558" w:rsidRDefault="00FB4F99" w:rsidP="00E56204">
    <w:pPr>
      <w:pStyle w:val="Header"/>
      <w:tabs>
        <w:tab w:val="clear" w:pos="9072"/>
      </w:tabs>
      <w:bidi/>
      <w:ind w:right="142"/>
      <w:rPr>
        <w:rFonts w:ascii="Arabic Typesetting" w:hAnsi="Arabic Typesetting" w:cs="Arabic Typesetting"/>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6371A4">
      <w:rPr>
        <w:rStyle w:val="PageNumber"/>
        <w:noProof/>
        <w:szCs w:val="22"/>
      </w:rPr>
      <w:t>36</w:t>
    </w:r>
    <w:r w:rsidRPr="005826AB">
      <w:rPr>
        <w:rStyle w:val="PageNumber"/>
        <w:szCs w:val="22"/>
      </w:rPr>
      <w:fldChar w:fldCharType="end"/>
    </w:r>
  </w:p>
  <w:p w:rsidR="00FB4F99" w:rsidRPr="00CE6F0F" w:rsidRDefault="00FB4F99" w:rsidP="00E16243">
    <w:pPr>
      <w:pStyle w:val="Header"/>
      <w:tabs>
        <w:tab w:val="clear" w:pos="4536"/>
        <w:tab w:val="clear" w:pos="9072"/>
      </w:tabs>
      <w:ind w:left="4" w:right="220"/>
      <w:jc w:val="right"/>
      <w:rPr>
        <w:rFonts w:ascii="Arabic Typesetting" w:hAnsi="Arabic Typesetting" w:cs="Arabic Typesetting"/>
        <w:b/>
        <w:bCs/>
        <w:sz w:val="32"/>
        <w:szCs w:val="32"/>
        <w:lang w:val="fr-CH" w:bidi="ar-L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B73ABF" w:rsidRDefault="00FB4F99" w:rsidP="00A255DD">
    <w:pPr>
      <w:pStyle w:val="Header"/>
      <w:tabs>
        <w:tab w:val="clear" w:pos="4536"/>
        <w:tab w:val="clear" w:pos="9072"/>
      </w:tabs>
      <w:bidi/>
      <w:ind w:left="4" w:right="220"/>
      <w:rPr>
        <w:rFonts w:ascii="Arabic Typesetting" w:hAnsi="Arabic Typesetting" w:cs="Arabic Typesetting"/>
        <w:b/>
        <w:bCs/>
        <w:sz w:val="32"/>
        <w:szCs w:val="32"/>
        <w:rtl/>
        <w:lang w:val="fr-CH" w:bidi="ar-LB"/>
      </w:rPr>
    </w:pPr>
    <w:r>
      <w:rPr>
        <w:rFonts w:ascii="Arabic Typesetting" w:hAnsi="Arabic Typesetting" w:cs="Arabic Typesetting" w:hint="cs"/>
        <w:b/>
        <w:bCs/>
        <w:sz w:val="32"/>
        <w:szCs w:val="32"/>
        <w:rtl/>
        <w:lang w:val="fr-CH" w:bidi="ar-LB"/>
      </w:rPr>
      <w:t>التقرير المالي السنوي و</w:t>
    </w:r>
    <w:r w:rsidRPr="00B73ABF">
      <w:rPr>
        <w:rFonts w:ascii="Arabic Typesetting" w:hAnsi="Arabic Typesetting" w:cs="Arabic Typesetting" w:hint="cs"/>
        <w:b/>
        <w:bCs/>
        <w:sz w:val="32"/>
        <w:szCs w:val="32"/>
        <w:rtl/>
        <w:lang w:val="fr-CH" w:bidi="ar-LB"/>
      </w:rPr>
      <w:t xml:space="preserve">البيانات المالية </w:t>
    </w:r>
    <w:r>
      <w:rPr>
        <w:rFonts w:ascii="Arabic Typesetting" w:hAnsi="Arabic Typesetting" w:cs="Arabic Typesetting" w:hint="cs"/>
        <w:b/>
        <w:bCs/>
        <w:sz w:val="32"/>
        <w:szCs w:val="32"/>
        <w:rtl/>
        <w:lang w:val="fr-CH" w:bidi="ar-LB"/>
      </w:rPr>
      <w:t>لسنة</w:t>
    </w:r>
    <w:r w:rsidRPr="00B73ABF">
      <w:rPr>
        <w:rFonts w:ascii="Arabic Typesetting" w:hAnsi="Arabic Typesetting" w:cs="Arabic Typesetting" w:hint="cs"/>
        <w:b/>
        <w:bCs/>
        <w:sz w:val="32"/>
        <w:szCs w:val="32"/>
        <w:rtl/>
        <w:lang w:val="fr-CH" w:bidi="ar-LB"/>
      </w:rPr>
      <w:t xml:space="preserve"> </w:t>
    </w:r>
    <w:r>
      <w:rPr>
        <w:rFonts w:ascii="Arabic Typesetting" w:hAnsi="Arabic Typesetting" w:cs="Arabic Typesetting" w:hint="cs"/>
        <w:b/>
        <w:bCs/>
        <w:sz w:val="32"/>
        <w:szCs w:val="32"/>
        <w:rtl/>
        <w:lang w:val="fr-CH" w:bidi="ar-LB"/>
      </w:rPr>
      <w:t>2012</w:t>
    </w:r>
  </w:p>
  <w:p w:rsidR="00FB4F99" w:rsidRPr="006E5D68" w:rsidRDefault="00FB4F99" w:rsidP="00A255DD">
    <w:pPr>
      <w:pStyle w:val="Header"/>
      <w:bidi/>
      <w:rPr>
        <w:rStyle w:val="PageNumber"/>
        <w:rFonts w:ascii="Arabic Typesetting" w:hAnsi="Arabic Typesetting" w:cs="Arabic Typesetting"/>
        <w:szCs w:val="22"/>
        <w:rtl/>
      </w:rPr>
    </w:pPr>
    <w:r w:rsidRPr="005826AB">
      <w:rPr>
        <w:rStyle w:val="PageNumber"/>
        <w:szCs w:val="22"/>
      </w:rPr>
      <w:fldChar w:fldCharType="begin"/>
    </w:r>
    <w:r w:rsidRPr="005826AB">
      <w:rPr>
        <w:rStyle w:val="PageNumber"/>
        <w:szCs w:val="22"/>
      </w:rPr>
      <w:instrText xml:space="preserve"> PAGE </w:instrText>
    </w:r>
    <w:r w:rsidRPr="005826AB">
      <w:rPr>
        <w:rStyle w:val="PageNumber"/>
        <w:szCs w:val="22"/>
      </w:rPr>
      <w:fldChar w:fldCharType="separate"/>
    </w:r>
    <w:r w:rsidR="006371A4">
      <w:rPr>
        <w:rStyle w:val="PageNumber"/>
        <w:noProof/>
        <w:szCs w:val="22"/>
      </w:rPr>
      <w:t>58</w:t>
    </w:r>
    <w:r w:rsidRPr="005826AB">
      <w:rPr>
        <w:rStyle w:val="PageNumber"/>
        <w:szCs w:val="22"/>
      </w:rPr>
      <w:fldChar w:fldCharType="end"/>
    </w:r>
  </w:p>
  <w:p w:rsidR="00FB4F99" w:rsidRPr="005826AB" w:rsidRDefault="00FB4F99" w:rsidP="006E5D68">
    <w:pPr>
      <w:pStyle w:val="Header"/>
      <w:bidi/>
      <w:rPr>
        <w:rFonts w:ascii="Arabic Typesetting" w:hAnsi="Arabic Typesetting" w:cs="Arabic Typesetting"/>
        <w:b/>
        <w:bCs/>
        <w:szCs w:val="22"/>
        <w:rtl/>
        <w:lang w:val="fr-CH" w:bidi="ar-L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99" w:rsidRPr="00E16243" w:rsidRDefault="00FB4F99" w:rsidP="007E6A8A">
    <w:pPr>
      <w:bidi/>
      <w:jc w:val="right"/>
      <w:rPr>
        <w:rFonts w:ascii="Arabic Typesetting" w:hAnsi="Arabic Typesetting" w:cs="Arabic Typesetting"/>
        <w:b/>
        <w:bCs/>
        <w:sz w:val="28"/>
        <w:szCs w:val="28"/>
        <w:rtl/>
      </w:rPr>
    </w:pPr>
    <w:r w:rsidRPr="00E16243">
      <w:rPr>
        <w:rFonts w:ascii="Arabic Typesetting" w:hAnsi="Arabic Typesetting" w:cs="Arabic Typesetting"/>
        <w:b/>
        <w:bCs/>
        <w:sz w:val="28"/>
        <w:szCs w:val="28"/>
        <w:rtl/>
      </w:rPr>
      <w:t>التقرير المالي السنوي والبيانات المالية السنوية لعام 2012</w:t>
    </w:r>
  </w:p>
  <w:p w:rsidR="00FB4F99" w:rsidRPr="00E56204" w:rsidRDefault="00FB4F99" w:rsidP="00E56204">
    <w:pPr>
      <w:pStyle w:val="Header"/>
      <w:bidi/>
      <w:jc w:val="right"/>
      <w:rPr>
        <w:rStyle w:val="PageNumber"/>
        <w:szCs w:val="22"/>
        <w:rtl/>
      </w:rPr>
    </w:pPr>
    <w:r w:rsidRPr="00E56204">
      <w:rPr>
        <w:rStyle w:val="PageNumber"/>
        <w:szCs w:val="22"/>
      </w:rPr>
      <w:fldChar w:fldCharType="begin"/>
    </w:r>
    <w:r w:rsidRPr="00E56204">
      <w:rPr>
        <w:rStyle w:val="PageNumber"/>
        <w:szCs w:val="22"/>
      </w:rPr>
      <w:instrText xml:space="preserve"> PAGE   \* MERGEFORMAT </w:instrText>
    </w:r>
    <w:r w:rsidRPr="00E56204">
      <w:rPr>
        <w:rStyle w:val="PageNumber"/>
        <w:szCs w:val="22"/>
      </w:rPr>
      <w:fldChar w:fldCharType="separate"/>
    </w:r>
    <w:r w:rsidR="006371A4">
      <w:rPr>
        <w:rStyle w:val="PageNumber"/>
        <w:noProof/>
        <w:szCs w:val="22"/>
      </w:rPr>
      <w:t>57</w:t>
    </w:r>
    <w:r w:rsidRPr="00E56204">
      <w:rPr>
        <w:rStyle w:val="PageNumber"/>
        <w:szCs w:val="22"/>
      </w:rPr>
      <w:fldChar w:fldCharType="end"/>
    </w:r>
  </w:p>
  <w:p w:rsidR="00FB4F99" w:rsidRPr="00635449" w:rsidRDefault="00FB4F99">
    <w:pPr>
      <w:pStyle w:val="Header"/>
      <w:rPr>
        <w:rFonts w:ascii="Arabic Typesetting" w:hAnsi="Arabic Typesetting" w:cs="Arabic Typesett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D5ACA414"/>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2172680"/>
    <w:multiLevelType w:val="hybridMultilevel"/>
    <w:tmpl w:val="13726202"/>
    <w:lvl w:ilvl="0" w:tplc="5388F2CC">
      <w:start w:val="1"/>
      <w:numFmt w:val="bullet"/>
      <w:lvlText w:val=""/>
      <w:lvlJc w:val="left"/>
      <w:pPr>
        <w:tabs>
          <w:tab w:val="num" w:pos="566"/>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F678F8"/>
    <w:multiLevelType w:val="hybridMultilevel"/>
    <w:tmpl w:val="1BD62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6C33A7"/>
    <w:multiLevelType w:val="hybridMultilevel"/>
    <w:tmpl w:val="B6EAD180"/>
    <w:lvl w:ilvl="0" w:tplc="D5E655D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0EC339A"/>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59A4E29"/>
    <w:multiLevelType w:val="hybridMultilevel"/>
    <w:tmpl w:val="6D5A9106"/>
    <w:lvl w:ilvl="0" w:tplc="399A588A">
      <w:start w:val="1"/>
      <w:numFmt w:val="bullet"/>
      <w:lvlText w:val=""/>
      <w:lvlJc w:val="left"/>
      <w:pPr>
        <w:tabs>
          <w:tab w:val="num" w:pos="1145"/>
        </w:tabs>
        <w:ind w:left="1145" w:hanging="360"/>
      </w:pPr>
      <w:rPr>
        <w:rFonts w:ascii="Wingdings" w:hAnsi="Wingdings" w:hint="default"/>
        <w:sz w:val="20"/>
        <w:szCs w:val="20"/>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25E87973"/>
    <w:multiLevelType w:val="hybridMultilevel"/>
    <w:tmpl w:val="5A7E15F4"/>
    <w:lvl w:ilvl="0" w:tplc="FDA0654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3C3C1E"/>
    <w:multiLevelType w:val="multilevel"/>
    <w:tmpl w:val="C8727990"/>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0623A7"/>
    <w:multiLevelType w:val="hybridMultilevel"/>
    <w:tmpl w:val="AEB4D0A2"/>
    <w:lvl w:ilvl="0" w:tplc="62E0C1C4">
      <w:start w:val="1"/>
      <w:numFmt w:val="bullet"/>
      <w:lvlText w:val=""/>
      <w:lvlJc w:val="left"/>
      <w:pPr>
        <w:ind w:left="1068" w:hanging="360"/>
      </w:pPr>
      <w:rPr>
        <w:rFonts w:ascii="Wingdings" w:hAnsi="Wingdings" w:hint="default"/>
        <w:sz w:val="24"/>
        <w:szCs w:val="24"/>
        <w:lang w:bidi="ar-SA"/>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41F04973"/>
    <w:multiLevelType w:val="hybridMultilevel"/>
    <w:tmpl w:val="8C1A65EC"/>
    <w:lvl w:ilvl="0" w:tplc="96248644">
      <w:start w:val="1"/>
      <w:numFmt w:val="bullet"/>
      <w:lvlText w:val=""/>
      <w:lvlJc w:val="left"/>
      <w:pPr>
        <w:tabs>
          <w:tab w:val="num" w:pos="0"/>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E5B3A21"/>
    <w:multiLevelType w:val="hybridMultilevel"/>
    <w:tmpl w:val="71263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383DFF"/>
    <w:multiLevelType w:val="multilevel"/>
    <w:tmpl w:val="30EC5EE8"/>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4B3013F"/>
    <w:multiLevelType w:val="hybridMultilevel"/>
    <w:tmpl w:val="47503A1E"/>
    <w:lvl w:ilvl="0" w:tplc="0400E99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A635A4"/>
    <w:multiLevelType w:val="hybridMultilevel"/>
    <w:tmpl w:val="15B2ABC8"/>
    <w:lvl w:ilvl="0" w:tplc="C71CF22A">
      <w:start w:val="1"/>
      <w:numFmt w:val="bullet"/>
      <w:lvlText w:val=""/>
      <w:lvlJc w:val="left"/>
      <w:pPr>
        <w:tabs>
          <w:tab w:val="num" w:pos="566"/>
        </w:tabs>
        <w:ind w:left="56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FE6534"/>
    <w:multiLevelType w:val="multilevel"/>
    <w:tmpl w:val="15B2ABC8"/>
    <w:lvl w:ilvl="0">
      <w:start w:val="1"/>
      <w:numFmt w:val="bullet"/>
      <w:lvlText w:val=""/>
      <w:lvlJc w:val="left"/>
      <w:pPr>
        <w:tabs>
          <w:tab w:val="num" w:pos="566"/>
        </w:tabs>
        <w:ind w:left="566"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nsid w:val="70D267B7"/>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7D3377"/>
    <w:multiLevelType w:val="multilevel"/>
    <w:tmpl w:val="4A8AF22E"/>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decimal"/>
      <w:lvlText w:val="%2."/>
      <w:lvlJc w:val="left"/>
      <w:pPr>
        <w:tabs>
          <w:tab w:val="num" w:pos="1647"/>
        </w:tabs>
      </w:pPr>
      <w:rPr>
        <w:rFonts w:ascii="Arabic Typesetting" w:hAnsi="Arabic Typesetting" w:cs="Arabic Typesetting"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31"/>
  </w:num>
  <w:num w:numId="5">
    <w:abstractNumId w:val="8"/>
  </w:num>
  <w:num w:numId="6">
    <w:abstractNumId w:val="34"/>
  </w:num>
  <w:num w:numId="7">
    <w:abstractNumId w:val="19"/>
  </w:num>
  <w:num w:numId="8">
    <w:abstractNumId w:val="28"/>
  </w:num>
  <w:num w:numId="9">
    <w:abstractNumId w:val="26"/>
  </w:num>
  <w:num w:numId="10">
    <w:abstractNumId w:val="35"/>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7"/>
  </w:num>
  <w:num w:numId="22">
    <w:abstractNumId w:val="17"/>
  </w:num>
  <w:num w:numId="23">
    <w:abstractNumId w:val="13"/>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8"/>
    <w:lvlOverride w:ilvl="0">
      <w:startOverride w:val="1"/>
    </w:lvlOverride>
  </w:num>
  <w:num w:numId="28">
    <w:abstractNumId w:val="20"/>
  </w:num>
  <w:num w:numId="29">
    <w:abstractNumId w:val="25"/>
  </w:num>
  <w:num w:numId="30">
    <w:abstractNumId w:val="16"/>
  </w:num>
  <w:num w:numId="31">
    <w:abstractNumId w:val="33"/>
  </w:num>
  <w:num w:numId="32">
    <w:abstractNumId w:val="18"/>
    <w:lvlOverride w:ilvl="0">
      <w:startOverride w:val="1"/>
    </w:lvlOverride>
  </w:num>
  <w:num w:numId="33">
    <w:abstractNumId w:val="29"/>
  </w:num>
  <w:num w:numId="34">
    <w:abstractNumId w:val="30"/>
  </w:num>
  <w:num w:numId="35">
    <w:abstractNumId w:val="22"/>
  </w:num>
  <w:num w:numId="36">
    <w:abstractNumId w:val="11"/>
  </w:num>
  <w:num w:numId="37">
    <w:abstractNumId w:val="12"/>
  </w:num>
  <w:num w:numId="38">
    <w:abstractNumId w:val="24"/>
  </w:num>
  <w:num w:numId="39">
    <w:abstractNumId w:val="21"/>
  </w:num>
  <w:num w:numId="40">
    <w:abstractNumId w:val="18"/>
    <w:lvlOverride w:ilvl="0">
      <w:startOverride w:val="1"/>
    </w:lvlOverride>
  </w:num>
  <w:num w:numId="4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A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705"/>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96B"/>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07B7"/>
    <w:rsid w:val="000E16EB"/>
    <w:rsid w:val="000E591F"/>
    <w:rsid w:val="000E5A23"/>
    <w:rsid w:val="000E6045"/>
    <w:rsid w:val="000E7872"/>
    <w:rsid w:val="000F0772"/>
    <w:rsid w:val="000F0BE5"/>
    <w:rsid w:val="000F0C49"/>
    <w:rsid w:val="000F0F0D"/>
    <w:rsid w:val="000F1B52"/>
    <w:rsid w:val="000F1C70"/>
    <w:rsid w:val="000F1EAA"/>
    <w:rsid w:val="000F30D5"/>
    <w:rsid w:val="000F33C5"/>
    <w:rsid w:val="000F3ACF"/>
    <w:rsid w:val="000F49FA"/>
    <w:rsid w:val="000F58C4"/>
    <w:rsid w:val="000F5E56"/>
    <w:rsid w:val="000F70F9"/>
    <w:rsid w:val="001007AB"/>
    <w:rsid w:val="00100DB8"/>
    <w:rsid w:val="00100F97"/>
    <w:rsid w:val="001012E0"/>
    <w:rsid w:val="001016F2"/>
    <w:rsid w:val="001024C1"/>
    <w:rsid w:val="0010385D"/>
    <w:rsid w:val="001042E0"/>
    <w:rsid w:val="00104C51"/>
    <w:rsid w:val="001051A8"/>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318"/>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19A"/>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8A5"/>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877"/>
    <w:rsid w:val="0021604B"/>
    <w:rsid w:val="00216545"/>
    <w:rsid w:val="00220227"/>
    <w:rsid w:val="0022176B"/>
    <w:rsid w:val="00222760"/>
    <w:rsid w:val="00222782"/>
    <w:rsid w:val="0022360A"/>
    <w:rsid w:val="00223E99"/>
    <w:rsid w:val="00224785"/>
    <w:rsid w:val="00226B82"/>
    <w:rsid w:val="00226DAE"/>
    <w:rsid w:val="00227103"/>
    <w:rsid w:val="00230249"/>
    <w:rsid w:val="00230D5F"/>
    <w:rsid w:val="00231BE3"/>
    <w:rsid w:val="00232C51"/>
    <w:rsid w:val="00233414"/>
    <w:rsid w:val="00233D69"/>
    <w:rsid w:val="00234E82"/>
    <w:rsid w:val="00235C9D"/>
    <w:rsid w:val="00236C92"/>
    <w:rsid w:val="002412D4"/>
    <w:rsid w:val="0024220D"/>
    <w:rsid w:val="00242BD3"/>
    <w:rsid w:val="00242C02"/>
    <w:rsid w:val="00243155"/>
    <w:rsid w:val="00246E87"/>
    <w:rsid w:val="00247783"/>
    <w:rsid w:val="00250812"/>
    <w:rsid w:val="0025172C"/>
    <w:rsid w:val="00252CF8"/>
    <w:rsid w:val="00252E2E"/>
    <w:rsid w:val="00253210"/>
    <w:rsid w:val="0025353E"/>
    <w:rsid w:val="00253DE1"/>
    <w:rsid w:val="0025425F"/>
    <w:rsid w:val="00254468"/>
    <w:rsid w:val="00254DE4"/>
    <w:rsid w:val="002559DA"/>
    <w:rsid w:val="00256955"/>
    <w:rsid w:val="0026071A"/>
    <w:rsid w:val="002611F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869C3"/>
    <w:rsid w:val="00286D86"/>
    <w:rsid w:val="002909B9"/>
    <w:rsid w:val="00292CEE"/>
    <w:rsid w:val="00292D22"/>
    <w:rsid w:val="0029470D"/>
    <w:rsid w:val="00297B80"/>
    <w:rsid w:val="002A076C"/>
    <w:rsid w:val="002A1059"/>
    <w:rsid w:val="002A30CE"/>
    <w:rsid w:val="002A3C9D"/>
    <w:rsid w:val="002A5403"/>
    <w:rsid w:val="002A6C9F"/>
    <w:rsid w:val="002A77F3"/>
    <w:rsid w:val="002B0110"/>
    <w:rsid w:val="002B14F0"/>
    <w:rsid w:val="002B1F0F"/>
    <w:rsid w:val="002B53D3"/>
    <w:rsid w:val="002B6202"/>
    <w:rsid w:val="002C014C"/>
    <w:rsid w:val="002C060C"/>
    <w:rsid w:val="002C0BA6"/>
    <w:rsid w:val="002C12A7"/>
    <w:rsid w:val="002C2957"/>
    <w:rsid w:val="002C2B6F"/>
    <w:rsid w:val="002C314F"/>
    <w:rsid w:val="002C4AD1"/>
    <w:rsid w:val="002C7D29"/>
    <w:rsid w:val="002D0298"/>
    <w:rsid w:val="002D1662"/>
    <w:rsid w:val="002D1DE5"/>
    <w:rsid w:val="002D3506"/>
    <w:rsid w:val="002D3670"/>
    <w:rsid w:val="002D4807"/>
    <w:rsid w:val="002D5229"/>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2D6B"/>
    <w:rsid w:val="00314E12"/>
    <w:rsid w:val="003166A5"/>
    <w:rsid w:val="00316C8C"/>
    <w:rsid w:val="003174C2"/>
    <w:rsid w:val="003179A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374"/>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6A3"/>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53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687"/>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7484"/>
    <w:rsid w:val="00410B8F"/>
    <w:rsid w:val="00411F21"/>
    <w:rsid w:val="00412057"/>
    <w:rsid w:val="004126C1"/>
    <w:rsid w:val="00413BA5"/>
    <w:rsid w:val="00414FD0"/>
    <w:rsid w:val="00417C97"/>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2FC1"/>
    <w:rsid w:val="004647BB"/>
    <w:rsid w:val="0046482B"/>
    <w:rsid w:val="004648E0"/>
    <w:rsid w:val="0046500D"/>
    <w:rsid w:val="0046638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FEE"/>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222"/>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8A6"/>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0C38"/>
    <w:rsid w:val="005728C8"/>
    <w:rsid w:val="005733AD"/>
    <w:rsid w:val="0057381A"/>
    <w:rsid w:val="00573ABD"/>
    <w:rsid w:val="00574B91"/>
    <w:rsid w:val="00574E5C"/>
    <w:rsid w:val="005750F7"/>
    <w:rsid w:val="0057512C"/>
    <w:rsid w:val="00575558"/>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1C9"/>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13"/>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449"/>
    <w:rsid w:val="00635A2A"/>
    <w:rsid w:val="00636A63"/>
    <w:rsid w:val="00636C79"/>
    <w:rsid w:val="00636DCB"/>
    <w:rsid w:val="00636DE3"/>
    <w:rsid w:val="00636F89"/>
    <w:rsid w:val="0063700D"/>
    <w:rsid w:val="006371A4"/>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5C8"/>
    <w:rsid w:val="006A20FB"/>
    <w:rsid w:val="006A25B6"/>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3F5"/>
    <w:rsid w:val="006C480B"/>
    <w:rsid w:val="006C570B"/>
    <w:rsid w:val="006C572E"/>
    <w:rsid w:val="006C5997"/>
    <w:rsid w:val="006C5CD2"/>
    <w:rsid w:val="006D0636"/>
    <w:rsid w:val="006D06DC"/>
    <w:rsid w:val="006D1F1C"/>
    <w:rsid w:val="006D6E46"/>
    <w:rsid w:val="006D7FA8"/>
    <w:rsid w:val="006E1BE9"/>
    <w:rsid w:val="006E2EA1"/>
    <w:rsid w:val="006E4601"/>
    <w:rsid w:val="006E4DDF"/>
    <w:rsid w:val="006E5B86"/>
    <w:rsid w:val="006E5D68"/>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27F"/>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749"/>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A8A"/>
    <w:rsid w:val="007E7997"/>
    <w:rsid w:val="007E7B47"/>
    <w:rsid w:val="007F04EF"/>
    <w:rsid w:val="007F342F"/>
    <w:rsid w:val="007F38D1"/>
    <w:rsid w:val="007F56BB"/>
    <w:rsid w:val="007F63CE"/>
    <w:rsid w:val="007F6EA4"/>
    <w:rsid w:val="007F7DF9"/>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C35"/>
    <w:rsid w:val="00815BDA"/>
    <w:rsid w:val="00815C5D"/>
    <w:rsid w:val="0081618F"/>
    <w:rsid w:val="008174D1"/>
    <w:rsid w:val="008178B2"/>
    <w:rsid w:val="00821049"/>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2A7"/>
    <w:rsid w:val="00847622"/>
    <w:rsid w:val="00847A27"/>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442"/>
    <w:rsid w:val="00882931"/>
    <w:rsid w:val="00884939"/>
    <w:rsid w:val="00884A28"/>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49D1"/>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4AD"/>
    <w:rsid w:val="008C7736"/>
    <w:rsid w:val="008D0948"/>
    <w:rsid w:val="008D311C"/>
    <w:rsid w:val="008D31D2"/>
    <w:rsid w:val="008D3CC5"/>
    <w:rsid w:val="008D564A"/>
    <w:rsid w:val="008D5E47"/>
    <w:rsid w:val="008D7D8C"/>
    <w:rsid w:val="008E004E"/>
    <w:rsid w:val="008E04FB"/>
    <w:rsid w:val="008E3E4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96F"/>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9F7"/>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FDF"/>
    <w:rsid w:val="009A41C7"/>
    <w:rsid w:val="009A4F5A"/>
    <w:rsid w:val="009A5C82"/>
    <w:rsid w:val="009B010D"/>
    <w:rsid w:val="009B0AAB"/>
    <w:rsid w:val="009B0D3E"/>
    <w:rsid w:val="009B2AD1"/>
    <w:rsid w:val="009B3224"/>
    <w:rsid w:val="009B3A61"/>
    <w:rsid w:val="009B528E"/>
    <w:rsid w:val="009B54FE"/>
    <w:rsid w:val="009B5613"/>
    <w:rsid w:val="009B77DD"/>
    <w:rsid w:val="009C13BF"/>
    <w:rsid w:val="009C2943"/>
    <w:rsid w:val="009C4B2C"/>
    <w:rsid w:val="009C4CB3"/>
    <w:rsid w:val="009C4F15"/>
    <w:rsid w:val="009C511C"/>
    <w:rsid w:val="009C5416"/>
    <w:rsid w:val="009C587B"/>
    <w:rsid w:val="009C64C5"/>
    <w:rsid w:val="009C6F87"/>
    <w:rsid w:val="009C7166"/>
    <w:rsid w:val="009C742C"/>
    <w:rsid w:val="009D1F1D"/>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BD0"/>
    <w:rsid w:val="009F2C2E"/>
    <w:rsid w:val="009F4190"/>
    <w:rsid w:val="009F429C"/>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28CB"/>
    <w:rsid w:val="00A255D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658"/>
    <w:rsid w:val="00A46A1E"/>
    <w:rsid w:val="00A470AA"/>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6D7"/>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CF3"/>
    <w:rsid w:val="00AC2FD0"/>
    <w:rsid w:val="00AC3DBD"/>
    <w:rsid w:val="00AC5E85"/>
    <w:rsid w:val="00AD03D8"/>
    <w:rsid w:val="00AD0D5F"/>
    <w:rsid w:val="00AD34CF"/>
    <w:rsid w:val="00AD36C8"/>
    <w:rsid w:val="00AD37C9"/>
    <w:rsid w:val="00AD43FA"/>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CBF"/>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6A4"/>
    <w:rsid w:val="00BE7F5D"/>
    <w:rsid w:val="00BF0707"/>
    <w:rsid w:val="00BF164F"/>
    <w:rsid w:val="00BF1AAF"/>
    <w:rsid w:val="00BF268B"/>
    <w:rsid w:val="00BF4D03"/>
    <w:rsid w:val="00BF4E85"/>
    <w:rsid w:val="00BF54BD"/>
    <w:rsid w:val="00BF5892"/>
    <w:rsid w:val="00C01804"/>
    <w:rsid w:val="00C026BC"/>
    <w:rsid w:val="00C02AD4"/>
    <w:rsid w:val="00C03869"/>
    <w:rsid w:val="00C04878"/>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105"/>
    <w:rsid w:val="00C5294D"/>
    <w:rsid w:val="00C52F83"/>
    <w:rsid w:val="00C54C1B"/>
    <w:rsid w:val="00C54DBA"/>
    <w:rsid w:val="00C57ED3"/>
    <w:rsid w:val="00C61640"/>
    <w:rsid w:val="00C61AA7"/>
    <w:rsid w:val="00C61B8E"/>
    <w:rsid w:val="00C649DF"/>
    <w:rsid w:val="00C668DE"/>
    <w:rsid w:val="00C7044F"/>
    <w:rsid w:val="00C70927"/>
    <w:rsid w:val="00C720F8"/>
    <w:rsid w:val="00C7294B"/>
    <w:rsid w:val="00C73B1C"/>
    <w:rsid w:val="00C75139"/>
    <w:rsid w:val="00C7525C"/>
    <w:rsid w:val="00C76CF7"/>
    <w:rsid w:val="00C777B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B7D5F"/>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575"/>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61D"/>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942"/>
    <w:rsid w:val="00D91AAF"/>
    <w:rsid w:val="00D94564"/>
    <w:rsid w:val="00D9536E"/>
    <w:rsid w:val="00D97426"/>
    <w:rsid w:val="00D97568"/>
    <w:rsid w:val="00DA06B0"/>
    <w:rsid w:val="00DA29BA"/>
    <w:rsid w:val="00DA3249"/>
    <w:rsid w:val="00DA38CE"/>
    <w:rsid w:val="00DA4B01"/>
    <w:rsid w:val="00DA5322"/>
    <w:rsid w:val="00DA556A"/>
    <w:rsid w:val="00DA55AC"/>
    <w:rsid w:val="00DA5600"/>
    <w:rsid w:val="00DA608B"/>
    <w:rsid w:val="00DA7413"/>
    <w:rsid w:val="00DB0066"/>
    <w:rsid w:val="00DB0F9E"/>
    <w:rsid w:val="00DB1307"/>
    <w:rsid w:val="00DB1E1A"/>
    <w:rsid w:val="00DB2AF6"/>
    <w:rsid w:val="00DB364F"/>
    <w:rsid w:val="00DB39E7"/>
    <w:rsid w:val="00DB3B3E"/>
    <w:rsid w:val="00DB4348"/>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038"/>
    <w:rsid w:val="00DD7960"/>
    <w:rsid w:val="00DD7B0D"/>
    <w:rsid w:val="00DE1F29"/>
    <w:rsid w:val="00DE3FEB"/>
    <w:rsid w:val="00DE4905"/>
    <w:rsid w:val="00DE510C"/>
    <w:rsid w:val="00DE7822"/>
    <w:rsid w:val="00DF081A"/>
    <w:rsid w:val="00DF265D"/>
    <w:rsid w:val="00DF2EB0"/>
    <w:rsid w:val="00DF31C1"/>
    <w:rsid w:val="00DF427A"/>
    <w:rsid w:val="00DF45C5"/>
    <w:rsid w:val="00DF4D6E"/>
    <w:rsid w:val="00DF5A8C"/>
    <w:rsid w:val="00DF71D8"/>
    <w:rsid w:val="00E00CCA"/>
    <w:rsid w:val="00E01623"/>
    <w:rsid w:val="00E03FE3"/>
    <w:rsid w:val="00E06951"/>
    <w:rsid w:val="00E10C94"/>
    <w:rsid w:val="00E10EC4"/>
    <w:rsid w:val="00E118D7"/>
    <w:rsid w:val="00E13F46"/>
    <w:rsid w:val="00E15BD4"/>
    <w:rsid w:val="00E16243"/>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A71"/>
    <w:rsid w:val="00E51C5E"/>
    <w:rsid w:val="00E523FB"/>
    <w:rsid w:val="00E528AF"/>
    <w:rsid w:val="00E53629"/>
    <w:rsid w:val="00E5372C"/>
    <w:rsid w:val="00E537A9"/>
    <w:rsid w:val="00E541BF"/>
    <w:rsid w:val="00E541C7"/>
    <w:rsid w:val="00E541CD"/>
    <w:rsid w:val="00E5480C"/>
    <w:rsid w:val="00E54AB7"/>
    <w:rsid w:val="00E55131"/>
    <w:rsid w:val="00E55F3E"/>
    <w:rsid w:val="00E56204"/>
    <w:rsid w:val="00E56392"/>
    <w:rsid w:val="00E569D6"/>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0B"/>
    <w:rsid w:val="00EC664F"/>
    <w:rsid w:val="00EC6749"/>
    <w:rsid w:val="00EC72F5"/>
    <w:rsid w:val="00EC7334"/>
    <w:rsid w:val="00EC7ABD"/>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E16"/>
    <w:rsid w:val="00EF28EF"/>
    <w:rsid w:val="00EF291B"/>
    <w:rsid w:val="00EF2EB9"/>
    <w:rsid w:val="00EF36A0"/>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073"/>
    <w:rsid w:val="00F1738D"/>
    <w:rsid w:val="00F20706"/>
    <w:rsid w:val="00F21496"/>
    <w:rsid w:val="00F21E77"/>
    <w:rsid w:val="00F24D27"/>
    <w:rsid w:val="00F2520C"/>
    <w:rsid w:val="00F25BCB"/>
    <w:rsid w:val="00F25ECC"/>
    <w:rsid w:val="00F264C1"/>
    <w:rsid w:val="00F2662D"/>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BAD"/>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F99"/>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2A30CE"/>
    <w:pPr>
      <w:tabs>
        <w:tab w:val="right" w:pos="9345"/>
      </w:tabs>
      <w:bidi/>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24"/>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semiHidden/>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2A30CE"/>
    <w:pPr>
      <w:tabs>
        <w:tab w:val="right" w:pos="9345"/>
      </w:tabs>
      <w:bidi/>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header" Target="header3.xml"/><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1.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1.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7BB48-224A-4654-8525-4325B00A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61</Pages>
  <Words>16532</Words>
  <Characters>92062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WO/GA/43/2 (Arabic)</vt:lpstr>
    </vt:vector>
  </TitlesOfParts>
  <Company>World Intellectual Property Organization</Company>
  <LinksUpToDate>false</LinksUpToDate>
  <CharactersWithSpaces>108378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WO/GA/43/2 (Arabic)</dc:title>
  <dc:creator>من إعداد الأمانة</dc:creator>
  <cp:lastModifiedBy>MARIN-CUDRAZ DAVI Nicoletta</cp:lastModifiedBy>
  <cp:revision>7</cp:revision>
  <cp:lastPrinted>2013-08-01T09:13:00Z</cp:lastPrinted>
  <dcterms:created xsi:type="dcterms:W3CDTF">2013-08-01T09:17:00Z</dcterms:created>
  <dcterms:modified xsi:type="dcterms:W3CDTF">2013-08-02T07:40:00Z</dcterms:modified>
</cp:coreProperties>
</file>