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charts/chart2.xml" ContentType="application/vnd.openxmlformats-officedocument.drawingml.chart+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itleOfDoc"/>
    <w:bookmarkStart w:id="1" w:name="_Hlk161299341"/>
    <w:p w14:paraId="45E78B28" w14:textId="77777777" w:rsidR="007D2F97" w:rsidRPr="007D2F97" w:rsidRDefault="007D2F97" w:rsidP="007D2F97">
      <w:pPr>
        <w:pBdr>
          <w:bottom w:val="single" w:sz="4" w:space="10" w:color="auto"/>
        </w:pBdr>
        <w:spacing w:after="120"/>
        <w:rPr>
          <w:rFonts w:cs="Calibri"/>
          <w:b/>
          <w:sz w:val="32"/>
          <w:szCs w:val="40"/>
        </w:rPr>
      </w:pPr>
      <w:r w:rsidRPr="007D2F97">
        <w:rPr>
          <w:rFonts w:cs="Calibri"/>
          <w:b/>
          <w:noProof/>
          <w:sz w:val="32"/>
          <w:szCs w:val="40"/>
          <w:lang w:eastAsia="en-US"/>
        </w:rPr>
        <mc:AlternateContent>
          <mc:Choice Requires="wpg">
            <w:drawing>
              <wp:inline distT="0" distB="0" distL="0" distR="0" wp14:anchorId="4624B9BA" wp14:editId="09F5F09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E2A942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ED25412" w14:textId="7D8B8053" w:rsidR="007D2F97" w:rsidRPr="007D2F97" w:rsidRDefault="007D2F97" w:rsidP="007D2F97">
      <w:pPr>
        <w:rPr>
          <w:rFonts w:ascii="Arial Black" w:hAnsi="Arial Black" w:cs="Calibri"/>
          <w:caps/>
          <w:sz w:val="15"/>
          <w:szCs w:val="15"/>
        </w:rPr>
      </w:pPr>
      <w:bookmarkStart w:id="2" w:name="Original"/>
      <w:r w:rsidRPr="007D2F97">
        <w:rPr>
          <w:rFonts w:ascii="Arial Black" w:hAnsi="Arial Black" w:cs="Calibri"/>
          <w:caps/>
          <w:sz w:val="15"/>
          <w:szCs w:val="15"/>
        </w:rPr>
        <w:t>wo/cc/8</w:t>
      </w:r>
      <w:r>
        <w:rPr>
          <w:rFonts w:ascii="Arial Black" w:hAnsi="Arial Black" w:cs="Calibri"/>
          <w:caps/>
          <w:sz w:val="15"/>
          <w:szCs w:val="15"/>
        </w:rPr>
        <w:t>4</w:t>
      </w:r>
      <w:r w:rsidRPr="007D2F97">
        <w:rPr>
          <w:rFonts w:ascii="Arial Black" w:hAnsi="Arial Black" w:cs="Calibri"/>
          <w:caps/>
          <w:sz w:val="15"/>
          <w:szCs w:val="15"/>
        </w:rPr>
        <w:t>/</w:t>
      </w:r>
      <w:r>
        <w:rPr>
          <w:rFonts w:ascii="Arial Black" w:hAnsi="Arial Black" w:cs="Calibri"/>
          <w:caps/>
          <w:sz w:val="15"/>
          <w:szCs w:val="15"/>
        </w:rPr>
        <w:t>inf/</w:t>
      </w:r>
      <w:r w:rsidR="009F158D">
        <w:rPr>
          <w:rFonts w:ascii="Arial Black" w:hAnsi="Arial Black" w:cs="Calibri"/>
          <w:caps/>
          <w:sz w:val="15"/>
          <w:szCs w:val="15"/>
        </w:rPr>
        <w:t>2</w:t>
      </w:r>
    </w:p>
    <w:p w14:paraId="45F02EE0" w14:textId="77777777" w:rsidR="007D2F97" w:rsidRPr="007D2F97" w:rsidRDefault="007D2F97" w:rsidP="007D2F97">
      <w:pPr>
        <w:rPr>
          <w:rFonts w:asciiTheme="minorHAnsi" w:hAnsiTheme="minorHAnsi" w:cs="Calibri"/>
          <w:caps/>
          <w:sz w:val="15"/>
          <w:szCs w:val="15"/>
        </w:rPr>
      </w:pPr>
      <w:r w:rsidRPr="007D2F97">
        <w:rPr>
          <w:rFonts w:asciiTheme="minorHAnsi" w:hAnsiTheme="minorHAnsi" w:cs="Calibri" w:hint="cs"/>
          <w:b/>
          <w:bCs/>
          <w:caps/>
          <w:sz w:val="15"/>
          <w:szCs w:val="15"/>
          <w:rtl/>
        </w:rPr>
        <w:t>الأصل: بالإنكليزية</w:t>
      </w:r>
    </w:p>
    <w:p w14:paraId="2A431647" w14:textId="0A944E73" w:rsidR="007D2F97" w:rsidRPr="007D2F97" w:rsidRDefault="007D2F97" w:rsidP="007D2F97">
      <w:pPr>
        <w:spacing w:after="1200"/>
        <w:rPr>
          <w:rFonts w:asciiTheme="minorHAnsi" w:hAnsiTheme="minorHAnsi" w:cs="Calibri"/>
          <w:b/>
          <w:bCs/>
          <w:caps/>
          <w:sz w:val="15"/>
          <w:szCs w:val="15"/>
          <w:rtl/>
          <w:lang w:bidi="ar-LB"/>
        </w:rPr>
      </w:pPr>
      <w:bookmarkStart w:id="3" w:name="Date"/>
      <w:bookmarkEnd w:id="2"/>
      <w:r w:rsidRPr="007D2F97">
        <w:rPr>
          <w:rFonts w:asciiTheme="minorHAnsi" w:hAnsiTheme="minorHAnsi" w:cs="Calibri" w:hint="cs"/>
          <w:b/>
          <w:bCs/>
          <w:caps/>
          <w:sz w:val="15"/>
          <w:szCs w:val="15"/>
          <w:rtl/>
        </w:rPr>
        <w:t xml:space="preserve">التاريخ: </w:t>
      </w:r>
      <w:r>
        <w:rPr>
          <w:rFonts w:asciiTheme="minorHAnsi" w:hAnsiTheme="minorHAnsi" w:cs="Calibri" w:hint="cs"/>
          <w:b/>
          <w:bCs/>
          <w:caps/>
          <w:sz w:val="15"/>
          <w:szCs w:val="15"/>
          <w:rtl/>
        </w:rPr>
        <w:t xml:space="preserve">7 أبريل </w:t>
      </w:r>
      <w:r w:rsidRPr="007D2F97">
        <w:rPr>
          <w:rFonts w:asciiTheme="minorHAnsi" w:hAnsiTheme="minorHAnsi" w:cs="Calibri" w:hint="cs"/>
          <w:b/>
          <w:bCs/>
          <w:caps/>
          <w:sz w:val="15"/>
          <w:szCs w:val="15"/>
          <w:rtl/>
        </w:rPr>
        <w:t>202</w:t>
      </w:r>
      <w:r>
        <w:rPr>
          <w:rFonts w:asciiTheme="minorHAnsi" w:hAnsiTheme="minorHAnsi" w:cs="Calibri" w:hint="cs"/>
          <w:b/>
          <w:bCs/>
          <w:caps/>
          <w:sz w:val="15"/>
          <w:szCs w:val="15"/>
          <w:rtl/>
        </w:rPr>
        <w:t>5</w:t>
      </w:r>
    </w:p>
    <w:bookmarkEnd w:id="3"/>
    <w:p w14:paraId="6ABA5F88" w14:textId="77777777" w:rsidR="007D2F97" w:rsidRPr="007D2F97" w:rsidRDefault="007D2F97" w:rsidP="007D2F97">
      <w:pPr>
        <w:bidi/>
        <w:outlineLvl w:val="1"/>
        <w:rPr>
          <w:rFonts w:cs="Calibri"/>
          <w:b/>
          <w:bCs/>
          <w:caps/>
          <w:kern w:val="32"/>
          <w:sz w:val="32"/>
          <w:szCs w:val="32"/>
          <w:rtl/>
        </w:rPr>
      </w:pPr>
      <w:r w:rsidRPr="007D2F97">
        <w:rPr>
          <w:rFonts w:cs="Calibri"/>
          <w:b/>
          <w:bCs/>
          <w:caps/>
          <w:kern w:val="32"/>
          <w:sz w:val="32"/>
          <w:szCs w:val="32"/>
          <w:rtl/>
        </w:rPr>
        <w:t>لجنة الويبو للتنسيق</w:t>
      </w:r>
    </w:p>
    <w:p w14:paraId="0AEFD806" w14:textId="77777777" w:rsidR="007D2F97" w:rsidRPr="007D2F97" w:rsidRDefault="007D2F97" w:rsidP="007D2F97">
      <w:pPr>
        <w:bidi/>
        <w:outlineLvl w:val="1"/>
        <w:rPr>
          <w:rFonts w:cs="Calibri"/>
          <w:b/>
          <w:bCs/>
          <w:caps/>
          <w:kern w:val="32"/>
          <w:sz w:val="32"/>
          <w:szCs w:val="32"/>
          <w:rtl/>
        </w:rPr>
      </w:pPr>
    </w:p>
    <w:p w14:paraId="2E3F1C12" w14:textId="5382E923" w:rsidR="007D2F97" w:rsidRDefault="007D2F97" w:rsidP="007D2F97">
      <w:pPr>
        <w:bidi/>
        <w:outlineLvl w:val="1"/>
        <w:rPr>
          <w:rFonts w:asciiTheme="minorHAnsi" w:hAnsiTheme="minorHAnsi" w:cs="Calibri"/>
          <w:b/>
          <w:bCs/>
          <w:sz w:val="24"/>
          <w:szCs w:val="24"/>
          <w:rtl/>
        </w:rPr>
      </w:pPr>
      <w:r w:rsidRPr="007D2F97">
        <w:rPr>
          <w:rFonts w:asciiTheme="minorHAnsi" w:hAnsiTheme="minorHAnsi" w:cs="Calibri" w:hint="cs"/>
          <w:b/>
          <w:bCs/>
          <w:sz w:val="24"/>
          <w:szCs w:val="24"/>
          <w:rtl/>
        </w:rPr>
        <w:t>ا</w:t>
      </w:r>
      <w:r w:rsidRPr="007D2F97">
        <w:rPr>
          <w:rFonts w:asciiTheme="minorHAnsi" w:hAnsiTheme="minorHAnsi" w:cs="Calibri"/>
          <w:b/>
          <w:bCs/>
          <w:sz w:val="24"/>
          <w:szCs w:val="24"/>
          <w:rtl/>
        </w:rPr>
        <w:t xml:space="preserve">لدورة </w:t>
      </w:r>
      <w:r>
        <w:rPr>
          <w:rFonts w:asciiTheme="minorHAnsi" w:hAnsiTheme="minorHAnsi" w:cs="Calibri" w:hint="cs"/>
          <w:b/>
          <w:bCs/>
          <w:sz w:val="24"/>
          <w:szCs w:val="24"/>
          <w:rtl/>
        </w:rPr>
        <w:t>الرابعة</w:t>
      </w:r>
      <w:r w:rsidRPr="007D2F97">
        <w:rPr>
          <w:rFonts w:asciiTheme="minorHAnsi" w:hAnsiTheme="minorHAnsi" w:cs="Calibri"/>
          <w:b/>
          <w:bCs/>
          <w:sz w:val="24"/>
          <w:szCs w:val="24"/>
          <w:rtl/>
        </w:rPr>
        <w:t xml:space="preserve"> والثمانون (الدورة العادية </w:t>
      </w:r>
      <w:r>
        <w:rPr>
          <w:rFonts w:asciiTheme="minorHAnsi" w:hAnsiTheme="minorHAnsi" w:cs="Calibri" w:hint="cs"/>
          <w:b/>
          <w:bCs/>
          <w:sz w:val="24"/>
          <w:szCs w:val="24"/>
          <w:rtl/>
        </w:rPr>
        <w:t xml:space="preserve">السادسة </w:t>
      </w:r>
      <w:r w:rsidRPr="007D2F97">
        <w:rPr>
          <w:rFonts w:asciiTheme="minorHAnsi" w:hAnsiTheme="minorHAnsi" w:cs="Calibri"/>
          <w:b/>
          <w:bCs/>
          <w:sz w:val="24"/>
          <w:szCs w:val="24"/>
          <w:rtl/>
        </w:rPr>
        <w:t>والخمسون)</w:t>
      </w:r>
    </w:p>
    <w:p w14:paraId="6552A210" w14:textId="2BBAA5FA" w:rsidR="007D2F97" w:rsidRPr="00D67EAE" w:rsidRDefault="007D2F97" w:rsidP="007D2F97">
      <w:pPr>
        <w:bidi/>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 xml:space="preserve">جنيف، من </w:t>
      </w:r>
      <w:r>
        <w:rPr>
          <w:rFonts w:asciiTheme="minorHAnsi" w:hAnsiTheme="minorHAnsi" w:cstheme="minorHAnsi" w:hint="cs"/>
          <w:b/>
          <w:bCs/>
          <w:sz w:val="24"/>
          <w:szCs w:val="24"/>
          <w:rtl/>
        </w:rPr>
        <w:t>8</w:t>
      </w:r>
      <w:r w:rsidRPr="007151A9">
        <w:rPr>
          <w:rFonts w:asciiTheme="minorHAnsi" w:hAnsiTheme="minorHAnsi" w:cstheme="minorHAnsi"/>
          <w:b/>
          <w:bCs/>
          <w:sz w:val="24"/>
          <w:szCs w:val="24"/>
          <w:rtl/>
        </w:rPr>
        <w:t xml:space="preserve"> إلى 17 يوليو 202</w:t>
      </w:r>
      <w:r>
        <w:rPr>
          <w:rFonts w:asciiTheme="minorHAnsi" w:hAnsiTheme="minorHAnsi" w:cstheme="minorHAnsi" w:hint="cs"/>
          <w:b/>
          <w:bCs/>
          <w:sz w:val="24"/>
          <w:szCs w:val="24"/>
          <w:rtl/>
        </w:rPr>
        <w:t>5</w:t>
      </w:r>
    </w:p>
    <w:p w14:paraId="19D3583C" w14:textId="4E114BA3" w:rsidR="008B2CC1" w:rsidRPr="007D2F97" w:rsidRDefault="00730286" w:rsidP="007D2F97">
      <w:pPr>
        <w:bidi/>
        <w:spacing w:after="360"/>
        <w:rPr>
          <w:rFonts w:cs="Calibri"/>
          <w:caps/>
          <w:sz w:val="24"/>
          <w:rtl/>
        </w:rPr>
      </w:pPr>
      <w:r w:rsidRPr="007D2F97">
        <w:rPr>
          <w:rFonts w:cs="Calibri" w:hint="cs"/>
          <w:caps/>
          <w:sz w:val="24"/>
          <w:szCs w:val="24"/>
          <w:rtl/>
        </w:rPr>
        <w:t>التقرير السنوي لمكتب الأخلاقيات</w:t>
      </w:r>
    </w:p>
    <w:p w14:paraId="5BECC2AC" w14:textId="1092CDED" w:rsidR="008B2CC1" w:rsidRPr="007D2F97" w:rsidRDefault="00BD61E8" w:rsidP="00CE65D4">
      <w:pPr>
        <w:bidi/>
        <w:spacing w:after="960"/>
        <w:rPr>
          <w:rFonts w:cs="Calibri"/>
          <w:i/>
          <w:rtl/>
        </w:rPr>
      </w:pPr>
      <w:bookmarkStart w:id="4" w:name="Prepared"/>
      <w:bookmarkEnd w:id="0"/>
      <w:r w:rsidRPr="007D2F97">
        <w:rPr>
          <w:rFonts w:cs="Calibri" w:hint="cs"/>
          <w:i/>
          <w:iCs/>
          <w:rtl/>
        </w:rPr>
        <w:t>من إعداد الأمانة</w:t>
      </w:r>
    </w:p>
    <w:p w14:paraId="24F52843" w14:textId="5804CA2B" w:rsidR="006761B4" w:rsidRPr="00C746F4" w:rsidRDefault="00C746F4" w:rsidP="00C746F4">
      <w:pPr>
        <w:pStyle w:val="Heading1"/>
        <w:numPr>
          <w:ilvl w:val="0"/>
          <w:numId w:val="0"/>
        </w:numPr>
        <w:rPr>
          <w:rtl/>
        </w:rPr>
      </w:pPr>
      <w:bookmarkStart w:id="5" w:name="_Hlk161299460"/>
      <w:bookmarkEnd w:id="4"/>
      <w:r>
        <w:rPr>
          <w:rFonts w:hint="cs"/>
          <w:rtl/>
        </w:rPr>
        <w:t>أولا</w:t>
      </w:r>
      <w:r>
        <w:rPr>
          <w:rtl/>
        </w:rPr>
        <w:tab/>
      </w:r>
      <w:r w:rsidR="006761B4" w:rsidRPr="00C746F4">
        <w:rPr>
          <w:rFonts w:hint="cs"/>
          <w:rtl/>
        </w:rPr>
        <w:t>مقدمة</w:t>
      </w:r>
    </w:p>
    <w:p w14:paraId="6C165BC4" w14:textId="39396EE4" w:rsidR="006761B4" w:rsidRPr="007D2F97" w:rsidRDefault="006761B4" w:rsidP="00875BB5">
      <w:pPr>
        <w:numPr>
          <w:ilvl w:val="0"/>
          <w:numId w:val="5"/>
        </w:numPr>
        <w:bidi/>
        <w:spacing w:after="240"/>
        <w:rPr>
          <w:rFonts w:cs="Calibri"/>
          <w:rtl/>
        </w:rPr>
      </w:pPr>
      <w:r w:rsidRPr="007D2F97">
        <w:rPr>
          <w:rFonts w:cs="Calibri" w:hint="cs"/>
          <w:rtl/>
        </w:rPr>
        <w:t xml:space="preserve">يُقدَّم هذا التقرير إلى الجمعية العامة للويبو، عن طريق المدير العام، عملاً بالفقرة 4 من لتعميم الإداري رقم 16/2020.  ويصف التقريرُ الأنشطةَ الرئيسية التي اضطلع بها مكتب الأخلاقيات في عام 2024. </w:t>
      </w:r>
    </w:p>
    <w:p w14:paraId="30CB6EB5" w14:textId="46AE6985" w:rsidR="006761B4" w:rsidRPr="007D2F97" w:rsidRDefault="0068659E" w:rsidP="00875BB5">
      <w:pPr>
        <w:numPr>
          <w:ilvl w:val="0"/>
          <w:numId w:val="5"/>
        </w:numPr>
        <w:bidi/>
        <w:spacing w:after="220"/>
        <w:rPr>
          <w:rFonts w:cs="Calibri"/>
          <w:rtl/>
        </w:rPr>
      </w:pPr>
      <w:r w:rsidRPr="007D2F97">
        <w:rPr>
          <w:rFonts w:cs="Calibri" w:hint="cs"/>
          <w:rtl/>
        </w:rPr>
        <w:t xml:space="preserve">ومنذ إنشاء مكتب الأخلاقيات في عام 2010، دأب مكتب الأخلاقيات على دعم المدير العام لضمان أن يحافظ جميع موظفي الويبو على أعلى معايير الأخلاقيات والنزاهة، على النحو الذي يقتضيه الإطار التنظيمي للويبو، بما في ذلك اتفاقية الويبو، ونظام موظفي الويبو ولائحته، ومدونة الويبو للأخلاقيات، ومعايير السلوك في الخدمة المدنية الدولية. </w:t>
      </w:r>
    </w:p>
    <w:p w14:paraId="573A1B79" w14:textId="339B6B70" w:rsidR="007E30EF" w:rsidRPr="007D2F97" w:rsidRDefault="006761B4" w:rsidP="008B4AAF">
      <w:pPr>
        <w:keepNext/>
        <w:numPr>
          <w:ilvl w:val="0"/>
          <w:numId w:val="5"/>
        </w:numPr>
        <w:bidi/>
        <w:spacing w:after="220"/>
        <w:rPr>
          <w:rFonts w:cs="Calibri"/>
          <w:rtl/>
        </w:rPr>
      </w:pPr>
      <w:r w:rsidRPr="007D2F97">
        <w:rPr>
          <w:rFonts w:cs="Calibri" w:hint="cs"/>
          <w:rtl/>
        </w:rPr>
        <w:t>ويتمثل هدف مكتب الأخلاقيات في النهوض بثقافة للأخلاقيات في المنظمة تستند إلى القيم المشتركة المتمثلة في الاستقلالية والإخلاص والحياد والنزاهة والمساءلة واحترام حقوق الإنسان.  ويُحقِّق مكتب الأخلاقيات هذه المهمة من خلال تقديم الخدمات إلى جميع العاملين في الويبو،</w:t>
      </w:r>
      <w:r w:rsidR="00C746F4">
        <w:rPr>
          <w:rStyle w:val="FootnoteReference"/>
          <w:rFonts w:cs="Calibri"/>
          <w:rtl/>
        </w:rPr>
        <w:footnoteReference w:id="2"/>
      </w:r>
      <w:r w:rsidRPr="007D2F97">
        <w:rPr>
          <w:rFonts w:cs="Calibri" w:hint="cs"/>
          <w:rtl/>
        </w:rPr>
        <w:t xml:space="preserve"> بما في ذلك الإدارة العليا، في مجالات الاختصاص الواسعة التالية: </w:t>
      </w:r>
    </w:p>
    <w:p w14:paraId="76C58BF6" w14:textId="77356A40" w:rsidR="006761B4" w:rsidRPr="007D2F97" w:rsidRDefault="006761B4" w:rsidP="008B4AAF">
      <w:pPr>
        <w:keepNext/>
        <w:numPr>
          <w:ilvl w:val="1"/>
          <w:numId w:val="5"/>
        </w:numPr>
        <w:bidi/>
        <w:spacing w:after="220"/>
        <w:rPr>
          <w:rFonts w:cs="Calibri"/>
          <w:rtl/>
        </w:rPr>
      </w:pPr>
      <w:r w:rsidRPr="007D2F97">
        <w:rPr>
          <w:rFonts w:cs="Calibri" w:hint="cs"/>
          <w:rtl/>
        </w:rPr>
        <w:t>إسداء المشورة والتوجيه في إطار من السرية؛</w:t>
      </w:r>
    </w:p>
    <w:p w14:paraId="13974E56" w14:textId="6AB2B95F" w:rsidR="006761B4" w:rsidRPr="007D2F97" w:rsidRDefault="00696FDF" w:rsidP="00875BB5">
      <w:pPr>
        <w:numPr>
          <w:ilvl w:val="1"/>
          <w:numId w:val="5"/>
        </w:numPr>
        <w:bidi/>
        <w:spacing w:after="220"/>
        <w:rPr>
          <w:rFonts w:cs="Calibri"/>
          <w:rtl/>
        </w:rPr>
      </w:pPr>
      <w:r w:rsidRPr="007D2F97">
        <w:rPr>
          <w:rFonts w:cs="Calibri" w:hint="cs"/>
          <w:rtl/>
        </w:rPr>
        <w:t>التوعية والتدريب والتواصل؛</w:t>
      </w:r>
    </w:p>
    <w:p w14:paraId="2EA4F75C" w14:textId="182CDE0B" w:rsidR="006761B4" w:rsidRPr="007D2F97" w:rsidRDefault="004E7C32" w:rsidP="00875BB5">
      <w:pPr>
        <w:numPr>
          <w:ilvl w:val="1"/>
          <w:numId w:val="5"/>
        </w:numPr>
        <w:bidi/>
        <w:spacing w:after="220"/>
        <w:rPr>
          <w:rFonts w:cs="Calibri"/>
          <w:rtl/>
        </w:rPr>
      </w:pPr>
      <w:r w:rsidRPr="007D2F97">
        <w:rPr>
          <w:rFonts w:cs="Calibri" w:hint="cs"/>
          <w:rtl/>
        </w:rPr>
        <w:t>والرصد ووضع المعايير؛</w:t>
      </w:r>
    </w:p>
    <w:p w14:paraId="09B24E28" w14:textId="5151CC99" w:rsidR="006761B4" w:rsidRPr="007D2F97" w:rsidRDefault="0014184E" w:rsidP="00291793">
      <w:pPr>
        <w:numPr>
          <w:ilvl w:val="1"/>
          <w:numId w:val="5"/>
        </w:numPr>
        <w:bidi/>
        <w:spacing w:after="220"/>
        <w:rPr>
          <w:rFonts w:cs="Calibri"/>
          <w:szCs w:val="22"/>
          <w:rtl/>
        </w:rPr>
      </w:pPr>
      <w:r w:rsidRPr="007D2F97">
        <w:rPr>
          <w:rFonts w:cs="Calibri" w:hint="cs"/>
          <w:rtl/>
        </w:rPr>
        <w:t>واستعراض شكاوى الانتقام وفقا لسياسة الويبو بشأن الحماية من الانتقام؛</w:t>
      </w:r>
    </w:p>
    <w:p w14:paraId="186CFDD2" w14:textId="24616124" w:rsidR="006761B4" w:rsidRPr="007D2F97" w:rsidRDefault="006761B4" w:rsidP="00291793">
      <w:pPr>
        <w:numPr>
          <w:ilvl w:val="1"/>
          <w:numId w:val="5"/>
        </w:numPr>
        <w:bidi/>
        <w:spacing w:after="220"/>
        <w:rPr>
          <w:rFonts w:cs="Calibri"/>
          <w:rtl/>
        </w:rPr>
      </w:pPr>
      <w:r w:rsidRPr="007D2F97">
        <w:rPr>
          <w:rFonts w:cs="Calibri" w:hint="cs"/>
          <w:rtl/>
        </w:rPr>
        <w:t>وإدارة سياسة الويبو بشأن الإفصاح المالي والإعلان عن المصالح.</w:t>
      </w:r>
    </w:p>
    <w:p w14:paraId="274EC34B" w14:textId="12510FDC" w:rsidR="000746CA" w:rsidRPr="007D2F97" w:rsidRDefault="006761B4" w:rsidP="000746CA">
      <w:pPr>
        <w:pStyle w:val="ONUME"/>
        <w:bidi/>
        <w:rPr>
          <w:rFonts w:cs="Calibri"/>
          <w:szCs w:val="22"/>
          <w:rtl/>
        </w:rPr>
      </w:pPr>
      <w:r w:rsidRPr="007D2F97">
        <w:rPr>
          <w:rFonts w:cs="Calibri" w:hint="cs"/>
          <w:rtl/>
        </w:rPr>
        <w:lastRenderedPageBreak/>
        <w:t>والمسؤول عن مكتب الأخلاقيات هو رئيس مكتب الأخلاقيات الذي يتمتع بالاستقلالية الوظيفية والتشغيلية عن إدارة الويبو.  وعقب مغادرة شاغل الوظيفة السابق، تولى السيد ديفيد ميتشين العمل كرئيس مؤقت لمكتب الأخلاقيات حتى 31 يوليو 2024</w:t>
      </w:r>
      <w:r w:rsidR="000746CA" w:rsidRPr="007D2F97">
        <w:rPr>
          <w:rStyle w:val="FootnoteReference"/>
          <w:rFonts w:cs="Calibri"/>
          <w:szCs w:val="22"/>
        </w:rPr>
        <w:footnoteReference w:id="3"/>
      </w:r>
      <w:r w:rsidRPr="007D2F97">
        <w:rPr>
          <w:rFonts w:cs="Calibri" w:hint="cs"/>
          <w:rtl/>
        </w:rPr>
        <w:t xml:space="preserve">  وبدأت رئيسة قسم الأخلاقيات المعينة حديثاً، السيدة فاني مارتن، مهامها في 1 أغسطس 2024.</w:t>
      </w:r>
    </w:p>
    <w:p w14:paraId="285217FD" w14:textId="47C88459" w:rsidR="006761B4" w:rsidRPr="007D2F97" w:rsidRDefault="00736F0A" w:rsidP="001165E0">
      <w:pPr>
        <w:numPr>
          <w:ilvl w:val="0"/>
          <w:numId w:val="5"/>
        </w:numPr>
        <w:bidi/>
        <w:spacing w:after="220"/>
        <w:rPr>
          <w:rFonts w:cs="Calibri"/>
          <w:rtl/>
        </w:rPr>
      </w:pPr>
      <w:r w:rsidRPr="007D2F97">
        <w:rPr>
          <w:rFonts w:cs="Calibri" w:hint="cs"/>
          <w:rtl/>
        </w:rPr>
        <w:t xml:space="preserve">وخلال عام 2024، كان المكتب يضم أيضا مراجعا خارجيا (متعاقدا بموجب اتفاق طويل الأجل ومسؤولا عن استعراض بيانات الكشف التي يودعها الموظفون في إطار سياسة الإفصاح المالي والإعلان عن المصالح)، إلى جانب متدرب، فضلا عن عامل وكالة مكلف بتقديم الدعم الإداري والإداري والتقني.  وفي النصف الأول من عام 2024، كان المكتب يضن أيضا متعاقدا فرديا. </w:t>
      </w:r>
    </w:p>
    <w:p w14:paraId="706F0F50" w14:textId="4F389EA5" w:rsidR="006761B4" w:rsidRPr="007D2F97" w:rsidRDefault="00F87B7C" w:rsidP="00C746F4">
      <w:pPr>
        <w:pStyle w:val="Heading1"/>
        <w:numPr>
          <w:ilvl w:val="0"/>
          <w:numId w:val="0"/>
        </w:numPr>
        <w:rPr>
          <w:rtl/>
        </w:rPr>
      </w:pPr>
      <w:r w:rsidRPr="007D2F97">
        <w:rPr>
          <w:rFonts w:hint="cs"/>
          <w:rtl/>
        </w:rPr>
        <w:t>ثانيا</w:t>
      </w:r>
      <w:r w:rsidRPr="007D2F97">
        <w:rPr>
          <w:rFonts w:hint="cs"/>
          <w:rtl/>
        </w:rPr>
        <w:tab/>
        <w:t>تقرير عن أنشطة 2024</w:t>
      </w:r>
    </w:p>
    <w:p w14:paraId="1B5E3C26" w14:textId="6B650A48" w:rsidR="006761B4" w:rsidRPr="007D2F97" w:rsidRDefault="00D26D0E" w:rsidP="00291793">
      <w:pPr>
        <w:numPr>
          <w:ilvl w:val="0"/>
          <w:numId w:val="5"/>
        </w:numPr>
        <w:bidi/>
        <w:spacing w:after="220"/>
        <w:rPr>
          <w:rFonts w:cs="Calibri"/>
          <w:rtl/>
        </w:rPr>
      </w:pPr>
      <w:r w:rsidRPr="007D2F97">
        <w:rPr>
          <w:rFonts w:cs="Calibri" w:hint="cs"/>
          <w:rtl/>
        </w:rPr>
        <w:t xml:space="preserve">أبلغ المدير العام واللجنة الاستشارية المستقلة للرقابة عن أداء مهمة الأخلاقيات، من خلال عقد اجتماعات شهرية وفصلية، على التوالي، خلال عام 2024 </w:t>
      </w:r>
    </w:p>
    <w:p w14:paraId="09364BA9" w14:textId="77777777" w:rsidR="006761B4" w:rsidRPr="00C746F4" w:rsidRDefault="006761B4" w:rsidP="00AD2E83">
      <w:pPr>
        <w:pStyle w:val="Heading2"/>
        <w:rPr>
          <w:rtl/>
        </w:rPr>
      </w:pPr>
      <w:r w:rsidRPr="00C746F4">
        <w:rPr>
          <w:rFonts w:hint="cs"/>
          <w:rtl/>
        </w:rPr>
        <w:t>ألف. إسداء المشورة والتوجيه في إطار من السرية</w:t>
      </w:r>
    </w:p>
    <w:p w14:paraId="03013B4F" w14:textId="134E2884" w:rsidR="006761B4" w:rsidRPr="007D2F97" w:rsidRDefault="009A2F0A" w:rsidP="00522AAC">
      <w:pPr>
        <w:numPr>
          <w:ilvl w:val="0"/>
          <w:numId w:val="5"/>
        </w:numPr>
        <w:bidi/>
        <w:spacing w:after="220"/>
        <w:rPr>
          <w:rFonts w:cs="Calibri"/>
          <w:szCs w:val="22"/>
          <w:rtl/>
        </w:rPr>
      </w:pPr>
      <w:r w:rsidRPr="007D2F97">
        <w:rPr>
          <w:rFonts w:cs="Calibri" w:hint="cs"/>
          <w:rtl/>
        </w:rPr>
        <w:t>وفي توفير التوجيه السري لموظفي الويبو بشأن الحالات التي تثير معضلات أخلاقية، يضطلع مكتب الأخلاقيات بدور رئيسي بهدف:</w:t>
      </w:r>
      <w:r w:rsidRPr="007D2F97">
        <w:rPr>
          <w:rFonts w:cs="Calibri" w:hint="cs"/>
          <w:color w:val="000000" w:themeColor="text1"/>
          <w:rtl/>
        </w:rPr>
        <w:t xml:space="preserve"> </w:t>
      </w:r>
      <w:r w:rsidRPr="007D2F97">
        <w:rPr>
          <w:rFonts w:cs="Calibri" w:hint="cs"/>
          <w:rtl/>
        </w:rPr>
        <w:t xml:space="preserve">"1" دعم التفسير المتسق للقواعد ومعايير السلوك والسياسات المتعلقة بالأخلاقيات والامتثال لها؛ "2" وتحديد المخاطر التي قد تسبب أضرارا بالسمعة للويبو ورصدها والتخفيف من آثارها  </w:t>
      </w:r>
    </w:p>
    <w:p w14:paraId="5569AFDA" w14:textId="21E11F42" w:rsidR="005610B8" w:rsidRPr="007D2F97" w:rsidRDefault="00582C01" w:rsidP="00091593">
      <w:pPr>
        <w:numPr>
          <w:ilvl w:val="0"/>
          <w:numId w:val="5"/>
        </w:numPr>
        <w:bidi/>
        <w:spacing w:after="220"/>
        <w:rPr>
          <w:rFonts w:cs="Calibri"/>
          <w:szCs w:val="22"/>
          <w:rtl/>
        </w:rPr>
      </w:pPr>
      <w:r w:rsidRPr="007D2F97">
        <w:rPr>
          <w:rFonts w:cs="Calibri" w:hint="cs"/>
          <w:b/>
          <w:bCs/>
          <w:rtl/>
        </w:rPr>
        <w:t>الشكل 1</w:t>
      </w:r>
      <w:r w:rsidRPr="007D2F97">
        <w:rPr>
          <w:rFonts w:cs="Calibri" w:hint="cs"/>
          <w:rtl/>
        </w:rPr>
        <w:t xml:space="preserve"> يقدّم لمحة عامة عن عدد الطلبات الواردة والموجهة من مكتب الأخلاقيات في السنوات الأربع الماضية</w:t>
      </w:r>
    </w:p>
    <w:p w14:paraId="07B6EC07" w14:textId="1D25126B" w:rsidR="006761B4" w:rsidRPr="007D2F97" w:rsidRDefault="006761B4" w:rsidP="00830509">
      <w:pPr>
        <w:keepNext/>
        <w:bidi/>
        <w:spacing w:after="220"/>
        <w:jc w:val="center"/>
        <w:rPr>
          <w:rFonts w:cs="Calibri"/>
          <w:sz w:val="20"/>
          <w:rtl/>
        </w:rPr>
      </w:pPr>
      <w:r w:rsidRPr="007D2F97">
        <w:rPr>
          <w:rFonts w:cs="Calibri" w:hint="cs"/>
          <w:b/>
          <w:bCs/>
          <w:sz w:val="20"/>
          <w:rtl/>
        </w:rPr>
        <w:t>الشكل 1:</w:t>
      </w:r>
      <w:r w:rsidRPr="007D2F97">
        <w:rPr>
          <w:rFonts w:cs="Calibri" w:hint="cs"/>
          <w:sz w:val="20"/>
          <w:rtl/>
        </w:rPr>
        <w:t xml:space="preserve"> مقارنة الطلبات حسب سنة الإبلاغ، من 2020 إلى 2024</w:t>
      </w:r>
    </w:p>
    <w:p w14:paraId="7FD16726" w14:textId="3348C1BB" w:rsidR="00A31304" w:rsidRPr="007D2F97" w:rsidRDefault="00A76B17" w:rsidP="006761B4">
      <w:pPr>
        <w:bidi/>
        <w:spacing w:after="220"/>
        <w:jc w:val="center"/>
        <w:rPr>
          <w:rFonts w:cs="Calibri"/>
          <w:sz w:val="20"/>
          <w:rtl/>
        </w:rPr>
      </w:pPr>
      <w:r w:rsidRPr="007D2F97">
        <w:rPr>
          <w:rFonts w:cs="Calibri" w:hint="cs"/>
          <w:noProof/>
          <w:rtl/>
        </w:rPr>
        <mc:AlternateContent>
          <mc:Choice Requires="wps">
            <w:drawing>
              <wp:anchor distT="0" distB="0" distL="114300" distR="114300" simplePos="0" relativeHeight="251667456" behindDoc="0" locked="0" layoutInCell="1" allowOverlap="1" wp14:anchorId="18D4F8DA" wp14:editId="7BE70C4A">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86D10" w14:textId="77777777" w:rsidR="00A76B17" w:rsidRDefault="00A76B17" w:rsidP="002924B9">
                            <w:pPr>
                              <w:bidi/>
                              <w:jc w:val="center"/>
                              <w:rPr>
                                <w:color w:val="0070C0"/>
                                <w:sz w:val="16"/>
                                <w:szCs w:val="16"/>
                                <w:rtl/>
                              </w:rPr>
                            </w:pPr>
                            <w:r>
                              <w:rPr>
                                <w:rFonts w:hint="cs"/>
                                <w:color w:val="0070C0"/>
                                <w:sz w:val="16"/>
                                <w:szCs w:val="16"/>
                                <w:rtl/>
                              </w:rPr>
                              <w:t>9 موظفين</w:t>
                            </w:r>
                          </w:p>
                        </w:txbxContent>
                      </wps:txbx>
                      <wps:bodyPr vertOverflow="clip" horzOverflow="clip" rtlCol="0" anchor="t"/>
                    </wps:wsp>
                  </a:graphicData>
                </a:graphic>
                <wp14:sizeRelH relativeFrom="margin">
                  <wp14:pctWidth>0</wp14:pctWidth>
                </wp14:sizeRelH>
              </wp:anchor>
            </w:drawing>
          </mc:Choice>
          <mc:Fallback>
            <w:pict>
              <v:oval w14:anchorId="18D4F8DA" id="Oval 16" o:spid="_x0000_s1026" style="position:absolute;left:0;text-align:left;margin-left:496.5pt;margin-top:-852.15pt;width:70.5pt;height:39.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4XAAIAAFMEAAAOAAAAZHJzL2Uyb0RvYy54bWysVMGO2yAQvVfqPyDujZ20brNWnD1ktb1U&#10;3VW3/QCChxgJMwho7PTrO+DEWW2rHla9YBhm3rz3AG9ux96wI/ig0TZ8uSg5Ayux1fbQ8B/f79+t&#10;OQtR2FYYtNDwEwR+u337ZjO4GlbYoWnBMwKxoR5cw7sYXV0UQXbQi7BAB5Y2FfpeRFr6Q9F6MRB6&#10;b4pVWX4sBvSt8yghBIreTZt8m/GVAhkflAoQmWk4cYt59Hncp7HYbkR98MJ1Wp5piFew6IW21HSG&#10;uhNRsJ9e/wHVa+kxoIoLiX2BSmkJWQOpWZYv1Dx1wkHWQuYEN9sU/h+s/Hp8co+ebBhcqANNk4pR&#10;+T59iR8bs1mn2SwYI5MUXN9U7yuyVNJWVX5Yr6pkZnEtdj7Ez4A9S5OGgzHahSRH1OL4JcQp+5KV&#10;whbvtTH5SIxNgYBGtymWF/6w3xnPjiKdZfmp3OXjo47P0miVSourmjyLJwMJw9hvoJhuif8qM8kX&#10;DWZYISXYuJy2OtHC1G1ZleXcLF3NVJHFZsCErIjljH0GuGROIBfsSfc5P5VCvqdzcfkvYlPxXJE7&#10;o41zca8t+r8BGFJ17jzlX0yarEkuxXE/Ukqa7rE9PZLV4OMDDcrg0HBJB8hZh/7Xy5iPZofTCxNW&#10;UkbDY+6WsOjmZqvOryw9jefrzOP6L9j+Bg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Lwc+FwACAABTBAAADgAA&#10;AAAAAAAAAAAAAAAuAgAAZHJzL2Uyb0RvYy54bWxQSwECLQAUAAYACAAAACEAuMIIHOMAAAAQAQAA&#10;DwAAAAAAAAAAAAAAAABaBAAAZHJzL2Rvd25yZXYueG1sUEsFBgAAAAAEAAQA8wAAAGoFAAAAAA==&#10;" filled="f" strokecolor="#0070c0" strokeweight="2pt">
                <v:textbox>
                  <w:txbxContent>
                    <w:p w14:paraId="4F086D10" w14:textId="77777777" w:rsidR="00A76B17" w:rsidRDefault="00A76B17" w:rsidP="002924B9">
                      <w:pPr>
                        <w:bidi/>
                        <w:jc w:val="center"/>
                        <w:rPr>
                          <w:color w:val="0070C0"/>
                          <w:sz w:val="16"/>
                          <w:szCs w:val="16"/>
                          <w:rtl/>
                        </w:rPr>
                      </w:pPr>
                      <w:r>
                        <w:rPr>
                          <w:rFonts w:hint="cs"/>
                          <w:color w:val="0070C0"/>
                          <w:sz w:val="16"/>
                          <w:szCs w:val="16"/>
                          <w:rtl/>
                        </w:rPr>
                        <w:t>9 موظفين</w:t>
                      </w:r>
                    </w:p>
                  </w:txbxContent>
                </v:textbox>
              </v:oval>
            </w:pict>
          </mc:Fallback>
        </mc:AlternateContent>
      </w:r>
      <w:r w:rsidR="004C3202">
        <w:rPr>
          <w:rFonts w:cs="Calibri"/>
          <w:noProof/>
          <w:sz w:val="20"/>
        </w:rPr>
        <w:drawing>
          <wp:inline distT="0" distB="0" distL="0" distR="0" wp14:anchorId="0360CF66" wp14:editId="1968E9C0">
            <wp:extent cx="4157980" cy="2712720"/>
            <wp:effectExtent l="0" t="0" r="0" b="0"/>
            <wp:docPr id="1216164088" name="Picture 2" descr="الشكل 1: مقارنة الطلبات حسب سنة الإبلاغ، من 2020 إلى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64088" name="Picture 2" descr="الشكل 1: مقارنة الطلبات حسب سنة الإبلاغ، من 2020 إلى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7980" cy="2712720"/>
                    </a:xfrm>
                    <a:prstGeom prst="rect">
                      <a:avLst/>
                    </a:prstGeom>
                    <a:noFill/>
                  </pic:spPr>
                </pic:pic>
              </a:graphicData>
            </a:graphic>
          </wp:inline>
        </w:drawing>
      </w:r>
    </w:p>
    <w:p w14:paraId="105F775F" w14:textId="05E4F981" w:rsidR="00906B54" w:rsidRPr="007D2F97" w:rsidRDefault="001F2E98" w:rsidP="00906B54">
      <w:pPr>
        <w:numPr>
          <w:ilvl w:val="0"/>
          <w:numId w:val="5"/>
        </w:numPr>
        <w:bidi/>
        <w:spacing w:after="220"/>
        <w:rPr>
          <w:rFonts w:cs="Calibri"/>
          <w:szCs w:val="22"/>
          <w:rtl/>
        </w:rPr>
      </w:pPr>
      <w:r w:rsidRPr="007D2F97">
        <w:rPr>
          <w:rFonts w:cs="Calibri" w:hint="cs"/>
          <w:rtl/>
        </w:rPr>
        <w:t xml:space="preserve">وفي عام 2024، ردّ مكتب الأخلاقيات على </w:t>
      </w:r>
      <w:r w:rsidRPr="007D2F97">
        <w:rPr>
          <w:rFonts w:cs="Calibri" w:hint="cs"/>
          <w:b/>
          <w:bCs/>
          <w:rtl/>
        </w:rPr>
        <w:t xml:space="preserve">188 </w:t>
      </w:r>
      <w:r w:rsidRPr="007D2F97">
        <w:rPr>
          <w:rFonts w:cs="Calibri" w:hint="cs"/>
          <w:rtl/>
        </w:rPr>
        <w:t>طلباً مُقدَّماً من أفراد</w:t>
      </w:r>
      <w:r w:rsidRPr="007D2F97">
        <w:rPr>
          <w:rFonts w:cs="Calibri"/>
          <w:szCs w:val="22"/>
          <w:vertAlign w:val="superscript"/>
        </w:rPr>
        <w:footnoteReference w:id="4"/>
      </w:r>
      <w:r w:rsidRPr="007D2F97">
        <w:rPr>
          <w:rFonts w:cs="Calibri" w:hint="cs"/>
          <w:rtl/>
        </w:rPr>
        <w:t xml:space="preserve"> عبر اجتماعات حضورية أو إلكترونية أو عبر التواصل الكتابي.  وتظهر مقارنة هذا العدد مع عدد الطلبات الواردة والمعالجة في عام 2023 (انظر </w:t>
      </w:r>
      <w:r w:rsidRPr="007D2F97">
        <w:rPr>
          <w:rFonts w:cs="Calibri" w:hint="cs"/>
          <w:b/>
          <w:bCs/>
          <w:rtl/>
        </w:rPr>
        <w:t>الشكل 1</w:t>
      </w:r>
      <w:r w:rsidRPr="007D2F97">
        <w:rPr>
          <w:rFonts w:cs="Calibri" w:hint="cs"/>
          <w:rtl/>
        </w:rPr>
        <w:t>) اتجاها تصاعديا مستمرا في الطلبات، مما يعكس بدوره استمرار الثقة في مكتب الأخلاقيات من خلال فترة من التغيير في القيادة</w:t>
      </w:r>
      <w:r w:rsidR="00C746F4">
        <w:rPr>
          <w:rFonts w:cs="Calibri" w:hint="cs"/>
          <w:rtl/>
        </w:rPr>
        <w:t>.</w:t>
      </w:r>
    </w:p>
    <w:p w14:paraId="2AA9637F" w14:textId="38DA007F" w:rsidR="006761B4" w:rsidRPr="007D2F97" w:rsidRDefault="00FF06B2" w:rsidP="004F620E">
      <w:pPr>
        <w:pStyle w:val="ONUME"/>
        <w:bidi/>
        <w:rPr>
          <w:rFonts w:cs="Calibri"/>
          <w:rtl/>
        </w:rPr>
      </w:pPr>
      <w:r w:rsidRPr="007D2F97">
        <w:rPr>
          <w:rFonts w:cs="Calibri" w:hint="cs"/>
          <w:rtl/>
        </w:rPr>
        <w:t xml:space="preserve">وطلباتُ المشورة المستلمة بشأن الأخلاقيات في 2024 شملت فئات متعددة (انظر </w:t>
      </w:r>
      <w:r w:rsidRPr="007D2F97">
        <w:rPr>
          <w:rFonts w:cs="Calibri" w:hint="cs"/>
          <w:b/>
          <w:bCs/>
          <w:rtl/>
        </w:rPr>
        <w:t>الشكل 2</w:t>
      </w:r>
      <w:r w:rsidRPr="007D2F97">
        <w:rPr>
          <w:rFonts w:cs="Calibri" w:hint="cs"/>
          <w:rtl/>
        </w:rPr>
        <w:t>).  كما هو الحال في السنوات السابقة، فإن الغالبية العظمى منها تتعلق بالمشاركة في الأنشطة والمهن الخارجية (</w:t>
      </w:r>
      <w:r w:rsidRPr="007D2F97">
        <w:rPr>
          <w:rFonts w:cs="Calibri" w:hint="cs"/>
          <w:b/>
          <w:bCs/>
          <w:rtl/>
        </w:rPr>
        <w:t>71</w:t>
      </w:r>
      <w:r w:rsidRPr="007D2F97">
        <w:rPr>
          <w:rFonts w:cs="Calibri" w:hint="cs"/>
          <w:rtl/>
        </w:rPr>
        <w:t xml:space="preserve">، أو نحو </w:t>
      </w:r>
      <w:r w:rsidRPr="007D2F97">
        <w:rPr>
          <w:rFonts w:cs="Calibri" w:hint="cs"/>
          <w:b/>
          <w:bCs/>
          <w:rtl/>
        </w:rPr>
        <w:t>37.8 في المائة</w:t>
      </w:r>
      <w:r w:rsidRPr="007D2F97">
        <w:rPr>
          <w:rFonts w:cs="Calibri" w:hint="cs"/>
          <w:rtl/>
        </w:rPr>
        <w:t>) مثل مهام التدريس، والعضوية في المجالس التنفيذية أو الاستشارية، و</w:t>
      </w:r>
      <w:r w:rsidR="00C746F4">
        <w:rPr>
          <w:rFonts w:cs="Calibri" w:hint="cs"/>
          <w:rtl/>
        </w:rPr>
        <w:t>حوالي</w:t>
      </w:r>
      <w:r w:rsidRPr="007D2F97">
        <w:rPr>
          <w:rFonts w:cs="Calibri" w:hint="cs"/>
          <w:rtl/>
        </w:rPr>
        <w:t xml:space="preserve"> نصف هذه الطلبات (</w:t>
      </w:r>
      <w:r w:rsidRPr="007D2F97">
        <w:rPr>
          <w:rFonts w:cs="Calibri" w:hint="cs"/>
          <w:b/>
          <w:bCs/>
          <w:rtl/>
        </w:rPr>
        <w:t>33</w:t>
      </w:r>
      <w:r w:rsidRPr="007D2F97">
        <w:rPr>
          <w:rFonts w:cs="Calibri" w:hint="cs"/>
          <w:rtl/>
        </w:rPr>
        <w:t>)</w:t>
      </w:r>
      <w:r w:rsidR="00C746F4">
        <w:rPr>
          <w:rFonts w:cs="Calibri" w:hint="cs"/>
          <w:rtl/>
        </w:rPr>
        <w:t xml:space="preserve"> أحالتها </w:t>
      </w:r>
      <w:r w:rsidR="00C746F4" w:rsidRPr="007D2F97">
        <w:rPr>
          <w:rFonts w:cs="Calibri" w:hint="cs"/>
          <w:rtl/>
        </w:rPr>
        <w:t>إدارة الموارد البشرية</w:t>
      </w:r>
      <w:r w:rsidRPr="007D2F97">
        <w:rPr>
          <w:rFonts w:cs="Calibri" w:hint="cs"/>
          <w:rtl/>
        </w:rPr>
        <w:t>، واستلمت الطلبات الأخرى (</w:t>
      </w:r>
      <w:r w:rsidRPr="007D2F97">
        <w:rPr>
          <w:rFonts w:cs="Calibri" w:hint="cs"/>
          <w:b/>
          <w:bCs/>
          <w:rtl/>
        </w:rPr>
        <w:t>38</w:t>
      </w:r>
      <w:r w:rsidRPr="007D2F97">
        <w:rPr>
          <w:rFonts w:cs="Calibri" w:hint="cs"/>
          <w:rtl/>
        </w:rPr>
        <w:t xml:space="preserve">) مباشرة من أفراد الموظفين الذين طلب توضيحات قبل تقديم طلبهم للحصول على إذن لمدير شعبة إدارة الموارد البشرية. </w:t>
      </w:r>
    </w:p>
    <w:p w14:paraId="3F5AC1D3" w14:textId="0ECCB208" w:rsidR="006761B4" w:rsidRPr="007D2F97" w:rsidRDefault="006761B4" w:rsidP="00765A26">
      <w:pPr>
        <w:numPr>
          <w:ilvl w:val="0"/>
          <w:numId w:val="5"/>
        </w:numPr>
        <w:bidi/>
        <w:spacing w:after="220"/>
        <w:rPr>
          <w:rFonts w:cs="Calibri"/>
          <w:rtl/>
        </w:rPr>
      </w:pPr>
      <w:r w:rsidRPr="007D2F97">
        <w:rPr>
          <w:rFonts w:cs="Calibri" w:hint="cs"/>
          <w:rtl/>
        </w:rPr>
        <w:lastRenderedPageBreak/>
        <w:t>وأما الفئات الرئيسية الأخرى من الطلبات فتتعلق بمعايير السلوك (</w:t>
      </w:r>
      <w:r w:rsidRPr="007D2F97">
        <w:rPr>
          <w:rFonts w:cs="Calibri" w:hint="cs"/>
          <w:b/>
          <w:bCs/>
          <w:rtl/>
        </w:rPr>
        <w:t>23</w:t>
      </w:r>
      <w:r w:rsidRPr="007D2F97">
        <w:rPr>
          <w:rFonts w:cs="Calibri" w:hint="cs"/>
          <w:rtl/>
        </w:rPr>
        <w:t xml:space="preserve"> أو </w:t>
      </w:r>
      <w:r w:rsidRPr="007D2F97">
        <w:rPr>
          <w:rFonts w:cs="Calibri" w:hint="cs"/>
          <w:b/>
          <w:bCs/>
          <w:rtl/>
        </w:rPr>
        <w:t>12.2 في المائة</w:t>
      </w:r>
      <w:r w:rsidRPr="007D2F97">
        <w:rPr>
          <w:rFonts w:cs="Calibri" w:hint="cs"/>
          <w:rtl/>
        </w:rPr>
        <w:t>)، والأعمال الانتقامية والانتقام (</w:t>
      </w:r>
      <w:r w:rsidRPr="007D2F97">
        <w:rPr>
          <w:rFonts w:cs="Calibri" w:hint="cs"/>
          <w:b/>
          <w:bCs/>
          <w:rtl/>
        </w:rPr>
        <w:t>18</w:t>
      </w:r>
      <w:r w:rsidRPr="007D2F97">
        <w:rPr>
          <w:rFonts w:cs="Calibri" w:hint="cs"/>
          <w:rtl/>
        </w:rPr>
        <w:t xml:space="preserve"> أو </w:t>
      </w:r>
      <w:r w:rsidRPr="007D2F97">
        <w:rPr>
          <w:rFonts w:cs="Calibri" w:hint="cs"/>
          <w:b/>
          <w:bCs/>
          <w:rtl/>
        </w:rPr>
        <w:t>9.6</w:t>
      </w:r>
      <w:r w:rsidRPr="007D2F97">
        <w:rPr>
          <w:rFonts w:cs="Calibri" w:hint="cs"/>
          <w:rtl/>
        </w:rPr>
        <w:t xml:space="preserve"> </w:t>
      </w:r>
      <w:r w:rsidRPr="007D2F97">
        <w:rPr>
          <w:rFonts w:cs="Calibri" w:hint="cs"/>
          <w:b/>
          <w:bCs/>
          <w:rtl/>
        </w:rPr>
        <w:t>في المائة</w:t>
      </w:r>
      <w:r w:rsidRPr="007D2F97">
        <w:rPr>
          <w:rFonts w:cs="Calibri" w:hint="cs"/>
          <w:rtl/>
        </w:rPr>
        <w:t>)</w:t>
      </w:r>
      <w:r w:rsidR="0017495F" w:rsidRPr="007D2F97">
        <w:rPr>
          <w:rStyle w:val="FootnoteReference"/>
          <w:rFonts w:cs="Calibri"/>
          <w:bCs/>
        </w:rPr>
        <w:footnoteReference w:id="5"/>
      </w:r>
      <w:r w:rsidRPr="007D2F97">
        <w:rPr>
          <w:rFonts w:cs="Calibri" w:hint="cs"/>
          <w:rtl/>
        </w:rPr>
        <w:t xml:space="preserve"> و"المشورة الأخرى المتعلقة بالأخلاقيات"، والتي تتعلق أساساً بالإبلاغ عن سوء السلوك والشواغل الأخرى في مكان العمل (</w:t>
      </w:r>
      <w:r w:rsidRPr="007D2F97">
        <w:rPr>
          <w:rFonts w:cs="Calibri" w:hint="cs"/>
          <w:b/>
          <w:bCs/>
          <w:rtl/>
        </w:rPr>
        <w:t>48</w:t>
      </w:r>
      <w:r w:rsidRPr="007D2F97">
        <w:rPr>
          <w:rFonts w:cs="Calibri" w:hint="cs"/>
          <w:rtl/>
        </w:rPr>
        <w:t xml:space="preserve"> أو </w:t>
      </w:r>
      <w:r w:rsidRPr="007D2F97">
        <w:rPr>
          <w:rFonts w:cs="Calibri" w:hint="cs"/>
          <w:b/>
          <w:bCs/>
          <w:rtl/>
        </w:rPr>
        <w:t>25.5 في المائة</w:t>
      </w:r>
      <w:r w:rsidRPr="007D2F97">
        <w:rPr>
          <w:rFonts w:cs="Calibri" w:hint="cs"/>
          <w:rtl/>
        </w:rPr>
        <w:t>).</w:t>
      </w:r>
    </w:p>
    <w:p w14:paraId="17CA8875" w14:textId="33BA0C52" w:rsidR="006761B4" w:rsidRPr="007D2F97" w:rsidRDefault="006761B4" w:rsidP="001D6BCC">
      <w:pPr>
        <w:numPr>
          <w:ilvl w:val="0"/>
          <w:numId w:val="5"/>
        </w:numPr>
        <w:bidi/>
        <w:spacing w:after="220"/>
        <w:rPr>
          <w:rFonts w:cs="Calibri"/>
          <w:rtl/>
        </w:rPr>
      </w:pPr>
      <w:r w:rsidRPr="007D2F97">
        <w:rPr>
          <w:rFonts w:cs="Calibri" w:hint="cs"/>
          <w:rtl/>
        </w:rPr>
        <w:t>وسجَّل أيضاً مكتبُ الأخلاقيات طلباتٍ في الفئات الآتية: الهدايا</w:t>
      </w:r>
      <w:r w:rsidRPr="007D2F97">
        <w:rPr>
          <w:rFonts w:cs="Calibri"/>
          <w:vertAlign w:val="superscript"/>
        </w:rPr>
        <w:footnoteReference w:id="6"/>
      </w:r>
      <w:r w:rsidRPr="007D2F97">
        <w:rPr>
          <w:rFonts w:cs="Calibri" w:hint="cs"/>
          <w:rtl/>
        </w:rPr>
        <w:t xml:space="preserve"> (</w:t>
      </w:r>
      <w:r w:rsidRPr="007D2F97">
        <w:rPr>
          <w:rFonts w:cs="Calibri" w:hint="cs"/>
          <w:b/>
          <w:bCs/>
          <w:rtl/>
        </w:rPr>
        <w:t>11 طلباً</w:t>
      </w:r>
      <w:r w:rsidRPr="007D2F97">
        <w:rPr>
          <w:rFonts w:cs="Calibri" w:hint="cs"/>
          <w:rtl/>
        </w:rPr>
        <w:t xml:space="preserve">، أو </w:t>
      </w:r>
      <w:r w:rsidRPr="007D2F97">
        <w:rPr>
          <w:rFonts w:cs="Calibri" w:hint="cs"/>
          <w:b/>
          <w:bCs/>
          <w:rtl/>
        </w:rPr>
        <w:t>5.9 في المائة</w:t>
      </w:r>
      <w:r w:rsidRPr="007D2F97">
        <w:rPr>
          <w:rFonts w:cs="Calibri" w:hint="cs"/>
          <w:rtl/>
        </w:rPr>
        <w:t>)، والإفصاح المالي (</w:t>
      </w:r>
      <w:r w:rsidRPr="007D2F97">
        <w:rPr>
          <w:rFonts w:cs="Calibri" w:hint="cs"/>
          <w:b/>
          <w:bCs/>
          <w:rtl/>
        </w:rPr>
        <w:t>سبعة طلبات</w:t>
      </w:r>
      <w:r w:rsidRPr="007D2F97">
        <w:rPr>
          <w:rFonts w:cs="Calibri" w:hint="cs"/>
          <w:rtl/>
        </w:rPr>
        <w:t xml:space="preserve">، أو </w:t>
      </w:r>
      <w:r w:rsidRPr="007D2F97">
        <w:rPr>
          <w:rFonts w:cs="Calibri" w:hint="cs"/>
          <w:b/>
          <w:bCs/>
          <w:rtl/>
        </w:rPr>
        <w:t>3.7</w:t>
      </w:r>
      <w:r w:rsidRPr="007D2F97">
        <w:rPr>
          <w:rFonts w:cs="Calibri" w:hint="cs"/>
          <w:rtl/>
        </w:rPr>
        <w:t xml:space="preserve"> </w:t>
      </w:r>
      <w:r w:rsidRPr="007D2F97">
        <w:rPr>
          <w:rFonts w:cs="Calibri" w:hint="cs"/>
          <w:b/>
          <w:bCs/>
          <w:rtl/>
        </w:rPr>
        <w:t>في المائة</w:t>
      </w:r>
      <w:r w:rsidRPr="007D2F97">
        <w:rPr>
          <w:rFonts w:cs="Calibri" w:hint="cs"/>
          <w:rtl/>
        </w:rPr>
        <w:t>)، تضارب المصالح الناشئ عن نشاط سياسي (</w:t>
      </w:r>
      <w:r w:rsidRPr="007D2F97">
        <w:rPr>
          <w:rFonts w:cs="Calibri" w:hint="cs"/>
          <w:b/>
          <w:bCs/>
          <w:rtl/>
        </w:rPr>
        <w:t>طلب واحد</w:t>
      </w:r>
      <w:r w:rsidRPr="007D2F97">
        <w:rPr>
          <w:rFonts w:cs="Calibri" w:hint="cs"/>
          <w:rtl/>
        </w:rPr>
        <w:t xml:space="preserve">، أو </w:t>
      </w:r>
      <w:r w:rsidRPr="007D2F97">
        <w:rPr>
          <w:rFonts w:cs="Calibri" w:hint="cs"/>
          <w:b/>
          <w:bCs/>
          <w:rtl/>
        </w:rPr>
        <w:t>0.5 في المائة</w:t>
      </w:r>
      <w:r w:rsidRPr="007D2F97">
        <w:rPr>
          <w:rFonts w:cs="Calibri" w:hint="cs"/>
          <w:rtl/>
        </w:rPr>
        <w:t>) أو عن العلاقات الأسرية والعلاقات الحميمة (</w:t>
      </w:r>
      <w:r w:rsidRPr="007D2F97">
        <w:rPr>
          <w:rFonts w:cs="Calibri" w:hint="cs"/>
          <w:b/>
          <w:bCs/>
          <w:rtl/>
        </w:rPr>
        <w:t>طلبان اثنان أو 1.1 في المائة</w:t>
      </w:r>
      <w:r w:rsidRPr="007D2F97">
        <w:rPr>
          <w:rFonts w:cs="Calibri" w:hint="cs"/>
          <w:rtl/>
        </w:rPr>
        <w:t>) أو من ظروف أخرى (</w:t>
      </w:r>
      <w:r w:rsidRPr="007D2F97">
        <w:rPr>
          <w:rFonts w:cs="Calibri" w:hint="cs"/>
          <w:b/>
          <w:bCs/>
          <w:rtl/>
        </w:rPr>
        <w:t>سبعة طلبات</w:t>
      </w:r>
      <w:r w:rsidRPr="007D2F97">
        <w:rPr>
          <w:rFonts w:cs="Calibri" w:hint="cs"/>
          <w:rtl/>
        </w:rPr>
        <w:t xml:space="preserve">، أو </w:t>
      </w:r>
      <w:r w:rsidRPr="007D2F97">
        <w:rPr>
          <w:rFonts w:cs="Calibri" w:hint="cs"/>
          <w:b/>
          <w:bCs/>
          <w:rtl/>
        </w:rPr>
        <w:t>3.7</w:t>
      </w:r>
      <w:r w:rsidRPr="007D2F97">
        <w:rPr>
          <w:rFonts w:cs="Calibri" w:hint="cs"/>
          <w:rtl/>
        </w:rPr>
        <w:t xml:space="preserve"> </w:t>
      </w:r>
      <w:r w:rsidRPr="007D2F97">
        <w:rPr>
          <w:rFonts w:cs="Calibri" w:hint="cs"/>
          <w:b/>
          <w:bCs/>
          <w:rtl/>
        </w:rPr>
        <w:t>في المائة</w:t>
      </w:r>
      <w:r w:rsidRPr="007D2F97">
        <w:rPr>
          <w:rFonts w:cs="Calibri" w:hint="cs"/>
          <w:rtl/>
        </w:rPr>
        <w:t xml:space="preserve">). </w:t>
      </w:r>
    </w:p>
    <w:p w14:paraId="29C1564C" w14:textId="7EB41096" w:rsidR="00370644" w:rsidRPr="007D2F97" w:rsidRDefault="006761B4" w:rsidP="00796DE6">
      <w:pPr>
        <w:keepNext/>
        <w:bidi/>
        <w:spacing w:after="220"/>
        <w:jc w:val="center"/>
        <w:rPr>
          <w:rFonts w:cs="Calibri"/>
          <w:noProof/>
          <w:rtl/>
        </w:rPr>
      </w:pPr>
      <w:r w:rsidRPr="007D2F97">
        <w:rPr>
          <w:rFonts w:cs="Calibri" w:hint="cs"/>
          <w:b/>
          <w:bCs/>
          <w:sz w:val="20"/>
          <w:rtl/>
        </w:rPr>
        <w:t>الشكل 2:</w:t>
      </w:r>
      <w:r w:rsidRPr="007D2F97">
        <w:rPr>
          <w:rFonts w:cs="Calibri" w:hint="cs"/>
          <w:sz w:val="20"/>
          <w:rtl/>
        </w:rPr>
        <w:t xml:space="preserve"> تقسيم المشورة حسب الفئة</w:t>
      </w:r>
    </w:p>
    <w:p w14:paraId="521946F7" w14:textId="08601CDB" w:rsidR="00311476" w:rsidRPr="007D2F97" w:rsidRDefault="00F34936" w:rsidP="00370644">
      <w:pPr>
        <w:bidi/>
        <w:spacing w:after="220"/>
        <w:jc w:val="center"/>
        <w:rPr>
          <w:rFonts w:cs="Calibri"/>
          <w:rtl/>
        </w:rPr>
      </w:pPr>
      <w:r>
        <w:rPr>
          <w:rFonts w:cs="Calibri"/>
          <w:noProof/>
        </w:rPr>
        <mc:AlternateContent>
          <mc:Choice Requires="wps">
            <w:drawing>
              <wp:anchor distT="0" distB="0" distL="114300" distR="114300" simplePos="0" relativeHeight="251668480" behindDoc="0" locked="0" layoutInCell="1" allowOverlap="1" wp14:anchorId="6A3FC45D" wp14:editId="428C9CBA">
                <wp:simplePos x="0" y="0"/>
                <wp:positionH relativeFrom="column">
                  <wp:posOffset>1237933</wp:posOffset>
                </wp:positionH>
                <wp:positionV relativeFrom="paragraph">
                  <wp:posOffset>28575</wp:posOffset>
                </wp:positionV>
                <wp:extent cx="571500" cy="138113"/>
                <wp:effectExtent l="0" t="0" r="19050" b="14605"/>
                <wp:wrapNone/>
                <wp:docPr id="2058237662" name="Rectangle 3" descr="الشكل 2: تقسيم المشورة حسب الفئة"/>
                <wp:cNvGraphicFramePr/>
                <a:graphic xmlns:a="http://schemas.openxmlformats.org/drawingml/2006/main">
                  <a:graphicData uri="http://schemas.microsoft.com/office/word/2010/wordprocessingShape">
                    <wps:wsp>
                      <wps:cNvSpPr/>
                      <wps:spPr>
                        <a:xfrm>
                          <a:off x="0" y="0"/>
                          <a:ext cx="571500" cy="13811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622FD" id="Rectangle 3" o:spid="_x0000_s1026" alt="الشكل 2: تقسيم المشورة حسب الفئة" style="position:absolute;margin-left:97.5pt;margin-top:2.25pt;width:45pt;height:10.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D0dwIAAIUFAAAOAAAAZHJzL2Uyb0RvYy54bWysVFFPGzEMfp+0/xDlfVyvwMYqrqgCMU1C&#10;gAYTz2ku6UXKxZmT9tr9+jm56xUY2gPaSy4+25/tL7bPL7atZRuFwYCreHk04Uw5CbVxq4r/fLz+&#10;dMZZiMLVwoJTFd+pwC/mHz+cd36mptCArRUyAnFh1vmKNzH6WVEE2ahWhCPwypFSA7YikoirokbR&#10;EXpri+lk8rnoAGuPIFUI9PeqV/J5xtdayXindVCR2YpTbjGfmM9lOov5uZitUPjGyCEN8Y4sWmEc&#10;BR2hrkQUbI3mL6jWSIQAOh5JaAvQ2kiVa6Bqysmrah4a4VWuhcgJfqQp/D9Yebt58PdINHQ+zAJd&#10;UxVbjW36Un5sm8najWSpbWSSfp5+KU8nRKkkVXl8VpbHiczi4OwxxG8KWpYuFUd6i0yR2NyE2Jvu&#10;TVKsANbU18baLKT3V5cW2UbQyy1X5QD+wsq6dzlSjsmzOFScb3FnVcKz7ofSzNRU4zQnnJvxkIyQ&#10;UrlY9qpG1KrPMbGR+4ngR49MSAZMyJqqG7EHgJeF7rF7egb75KpyL4/Ok38l1juPHjkyuDg6t8YB&#10;vgVgqaohcm+/J6mnJrG0hHp3jwyhn6Tg5bWh570RId4LpNGhjqB1EO/o0Ba6isNw46wB/P3W/2RP&#10;HU1azjoaxYqHX2uBijP73VGvfy1PTtLsZuHk9MuUBHyuWT7XuHV7CdQzJS0eL/M12Ue7v2qE9om2&#10;xiJFJZVwkmJXXEbcC5exXxG0d6RaLLIZzasX8cY9eJnAE6upfR+3TwL90OORhuMW9mMrZq9avbdN&#10;ng4W6wja5Dk48DrwTbOeG2fYS2mZPJez1WF7zv8AAAD//wMAUEsDBBQABgAIAAAAIQDeW1hL3AAA&#10;AAgBAAAPAAAAZHJzL2Rvd25yZXYueG1sTI/BTsMwEETvSPyDtUhcUOu0kCpJ41QIiSuIwoWbG7tx&#10;RLyO7G0a+Hq2J7jt04xmZ+rd7Acx2Zj6gApWywyExTaYHjsFH+/PiwJEIo1GDwGtgm+bYNdcX9W6&#10;MuGMb3baUyc4BFOlFTiisZIytc56nZZhtMjaMUSviTF20kR95nA/yHWWbaTXPfIHp0f75Gz7tT95&#10;BeVP+0pFGHNH/WfZ+dXLMU53St3ezI9bEGRn+jPDpT5Xh4Y7HcIJTRIDc5nzFlLwkINgfV1c+MDH&#10;5h5kU8v/A5pfAAAA//8DAFBLAQItABQABgAIAAAAIQC2gziS/gAAAOEBAAATAAAAAAAAAAAAAAAA&#10;AAAAAABbQ29udGVudF9UeXBlc10ueG1sUEsBAi0AFAAGAAgAAAAhADj9If/WAAAAlAEAAAsAAAAA&#10;AAAAAAAAAAAALwEAAF9yZWxzLy5yZWxzUEsBAi0AFAAGAAgAAAAhAGN6cPR3AgAAhQUAAA4AAAAA&#10;AAAAAAAAAAAALgIAAGRycy9lMm9Eb2MueG1sUEsBAi0AFAAGAAgAAAAhAN5bWEvcAAAACAEAAA8A&#10;AAAAAAAAAAAAAAAA0QQAAGRycy9kb3ducmV2LnhtbFBLBQYAAAAABAAEAPMAAADaBQAAAAA=&#10;" fillcolor="white [3212]" strokecolor="white [3212]" strokeweight="2pt"/>
            </w:pict>
          </mc:Fallback>
        </mc:AlternateContent>
      </w:r>
      <w:r>
        <w:rPr>
          <w:rFonts w:cs="Calibri"/>
          <w:noProof/>
        </w:rPr>
        <w:drawing>
          <wp:inline distT="0" distB="0" distL="0" distR="0" wp14:anchorId="6C13D209" wp14:editId="6BC6F646">
            <wp:extent cx="3533977" cy="2851150"/>
            <wp:effectExtent l="0" t="0" r="9525" b="6350"/>
            <wp:docPr id="1596513106" name="Picture 2" descr="الشكل 2: تقسيم المشورة حسب الف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13106" name="Picture 2" descr="الشكل 2: تقسيم المشورة حسب الفئة"/>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54234" cy="2867493"/>
                    </a:xfrm>
                    <a:prstGeom prst="rect">
                      <a:avLst/>
                    </a:prstGeom>
                    <a:noFill/>
                  </pic:spPr>
                </pic:pic>
              </a:graphicData>
            </a:graphic>
          </wp:inline>
        </w:drawing>
      </w:r>
    </w:p>
    <w:p w14:paraId="4C4BAA5C" w14:textId="54725498" w:rsidR="006761B4" w:rsidRPr="007D2F97" w:rsidRDefault="006761B4" w:rsidP="00370644">
      <w:pPr>
        <w:pStyle w:val="ONUME"/>
        <w:bidi/>
        <w:rPr>
          <w:rFonts w:cs="Calibri"/>
          <w:rtl/>
        </w:rPr>
      </w:pPr>
      <w:r w:rsidRPr="007D2F97">
        <w:rPr>
          <w:rFonts w:cs="Calibri" w:hint="cs"/>
          <w:rtl/>
        </w:rPr>
        <w:t>وكما هو مبين في ا</w:t>
      </w:r>
      <w:r w:rsidRPr="007D2F97">
        <w:rPr>
          <w:rFonts w:cs="Calibri" w:hint="cs"/>
          <w:b/>
          <w:bCs/>
          <w:rtl/>
        </w:rPr>
        <w:t>لشكل 3</w:t>
      </w:r>
      <w:r w:rsidRPr="007D2F97">
        <w:rPr>
          <w:rFonts w:cs="Calibri" w:hint="cs"/>
          <w:rtl/>
        </w:rPr>
        <w:t>، قدمت غالبية الطلبات من الموظفين (</w:t>
      </w:r>
      <w:r w:rsidRPr="007D2F97">
        <w:rPr>
          <w:rFonts w:cs="Calibri" w:hint="cs"/>
          <w:b/>
          <w:bCs/>
          <w:rtl/>
        </w:rPr>
        <w:t>163</w:t>
      </w:r>
      <w:r w:rsidRPr="007D2F97">
        <w:rPr>
          <w:rFonts w:cs="Calibri" w:hint="cs"/>
          <w:rtl/>
        </w:rPr>
        <w:t xml:space="preserve">) أو </w:t>
      </w:r>
      <w:r w:rsidRPr="007D2F97">
        <w:rPr>
          <w:rFonts w:cs="Calibri" w:hint="cs"/>
          <w:b/>
          <w:bCs/>
          <w:rtl/>
        </w:rPr>
        <w:t>ثلاثة</w:t>
      </w:r>
      <w:r w:rsidRPr="007D2F97">
        <w:rPr>
          <w:rFonts w:cs="Calibri" w:hint="cs"/>
          <w:rtl/>
        </w:rPr>
        <w:t xml:space="preserve"> من فرادى المتعاقدين أو العاملين في الوكالات و </w:t>
      </w:r>
      <w:r w:rsidRPr="007D2F97">
        <w:rPr>
          <w:rFonts w:cs="Calibri" w:hint="cs"/>
          <w:b/>
          <w:bCs/>
          <w:rtl/>
        </w:rPr>
        <w:t>16</w:t>
      </w:r>
      <w:r w:rsidRPr="007D2F97">
        <w:rPr>
          <w:rFonts w:cs="Calibri" w:hint="cs"/>
          <w:rtl/>
        </w:rPr>
        <w:t xml:space="preserve"> من الزملاء أو الخبراء الشباب ومن </w:t>
      </w:r>
      <w:r w:rsidRPr="007D2F97">
        <w:rPr>
          <w:rFonts w:cs="Calibri" w:hint="cs"/>
          <w:b/>
          <w:bCs/>
          <w:rtl/>
        </w:rPr>
        <w:t>ستة</w:t>
      </w:r>
      <w:r w:rsidRPr="007D2F97">
        <w:rPr>
          <w:rFonts w:cs="Calibri" w:hint="cs"/>
          <w:rtl/>
        </w:rPr>
        <w:t xml:space="preserve"> من أصحاب المصالح الخارجيين الآخرين في الويبو (على سبيل المثال، أفراد من كيانات أخرى تابعة للأمم المتحدة أو ممن استخدموا الخدمات التي تقدمها الويبو).    </w:t>
      </w:r>
    </w:p>
    <w:p w14:paraId="47CB0774" w14:textId="67451524" w:rsidR="00FB463D" w:rsidRPr="007D2F97" w:rsidRDefault="00FB463D" w:rsidP="00AD06DF">
      <w:pPr>
        <w:bidi/>
        <w:spacing w:after="220"/>
        <w:jc w:val="center"/>
        <w:rPr>
          <w:rFonts w:cs="Calibri"/>
          <w:noProof/>
          <w:rtl/>
        </w:rPr>
      </w:pPr>
      <w:r w:rsidRPr="007D2F97">
        <w:rPr>
          <w:rFonts w:cs="Calibri" w:hint="cs"/>
          <w:b/>
          <w:bCs/>
          <w:sz w:val="20"/>
          <w:rtl/>
        </w:rPr>
        <w:t>الشكل 3:</w:t>
      </w:r>
      <w:r w:rsidRPr="007D2F97">
        <w:rPr>
          <w:rFonts w:cs="Calibri" w:hint="cs"/>
          <w:sz w:val="20"/>
          <w:rtl/>
        </w:rPr>
        <w:t xml:space="preserve"> مصدر الطلبات </w:t>
      </w:r>
    </w:p>
    <w:p w14:paraId="0D0310DA" w14:textId="26B2C0FF" w:rsidR="007577A7" w:rsidRPr="007D2F97" w:rsidRDefault="00AA0F2A" w:rsidP="009F2A35">
      <w:pPr>
        <w:bidi/>
        <w:spacing w:after="220"/>
        <w:jc w:val="center"/>
        <w:rPr>
          <w:rFonts w:cs="Calibri"/>
          <w:sz w:val="20"/>
          <w:rtl/>
        </w:rPr>
      </w:pPr>
      <w:r>
        <w:rPr>
          <w:rFonts w:cs="Calibri"/>
          <w:noProof/>
          <w:sz w:val="20"/>
        </w:rPr>
        <w:drawing>
          <wp:inline distT="0" distB="0" distL="0" distR="0" wp14:anchorId="366083F6" wp14:editId="3BBC81AF">
            <wp:extent cx="4340860" cy="2207260"/>
            <wp:effectExtent l="0" t="0" r="2540" b="2540"/>
            <wp:docPr id="1080708754" name="Picture 4" descr="الشكل 3: مصدر الطلبا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08754" name="Picture 4" descr="الشكل 3: مصدر الطلبات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0860" cy="2207260"/>
                    </a:xfrm>
                    <a:prstGeom prst="rect">
                      <a:avLst/>
                    </a:prstGeom>
                    <a:noFill/>
                  </pic:spPr>
                </pic:pic>
              </a:graphicData>
            </a:graphic>
          </wp:inline>
        </w:drawing>
      </w:r>
    </w:p>
    <w:p w14:paraId="100BEB6A" w14:textId="2F3FD616" w:rsidR="006761B4" w:rsidRPr="007D2F97" w:rsidRDefault="006761B4" w:rsidP="00AD2E83">
      <w:pPr>
        <w:pStyle w:val="Heading2"/>
        <w:rPr>
          <w:rtl/>
        </w:rPr>
      </w:pPr>
      <w:r w:rsidRPr="007D2F97">
        <w:rPr>
          <w:rFonts w:hint="cs"/>
          <w:rtl/>
        </w:rPr>
        <w:lastRenderedPageBreak/>
        <w:t>باء.</w:t>
      </w:r>
      <w:r w:rsidRPr="007D2F97">
        <w:rPr>
          <w:rFonts w:hint="cs"/>
          <w:rtl/>
        </w:rPr>
        <w:tab/>
        <w:t>التوعية والتدريب والتواصل</w:t>
      </w:r>
    </w:p>
    <w:p w14:paraId="3452E985" w14:textId="69831F7C" w:rsidR="006761B4" w:rsidRPr="007D2F97" w:rsidRDefault="006761B4" w:rsidP="003C1EE2">
      <w:pPr>
        <w:numPr>
          <w:ilvl w:val="0"/>
          <w:numId w:val="5"/>
        </w:numPr>
        <w:bidi/>
        <w:spacing w:after="220"/>
        <w:rPr>
          <w:rFonts w:cs="Calibri"/>
          <w:rtl/>
        </w:rPr>
      </w:pPr>
      <w:r w:rsidRPr="007D2F97">
        <w:rPr>
          <w:rFonts w:cs="Calibri" w:hint="cs"/>
          <w:rtl/>
        </w:rPr>
        <w:t>تهدف أنشطة التوعية والتدريب والتوعية التي يضطلع بها مكتب الأخلاقيات إلى تحسين المعارف وفهم وتعزيز المساءلة عن القيم والمبادئ الأخلاقية للويبو على نطاق المنظمة</w:t>
      </w:r>
    </w:p>
    <w:p w14:paraId="0240ACEF" w14:textId="64E98F13" w:rsidR="00206004" w:rsidRPr="007D2F97" w:rsidRDefault="00D31394" w:rsidP="00206004">
      <w:pPr>
        <w:numPr>
          <w:ilvl w:val="0"/>
          <w:numId w:val="5"/>
        </w:numPr>
        <w:bidi/>
        <w:spacing w:after="220"/>
        <w:rPr>
          <w:rFonts w:cs="Calibri"/>
          <w:iCs/>
          <w:rtl/>
        </w:rPr>
      </w:pPr>
      <w:r w:rsidRPr="007D2F97">
        <w:rPr>
          <w:rFonts w:cs="Calibri" w:hint="cs"/>
          <w:rtl/>
        </w:rPr>
        <w:t xml:space="preserve">ويبين </w:t>
      </w:r>
      <w:r w:rsidRPr="007D2F97">
        <w:rPr>
          <w:rFonts w:cs="Calibri" w:hint="cs"/>
          <w:b/>
          <w:bCs/>
          <w:rtl/>
        </w:rPr>
        <w:t>الشكل 4</w:t>
      </w:r>
      <w:r w:rsidRPr="007D2F97">
        <w:rPr>
          <w:rFonts w:cs="Calibri" w:hint="cs"/>
          <w:rtl/>
        </w:rPr>
        <w:t xml:space="preserve"> أن مكتب الأخلاقيات اضطلع، طوال عام 2024، بعدد من مبادرات التوعية، بما في ذلك عقد ثلاث دورات تدريبية تمهيدية (حضرها </w:t>
      </w:r>
      <w:r w:rsidRPr="007D2F97">
        <w:rPr>
          <w:rFonts w:cs="Calibri" w:hint="cs"/>
          <w:b/>
          <w:bCs/>
          <w:rtl/>
        </w:rPr>
        <w:t>65</w:t>
      </w:r>
      <w:r w:rsidRPr="007D2F97">
        <w:rPr>
          <w:rFonts w:cs="Calibri" w:hint="cs"/>
          <w:rtl/>
        </w:rPr>
        <w:t xml:space="preserve"> موظفا حديثا من الموظفين)، وعرض واحد على المديرين المسؤولين عن مكاتب الويبو الخارجية (في يوليو) واجتماع عام واحد (في نوفمبر) بهدف عرض ولايته وتشجيع الموظفين على التواصل معه للحصول على الدعم (حضره ما يقرب من 300 فرد من الموظفين).  وبالإضافة إلى ذلك، اجتمع مكتب الأخلاقيات، في الفترة ما بين أغسطس وديسمبر، بقيادة القطاعات الثمانية جميعا (فرديا وجماعيا) وكبار المديرين (بلغ </w:t>
      </w:r>
      <w:r w:rsidRPr="007D2F97">
        <w:rPr>
          <w:rFonts w:cs="Calibri" w:hint="cs"/>
          <w:b/>
          <w:bCs/>
          <w:rtl/>
        </w:rPr>
        <w:t>188</w:t>
      </w:r>
      <w:r w:rsidRPr="007D2F97">
        <w:rPr>
          <w:rFonts w:cs="Calibri" w:hint="cs"/>
          <w:rtl/>
        </w:rPr>
        <w:t xml:space="preserve"> عضوا من الموظفين).  </w:t>
      </w:r>
    </w:p>
    <w:p w14:paraId="57E3B75D" w14:textId="4F9410E4" w:rsidR="007F1D3B" w:rsidRPr="007D2F97" w:rsidRDefault="00833C80" w:rsidP="00B97137">
      <w:pPr>
        <w:numPr>
          <w:ilvl w:val="0"/>
          <w:numId w:val="5"/>
        </w:numPr>
        <w:bidi/>
        <w:spacing w:after="220"/>
        <w:rPr>
          <w:rFonts w:cs="Calibri"/>
          <w:iCs/>
          <w:rtl/>
        </w:rPr>
      </w:pPr>
      <w:r w:rsidRPr="007D2F97">
        <w:rPr>
          <w:rFonts w:cs="Calibri" w:hint="cs"/>
          <w:rtl/>
        </w:rPr>
        <w:t xml:space="preserve">وأعيد تصميم صفحات مكتب الأخلاقيات على الشبكة الداخلية لتوفير إرشادات ملموسة بشأن المسائل الأخلاقية مثل تضارب المصالح (بما في ذلك القضايا الناشئة عن العلاقات الحميمة والمصالح الخاصة و/أو المالية) والأنشطة الخارجية، فضلا عن تيسير النفاذ إلى الأحكام المنطبقة والاتصالات الرئيسية داخل الويبو.  وفي </w:t>
      </w:r>
      <w:r w:rsidR="006A7A65" w:rsidRPr="007D2F97">
        <w:rPr>
          <w:rFonts w:cs="Calibri" w:hint="cs"/>
          <w:rtl/>
        </w:rPr>
        <w:t>سبتمب</w:t>
      </w:r>
      <w:r w:rsidR="006A7A65" w:rsidRPr="007D2F97">
        <w:rPr>
          <w:rFonts w:cs="Calibri"/>
          <w:rtl/>
        </w:rPr>
        <w:t>ر</w:t>
      </w:r>
      <w:r w:rsidRPr="007D2F97">
        <w:rPr>
          <w:rFonts w:cs="Calibri" w:hint="cs"/>
          <w:rtl/>
        </w:rPr>
        <w:t xml:space="preserve"> 2024، أتيحت للعالمين في الويبو صفحات الإنترانت الجديدة.</w:t>
      </w:r>
    </w:p>
    <w:p w14:paraId="15D37FFC" w14:textId="534B65AA" w:rsidR="00206004" w:rsidRPr="007D2F97" w:rsidRDefault="00206004" w:rsidP="00B97137">
      <w:pPr>
        <w:numPr>
          <w:ilvl w:val="0"/>
          <w:numId w:val="5"/>
        </w:numPr>
        <w:bidi/>
        <w:spacing w:after="220"/>
        <w:rPr>
          <w:rFonts w:cs="Calibri"/>
          <w:iCs/>
          <w:rtl/>
        </w:rPr>
      </w:pPr>
      <w:r w:rsidRPr="007D2F97">
        <w:rPr>
          <w:rFonts w:cs="Calibri" w:hint="cs"/>
          <w:rtl/>
        </w:rPr>
        <w:t xml:space="preserve">وبالإضافة إلى ذلك، في أكتوبر 2024، أطلق مكتب الأخلاقيات، بمناسبة اليوم العالمي للأخلاقيات، دراسة استقصائية بهدف تحسين الوعي بالقيم الأخلاقية للويبو وتقريب الموظفين منها.  </w:t>
      </w:r>
    </w:p>
    <w:p w14:paraId="7CE9B6C7" w14:textId="441E3287" w:rsidR="00E433A4" w:rsidRPr="007D2F97" w:rsidRDefault="00A57CA9" w:rsidP="00827881">
      <w:pPr>
        <w:numPr>
          <w:ilvl w:val="0"/>
          <w:numId w:val="5"/>
        </w:numPr>
        <w:bidi/>
        <w:spacing w:after="220"/>
        <w:rPr>
          <w:rFonts w:cs="Calibri"/>
          <w:rtl/>
        </w:rPr>
      </w:pPr>
      <w:r w:rsidRPr="007D2F97">
        <w:rPr>
          <w:rFonts w:cs="Calibri" w:hint="cs"/>
          <w:rtl/>
        </w:rPr>
        <w:t>وفي ديسمبر 2024، أرسل مكتب الأخلاقيات رسالة تذكيرية إلى موظفي الويبو بالتزاماتهم بموجب سياسة الويبو بشأن التكريمات والهدايا.</w:t>
      </w:r>
    </w:p>
    <w:p w14:paraId="2E3A3418" w14:textId="628B4342" w:rsidR="00A57CA9" w:rsidRPr="007D2F97" w:rsidRDefault="00A57CA9" w:rsidP="00827881">
      <w:pPr>
        <w:numPr>
          <w:ilvl w:val="0"/>
          <w:numId w:val="5"/>
        </w:numPr>
        <w:bidi/>
        <w:spacing w:after="220"/>
        <w:rPr>
          <w:rFonts w:cs="Calibri"/>
          <w:rtl/>
        </w:rPr>
      </w:pPr>
      <w:r w:rsidRPr="007D2F97">
        <w:rPr>
          <w:rFonts w:cs="Calibri" w:hint="cs"/>
          <w:rtl/>
        </w:rPr>
        <w:t>وفي ديسمبر 2024 أيضا، قام مكتب الأخلاقيات بتقديم لمحة عامة لجميع قادة القطاعات</w:t>
      </w:r>
      <w:r w:rsidR="000A05EB" w:rsidRPr="007D2F97">
        <w:rPr>
          <w:rStyle w:val="FootnoteReference"/>
          <w:rFonts w:cs="Calibri"/>
        </w:rPr>
        <w:footnoteReference w:id="7"/>
      </w:r>
      <w:r w:rsidRPr="007D2F97">
        <w:rPr>
          <w:rFonts w:cs="Calibri" w:hint="cs"/>
          <w:rtl/>
        </w:rPr>
        <w:t xml:space="preserve"> عن عدد وطبيعة طلبات المشورة المتعلقة بالأخلاقيات الواردة في عام 2024 من أفراد الموظفين في منطقتها (مع الحفاظ على سرية الاستفسارات المتعلقة بالتوعية وعدم الكشف عن هوية من رفعها).  وكان الغرض من ذلك هو ضمان مزيد من المساءلة عن المعايير الأخلاقية، من خلال تحديد المكان الذي يمكن القيام بمزيد من العمل فيه (لا سيما من حيث التوجيه أو التواصل) للتأكد من فهم هذه المعايير فهما واضحا، والامتثال لها في جميع أنحاء الويبو</w:t>
      </w:r>
    </w:p>
    <w:p w14:paraId="0552C1A3" w14:textId="63F250F3" w:rsidR="00FB76D1" w:rsidRPr="007D2F97" w:rsidRDefault="00FB76D1" w:rsidP="00FB76D1">
      <w:pPr>
        <w:bidi/>
        <w:spacing w:after="220"/>
        <w:jc w:val="center"/>
        <w:rPr>
          <w:rFonts w:cs="Calibri"/>
          <w:sz w:val="20"/>
          <w:rtl/>
        </w:rPr>
      </w:pPr>
      <w:r w:rsidRPr="007D2F97">
        <w:rPr>
          <w:rFonts w:cs="Calibri" w:hint="cs"/>
          <w:b/>
          <w:bCs/>
          <w:sz w:val="20"/>
          <w:rtl/>
        </w:rPr>
        <w:t xml:space="preserve">الشكل 4: </w:t>
      </w:r>
      <w:r w:rsidRPr="007D2F97">
        <w:rPr>
          <w:rFonts w:cs="Calibri" w:hint="cs"/>
          <w:sz w:val="20"/>
          <w:rtl/>
        </w:rPr>
        <w:t>مبادرات التوعية التي يقوم بها مكتب الأخلاقيات وعدد أفراد الموظفين الذين تم الوصول إليهم</w:t>
      </w:r>
    </w:p>
    <w:p w14:paraId="2C27FE91" w14:textId="0E32463A" w:rsidR="00906E51" w:rsidRDefault="00906E51" w:rsidP="004A0CF7">
      <w:pPr>
        <w:bidi/>
        <w:contextualSpacing/>
        <w:jc w:val="center"/>
        <w:rPr>
          <w:rFonts w:cs="Calibri"/>
          <w:u w:val="single"/>
          <w:rtl/>
        </w:rPr>
      </w:pPr>
    </w:p>
    <w:p w14:paraId="262F9871" w14:textId="4F44B983" w:rsidR="00425BD4" w:rsidRPr="000129F3" w:rsidRDefault="00425BD4" w:rsidP="000129F3">
      <w:pPr>
        <w:bidi/>
        <w:contextualSpacing/>
        <w:jc w:val="center"/>
        <w:rPr>
          <w:rFonts w:cs="Calibri"/>
          <w:rtl/>
        </w:rPr>
      </w:pPr>
      <w:r>
        <w:rPr>
          <w:rFonts w:cs="Calibri"/>
          <w:noProof/>
          <w:u w:val="single"/>
        </w:rPr>
        <w:drawing>
          <wp:inline distT="0" distB="0" distL="0" distR="0" wp14:anchorId="697B6A5B" wp14:editId="01EF1C70">
            <wp:extent cx="5274749" cy="3525461"/>
            <wp:effectExtent l="0" t="0" r="2540" b="0"/>
            <wp:docPr id="841585313" name="Picture 4" descr="الشكل 4: مبادرات التوعية التي يقوم بها مكتب الأخلاقيات وعدد أفراد الموظفين الذين تم الوصول إلي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85313" name="Picture 4" descr="الشكل 4: مبادرات التوعية التي يقوم بها مكتب الأخلاقيات وعدد أفراد الموظفين الذين تم الوصول إليهم"/>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23533" cy="3558066"/>
                    </a:xfrm>
                    <a:prstGeom prst="rect">
                      <a:avLst/>
                    </a:prstGeom>
                    <a:noFill/>
                  </pic:spPr>
                </pic:pic>
              </a:graphicData>
            </a:graphic>
          </wp:inline>
        </w:drawing>
      </w:r>
    </w:p>
    <w:p w14:paraId="65B469DF" w14:textId="07BC2963" w:rsidR="00425BD4" w:rsidRPr="000129F3" w:rsidRDefault="00425BD4" w:rsidP="00425BD4">
      <w:pPr>
        <w:bidi/>
        <w:contextualSpacing/>
        <w:jc w:val="center"/>
        <w:rPr>
          <w:rFonts w:cs="Calibri"/>
          <w:rtl/>
        </w:rPr>
      </w:pPr>
    </w:p>
    <w:p w14:paraId="72E8E14D" w14:textId="6675E812" w:rsidR="007C7534" w:rsidRPr="006A7A65" w:rsidRDefault="005D6FFE" w:rsidP="00621C5C">
      <w:pPr>
        <w:pStyle w:val="Heading3"/>
        <w:bidi/>
        <w:spacing w:after="220"/>
        <w:ind w:left="1134"/>
        <w:rPr>
          <w:rFonts w:cs="Calibri"/>
          <w:b/>
          <w:bCs w:val="0"/>
          <w:sz w:val="18"/>
          <w:szCs w:val="22"/>
          <w:rtl/>
        </w:rPr>
      </w:pPr>
      <w:r w:rsidRPr="006A7A65">
        <w:rPr>
          <w:rFonts w:cs="Calibri" w:hint="cs"/>
          <w:b/>
          <w:bCs w:val="0"/>
          <w:sz w:val="18"/>
          <w:szCs w:val="22"/>
          <w:rtl/>
        </w:rPr>
        <w:lastRenderedPageBreak/>
        <w:t>التدريب الإلزامي بشأن الأخلاقيات والنزاهة</w:t>
      </w:r>
    </w:p>
    <w:p w14:paraId="4FBAA11D" w14:textId="5D9E303A" w:rsidR="002034F4" w:rsidRPr="007D2F97" w:rsidRDefault="002034F4" w:rsidP="00242AD0">
      <w:pPr>
        <w:numPr>
          <w:ilvl w:val="0"/>
          <w:numId w:val="5"/>
        </w:numPr>
        <w:bidi/>
        <w:spacing w:after="220"/>
        <w:rPr>
          <w:rFonts w:cs="Calibri"/>
          <w:rtl/>
        </w:rPr>
      </w:pPr>
      <w:r w:rsidRPr="007D2F97">
        <w:rPr>
          <w:rFonts w:cs="Calibri" w:hint="cs"/>
          <w:rtl/>
        </w:rPr>
        <w:t xml:space="preserve">يعطي التدريب بشأن الأخلاقيات والنزاهة نظرة عامة عن الموارد المتاحة في مجال الأخلاقيات.  ويتضمن رسالةً من المدير العام عن أهمية الأخلاقيات في الويبو، واختباراً ختامياً، ورسوماً توضيحية متطورة، وتمارين تفاعلية، وفيديوهات لعرض المفاهيم الأخلاقية المهمة بطريقة جذابة، ومن أمثلة تلك المفاهيم: معنى الأخلاقيات في الويبو، والمخاطر الأخلاقية التي قد يواجهها الموظفون، وتوقُّع أن يكون المديرون والمشرفون قدوة أخلاقية يُحتذى بها، ودور مكتب الأخلاقيات، والحماية من الانتقام. </w:t>
      </w:r>
    </w:p>
    <w:p w14:paraId="743EE768" w14:textId="5D4311FF" w:rsidR="00AC128D" w:rsidRPr="007D2F97" w:rsidRDefault="008E2AF0" w:rsidP="00B530C6">
      <w:pPr>
        <w:numPr>
          <w:ilvl w:val="0"/>
          <w:numId w:val="5"/>
        </w:numPr>
        <w:bidi/>
        <w:spacing w:after="220"/>
        <w:rPr>
          <w:rFonts w:cs="Calibri"/>
          <w:rtl/>
        </w:rPr>
      </w:pPr>
      <w:r w:rsidRPr="007D2F97">
        <w:rPr>
          <w:rFonts w:cs="Calibri" w:hint="cs"/>
          <w:rtl/>
        </w:rPr>
        <w:t>وفي عام 2024، واصل مكتب الأخلاقيات رصد استكمال هذا التدريب الإلزامي، بدعم من أكاديمية الويبو.  ووجّه رسائل تذكيرية منتظمة إلى الموظفين المعينين حديثا بعد ثلاثين يوما على الأقل داخل المنظمة</w:t>
      </w:r>
      <w:r w:rsidR="006761B4" w:rsidRPr="007D2F97">
        <w:rPr>
          <w:rFonts w:cs="Calibri"/>
          <w:vertAlign w:val="superscript"/>
        </w:rPr>
        <w:footnoteReference w:id="8"/>
      </w:r>
      <w:r w:rsidRPr="007D2F97">
        <w:rPr>
          <w:rFonts w:cs="Calibri" w:hint="cs"/>
          <w:rtl/>
        </w:rPr>
        <w:t>.</w:t>
      </w:r>
      <w:r w:rsidRPr="007D2F97">
        <w:rPr>
          <w:rFonts w:cs="Calibri" w:hint="cs"/>
          <w:vertAlign w:val="superscript"/>
          <w:rtl/>
        </w:rPr>
        <w:t xml:space="preserve">   </w:t>
      </w:r>
      <w:r w:rsidRPr="007D2F97">
        <w:rPr>
          <w:rFonts w:cs="Calibri" w:hint="cs"/>
          <w:rtl/>
        </w:rPr>
        <w:t xml:space="preserve">وفي المجمل، وحتى نهاية 31 ديسمبر 2024، أكمل 1279 من أصل 1330 مشاركاً دورة التعلم الإلكتروني بنجاح، </w:t>
      </w:r>
      <w:r w:rsidRPr="007D2F97">
        <w:rPr>
          <w:rFonts w:cs="Calibri" w:hint="cs"/>
          <w:b/>
          <w:bCs/>
          <w:rtl/>
        </w:rPr>
        <w:t>بمعدل إتمام بلغ 96 في المائة</w:t>
      </w:r>
      <w:r w:rsidRPr="007D2F97">
        <w:rPr>
          <w:rFonts w:cs="Calibri" w:hint="cs"/>
          <w:rtl/>
        </w:rPr>
        <w:t xml:space="preserve">. </w:t>
      </w:r>
    </w:p>
    <w:p w14:paraId="206A7F97" w14:textId="0E7219B2" w:rsidR="006761B4" w:rsidRPr="007D2F97" w:rsidRDefault="006761B4" w:rsidP="00AD2E83">
      <w:pPr>
        <w:pStyle w:val="Heading2"/>
        <w:rPr>
          <w:rtl/>
        </w:rPr>
      </w:pPr>
      <w:r w:rsidRPr="007D2F97">
        <w:rPr>
          <w:rFonts w:hint="cs"/>
          <w:rtl/>
        </w:rPr>
        <w:t>جيم</w:t>
      </w:r>
      <w:r w:rsidRPr="007D2F97">
        <w:rPr>
          <w:rFonts w:hint="cs"/>
          <w:rtl/>
        </w:rPr>
        <w:tab/>
        <w:t>الرصد ووضع المعايير</w:t>
      </w:r>
    </w:p>
    <w:p w14:paraId="30AD9694" w14:textId="537B810E" w:rsidR="006761B4" w:rsidRPr="007D2F97" w:rsidRDefault="006761B4" w:rsidP="00173335">
      <w:pPr>
        <w:numPr>
          <w:ilvl w:val="0"/>
          <w:numId w:val="5"/>
        </w:numPr>
        <w:bidi/>
        <w:spacing w:after="220"/>
        <w:rPr>
          <w:rFonts w:cs="Calibri"/>
          <w:rtl/>
        </w:rPr>
      </w:pPr>
      <w:r w:rsidRPr="007D2F97">
        <w:rPr>
          <w:rFonts w:cs="Calibri" w:hint="cs"/>
          <w:rtl/>
        </w:rPr>
        <w:t>يتولى مكتب الأخلاقيات تقديم الدعم لوضع المعايير والسياسات من أجل إعداد وتفسير السياسات المتعلقة بالأخلاقيات، وتقديم معلومات إلى الإدارة لضمان أن سائر السياسات والممارسات تُراعي وتُعزز وتشجع المعايير الأخلاقية والنزاهة داخل الويبو.</w:t>
      </w:r>
    </w:p>
    <w:p w14:paraId="05178D73" w14:textId="24F19778" w:rsidR="007C76DC" w:rsidRPr="007D2F97" w:rsidRDefault="007C76DC" w:rsidP="00173335">
      <w:pPr>
        <w:numPr>
          <w:ilvl w:val="0"/>
          <w:numId w:val="5"/>
        </w:numPr>
        <w:bidi/>
        <w:spacing w:after="220"/>
        <w:rPr>
          <w:rFonts w:cs="Calibri"/>
          <w:rtl/>
        </w:rPr>
      </w:pPr>
      <w:r w:rsidRPr="007D2F97">
        <w:rPr>
          <w:rFonts w:cs="Calibri" w:hint="cs"/>
          <w:rtl/>
        </w:rPr>
        <w:t>وفي النصف الثاني من عام 2024، تحسبا لاستعراض سياسة الويبو بشأن الأنشطة الخارجية، أجرى مكتب الأخلاقيات مناقشات مع إدارة الموارد البشرية وأجرى فيما بعد استعراضا مقارنا لأحكام كيانات النظام الموحد الأخرى التابعة للأمم المتحدة</w:t>
      </w:r>
      <w:r w:rsidR="00E63AD0" w:rsidRPr="007D2F97">
        <w:rPr>
          <w:rStyle w:val="FootnoteReference"/>
          <w:rFonts w:cs="Calibri"/>
        </w:rPr>
        <w:footnoteReference w:id="9"/>
      </w:r>
      <w:r w:rsidRPr="007D2F97">
        <w:rPr>
          <w:rFonts w:cs="Calibri" w:hint="cs"/>
          <w:rtl/>
        </w:rPr>
        <w:t>.</w:t>
      </w:r>
    </w:p>
    <w:p w14:paraId="16243008" w14:textId="18FB60C5" w:rsidR="00F54E48" w:rsidRPr="007D2F97" w:rsidRDefault="000D32BD" w:rsidP="00F54E48">
      <w:pPr>
        <w:numPr>
          <w:ilvl w:val="0"/>
          <w:numId w:val="5"/>
        </w:numPr>
        <w:bidi/>
        <w:spacing w:after="220"/>
        <w:rPr>
          <w:rFonts w:cs="Calibri"/>
          <w:iCs/>
          <w:rtl/>
        </w:rPr>
      </w:pPr>
      <w:r w:rsidRPr="007D2F97">
        <w:rPr>
          <w:rFonts w:cs="Calibri" w:hint="cs"/>
          <w:rtl/>
        </w:rPr>
        <w:t xml:space="preserve">ويعمل مكتب الأخلاقيات بشكل وثيق مع قيادة القطاع ذات الصلة، ومكتب المراقب المالي ومكتب المستشار القانوني، كما استعرض مكتب الأخلاقيات سياسة الإفصاح المالي والإعلان عن المصالح بغية توسيع نطاقه ليشمل حالات تضارب المصالح المتعلقة بالملكية الفكرية، بما يتماشى مع توصيتين من مراجع الحسابات الخارجي (السابق). </w:t>
      </w:r>
    </w:p>
    <w:p w14:paraId="1E5D4A03" w14:textId="35FCC83E" w:rsidR="008D2144" w:rsidRPr="007D2F97" w:rsidRDefault="007C76DC" w:rsidP="00173335">
      <w:pPr>
        <w:numPr>
          <w:ilvl w:val="0"/>
          <w:numId w:val="5"/>
        </w:numPr>
        <w:bidi/>
        <w:spacing w:after="220"/>
        <w:rPr>
          <w:rFonts w:cs="Calibri"/>
          <w:rtl/>
        </w:rPr>
      </w:pPr>
      <w:r w:rsidRPr="007D2F97">
        <w:rPr>
          <w:rFonts w:cs="Calibri" w:hint="cs"/>
          <w:rtl/>
        </w:rPr>
        <w:t>وقدم مكتب الأخلاقيات أيضا مدخلات بشأن العديد من السياسات أو الوثائق الإرشادية التي وضعها أصحاب المصلحة الداخليون الآخرون.</w:t>
      </w:r>
    </w:p>
    <w:p w14:paraId="2CB85D44" w14:textId="46ECEBC6" w:rsidR="00327F3C" w:rsidRPr="007D2F97" w:rsidRDefault="00327F3C" w:rsidP="00AD2E83">
      <w:pPr>
        <w:pStyle w:val="Heading2"/>
        <w:rPr>
          <w:rtl/>
        </w:rPr>
      </w:pPr>
      <w:r w:rsidRPr="007D2F97">
        <w:rPr>
          <w:rFonts w:hint="cs"/>
          <w:rtl/>
        </w:rPr>
        <w:t>دال</w:t>
      </w:r>
      <w:r w:rsidRPr="007D2F97">
        <w:rPr>
          <w:rFonts w:hint="cs"/>
          <w:rtl/>
        </w:rPr>
        <w:tab/>
        <w:t>استعراض شكاوى الانتقام وفقا لسياسة الويبو بشأن الحماية من الانتقام</w:t>
      </w:r>
    </w:p>
    <w:p w14:paraId="0C8C58FB" w14:textId="604BE846" w:rsidR="00E213C7" w:rsidRPr="007D2F97" w:rsidRDefault="00327F3C" w:rsidP="00E213C7">
      <w:pPr>
        <w:numPr>
          <w:ilvl w:val="0"/>
          <w:numId w:val="5"/>
        </w:numPr>
        <w:bidi/>
        <w:spacing w:after="220"/>
        <w:rPr>
          <w:rFonts w:cs="Calibri"/>
          <w:rtl/>
        </w:rPr>
      </w:pPr>
      <w:r w:rsidRPr="007D2F97">
        <w:rPr>
          <w:rFonts w:cs="Calibri" w:hint="cs"/>
          <w:rtl/>
        </w:rPr>
        <w:t xml:space="preserve">يدير مكتب الأخلاقيات سياسة الويبو للحماية من الانتقام، التي تهدف إلى الحماية من الانتقام أولئك الذين يقدمون، بحسن نية، تقريرا عن سوء السلوك أو يتعاونون في نشاط رقابي.  وفور تلقي شكوى رسمية بشأن الانتقام، يُجري مكتب الأخلاقيات استعراضاً أولياً للطلب، وإذا ثبت وجود دعوى انتقام ظاهرة الوجاهة، تُحال المسألة إلى شعبة الرقابة الداخلية للتحقيق فيها.  وعقب الانتهاء من التحقيق، يستعرض مكتب الأخلاقيات نتائج التحقيق، ويطلب التوضيح حسب الحاجة، ويبتّ في حدوث الانتقام من عدمه. </w:t>
      </w:r>
    </w:p>
    <w:p w14:paraId="79DF333E" w14:textId="48DBEB78" w:rsidR="00327F3C" w:rsidRPr="004135A5" w:rsidRDefault="004972E5" w:rsidP="00621C5C">
      <w:pPr>
        <w:pStyle w:val="Heading3"/>
        <w:bidi/>
        <w:spacing w:after="220"/>
        <w:ind w:left="1134"/>
        <w:rPr>
          <w:rFonts w:cs="Calibri"/>
          <w:b/>
          <w:bCs w:val="0"/>
          <w:sz w:val="18"/>
          <w:szCs w:val="22"/>
          <w:rtl/>
        </w:rPr>
      </w:pPr>
      <w:r w:rsidRPr="004135A5">
        <w:rPr>
          <w:rFonts w:cs="Calibri" w:hint="cs"/>
          <w:b/>
          <w:bCs w:val="0"/>
          <w:sz w:val="18"/>
          <w:szCs w:val="22"/>
          <w:rtl/>
        </w:rPr>
        <w:t>شكاوى الانتقام الرسمية</w:t>
      </w:r>
    </w:p>
    <w:p w14:paraId="02BDD327" w14:textId="705E3BCF" w:rsidR="00327F3C" w:rsidRPr="007D2F97" w:rsidRDefault="00074256" w:rsidP="00571A9C">
      <w:pPr>
        <w:numPr>
          <w:ilvl w:val="0"/>
          <w:numId w:val="5"/>
        </w:numPr>
        <w:bidi/>
        <w:spacing w:after="220"/>
        <w:rPr>
          <w:rFonts w:cs="Calibri"/>
          <w:rtl/>
        </w:rPr>
      </w:pPr>
      <w:r w:rsidRPr="007D2F97">
        <w:rPr>
          <w:rFonts w:cs="Calibri" w:hint="cs"/>
          <w:rtl/>
        </w:rPr>
        <w:t xml:space="preserve">كما يتضح من </w:t>
      </w:r>
      <w:r w:rsidRPr="007D2F97">
        <w:rPr>
          <w:rFonts w:cs="Calibri" w:hint="cs"/>
          <w:b/>
          <w:bCs/>
          <w:rtl/>
        </w:rPr>
        <w:t>الشكل 5</w:t>
      </w:r>
      <w:r w:rsidRPr="007D2F97">
        <w:rPr>
          <w:rFonts w:cs="Calibri" w:hint="cs"/>
          <w:rtl/>
        </w:rPr>
        <w:t>، تلقى مكتب الأخلاقيات، في عام 2024، شكويين رسميتين بشأن الانتقام.  وبعد إجراء استعراض أولي للشكاوى، على النحو المطلوب في سياسة الويبو للحماية من الانتقام، قرر مكتب الأخلاقيات عدم وجود دعوى ظاهرة الوجاهة بحدوث انتقام في أي من الحالتين.</w:t>
      </w:r>
    </w:p>
    <w:p w14:paraId="1160258F" w14:textId="01586E14" w:rsidR="00913FBD" w:rsidRPr="007D2F97" w:rsidRDefault="00913FBD" w:rsidP="009D6C94">
      <w:pPr>
        <w:keepNext/>
        <w:bidi/>
        <w:spacing w:after="220"/>
        <w:jc w:val="center"/>
        <w:rPr>
          <w:rFonts w:cs="Calibri"/>
          <w:sz w:val="20"/>
          <w:rtl/>
        </w:rPr>
      </w:pPr>
      <w:r w:rsidRPr="007D2F97">
        <w:rPr>
          <w:rFonts w:cs="Calibri" w:hint="cs"/>
          <w:b/>
          <w:bCs/>
          <w:sz w:val="20"/>
          <w:rtl/>
        </w:rPr>
        <w:lastRenderedPageBreak/>
        <w:t>الشكل 5:</w:t>
      </w:r>
      <w:r w:rsidRPr="007D2F97">
        <w:rPr>
          <w:rFonts w:cs="Calibri" w:hint="cs"/>
          <w:sz w:val="20"/>
          <w:rtl/>
        </w:rPr>
        <w:t xml:space="preserve"> عدد الشكاوى الرسمية الواردة من عام 2020 إلى عام 2024</w:t>
      </w:r>
    </w:p>
    <w:p w14:paraId="4C4328C7" w14:textId="23F61F34" w:rsidR="00C7230F" w:rsidRPr="007D2F97" w:rsidRDefault="00C7230F" w:rsidP="006761B4">
      <w:pPr>
        <w:bidi/>
        <w:spacing w:after="220"/>
        <w:jc w:val="center"/>
        <w:rPr>
          <w:rFonts w:cs="Calibri"/>
          <w:rtl/>
        </w:rPr>
      </w:pPr>
      <w:r w:rsidRPr="007D2F97">
        <w:rPr>
          <w:rFonts w:cs="Calibri" w:hint="cs"/>
          <w:noProof/>
          <w:rtl/>
        </w:rPr>
        <w:drawing>
          <wp:inline distT="0" distB="0" distL="0" distR="0" wp14:anchorId="3417C57D" wp14:editId="54DDEC78">
            <wp:extent cx="5321300" cy="2762250"/>
            <wp:effectExtent l="0" t="0" r="12700" b="0"/>
            <wp:docPr id="1725862243" name="Chart 1" descr="الشكل 5: عدد الشكاوى الرسمية الواردة من عام 2020 إلى عام 2024">
              <a:extLst xmlns:a="http://schemas.openxmlformats.org/drawingml/2006/main">
                <a:ext uri="{FF2B5EF4-FFF2-40B4-BE49-F238E27FC236}">
                  <a16:creationId xmlns:a16="http://schemas.microsoft.com/office/drawing/2014/main" id="{D1A74820-8EBC-FB32-78D5-21FD52B4F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91AAA5" w14:textId="424CE0FF" w:rsidR="00FB06D7" w:rsidRPr="007D2F97" w:rsidRDefault="0032424E" w:rsidP="00296CDB">
      <w:pPr>
        <w:numPr>
          <w:ilvl w:val="0"/>
          <w:numId w:val="5"/>
        </w:numPr>
        <w:bidi/>
        <w:spacing w:after="220"/>
        <w:rPr>
          <w:rFonts w:cs="Calibri"/>
          <w:rtl/>
        </w:rPr>
      </w:pPr>
      <w:bookmarkStart w:id="6" w:name="_Hlk168556432"/>
      <w:bookmarkStart w:id="7" w:name="_Hlk167799943"/>
      <w:r w:rsidRPr="007D2F97">
        <w:rPr>
          <w:rFonts w:cs="Calibri" w:hint="cs"/>
          <w:rtl/>
        </w:rPr>
        <w:t xml:space="preserve">رفضت الشكاوى الرسمية الثلاث التي قدمت في عام 2022 وظلت معلقة في عام 2024 بعد "1" قامت شعبة الرقابة الداخلية بالتحقيق في المسائل؛ "2" وقرر مكتب الأخلاقيات عدم حدوث الانتقام، "3" وقرر المدير العام تأييد قرارات مكتب الأخلاقيات. </w:t>
      </w:r>
    </w:p>
    <w:p w14:paraId="60A3D0D6" w14:textId="09347ACF" w:rsidR="008B2B1F" w:rsidRPr="007D2F97" w:rsidRDefault="001C0FEA" w:rsidP="008B4AAF">
      <w:pPr>
        <w:numPr>
          <w:ilvl w:val="0"/>
          <w:numId w:val="5"/>
        </w:numPr>
        <w:bidi/>
        <w:spacing w:after="220"/>
        <w:rPr>
          <w:rFonts w:cs="Calibri"/>
          <w:rtl/>
        </w:rPr>
      </w:pPr>
      <w:r w:rsidRPr="007D2F97">
        <w:rPr>
          <w:rFonts w:cs="Calibri" w:hint="cs"/>
          <w:rtl/>
        </w:rPr>
        <w:t>ومن أصل الشكاوى الرسمية الأربع المقدمة في عام 2023، لم يبت في سوى قضية واحدة معلقة مع شعبة الرقابة الداخلية في عام 2024 (بناء على قرار مكتب الأخلاقيات بوجود حالة انتقام ظاهرة الوجاهة).</w:t>
      </w:r>
      <w:bookmarkEnd w:id="6"/>
      <w:r w:rsidRPr="007D2F97">
        <w:rPr>
          <w:rFonts w:cs="Calibri" w:hint="cs"/>
          <w:rtl/>
        </w:rPr>
        <w:t xml:space="preserve"> يوضح </w:t>
      </w:r>
      <w:r w:rsidRPr="007D2F97">
        <w:rPr>
          <w:rFonts w:cs="Calibri" w:hint="cs"/>
          <w:b/>
          <w:bCs/>
          <w:rtl/>
        </w:rPr>
        <w:t>الشكل 6</w:t>
      </w:r>
      <w:r w:rsidRPr="007D2F97">
        <w:rPr>
          <w:rFonts w:cs="Calibri" w:hint="cs"/>
          <w:rtl/>
        </w:rPr>
        <w:t xml:space="preserve"> حالة الطلبات التي تلقاها مكتب الأخلاقيات في عام 2024، و/أو المعلقة مع شعبة الرقابة الداخلية في نهاية عام 2024</w:t>
      </w:r>
      <w:bookmarkStart w:id="8" w:name="_Hlk167799854"/>
      <w:bookmarkEnd w:id="7"/>
      <w:r w:rsidRPr="007D2F97">
        <w:rPr>
          <w:rFonts w:cs="Calibri" w:hint="cs"/>
          <w:rtl/>
        </w:rPr>
        <w:t xml:space="preserve"> </w:t>
      </w:r>
    </w:p>
    <w:p w14:paraId="7D3F996C" w14:textId="5C6CF516" w:rsidR="006761B4" w:rsidRPr="007D2F97" w:rsidRDefault="006761B4" w:rsidP="000B03EA">
      <w:pPr>
        <w:keepNext/>
        <w:bidi/>
        <w:spacing w:after="220"/>
        <w:jc w:val="center"/>
        <w:rPr>
          <w:rFonts w:cs="Calibri"/>
          <w:strike/>
          <w:szCs w:val="28"/>
          <w:rtl/>
        </w:rPr>
      </w:pPr>
      <w:r w:rsidRPr="007D2F97">
        <w:rPr>
          <w:rFonts w:cs="Calibri" w:hint="cs"/>
          <w:b/>
          <w:bCs/>
          <w:sz w:val="20"/>
          <w:rtl/>
        </w:rPr>
        <w:t>الشكل 6:</w:t>
      </w:r>
      <w:r w:rsidRPr="007D2F97">
        <w:rPr>
          <w:rFonts w:cs="Calibri" w:hint="cs"/>
          <w:sz w:val="20"/>
          <w:rtl/>
        </w:rPr>
        <w:t xml:space="preserve"> </w:t>
      </w:r>
      <w:r w:rsidRPr="007D2F97">
        <w:rPr>
          <w:rFonts w:cs="Calibri" w:hint="cs"/>
          <w:rtl/>
        </w:rPr>
        <w:t>عدد الشكاوى</w:t>
      </w:r>
      <w:bookmarkEnd w:id="8"/>
      <w:r w:rsidRPr="007D2F97">
        <w:rPr>
          <w:rFonts w:cs="Calibri" w:hint="cs"/>
          <w:rtl/>
        </w:rPr>
        <w:t xml:space="preserve"> الرسمية الواردة من عام 2020 إلى عام 2024</w:t>
      </w:r>
    </w:p>
    <w:p w14:paraId="030212B4" w14:textId="570EF530" w:rsidR="00D17597" w:rsidRPr="007D2F97" w:rsidRDefault="00D17597" w:rsidP="00D17597">
      <w:pPr>
        <w:bidi/>
        <w:spacing w:after="220"/>
        <w:ind w:left="-432" w:firstLine="567"/>
        <w:jc w:val="center"/>
        <w:rPr>
          <w:rFonts w:cs="Calibri"/>
          <w:strike/>
          <w:szCs w:val="28"/>
          <w:rtl/>
        </w:rPr>
      </w:pPr>
      <w:r>
        <w:rPr>
          <w:noProof/>
        </w:rPr>
        <w:drawing>
          <wp:inline distT="0" distB="0" distL="0" distR="0" wp14:anchorId="73E10BF9" wp14:editId="3614F246">
            <wp:extent cx="5670550" cy="2914650"/>
            <wp:effectExtent l="0" t="0" r="6350" b="0"/>
            <wp:docPr id="1268147633" name="Chart 1" descr="الشكل 6: عدد الشكاوى الرسمية الواردة من عام 2020 إلى عام 2024">
              <a:extLst xmlns:a="http://schemas.openxmlformats.org/drawingml/2006/main">
                <a:ext uri="{FF2B5EF4-FFF2-40B4-BE49-F238E27FC236}">
                  <a16:creationId xmlns:a16="http://schemas.microsoft.com/office/drawing/2014/main" id="{17141FEE-4CCB-4F87-91D6-50D240F4E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067B72" w14:textId="77777777" w:rsidR="0094708D" w:rsidRPr="007D2F97" w:rsidRDefault="0094708D" w:rsidP="000B03EA">
      <w:pPr>
        <w:spacing w:after="220"/>
        <w:ind w:left="-432" w:firstLine="567"/>
        <w:rPr>
          <w:rFonts w:cs="Calibri"/>
          <w:strike/>
          <w:szCs w:val="28"/>
        </w:rPr>
      </w:pPr>
    </w:p>
    <w:p w14:paraId="4F95C777" w14:textId="4D28C509" w:rsidR="001377AD" w:rsidRPr="001377AD" w:rsidRDefault="00DC2603" w:rsidP="001377AD">
      <w:pPr>
        <w:pStyle w:val="Heading3"/>
        <w:bidi/>
        <w:spacing w:after="220"/>
        <w:ind w:left="1134"/>
        <w:rPr>
          <w:rFonts w:cs="Calibri"/>
          <w:b/>
          <w:bCs w:val="0"/>
          <w:sz w:val="18"/>
          <w:szCs w:val="22"/>
        </w:rPr>
      </w:pPr>
      <w:r w:rsidRPr="004135A5">
        <w:rPr>
          <w:rFonts w:cs="Calibri" w:hint="cs"/>
          <w:b/>
          <w:bCs w:val="0"/>
          <w:sz w:val="18"/>
          <w:szCs w:val="22"/>
          <w:rtl/>
        </w:rPr>
        <w:t>إسداء المشورة بشأن ادعاءات الانتقام</w:t>
      </w:r>
    </w:p>
    <w:p w14:paraId="3A98D9D1" w14:textId="47B39632" w:rsidR="006761B4" w:rsidRPr="007D2F97" w:rsidRDefault="006761B4" w:rsidP="001377AD">
      <w:pPr>
        <w:pStyle w:val="ONUME"/>
        <w:bidi/>
        <w:rPr>
          <w:rFonts w:cs="Calibri"/>
          <w:i/>
          <w:u w:val="single"/>
          <w:rtl/>
        </w:rPr>
      </w:pPr>
      <w:r w:rsidRPr="007D2F97">
        <w:rPr>
          <w:rFonts w:cs="Calibri" w:hint="cs"/>
          <w:rtl/>
        </w:rPr>
        <w:t xml:space="preserve">ردّ مكتب الأخلاقيات على ثمانية طلبات منفصلة للحصول على المشورة المتعلقة بالانتقام، حيث طلب الزملاء مزيدًا من التوضيحات بشأن الإجراء المعمول به، أو المشورة أو الطمأنة بشأن الحماية إما قبل الشروع في الإبلاغ عن سوء السلوك أو عند الشعور بالتعرض للخطر، بعد أن شاركوا في نشاط محمي.  </w:t>
      </w:r>
    </w:p>
    <w:p w14:paraId="176B0F52" w14:textId="0120BD78" w:rsidR="0051712C" w:rsidRPr="00AD2E83" w:rsidRDefault="0051712C" w:rsidP="00AD2E83">
      <w:pPr>
        <w:pStyle w:val="Heading2"/>
        <w:rPr>
          <w:rtl/>
        </w:rPr>
      </w:pPr>
      <w:r w:rsidRPr="007D2F97">
        <w:rPr>
          <w:rFonts w:hint="cs"/>
          <w:rtl/>
        </w:rPr>
        <w:lastRenderedPageBreak/>
        <w:t>هاء</w:t>
      </w:r>
      <w:r w:rsidRPr="007D2F97">
        <w:rPr>
          <w:rFonts w:hint="cs"/>
          <w:rtl/>
        </w:rPr>
        <w:tab/>
        <w:t>وإدارة سياسة الإفصاح المالي والإعلان عن المصالح</w:t>
      </w:r>
    </w:p>
    <w:p w14:paraId="657405EC" w14:textId="6322B07D" w:rsidR="00F14D60" w:rsidRPr="007D2F97" w:rsidRDefault="006761B4" w:rsidP="00F14D60">
      <w:pPr>
        <w:numPr>
          <w:ilvl w:val="0"/>
          <w:numId w:val="5"/>
        </w:numPr>
        <w:bidi/>
        <w:spacing w:after="220"/>
        <w:rPr>
          <w:rFonts w:cs="Calibri"/>
          <w:rtl/>
        </w:rPr>
      </w:pPr>
      <w:r w:rsidRPr="007D2F97">
        <w:rPr>
          <w:rFonts w:cs="Calibri" w:hint="cs"/>
          <w:rtl/>
        </w:rPr>
        <w:t xml:space="preserve">يسعى برنامج (الإفصاح المالي والإعلان عن المصالح الذي يديره مكتب </w:t>
      </w:r>
      <w:r w:rsidR="00513823" w:rsidRPr="007D2F97">
        <w:rPr>
          <w:rFonts w:cs="Calibri" w:hint="cs"/>
          <w:rtl/>
        </w:rPr>
        <w:t>الأخلاقيات</w:t>
      </w:r>
      <w:r w:rsidRPr="007D2F97">
        <w:rPr>
          <w:rFonts w:cs="Calibri" w:hint="cs"/>
          <w:rtl/>
        </w:rPr>
        <w:t xml:space="preserve"> إلى تحقيق ثلاث أهداف:</w:t>
      </w:r>
      <w:r w:rsidRPr="007D2F97">
        <w:rPr>
          <w:rFonts w:cs="Calibri" w:hint="cs"/>
          <w:color w:val="000000" w:themeColor="text1"/>
          <w:rtl/>
        </w:rPr>
        <w:t xml:space="preserve"> </w:t>
      </w:r>
      <w:r w:rsidRPr="007D2F97">
        <w:rPr>
          <w:rFonts w:cs="Calibri" w:hint="cs"/>
          <w:rtl/>
        </w:rPr>
        <w:t>“1” تعزيز الشفافية والمساءلة الشخصية، و”2” تعزيز ثقة الجمهور الداخلي والخارجي في نزاهة الويبو، و”3” مساعدة المنظمة على إدارة مخاطر تضارب المصالح الفعلية والمحتملة والمتصورة من خلال الإفصاح عن تضارب المصالح وتخفيفها ومنعها، وذلك من خلال مطالبة أعضاء مختارين من الموظفين بالإبلاغ سنوياً عن مصالحهم المالية وغيرها من المصالح.</w:t>
      </w:r>
    </w:p>
    <w:p w14:paraId="77ABBFFA" w14:textId="77777777" w:rsidR="000914F5" w:rsidRPr="007D2F97" w:rsidRDefault="006761B4" w:rsidP="0030044C">
      <w:pPr>
        <w:numPr>
          <w:ilvl w:val="0"/>
          <w:numId w:val="5"/>
        </w:numPr>
        <w:bidi/>
        <w:spacing w:after="220"/>
        <w:rPr>
          <w:rFonts w:cs="Calibri"/>
          <w:noProof/>
          <w:sz w:val="20"/>
          <w:rtl/>
        </w:rPr>
      </w:pPr>
      <w:r w:rsidRPr="007D2F97">
        <w:rPr>
          <w:rFonts w:cs="Calibri" w:hint="cs"/>
          <w:rtl/>
        </w:rPr>
        <w:t xml:space="preserve">وفي عام 2024، بلغ مجموع المدعوين للمشاركة في البرنامج السنوي للإفصاح المالي والإعلان عن المصالح، الذي شمل السنة التقويمية 2023، </w:t>
      </w:r>
      <w:r w:rsidRPr="007D2F97">
        <w:rPr>
          <w:rFonts w:cs="Calibri" w:hint="cs"/>
          <w:color w:val="000000" w:themeColor="text1"/>
          <w:rtl/>
        </w:rPr>
        <w:t>110</w:t>
      </w:r>
      <w:r w:rsidR="005C1474" w:rsidRPr="007D2F97">
        <w:rPr>
          <w:rStyle w:val="FootnoteReference"/>
          <w:rFonts w:cs="Calibri"/>
        </w:rPr>
        <w:footnoteReference w:id="10"/>
      </w:r>
      <w:r w:rsidRPr="007D2F97">
        <w:rPr>
          <w:rFonts w:cs="Calibri" w:hint="cs"/>
          <w:rtl/>
        </w:rPr>
        <w:t xml:space="preserve"> موظفين من رتبة د-1 فما فوق وموظفين آخرين يعملون في فئات مخصوصة.  </w:t>
      </w:r>
    </w:p>
    <w:p w14:paraId="49912079" w14:textId="1C1BA9BF" w:rsidR="005C251C" w:rsidRPr="007D2F97" w:rsidRDefault="00621C5C" w:rsidP="000D1BE8">
      <w:pPr>
        <w:keepNext/>
        <w:bidi/>
        <w:spacing w:after="220"/>
        <w:jc w:val="center"/>
        <w:rPr>
          <w:rFonts w:cs="Calibri"/>
          <w:noProof/>
          <w:sz w:val="20"/>
          <w:rtl/>
        </w:rPr>
      </w:pPr>
      <w:r w:rsidRPr="007D2F97">
        <w:rPr>
          <w:rFonts w:cs="Calibri" w:hint="cs"/>
          <w:b/>
          <w:bCs/>
          <w:sz w:val="20"/>
          <w:rtl/>
        </w:rPr>
        <w:t>الشكل 7:</w:t>
      </w:r>
      <w:r w:rsidRPr="007D2F97">
        <w:rPr>
          <w:rFonts w:cs="Calibri" w:hint="cs"/>
          <w:sz w:val="20"/>
          <w:rtl/>
        </w:rPr>
        <w:t xml:space="preserve"> الموظفون المدعوون للمشاركة في التمرين السنوي للإفصاح المالي والإعلان عن المصالح، 2020-2024</w:t>
      </w:r>
    </w:p>
    <w:p w14:paraId="6687A86B" w14:textId="4FC24925" w:rsidR="00957B0C" w:rsidRDefault="00957B0C" w:rsidP="005C251C">
      <w:pPr>
        <w:bidi/>
        <w:spacing w:after="220"/>
        <w:jc w:val="center"/>
        <w:rPr>
          <w:rFonts w:cs="Calibri"/>
          <w:noProof/>
          <w:rtl/>
        </w:rPr>
      </w:pPr>
    </w:p>
    <w:p w14:paraId="1DE03D73" w14:textId="05A4A907" w:rsidR="000129F3" w:rsidRPr="007D2F97" w:rsidRDefault="000129F3" w:rsidP="000129F3">
      <w:pPr>
        <w:bidi/>
        <w:spacing w:after="220"/>
        <w:jc w:val="center"/>
        <w:rPr>
          <w:rFonts w:cs="Calibri"/>
          <w:noProof/>
          <w:rtl/>
        </w:rPr>
      </w:pPr>
      <w:r>
        <w:rPr>
          <w:rFonts w:cs="Calibri"/>
          <w:noProof/>
        </w:rPr>
        <w:drawing>
          <wp:inline distT="0" distB="0" distL="0" distR="0" wp14:anchorId="6ED66143" wp14:editId="5F74DE97">
            <wp:extent cx="4497572" cy="3118228"/>
            <wp:effectExtent l="0" t="0" r="0" b="6350"/>
            <wp:docPr id="2147054832" name="Picture 5" descr="الشكل 7: الموظفون المدعوون للمشاركة في التمرين السنوي للإفصاح المالي والإعلان عن المصالح، 2020-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54832" name="Picture 5" descr="الشكل 7: الموظفون المدعوون للمشاركة في التمرين السنوي للإفصاح المالي والإعلان عن المصالح، 2020-2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6398" cy="3131281"/>
                    </a:xfrm>
                    <a:prstGeom prst="rect">
                      <a:avLst/>
                    </a:prstGeom>
                    <a:noFill/>
                  </pic:spPr>
                </pic:pic>
              </a:graphicData>
            </a:graphic>
          </wp:inline>
        </w:drawing>
      </w:r>
    </w:p>
    <w:p w14:paraId="1D9A553C" w14:textId="2C13C6FC" w:rsidR="000F7DED" w:rsidRPr="007D2F97" w:rsidRDefault="007155A0" w:rsidP="000270A9">
      <w:pPr>
        <w:pStyle w:val="ONUME"/>
        <w:bidi/>
        <w:rPr>
          <w:rFonts w:cs="Calibri"/>
          <w:rtl/>
        </w:rPr>
      </w:pPr>
      <w:r w:rsidRPr="007D2F97">
        <w:rPr>
          <w:rFonts w:cs="Calibri" w:hint="cs"/>
          <w:rtl/>
        </w:rPr>
        <w:t xml:space="preserve">بعد تقييم اكتمال وتحليل بيانات الإفصاح المالي والإعلان عن المصالح، لم يحدد المراجع الخارجي أي تضارب فعلي أو متصور أو محتمل في المصالح.  وبعد ذلك، اختير تسعة مشاركين عشوائيا للمشاركة في عملية التحقق المنصوص عليها في المبادئ التوجيهية المطبقة (تسمح عملية التحقق هذه لمكتب الأخلاقيات بأن يضمن استكمال الموظفين لبيانات الإفصاح المالي والإعلان عن المصالح بدقة).  وتبت أنهم جميعا ممتثلون للقواعد.  </w:t>
      </w:r>
    </w:p>
    <w:p w14:paraId="20C9E1C5" w14:textId="4F47FF4C" w:rsidR="00D60EEB" w:rsidRPr="007D2F97" w:rsidRDefault="007162AC" w:rsidP="00D60EEB">
      <w:pPr>
        <w:pStyle w:val="ONUME"/>
        <w:bidi/>
        <w:rPr>
          <w:rFonts w:cs="Calibri"/>
          <w:rtl/>
        </w:rPr>
      </w:pPr>
      <w:r w:rsidRPr="007D2F97">
        <w:rPr>
          <w:rFonts w:cs="Calibri" w:hint="cs"/>
          <w:rtl/>
        </w:rPr>
        <w:t>في نهاية أكتوبر 2024، أحال مراجع الحسابات الخارجي تقريرا مجهول الهوية إلى المدير العام، وبعد ذلك أغلقت عملية الإفصاح المالي والإعلان عن المصالح دون وجود أي تضارب فعلي أو متصور أو محتمل في المصالح تم تحديده.</w:t>
      </w:r>
    </w:p>
    <w:p w14:paraId="43A34F31" w14:textId="05FA12C0" w:rsidR="006761B4" w:rsidRPr="007D2F97" w:rsidRDefault="006761B4" w:rsidP="002F4800">
      <w:pPr>
        <w:numPr>
          <w:ilvl w:val="0"/>
          <w:numId w:val="5"/>
        </w:numPr>
        <w:bidi/>
        <w:spacing w:after="220"/>
        <w:rPr>
          <w:rFonts w:cs="Calibri"/>
          <w:rtl/>
        </w:rPr>
      </w:pPr>
      <w:r w:rsidRPr="007D2F97">
        <w:rPr>
          <w:rFonts w:cs="Calibri" w:hint="cs"/>
          <w:rtl/>
        </w:rPr>
        <w:t xml:space="preserve">وعمل مكتبُ الأخلاقيات أيضا على إطلاق وإدارة وتوجيه عملية الإفصاح السنوي </w:t>
      </w:r>
      <w:r w:rsidR="00E72BF7">
        <w:rPr>
          <w:rFonts w:cs="Calibri" w:hint="cs"/>
          <w:rtl/>
        </w:rPr>
        <w:t>ل</w:t>
      </w:r>
      <w:r w:rsidRPr="007D2F97">
        <w:rPr>
          <w:rFonts w:cs="Calibri" w:hint="cs"/>
          <w:rtl/>
        </w:rPr>
        <w:t>عام 2024</w:t>
      </w:r>
      <w:r w:rsidR="00E72BF7">
        <w:rPr>
          <w:rFonts w:cs="Calibri" w:hint="cs"/>
          <w:rtl/>
        </w:rPr>
        <w:t xml:space="preserve"> </w:t>
      </w:r>
      <w:r w:rsidR="00E72BF7" w:rsidRPr="007D2F97">
        <w:rPr>
          <w:rFonts w:cs="Calibri" w:hint="cs"/>
          <w:rtl/>
        </w:rPr>
        <w:t>حسب المعايير المحاسبية الدولية للقطاع العام</w:t>
      </w:r>
      <w:r w:rsidRPr="007D2F97">
        <w:rPr>
          <w:rFonts w:cs="Calibri" w:hint="cs"/>
          <w:rtl/>
        </w:rPr>
        <w:t>، وذلك بما يتماشى مع ولايته.  وعلى جميع الموظفين الذين يشغلون رتبة مد -2 وما فوقها أن يكشفوا عن معاملات أفراد أسرهم المقربين لدى المنظمة، فضلا عن المعاملات بين المنظمة والكيانات التي تملك فيها أو لأفراد أسرهم المقربين مصلحة كبيرة في الملكية أو التي يمكنهم ممارسة نفوذها الكبير.  واستجاب جميع المشاركين وتم إغلاق تمرين المعايير المحاسبية الدولية للقطاع العام دون تحديد أي مشاكل.</w:t>
      </w:r>
    </w:p>
    <w:p w14:paraId="5D4C08C1" w14:textId="3E103D94" w:rsidR="00167D87" w:rsidRPr="007D2F97" w:rsidRDefault="00B04D31" w:rsidP="00167D87">
      <w:pPr>
        <w:numPr>
          <w:ilvl w:val="0"/>
          <w:numId w:val="5"/>
        </w:numPr>
        <w:bidi/>
        <w:spacing w:before="220" w:after="220"/>
        <w:rPr>
          <w:rFonts w:cs="Calibri"/>
          <w:rtl/>
        </w:rPr>
      </w:pPr>
      <w:r w:rsidRPr="007D2F97">
        <w:rPr>
          <w:rFonts w:cs="Calibri" w:hint="cs"/>
          <w:rtl/>
        </w:rPr>
        <w:t xml:space="preserve">وشهد عام 2024 أيضا الإطلاق الناجح لعملية المعايير المحاسبية الدولية للقطاع العام في المنصة الداخلية الجديدة لتكنولوجيا المعلومات والاتصالات، التي تنص الآن على مستودع مركزي وسري لكل من نظام الإفصاح المالي والإعلان </w:t>
      </w:r>
      <w:r w:rsidR="00E50DC4">
        <w:rPr>
          <w:rFonts w:cs="Calibri" w:hint="cs"/>
          <w:rtl/>
        </w:rPr>
        <w:t xml:space="preserve">عن المصالح </w:t>
      </w:r>
      <w:r w:rsidRPr="007D2F97">
        <w:rPr>
          <w:rFonts w:cs="Calibri" w:hint="cs"/>
          <w:rtl/>
        </w:rPr>
        <w:t xml:space="preserve">وعمليات الكشف عن المعايير المحاسبية الدولية للقطاع العام. </w:t>
      </w:r>
    </w:p>
    <w:p w14:paraId="371701A1" w14:textId="265CB36D" w:rsidR="00167D87" w:rsidRPr="007D2F97" w:rsidRDefault="00893CF3" w:rsidP="002F4800">
      <w:pPr>
        <w:numPr>
          <w:ilvl w:val="0"/>
          <w:numId w:val="5"/>
        </w:numPr>
        <w:bidi/>
        <w:spacing w:after="220"/>
        <w:rPr>
          <w:rFonts w:cs="Calibri"/>
          <w:rtl/>
        </w:rPr>
      </w:pPr>
      <w:r w:rsidRPr="007D2F97">
        <w:rPr>
          <w:rFonts w:cs="Calibri" w:hint="cs"/>
          <w:rtl/>
        </w:rPr>
        <w:lastRenderedPageBreak/>
        <w:t xml:space="preserve">وبالتعاون مع إدارة الموارد البشرية، صمم مكتب الأخلاقيات أيضا عملية تسمح له بالإبلاغ عن حالات انتهاء الخدمة المقبلة، مما يمكن المكتب من دعوة الموظفين المغادرين إلى استكمال بيانات الكشف الخاصة بهم وفقا للمعايير المحاسبية الدولية للقطاع العام قبل انتهاء خدمتهم. </w:t>
      </w:r>
    </w:p>
    <w:p w14:paraId="6B21EB3B" w14:textId="3088566B" w:rsidR="006761B4" w:rsidRPr="00AD2E83" w:rsidRDefault="006761B4" w:rsidP="00621C5C">
      <w:pPr>
        <w:pStyle w:val="Heading3"/>
        <w:bidi/>
        <w:spacing w:after="220"/>
        <w:ind w:left="1134"/>
        <w:rPr>
          <w:rFonts w:cs="Calibri"/>
          <w:b/>
          <w:bCs w:val="0"/>
          <w:sz w:val="18"/>
          <w:szCs w:val="22"/>
          <w:rtl/>
        </w:rPr>
      </w:pPr>
      <w:r w:rsidRPr="00AD2E83">
        <w:rPr>
          <w:rFonts w:cs="Calibri" w:hint="cs"/>
          <w:b/>
          <w:bCs w:val="0"/>
          <w:sz w:val="18"/>
          <w:szCs w:val="22"/>
          <w:rtl/>
        </w:rPr>
        <w:t>تنقيح السياسة</w:t>
      </w:r>
    </w:p>
    <w:p w14:paraId="34C029B7" w14:textId="4D5C1551" w:rsidR="002E3CDA" w:rsidRPr="007D2F97" w:rsidRDefault="00404708" w:rsidP="002E3CDA">
      <w:pPr>
        <w:numPr>
          <w:ilvl w:val="0"/>
          <w:numId w:val="5"/>
        </w:numPr>
        <w:bidi/>
        <w:spacing w:after="220"/>
        <w:rPr>
          <w:rFonts w:cs="Calibri"/>
          <w:iCs/>
          <w:rtl/>
        </w:rPr>
      </w:pPr>
      <w:r w:rsidRPr="007D2F97">
        <w:rPr>
          <w:rFonts w:cs="Calibri" w:hint="cs"/>
          <w:rtl/>
        </w:rPr>
        <w:t>كما ذكر سابقا</w:t>
      </w:r>
      <w:r w:rsidRPr="007D2F97">
        <w:rPr>
          <w:rStyle w:val="FootnoteReference"/>
          <w:rFonts w:cs="Calibri"/>
          <w:lang w:bidi="en-US"/>
        </w:rPr>
        <w:footnoteReference w:id="11"/>
      </w:r>
      <w:r w:rsidRPr="007D2F97">
        <w:rPr>
          <w:rFonts w:cs="Calibri" w:hint="cs"/>
          <w:rtl/>
        </w:rPr>
        <w:t>، استعرض مكتب الأخلاقيات سياسة الإفصاح المالي والإعلان عن المصالح بغية توسيع نطاقه ليشمل حالات تضارب المصالح المتعلقة بالملكية الفكرية، بما يتماشى مع توصيتين معلقتين من مراجع الحسابات الخارجي (السابق).  وبناء على ذلك، تم تصميم قسم جديد من الاستبيان الخاص بالإفصاح المالي والإعلان عن المصالح وسوف ينفذ في عام 2025.</w:t>
      </w:r>
    </w:p>
    <w:p w14:paraId="2DE42464" w14:textId="77777777" w:rsidR="006761B4" w:rsidRPr="007D2F97" w:rsidRDefault="00F87B7C" w:rsidP="00AD2E83">
      <w:pPr>
        <w:pStyle w:val="Heading2"/>
        <w:rPr>
          <w:bCs/>
          <w:rtl/>
        </w:rPr>
      </w:pPr>
      <w:r w:rsidRPr="007D2F97">
        <w:rPr>
          <w:rFonts w:hint="cs"/>
          <w:rtl/>
        </w:rPr>
        <w:t>ثالثاً.</w:t>
      </w:r>
      <w:r w:rsidRPr="007D2F97">
        <w:rPr>
          <w:rFonts w:hint="cs"/>
          <w:rtl/>
        </w:rPr>
        <w:tab/>
        <w:t>الأنشطة الأخرى لمكتب الأخلاقيات</w:t>
      </w:r>
    </w:p>
    <w:p w14:paraId="76A0DBDE" w14:textId="7AA37D8F" w:rsidR="00CA36BB" w:rsidRPr="007D2F97" w:rsidRDefault="006761B4" w:rsidP="00841A95">
      <w:pPr>
        <w:numPr>
          <w:ilvl w:val="0"/>
          <w:numId w:val="5"/>
        </w:numPr>
        <w:bidi/>
        <w:spacing w:after="220"/>
        <w:rPr>
          <w:rFonts w:cs="Calibri"/>
          <w:rtl/>
        </w:rPr>
      </w:pPr>
      <w:r w:rsidRPr="007D2F97">
        <w:rPr>
          <w:rFonts w:cs="Calibri" w:hint="cs"/>
          <w:rtl/>
        </w:rPr>
        <w:t xml:space="preserve">واصل مكتب الأخلاقيات، طوال عام 2024، العمل بانتظام مع اللجنة الاستشارية المستقلة للرقابة، وقدَّم المستجدات والتقارير في الوقت المناسب، ولا سيما بشأن تنفيذ خطة عمل المكتب.  واستناداً إلى خبرتها التنظيمية الواسعة، قدمت اللجنة الاستشارية المستقلة للرقابة إرشادات مفيدة إلى كبير موظفي الأخلاقيات، بما في ذلك بشأن خطط العمل السنوية وخطط العمل المقترحة للمكتب لفترة السنتين.  </w:t>
      </w:r>
    </w:p>
    <w:p w14:paraId="64DCB101" w14:textId="22DD0494" w:rsidR="006761B4" w:rsidRPr="007D2F97" w:rsidRDefault="006761B4" w:rsidP="008D2144">
      <w:pPr>
        <w:numPr>
          <w:ilvl w:val="0"/>
          <w:numId w:val="5"/>
        </w:numPr>
        <w:bidi/>
        <w:spacing w:after="220"/>
        <w:rPr>
          <w:rFonts w:cs="Calibri"/>
          <w:rtl/>
        </w:rPr>
      </w:pPr>
      <w:r w:rsidRPr="007D2F97">
        <w:rPr>
          <w:rFonts w:cs="Calibri" w:hint="cs"/>
          <w:rtl/>
        </w:rPr>
        <w:t>ورد مكتب الأخلاقيات أيضا على العديد من الاستفسارات في سياق عمليات التدقيق والمراقبة وغيرها من عمليات الرقابة الداخلية و/أو الخارجية، وحضر اجتماع فريق إدارة المخاطر في نوفمبر 2024.</w:t>
      </w:r>
    </w:p>
    <w:p w14:paraId="017F5898" w14:textId="77777777" w:rsidR="006761B4" w:rsidRPr="007D2F97" w:rsidRDefault="00F87B7C" w:rsidP="00AD2E83">
      <w:pPr>
        <w:pStyle w:val="Heading2"/>
        <w:rPr>
          <w:bCs/>
          <w:rtl/>
        </w:rPr>
      </w:pPr>
      <w:r w:rsidRPr="007D2F97">
        <w:rPr>
          <w:rFonts w:hint="cs"/>
          <w:rtl/>
        </w:rPr>
        <w:t>رابعاً.</w:t>
      </w:r>
      <w:r w:rsidRPr="007D2F97">
        <w:rPr>
          <w:rFonts w:hint="cs"/>
          <w:rtl/>
        </w:rPr>
        <w:tab/>
        <w:t xml:space="preserve">التعاون بشأن القضايا المتعلقة بالأخلاقيات داخل منظومة الأمم المتحدة </w:t>
      </w:r>
    </w:p>
    <w:p w14:paraId="4D86FA32" w14:textId="52C0BC0F" w:rsidR="006761B4" w:rsidRPr="00AD2E83" w:rsidRDefault="006761B4" w:rsidP="00300698">
      <w:pPr>
        <w:pStyle w:val="Heading3"/>
        <w:bidi/>
        <w:spacing w:after="220"/>
        <w:ind w:left="1134"/>
        <w:rPr>
          <w:rFonts w:cs="Calibri"/>
          <w:b/>
          <w:bCs w:val="0"/>
          <w:sz w:val="18"/>
          <w:szCs w:val="22"/>
          <w:rtl/>
        </w:rPr>
      </w:pPr>
      <w:r w:rsidRPr="00AD2E83">
        <w:rPr>
          <w:rFonts w:cs="Calibri" w:hint="cs"/>
          <w:b/>
          <w:bCs w:val="0"/>
          <w:sz w:val="18"/>
          <w:szCs w:val="22"/>
          <w:rtl/>
        </w:rPr>
        <w:t>شبكة أخلاقيات المنظمات المتعددة الأطراف</w:t>
      </w:r>
    </w:p>
    <w:p w14:paraId="4E393F35" w14:textId="1531D150" w:rsidR="006761B4" w:rsidRPr="007D2F97" w:rsidRDefault="006761B4" w:rsidP="000A7536">
      <w:pPr>
        <w:numPr>
          <w:ilvl w:val="0"/>
          <w:numId w:val="5"/>
        </w:numPr>
        <w:bidi/>
        <w:spacing w:after="220"/>
        <w:rPr>
          <w:rFonts w:cs="Calibri"/>
          <w:rtl/>
        </w:rPr>
      </w:pPr>
      <w:r w:rsidRPr="007D2F97">
        <w:rPr>
          <w:rFonts w:cs="Calibri" w:hint="cs"/>
          <w:rtl/>
        </w:rPr>
        <w:t xml:space="preserve">واصل مكتب الأخلاقيات مشاركته مع شبكة أخلاقيات المنظمات المتعددة الأطراف، وهي منتدى موسع لخدمات الأخلاقيات في كيانات منظومة الأمم المتحدة والمنظمات الدولية المنتسبة والمؤسسات المالية الدولية. وتهدف الشبكة إلى تعزيز التعاون على نطاق المنظومة بشأن القضايا المتعلقة بالأخلاقيات لفائدة الهيئات المشاركة.  وفي أغسطس 2024، شارك مكتب الأخلاقيات بنشاط في المناقشات بشأن المعايير المقترحة للممارسة. </w:t>
      </w:r>
    </w:p>
    <w:p w14:paraId="19DA8A75" w14:textId="6FEF141F" w:rsidR="006761B4" w:rsidRPr="00AD2E83" w:rsidRDefault="00D8430A" w:rsidP="00AD2E83">
      <w:pPr>
        <w:pStyle w:val="Heading2"/>
        <w:rPr>
          <w:rtl/>
        </w:rPr>
      </w:pPr>
      <w:r w:rsidRPr="00AD2E83">
        <w:rPr>
          <w:rFonts w:hint="cs"/>
          <w:rtl/>
        </w:rPr>
        <w:t>خامساً. الملاحظات والتطلع إلى المستقبل</w:t>
      </w:r>
    </w:p>
    <w:p w14:paraId="34E76127" w14:textId="54C584BD" w:rsidR="001D5A06" w:rsidRPr="007D2F97" w:rsidRDefault="005019AD" w:rsidP="00A0330A">
      <w:pPr>
        <w:numPr>
          <w:ilvl w:val="0"/>
          <w:numId w:val="5"/>
        </w:numPr>
        <w:bidi/>
        <w:spacing w:after="220"/>
        <w:rPr>
          <w:rFonts w:cs="Calibri"/>
          <w:rtl/>
        </w:rPr>
      </w:pPr>
      <w:r w:rsidRPr="007D2F97">
        <w:rPr>
          <w:rFonts w:cs="Calibri" w:hint="cs"/>
          <w:rtl/>
        </w:rPr>
        <w:t>إذ أحاط مكتب الأخلاقيات علما بالزيادة المطردة في طلبات المشورة المتعلقة بالأخلاقيات، فإنه يعتزم زيادة تحسين قدراته في مجال تتبع القضايا، بهدف الإبلاغ عن النضج الأخلاقي داخل الويبو بمزيد من الكفاءة والدقة.</w:t>
      </w:r>
    </w:p>
    <w:p w14:paraId="02A9BE6E" w14:textId="09DBD03E" w:rsidR="005160D5" w:rsidRPr="007D2F97" w:rsidRDefault="00DD2377" w:rsidP="005160D5">
      <w:pPr>
        <w:numPr>
          <w:ilvl w:val="0"/>
          <w:numId w:val="5"/>
        </w:numPr>
        <w:bidi/>
        <w:spacing w:after="220"/>
        <w:rPr>
          <w:rFonts w:cs="Calibri"/>
          <w:rtl/>
        </w:rPr>
      </w:pPr>
      <w:r w:rsidRPr="007D2F97">
        <w:rPr>
          <w:rFonts w:cs="Calibri" w:hint="cs"/>
          <w:rtl/>
        </w:rPr>
        <w:t xml:space="preserve">وأحرز مكتب الأخلاقيات خطوات كبيرة في تنويع أنشطته في مجال التوعية، وزيادة الوعي بالمعايير الأخلاقية في صفوف موظفي الويبو.  </w:t>
      </w:r>
    </w:p>
    <w:p w14:paraId="037A0FEB" w14:textId="7693BAA3" w:rsidR="006761B4" w:rsidRPr="007D2F97" w:rsidRDefault="00F3291F" w:rsidP="00A0330A">
      <w:pPr>
        <w:numPr>
          <w:ilvl w:val="0"/>
          <w:numId w:val="5"/>
        </w:numPr>
        <w:bidi/>
        <w:rPr>
          <w:rFonts w:cs="Calibri"/>
          <w:szCs w:val="22"/>
          <w:rtl/>
        </w:rPr>
      </w:pPr>
      <w:r w:rsidRPr="007D2F97">
        <w:rPr>
          <w:rStyle w:val="cf01"/>
          <w:rFonts w:ascii="Arial" w:hAnsi="Arial" w:cs="Calibri" w:hint="cs"/>
          <w:sz w:val="22"/>
          <w:szCs w:val="22"/>
          <w:rtl/>
        </w:rPr>
        <w:t>وشرع مكتب الأخلاقيات أيضا في إجراء استعراضين للسياسة العامة فيما يتعلق بالإفصاح المالي والإعلان عن المصالح والأنشطة الخارجية، على التوالي.</w:t>
      </w:r>
      <w:r w:rsidRPr="007D2F97">
        <w:rPr>
          <w:rFonts w:cs="Calibri" w:hint="cs"/>
          <w:rtl/>
        </w:rPr>
        <w:t xml:space="preserve">  ويشجع كذلك الوحدات التنظيمية الأخرى على الاستفادة من خبرته في المناقشات المستقبلية بشأن سياسات المنظمة العالمية للملكية الفكرية، للتأكد من أن الاعتبارات الأخلاقية مدرجة دائماً في السياسات والمبادئ التوجيهية التنظيمية، حسب الاقتضاء.</w:t>
      </w:r>
    </w:p>
    <w:p w14:paraId="5AA9F487" w14:textId="5E969B40" w:rsidR="00621C5C" w:rsidRPr="007D2F97" w:rsidRDefault="00621C5C" w:rsidP="00621C5C">
      <w:pPr>
        <w:rPr>
          <w:rFonts w:cs="Calibri"/>
          <w:szCs w:val="22"/>
        </w:rPr>
      </w:pPr>
    </w:p>
    <w:p w14:paraId="1A975F9A" w14:textId="3AF0136F" w:rsidR="001D2886" w:rsidRPr="007D2F97" w:rsidRDefault="001D2886" w:rsidP="000E2F90">
      <w:pPr>
        <w:pStyle w:val="ONUME"/>
        <w:bidi/>
        <w:rPr>
          <w:rFonts w:cs="Calibri"/>
          <w:rtl/>
        </w:rPr>
      </w:pPr>
      <w:r w:rsidRPr="007D2F97">
        <w:rPr>
          <w:rFonts w:cs="Calibri" w:hint="cs"/>
          <w:rtl/>
        </w:rPr>
        <w:t xml:space="preserve">وعززت منصة تكنولوجيا المعلومات بانتظام طوال عام 2024 لتحسين الوظائف العامة، والكفاءة، والدقة، وتجربة المستخدمين، وأمن النظام. </w:t>
      </w:r>
    </w:p>
    <w:p w14:paraId="29C5D849" w14:textId="2D28C492" w:rsidR="00F8440B" w:rsidRPr="007D2F97" w:rsidRDefault="00A1344E" w:rsidP="00F8440B">
      <w:pPr>
        <w:numPr>
          <w:ilvl w:val="0"/>
          <w:numId w:val="5"/>
        </w:numPr>
        <w:bidi/>
        <w:spacing w:before="220" w:after="220"/>
        <w:rPr>
          <w:rFonts w:cs="Calibri"/>
          <w:rtl/>
        </w:rPr>
      </w:pPr>
      <w:r w:rsidRPr="007D2F97">
        <w:rPr>
          <w:rFonts w:cs="Calibri" w:hint="cs"/>
          <w:rtl/>
        </w:rPr>
        <w:t xml:space="preserve">وأخيرا، سعى مكتب الأخلاقيات بنشاط إلى مواصلة تعزيز التبادل مع أصحاب المصلحة الداخليين الرئيسيين، بما في ذلك مدير شعبة إدارة الموارد البشرية (من خلال عقد اجتماعات شهرية) وأمين المظالم ومدير شعبة الرقابة الداخلية (من خلال الاجتماعات الأسبوعية) والمستشار الطبي الأقدم ومجلس الموظفين.  وقد سعى مكتب الأخلاقيات من خلال اجتماعات مختلفة مع قادة القطاعات وكبار المديرين إلى تعزيز المساءلة في عملية صنع القرار وتعزيز القيادة الأخلاقية على جميع مستويات المنظمة. وأعرب مكتب الأخلاقيات عن امتنانه للدعم الذي تلقاه من جميع أصحاب المصلحة المذكورين، ويعتزم مواصلة الحوار المستمر معهم.   </w:t>
      </w:r>
    </w:p>
    <w:p w14:paraId="3B0AB1B7" w14:textId="77777777" w:rsidR="006761B4" w:rsidRPr="007D2F97" w:rsidRDefault="00D8430A" w:rsidP="00AD2E83">
      <w:pPr>
        <w:pStyle w:val="Heading2"/>
        <w:rPr>
          <w:bCs/>
          <w:rtl/>
        </w:rPr>
      </w:pPr>
      <w:r w:rsidRPr="007D2F97">
        <w:rPr>
          <w:rFonts w:hint="cs"/>
          <w:rtl/>
        </w:rPr>
        <w:t>سادساً.</w:t>
      </w:r>
      <w:r w:rsidRPr="007D2F97">
        <w:rPr>
          <w:rFonts w:hint="cs"/>
          <w:rtl/>
        </w:rPr>
        <w:tab/>
        <w:t>الخاتمة</w:t>
      </w:r>
    </w:p>
    <w:p w14:paraId="24509D70" w14:textId="746F5498" w:rsidR="006761B4" w:rsidRPr="007D2F97" w:rsidRDefault="006761B4" w:rsidP="006761B4">
      <w:pPr>
        <w:numPr>
          <w:ilvl w:val="0"/>
          <w:numId w:val="5"/>
        </w:numPr>
        <w:bidi/>
        <w:spacing w:after="220"/>
        <w:rPr>
          <w:rFonts w:cs="Calibri"/>
          <w:rtl/>
        </w:rPr>
      </w:pPr>
      <w:r w:rsidRPr="007D2F97">
        <w:rPr>
          <w:rFonts w:cs="Calibri" w:hint="cs"/>
          <w:rtl/>
        </w:rPr>
        <w:t xml:space="preserve">بذل مكتبُ الأخلاقيات في عام 2024 جهوداً كبيرة لتقديم مشورة متسقة بشأن الأخلاقيات، وتدريب فائق الجودة، وتوعية هادفة من أجل تعزيز القدرات وتعميق الفهم والامتثال لمعايير الويبو الأخلاقية.  وكانت تفاعلات المكتب المتزايدة مع العاملين في الويبو بشأن القضايا الأخلاقية مصدر تشجيع له، ويتطلع المكتب إلى مواصلة هذا العمل في العام المقبل. </w:t>
      </w:r>
    </w:p>
    <w:p w14:paraId="43B49101" w14:textId="54ED228C" w:rsidR="006761B4" w:rsidRPr="007D2F97" w:rsidRDefault="008B400E" w:rsidP="00CD5E27">
      <w:pPr>
        <w:numPr>
          <w:ilvl w:val="0"/>
          <w:numId w:val="5"/>
        </w:numPr>
        <w:bidi/>
        <w:spacing w:after="720"/>
        <w:rPr>
          <w:rFonts w:cs="Calibri"/>
          <w:rtl/>
        </w:rPr>
      </w:pPr>
      <w:r w:rsidRPr="007D2F97">
        <w:rPr>
          <w:rFonts w:cs="Calibri" w:hint="cs"/>
          <w:rtl/>
        </w:rPr>
        <w:lastRenderedPageBreak/>
        <w:t xml:space="preserve">وكما حدث في العام الماضي، سيصدر مكتب الأخلاقيات تقريرًا موجزًا مصورًا لتزويد موظفي الويبو بنظرة عامة عن عمله.  وترد في المرفق لقطة لصفحة واحدة من ذلك التقرير. </w:t>
      </w:r>
    </w:p>
    <w:p w14:paraId="19A77E17" w14:textId="77777777" w:rsidR="002E427D" w:rsidRPr="007D2F97" w:rsidRDefault="006761B4" w:rsidP="006761B4">
      <w:pPr>
        <w:bidi/>
        <w:spacing w:after="220"/>
        <w:ind w:left="5533"/>
        <w:rPr>
          <w:rFonts w:cs="Calibri"/>
          <w:rtl/>
        </w:rPr>
        <w:sectPr w:rsidR="002E427D" w:rsidRPr="007D2F97" w:rsidSect="00AD2E8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418" w:bottom="1418" w:left="1134" w:header="510" w:footer="1021" w:gutter="0"/>
          <w:cols w:space="720"/>
          <w:titlePg/>
          <w:docGrid w:linePitch="299"/>
        </w:sectPr>
      </w:pPr>
      <w:r w:rsidRPr="007D2F97">
        <w:rPr>
          <w:rFonts w:cs="Calibri" w:hint="cs"/>
          <w:rtl/>
        </w:rPr>
        <w:t>[يلي ذلك المرفق]</w:t>
      </w:r>
    </w:p>
    <w:p w14:paraId="4251CB3C" w14:textId="18C28C26" w:rsidR="00297419" w:rsidRPr="007D2F97" w:rsidRDefault="00297419" w:rsidP="00297419">
      <w:pPr>
        <w:bidi/>
        <w:spacing w:after="220"/>
        <w:ind w:left="-288"/>
        <w:rPr>
          <w:rFonts w:cs="Calibri"/>
          <w:rtl/>
        </w:rPr>
      </w:pPr>
      <w:r w:rsidRPr="007D2F97">
        <w:rPr>
          <w:rFonts w:cs="Calibri" w:hint="cs"/>
          <w:noProof/>
          <w:rtl/>
        </w:rPr>
        <w:lastRenderedPageBreak/>
        <w:drawing>
          <wp:inline distT="0" distB="0" distL="0" distR="0" wp14:anchorId="7A875AC1" wp14:editId="2C04BA1E">
            <wp:extent cx="4945160" cy="6992615"/>
            <wp:effectExtent l="0" t="0" r="8255" b="0"/>
            <wp:docPr id="1160230654" name="Picture 1" descr="WO/CC/84/INF/2&#10;ANNEX&#10;المرفق&#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30654" name="Picture 1" descr="WO/CC/84/INF/2&#10;ANNEX&#10;المرفق&#10;&#10;"/>
                    <pic:cNvPicPr/>
                  </pic:nvPicPr>
                  <pic:blipFill>
                    <a:blip r:embed="rId25">
                      <a:extLst>
                        <a:ext uri="{28A0092B-C50C-407E-A947-70E740481C1C}">
                          <a14:useLocalDpi xmlns:a14="http://schemas.microsoft.com/office/drawing/2010/main" val="0"/>
                        </a:ext>
                      </a:extLst>
                    </a:blip>
                    <a:stretch>
                      <a:fillRect/>
                    </a:stretch>
                  </pic:blipFill>
                  <pic:spPr>
                    <a:xfrm>
                      <a:off x="0" y="0"/>
                      <a:ext cx="4945160" cy="6992615"/>
                    </a:xfrm>
                    <a:prstGeom prst="rect">
                      <a:avLst/>
                    </a:prstGeom>
                  </pic:spPr>
                </pic:pic>
              </a:graphicData>
            </a:graphic>
          </wp:inline>
        </w:drawing>
      </w:r>
    </w:p>
    <w:p w14:paraId="49CDE3C9" w14:textId="62C16282" w:rsidR="002928D3" w:rsidRPr="007D2F97" w:rsidRDefault="00D8430A" w:rsidP="00913FBD">
      <w:pPr>
        <w:bidi/>
        <w:spacing w:before="360" w:after="220"/>
        <w:ind w:left="5530"/>
        <w:rPr>
          <w:rFonts w:cs="Calibri"/>
          <w:rtl/>
        </w:rPr>
      </w:pPr>
      <w:bookmarkStart w:id="9" w:name="_Hlk161299472"/>
      <w:bookmarkEnd w:id="5"/>
      <w:r w:rsidRPr="007D2F97">
        <w:rPr>
          <w:rFonts w:cs="Calibri" w:hint="cs"/>
          <w:rtl/>
        </w:rPr>
        <w:t>[نهاية المرفق والوثيقة]</w:t>
      </w:r>
      <w:bookmarkEnd w:id="1"/>
      <w:bookmarkEnd w:id="9"/>
    </w:p>
    <w:sectPr w:rsidR="002928D3" w:rsidRPr="007D2F97" w:rsidSect="00AD2E83">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418" w:bottom="1418" w:left="1134"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8ED8" w14:textId="77777777" w:rsidR="00D039E1" w:rsidRDefault="00D039E1">
      <w:r>
        <w:separator/>
      </w:r>
    </w:p>
  </w:endnote>
  <w:endnote w:type="continuationSeparator" w:id="0">
    <w:p w14:paraId="4225D344" w14:textId="77777777" w:rsidR="00D039E1" w:rsidRDefault="00D039E1" w:rsidP="003B38C1">
      <w:r>
        <w:separator/>
      </w:r>
    </w:p>
    <w:p w14:paraId="4026AE9F" w14:textId="77777777" w:rsidR="00D039E1" w:rsidRPr="003B38C1" w:rsidRDefault="00D039E1" w:rsidP="003B38C1">
      <w:pPr>
        <w:spacing w:after="60"/>
        <w:rPr>
          <w:sz w:val="17"/>
        </w:rPr>
      </w:pPr>
      <w:r>
        <w:rPr>
          <w:sz w:val="17"/>
        </w:rPr>
        <w:t>[Endnote continued from previous page]</w:t>
      </w:r>
    </w:p>
  </w:endnote>
  <w:endnote w:type="continuationNotice" w:id="1">
    <w:p w14:paraId="26447047" w14:textId="77777777" w:rsidR="00D039E1" w:rsidRPr="003B38C1" w:rsidRDefault="00D039E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FF5F" w14:textId="77777777" w:rsidR="00A42B36" w:rsidRDefault="00A42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70BF" w14:textId="77777777" w:rsidR="00A42B36" w:rsidRDefault="00A42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47DA" w14:textId="77777777" w:rsidR="00A42B36" w:rsidRDefault="00A42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30F4" w14:textId="3D32F325" w:rsidR="00D44980" w:rsidRDefault="00D449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98F8" w14:textId="3725B8E5" w:rsidR="00D44980" w:rsidRDefault="00D449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1AF6" w14:textId="4BCA9E3F" w:rsidR="00D44980" w:rsidRDefault="00D4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60B9" w14:textId="77777777" w:rsidR="00D039E1" w:rsidRDefault="00D039E1" w:rsidP="007D2F97">
      <w:pPr>
        <w:bidi/>
      </w:pPr>
      <w:r>
        <w:separator/>
      </w:r>
    </w:p>
  </w:footnote>
  <w:footnote w:type="continuationSeparator" w:id="0">
    <w:p w14:paraId="2A2FAB71" w14:textId="77777777" w:rsidR="00D039E1" w:rsidRDefault="00D039E1" w:rsidP="008B60B2">
      <w:r>
        <w:separator/>
      </w:r>
    </w:p>
    <w:p w14:paraId="01D0E3C6" w14:textId="77777777" w:rsidR="00D039E1" w:rsidRPr="00ED77FB" w:rsidRDefault="00D039E1" w:rsidP="008B60B2">
      <w:pPr>
        <w:spacing w:after="60"/>
        <w:rPr>
          <w:sz w:val="17"/>
          <w:szCs w:val="17"/>
        </w:rPr>
      </w:pPr>
      <w:r w:rsidRPr="00ED77FB">
        <w:rPr>
          <w:sz w:val="17"/>
          <w:szCs w:val="17"/>
        </w:rPr>
        <w:t>[Footnote continued from previous page]</w:t>
      </w:r>
    </w:p>
  </w:footnote>
  <w:footnote w:type="continuationNotice" w:id="1">
    <w:p w14:paraId="440932E8" w14:textId="77777777" w:rsidR="00D039E1" w:rsidRPr="00ED77FB" w:rsidRDefault="00D039E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C75693F" w14:textId="2B5F795C" w:rsidR="00C746F4" w:rsidRPr="00C746F4" w:rsidRDefault="00C746F4" w:rsidP="00C746F4">
      <w:pPr>
        <w:pStyle w:val="FootnoteText"/>
        <w:bidi/>
        <w:rPr>
          <w:rtl/>
        </w:rPr>
      </w:pPr>
      <w:r>
        <w:rPr>
          <w:rStyle w:val="FootnoteReference"/>
        </w:rPr>
        <w:footnoteRef/>
      </w:r>
      <w:r>
        <w:t xml:space="preserve"> </w:t>
      </w:r>
      <w:r w:rsidRPr="007D2F97">
        <w:rPr>
          <w:rFonts w:cs="Calibri" w:hint="cs"/>
          <w:szCs w:val="18"/>
          <w:rtl/>
        </w:rPr>
        <w:t xml:space="preserve">يشمل ذلك جميع العاملين الموظفين وغير الموظفين في الويبو والاتحاد الدولي لحماية الأصناف النباتية الجديدة (الأوبوف) في المقر الرئيسي للويبو/الأوبوف وفي أماكن أخرى.  </w:t>
      </w:r>
    </w:p>
  </w:footnote>
  <w:footnote w:id="3">
    <w:p w14:paraId="04985530" w14:textId="608530D4" w:rsidR="000746CA" w:rsidRPr="007D2F97" w:rsidRDefault="000746CA" w:rsidP="006A7A65">
      <w:pPr>
        <w:pStyle w:val="ONUME"/>
        <w:numPr>
          <w:ilvl w:val="0"/>
          <w:numId w:val="0"/>
        </w:numPr>
        <w:bidi/>
        <w:rPr>
          <w:rFonts w:cs="Calibri"/>
          <w:sz w:val="18"/>
          <w:szCs w:val="18"/>
          <w:rtl/>
        </w:rPr>
      </w:pPr>
      <w:r w:rsidRPr="007D2F97">
        <w:rPr>
          <w:rStyle w:val="FootnoteReference"/>
          <w:rFonts w:cs="Calibri"/>
          <w:sz w:val="18"/>
          <w:szCs w:val="18"/>
        </w:rPr>
        <w:footnoteRef/>
      </w:r>
      <w:r w:rsidR="006A7A65">
        <w:rPr>
          <w:rFonts w:cs="Calibri"/>
          <w:sz w:val="18"/>
          <w:szCs w:val="18"/>
          <w:rtl/>
        </w:rPr>
        <w:tab/>
      </w:r>
      <w:r w:rsidRPr="007D2F97">
        <w:rPr>
          <w:rFonts w:cs="Calibri" w:hint="cs"/>
          <w:sz w:val="18"/>
          <w:szCs w:val="18"/>
          <w:rtl/>
        </w:rPr>
        <w:t xml:space="preserve">وحتى منتصف أكتوبر 2024، ظل السيد ميتشين مسؤولا عن تقديم الخدمات على أساس نصف الوقت، لضمان تسليم جميع الطلبات والقضايا واستعراضات السياسة العامة والملفات المعلقة على النحو الواجب. </w:t>
      </w:r>
    </w:p>
  </w:footnote>
  <w:footnote w:id="4">
    <w:p w14:paraId="6DFA7A41" w14:textId="4E883D84" w:rsidR="001F2E98" w:rsidRPr="007D2F97" w:rsidRDefault="001F2E98" w:rsidP="008B4AAF">
      <w:pPr>
        <w:pStyle w:val="FootnoteText"/>
        <w:bidi/>
        <w:rPr>
          <w:rFonts w:cs="Calibri"/>
          <w:szCs w:val="18"/>
          <w:rtl/>
        </w:rPr>
      </w:pPr>
      <w:r w:rsidRPr="007D2F97">
        <w:rPr>
          <w:rStyle w:val="FootnoteReference"/>
          <w:rFonts w:cs="Calibri"/>
          <w:szCs w:val="18"/>
        </w:rPr>
        <w:footnoteRef/>
      </w:r>
      <w:r w:rsidRPr="007D2F97">
        <w:rPr>
          <w:rFonts w:cs="Calibri" w:hint="cs"/>
          <w:szCs w:val="18"/>
          <w:rtl/>
        </w:rPr>
        <w:tab/>
        <w:t xml:space="preserve">أي طلب فردي يقدمه فرديا أحد العالمين أو يشترك في تقديمه عدة عاملين، من الموظفين، فيما يتعلق بمجموعة من الوقائع، يحسبه مكتبُ الأخلاقيات طلباً واحداً.  </w:t>
      </w:r>
    </w:p>
  </w:footnote>
  <w:footnote w:id="5">
    <w:p w14:paraId="79F6B89E" w14:textId="2675FFEC" w:rsidR="0017495F" w:rsidRPr="007D2F97" w:rsidRDefault="0017495F">
      <w:pPr>
        <w:pStyle w:val="FootnoteText"/>
        <w:bidi/>
        <w:rPr>
          <w:rFonts w:cs="Calibri"/>
          <w:szCs w:val="18"/>
          <w:rtl/>
        </w:rPr>
      </w:pPr>
      <w:r w:rsidRPr="007D2F97">
        <w:rPr>
          <w:rStyle w:val="FootnoteReference"/>
          <w:rFonts w:cs="Calibri"/>
          <w:szCs w:val="18"/>
        </w:rPr>
        <w:footnoteRef/>
      </w:r>
      <w:r w:rsidRPr="007D2F97">
        <w:rPr>
          <w:rFonts w:cs="Calibri" w:hint="cs"/>
          <w:szCs w:val="18"/>
          <w:rtl/>
        </w:rPr>
        <w:tab/>
        <w:t>تشمل هذه الفئة الطلبات المتعلقة بالانتقام على النحو المحدد في سياسة الويبو الرامية إلى الحماية من الانتقام (أي الانتقام بسبب الإبلاغ عن سوء سلوك أو التعاون في نشاط رقابي)، فضلا عن الطلبات المتعلقة بالأعمال الانتقامية بالمعنى العادي لهذا المصطلح (أي الإجراءات السلبية المتخذة ضد شخص كرد فعل على إجراء سابق أو الذي يهدف إلى المعاقبة عليه</w:t>
      </w:r>
      <w:r w:rsidR="00AA0F2A">
        <w:rPr>
          <w:rFonts w:cs="Calibri" w:hint="cs"/>
          <w:szCs w:val="18"/>
          <w:rtl/>
        </w:rPr>
        <w:t>.</w:t>
      </w:r>
      <w:r w:rsidRPr="007D2F97">
        <w:rPr>
          <w:rFonts w:cs="Calibri" w:hint="cs"/>
          <w:szCs w:val="18"/>
          <w:rtl/>
        </w:rPr>
        <w:t>)</w:t>
      </w:r>
    </w:p>
  </w:footnote>
  <w:footnote w:id="6">
    <w:p w14:paraId="34D6668F" w14:textId="4AAEF064" w:rsidR="006761B4" w:rsidRPr="007D2F97" w:rsidRDefault="006761B4" w:rsidP="00B769B7">
      <w:pPr>
        <w:pStyle w:val="FootnoteText"/>
        <w:bidi/>
        <w:rPr>
          <w:rFonts w:cs="Calibri"/>
          <w:szCs w:val="18"/>
          <w:rtl/>
        </w:rPr>
      </w:pPr>
      <w:r w:rsidRPr="007D2F97">
        <w:rPr>
          <w:rStyle w:val="FootnoteReference"/>
          <w:rFonts w:cs="Calibri"/>
          <w:szCs w:val="18"/>
        </w:rPr>
        <w:footnoteRef/>
      </w:r>
      <w:r w:rsidRPr="007D2F97">
        <w:rPr>
          <w:rFonts w:cs="Calibri" w:hint="cs"/>
          <w:szCs w:val="18"/>
          <w:rtl/>
        </w:rPr>
        <w:tab/>
        <w:t xml:space="preserve">لأغراض سياسة الويبو بشأن التكريم والهدايا، تشمل "الهدية" أيضا أي جميل أو مكافأة أو منفعة أو أي تعويض آخر بقيمة مالية تزيد عن القيمة الاسمية لما يلي: "1" 200 فرنك سويسري للموظفين الموجودين في جنيف ونيويورك واليابان وسنغافورة، فضلا عن الموظفين الموفدين في بعثات إلى هذه المواقع، "2" و100 فرنك سويسري للموظفين الموجودين في أي مكان آخر. </w:t>
      </w:r>
    </w:p>
  </w:footnote>
  <w:footnote w:id="7">
    <w:p w14:paraId="75535169" w14:textId="07D93346" w:rsidR="000A05EB" w:rsidRPr="007D2F97" w:rsidRDefault="000A05EB">
      <w:pPr>
        <w:pStyle w:val="FootnoteText"/>
        <w:bidi/>
        <w:rPr>
          <w:rFonts w:cs="Calibri"/>
          <w:szCs w:val="18"/>
          <w:rtl/>
        </w:rPr>
      </w:pPr>
      <w:r w:rsidRPr="007D2F97">
        <w:rPr>
          <w:rFonts w:cs="Calibri" w:hint="cs"/>
          <w:szCs w:val="18"/>
          <w:rtl/>
        </w:rPr>
        <w:t xml:space="preserve">كما تم تزويد الأمين العام للأوبوف ونائب الأمين العام بمحة عامة عن طلبات المشورة المتعلقة بالأخلاقيات الواردة في عام 2024 من أعضاء الأوبوف. </w:t>
      </w:r>
    </w:p>
  </w:footnote>
  <w:footnote w:id="8">
    <w:p w14:paraId="51ABD4FF" w14:textId="273A52FE" w:rsidR="006761B4" w:rsidRPr="007D2F97" w:rsidRDefault="006761B4" w:rsidP="006761B4">
      <w:pPr>
        <w:pStyle w:val="FootnoteText"/>
        <w:bidi/>
        <w:jc w:val="both"/>
        <w:rPr>
          <w:rFonts w:cs="Calibri"/>
          <w:szCs w:val="18"/>
          <w:rtl/>
        </w:rPr>
      </w:pPr>
      <w:r w:rsidRPr="007D2F97">
        <w:rPr>
          <w:rStyle w:val="FootnoteReference"/>
          <w:rFonts w:cs="Calibri"/>
          <w:szCs w:val="18"/>
        </w:rPr>
        <w:footnoteRef/>
      </w:r>
      <w:r w:rsidRPr="007D2F97">
        <w:rPr>
          <w:rFonts w:cs="Calibri" w:hint="cs"/>
          <w:szCs w:val="18"/>
          <w:rtl/>
        </w:rPr>
        <w:tab/>
        <w:t xml:space="preserve">طُلب من جميع الموظفين الجُدد منذ إطلاق التدريب الجديد بشأن الأخلاقيات والنزاهة في عام 2022 إكمال التدريب.  </w:t>
      </w:r>
    </w:p>
  </w:footnote>
  <w:footnote w:id="9">
    <w:p w14:paraId="520E6057" w14:textId="11B9BC8D" w:rsidR="00E63AD0" w:rsidRPr="007D2F97" w:rsidRDefault="00E63AD0">
      <w:pPr>
        <w:pStyle w:val="FootnoteText"/>
        <w:bidi/>
        <w:rPr>
          <w:rFonts w:cs="Calibri"/>
          <w:szCs w:val="18"/>
          <w:rtl/>
        </w:rPr>
      </w:pPr>
      <w:r w:rsidRPr="007D2F97">
        <w:rPr>
          <w:rStyle w:val="FootnoteReference"/>
          <w:rFonts w:cs="Calibri"/>
          <w:szCs w:val="18"/>
        </w:rPr>
        <w:footnoteRef/>
      </w:r>
      <w:r w:rsidRPr="007D2F97">
        <w:rPr>
          <w:rFonts w:cs="Calibri" w:hint="cs"/>
          <w:szCs w:val="18"/>
          <w:rtl/>
        </w:rPr>
        <w:tab/>
        <w:t xml:space="preserve">سيستكمل استعراض </w:t>
      </w:r>
      <w:r w:rsidR="00E72BF7" w:rsidRPr="00E72BF7">
        <w:rPr>
          <w:rFonts w:cs="Calibri"/>
          <w:szCs w:val="18"/>
          <w:rtl/>
        </w:rPr>
        <w:t>سياسة الويبو بشأن الأنشطة الخارجية</w:t>
      </w:r>
      <w:r w:rsidR="00E72BF7" w:rsidRPr="00E72BF7">
        <w:rPr>
          <w:rFonts w:cs="Calibri" w:hint="cs"/>
          <w:szCs w:val="18"/>
          <w:rtl/>
        </w:rPr>
        <w:t xml:space="preserve"> </w:t>
      </w:r>
      <w:r w:rsidRPr="007D2F97">
        <w:rPr>
          <w:rFonts w:cs="Calibri" w:hint="cs"/>
          <w:szCs w:val="18"/>
          <w:rtl/>
        </w:rPr>
        <w:t>بمجرد أن تصدر لجنة الخدمة المدنية الدولية معايير السلوك المنقحة للخدمة المدنية</w:t>
      </w:r>
      <w:r w:rsidR="00E72BF7">
        <w:rPr>
          <w:rFonts w:cs="Calibri" w:hint="eastAsia"/>
          <w:szCs w:val="18"/>
          <w:rtl/>
        </w:rPr>
        <w:t> </w:t>
      </w:r>
      <w:r w:rsidRPr="007D2F97">
        <w:rPr>
          <w:rFonts w:cs="Calibri" w:hint="cs"/>
          <w:szCs w:val="18"/>
          <w:rtl/>
        </w:rPr>
        <w:t>الدولية.</w:t>
      </w:r>
    </w:p>
  </w:footnote>
  <w:footnote w:id="10">
    <w:p w14:paraId="392CCDC6" w14:textId="1D02CF42" w:rsidR="005C1474" w:rsidRPr="007D2F97" w:rsidRDefault="005C1474">
      <w:pPr>
        <w:pStyle w:val="FootnoteText"/>
        <w:bidi/>
        <w:rPr>
          <w:rFonts w:cs="Calibri"/>
          <w:szCs w:val="18"/>
          <w:rtl/>
        </w:rPr>
      </w:pPr>
      <w:r w:rsidRPr="007D2F97">
        <w:rPr>
          <w:rStyle w:val="FootnoteReference"/>
          <w:rFonts w:cs="Calibri"/>
          <w:szCs w:val="18"/>
        </w:rPr>
        <w:footnoteRef/>
      </w:r>
      <w:r w:rsidRPr="007D2F97">
        <w:rPr>
          <w:rFonts w:cs="Calibri" w:hint="cs"/>
          <w:szCs w:val="18"/>
          <w:rtl/>
        </w:rPr>
        <w:tab/>
        <w:t>من أصل 110 موظفين المدعوين إلى المشاركة في البرنامج، لم يتمكن ثلاثة موظفين من إتمام هذه العملية لأنهم تقاعدوا من الويبو أو كانوا في إجازة مرضية ممتدة.</w:t>
      </w:r>
    </w:p>
  </w:footnote>
  <w:footnote w:id="11">
    <w:p w14:paraId="7995F4CF" w14:textId="69C53591" w:rsidR="00404708" w:rsidRPr="007D2F97" w:rsidRDefault="00404708">
      <w:pPr>
        <w:pStyle w:val="FootnoteText"/>
        <w:bidi/>
        <w:rPr>
          <w:rFonts w:cs="Calibri"/>
          <w:szCs w:val="18"/>
          <w:rtl/>
        </w:rPr>
      </w:pPr>
      <w:r w:rsidRPr="007D2F97">
        <w:rPr>
          <w:rStyle w:val="FootnoteReference"/>
          <w:rFonts w:cs="Calibri"/>
          <w:szCs w:val="18"/>
        </w:rPr>
        <w:footnoteRef/>
      </w:r>
      <w:r w:rsidRPr="007D2F97">
        <w:rPr>
          <w:rFonts w:cs="Calibri" w:hint="cs"/>
          <w:szCs w:val="18"/>
          <w:rtl/>
        </w:rPr>
        <w:tab/>
        <w:t xml:space="preserve"> انظر الفقر24 أعلاه.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B20" w14:textId="77777777" w:rsidR="00A42B36" w:rsidRDefault="00A42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E07" w14:textId="614C7F02" w:rsidR="00EC4E49" w:rsidRDefault="006761B4" w:rsidP="00C746F4">
    <w:pPr>
      <w:rPr>
        <w:rtl/>
      </w:rPr>
    </w:pPr>
    <w:r>
      <w:t>WO/CC/84/INF/2</w:t>
    </w:r>
  </w:p>
  <w:p w14:paraId="7C0A722F" w14:textId="206839DF" w:rsidR="00EC4E49" w:rsidRDefault="00EC4E49" w:rsidP="00C746F4">
    <w:r>
      <w:fldChar w:fldCharType="begin"/>
    </w:r>
    <w:r>
      <w:rPr>
        <w:rtl/>
      </w:rPr>
      <w:instrText xml:space="preserve"> </w:instrText>
    </w:r>
    <w:r>
      <w:instrText xml:space="preserve">PAGE  \* MERGEFORMAT </w:instrText>
    </w:r>
    <w:r>
      <w:fldChar w:fldCharType="separate"/>
    </w:r>
    <w:r w:rsidR="003F09F8">
      <w:rPr>
        <w:rFonts w:hint="cs"/>
        <w:rtl/>
      </w:rPr>
      <w:t>15</w:t>
    </w:r>
    <w:r>
      <w:fldChar w:fldCharType="end"/>
    </w:r>
  </w:p>
  <w:p w14:paraId="2AD0A397" w14:textId="77777777" w:rsidR="00C746F4" w:rsidRDefault="00C746F4" w:rsidP="00C746F4"/>
  <w:p w14:paraId="7979C2F1" w14:textId="77777777" w:rsidR="00C746F4" w:rsidRPr="00C746F4" w:rsidRDefault="00C746F4" w:rsidP="00C746F4">
    <w:pP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478E" w14:textId="77777777" w:rsidR="00A42B36" w:rsidRDefault="00A42B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51D" w14:textId="6D1070B6" w:rsidR="00EA0F9A" w:rsidRDefault="00EA0F9A" w:rsidP="00AD2E83">
    <w:pPr>
      <w:rPr>
        <w:rtl/>
      </w:rPr>
    </w:pPr>
    <w:r>
      <w:t>WO/CC/84/INF/2</w:t>
    </w:r>
  </w:p>
  <w:p w14:paraId="53BA38AA" w14:textId="03633C83" w:rsidR="00EA0F9A" w:rsidRDefault="00AD2E83" w:rsidP="00AD2E83">
    <w:pPr>
      <w:rPr>
        <w:rtl/>
      </w:rPr>
    </w:pPr>
    <w:r>
      <w:t>ANNEX</w:t>
    </w:r>
  </w:p>
  <w:p w14:paraId="74E934B0" w14:textId="4A2B4E98" w:rsidR="001D6E56" w:rsidRPr="00AD2E83" w:rsidRDefault="00AD2E83" w:rsidP="00AD2E83">
    <w:pPr>
      <w:rPr>
        <w:rFonts w:asciiTheme="minorHAnsi" w:hAnsiTheme="minorHAnsi" w:cstheme="minorHAnsi"/>
        <w:rtl/>
      </w:rPr>
    </w:pPr>
    <w:r w:rsidRPr="00AD2E83">
      <w:rPr>
        <w:rFonts w:asciiTheme="minorHAnsi" w:hAnsiTheme="minorHAnsi" w:cstheme="minorHAnsi"/>
        <w:rtl/>
      </w:rPr>
      <w:t>المرفق</w:t>
    </w:r>
  </w:p>
  <w:p w14:paraId="0F32B80A" w14:textId="77777777" w:rsidR="001D6E56" w:rsidRDefault="001D6E56" w:rsidP="00AD2E8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C783" w14:textId="77777777" w:rsidR="00D8430A" w:rsidRDefault="00D8430A" w:rsidP="00D8430A">
    <w:pPr>
      <w:bidi/>
      <w:jc w:val="right"/>
      <w:rPr>
        <w:rtl/>
      </w:rPr>
    </w:pPr>
    <w:r>
      <w:t>WO/CC/82/INF/2</w:t>
    </w:r>
  </w:p>
  <w:p w14:paraId="4937B7D1" w14:textId="77777777" w:rsidR="00D8430A" w:rsidRDefault="00D8430A" w:rsidP="00D8430A">
    <w:pPr>
      <w:bidi/>
      <w:jc w:val="right"/>
      <w:rPr>
        <w:rtl/>
      </w:rPr>
    </w:pPr>
    <w:r>
      <w:rPr>
        <w:rFonts w:hint="cs"/>
        <w:rtl/>
      </w:rPr>
      <w:t>المرفق</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267D"/>
    <w:multiLevelType w:val="hybridMultilevel"/>
    <w:tmpl w:val="710E9250"/>
    <w:lvl w:ilvl="0" w:tplc="B3DA34CE">
      <w:start w:val="1"/>
      <w:numFmt w:val="bullet"/>
      <w:lvlText w:val=""/>
      <w:lvlJc w:val="left"/>
      <w:pPr>
        <w:ind w:left="720" w:hanging="360"/>
      </w:pPr>
      <w:rPr>
        <w:rFonts w:ascii="Symbol" w:hAnsi="Symbol"/>
      </w:rPr>
    </w:lvl>
    <w:lvl w:ilvl="1" w:tplc="41803F9E">
      <w:start w:val="1"/>
      <w:numFmt w:val="bullet"/>
      <w:lvlText w:val=""/>
      <w:lvlJc w:val="left"/>
      <w:pPr>
        <w:ind w:left="720" w:hanging="360"/>
      </w:pPr>
      <w:rPr>
        <w:rFonts w:ascii="Symbol" w:hAnsi="Symbol"/>
      </w:rPr>
    </w:lvl>
    <w:lvl w:ilvl="2" w:tplc="DD604D2E">
      <w:start w:val="1"/>
      <w:numFmt w:val="bullet"/>
      <w:lvlText w:val=""/>
      <w:lvlJc w:val="left"/>
      <w:pPr>
        <w:ind w:left="720" w:hanging="360"/>
      </w:pPr>
      <w:rPr>
        <w:rFonts w:ascii="Symbol" w:hAnsi="Symbol"/>
      </w:rPr>
    </w:lvl>
    <w:lvl w:ilvl="3" w:tplc="2F94BA6E">
      <w:start w:val="1"/>
      <w:numFmt w:val="bullet"/>
      <w:lvlText w:val=""/>
      <w:lvlJc w:val="left"/>
      <w:pPr>
        <w:ind w:left="720" w:hanging="360"/>
      </w:pPr>
      <w:rPr>
        <w:rFonts w:ascii="Symbol" w:hAnsi="Symbol"/>
      </w:rPr>
    </w:lvl>
    <w:lvl w:ilvl="4" w:tplc="AFE43954">
      <w:start w:val="1"/>
      <w:numFmt w:val="bullet"/>
      <w:lvlText w:val=""/>
      <w:lvlJc w:val="left"/>
      <w:pPr>
        <w:ind w:left="720" w:hanging="360"/>
      </w:pPr>
      <w:rPr>
        <w:rFonts w:ascii="Symbol" w:hAnsi="Symbol"/>
      </w:rPr>
    </w:lvl>
    <w:lvl w:ilvl="5" w:tplc="D718609E">
      <w:start w:val="1"/>
      <w:numFmt w:val="bullet"/>
      <w:lvlText w:val=""/>
      <w:lvlJc w:val="left"/>
      <w:pPr>
        <w:ind w:left="720" w:hanging="360"/>
      </w:pPr>
      <w:rPr>
        <w:rFonts w:ascii="Symbol" w:hAnsi="Symbol"/>
      </w:rPr>
    </w:lvl>
    <w:lvl w:ilvl="6" w:tplc="02D867C8">
      <w:start w:val="1"/>
      <w:numFmt w:val="bullet"/>
      <w:lvlText w:val=""/>
      <w:lvlJc w:val="left"/>
      <w:pPr>
        <w:ind w:left="720" w:hanging="360"/>
      </w:pPr>
      <w:rPr>
        <w:rFonts w:ascii="Symbol" w:hAnsi="Symbol"/>
      </w:rPr>
    </w:lvl>
    <w:lvl w:ilvl="7" w:tplc="F3F007C2">
      <w:start w:val="1"/>
      <w:numFmt w:val="bullet"/>
      <w:lvlText w:val=""/>
      <w:lvlJc w:val="left"/>
      <w:pPr>
        <w:ind w:left="720" w:hanging="360"/>
      </w:pPr>
      <w:rPr>
        <w:rFonts w:ascii="Symbol" w:hAnsi="Symbol"/>
      </w:rPr>
    </w:lvl>
    <w:lvl w:ilvl="8" w:tplc="F44A4B48">
      <w:start w:val="1"/>
      <w:numFmt w:val="bullet"/>
      <w:lvlText w:val=""/>
      <w:lvlJc w:val="left"/>
      <w:pPr>
        <w:ind w:left="720" w:hanging="360"/>
      </w:pPr>
      <w:rPr>
        <w:rFonts w:ascii="Symbol" w:hAnsi="Symbol"/>
      </w:rPr>
    </w:lvl>
  </w:abstractNum>
  <w:abstractNum w:abstractNumId="2" w15:restartNumberingAfterBreak="0">
    <w:nsid w:val="06CD29E3"/>
    <w:multiLevelType w:val="multilevel"/>
    <w:tmpl w:val="A7DC52AA"/>
    <w:lvl w:ilvl="0">
      <w:start w:val="1"/>
      <w:numFmt w:val="decimal"/>
      <w:lvlRestart w:val="0"/>
      <w:pStyle w:val="ONUME"/>
      <w:lvlText w:val="%1."/>
      <w:lvlJc w:val="left"/>
      <w:pPr>
        <w:tabs>
          <w:tab w:val="num" w:pos="567"/>
        </w:tabs>
        <w:ind w:left="0" w:firstLine="0"/>
      </w:pPr>
      <w:rPr>
        <w:rFonts w:hint="default"/>
        <w:i/>
        <w:iCs w:val="0"/>
        <w:color w:val="auto"/>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7A4C6A"/>
    <w:multiLevelType w:val="hybridMultilevel"/>
    <w:tmpl w:val="85CE956A"/>
    <w:lvl w:ilvl="0" w:tplc="A1F81802">
      <w:start w:val="1"/>
      <w:numFmt w:val="bullet"/>
      <w:lvlText w:val=""/>
      <w:lvlJc w:val="left"/>
      <w:pPr>
        <w:ind w:left="720" w:hanging="360"/>
      </w:pPr>
      <w:rPr>
        <w:rFonts w:ascii="Symbol" w:hAnsi="Symbol"/>
      </w:rPr>
    </w:lvl>
    <w:lvl w:ilvl="1" w:tplc="83468914">
      <w:start w:val="1"/>
      <w:numFmt w:val="bullet"/>
      <w:lvlText w:val=""/>
      <w:lvlJc w:val="left"/>
      <w:pPr>
        <w:ind w:left="720" w:hanging="360"/>
      </w:pPr>
      <w:rPr>
        <w:rFonts w:ascii="Symbol" w:hAnsi="Symbol"/>
      </w:rPr>
    </w:lvl>
    <w:lvl w:ilvl="2" w:tplc="5E30D468">
      <w:start w:val="1"/>
      <w:numFmt w:val="bullet"/>
      <w:lvlText w:val=""/>
      <w:lvlJc w:val="left"/>
      <w:pPr>
        <w:ind w:left="720" w:hanging="360"/>
      </w:pPr>
      <w:rPr>
        <w:rFonts w:ascii="Symbol" w:hAnsi="Symbol"/>
      </w:rPr>
    </w:lvl>
    <w:lvl w:ilvl="3" w:tplc="1ACA3DFA">
      <w:start w:val="1"/>
      <w:numFmt w:val="bullet"/>
      <w:lvlText w:val=""/>
      <w:lvlJc w:val="left"/>
      <w:pPr>
        <w:ind w:left="720" w:hanging="360"/>
      </w:pPr>
      <w:rPr>
        <w:rFonts w:ascii="Symbol" w:hAnsi="Symbol"/>
      </w:rPr>
    </w:lvl>
    <w:lvl w:ilvl="4" w:tplc="0C50CF2E">
      <w:start w:val="1"/>
      <w:numFmt w:val="bullet"/>
      <w:lvlText w:val=""/>
      <w:lvlJc w:val="left"/>
      <w:pPr>
        <w:ind w:left="720" w:hanging="360"/>
      </w:pPr>
      <w:rPr>
        <w:rFonts w:ascii="Symbol" w:hAnsi="Symbol"/>
      </w:rPr>
    </w:lvl>
    <w:lvl w:ilvl="5" w:tplc="B108EBB8">
      <w:start w:val="1"/>
      <w:numFmt w:val="bullet"/>
      <w:lvlText w:val=""/>
      <w:lvlJc w:val="left"/>
      <w:pPr>
        <w:ind w:left="720" w:hanging="360"/>
      </w:pPr>
      <w:rPr>
        <w:rFonts w:ascii="Symbol" w:hAnsi="Symbol"/>
      </w:rPr>
    </w:lvl>
    <w:lvl w:ilvl="6" w:tplc="9C18AD3C">
      <w:start w:val="1"/>
      <w:numFmt w:val="bullet"/>
      <w:lvlText w:val=""/>
      <w:lvlJc w:val="left"/>
      <w:pPr>
        <w:ind w:left="720" w:hanging="360"/>
      </w:pPr>
      <w:rPr>
        <w:rFonts w:ascii="Symbol" w:hAnsi="Symbol"/>
      </w:rPr>
    </w:lvl>
    <w:lvl w:ilvl="7" w:tplc="61CA2076">
      <w:start w:val="1"/>
      <w:numFmt w:val="bullet"/>
      <w:lvlText w:val=""/>
      <w:lvlJc w:val="left"/>
      <w:pPr>
        <w:ind w:left="720" w:hanging="360"/>
      </w:pPr>
      <w:rPr>
        <w:rFonts w:ascii="Symbol" w:hAnsi="Symbol"/>
      </w:rPr>
    </w:lvl>
    <w:lvl w:ilvl="8" w:tplc="BD40DC00">
      <w:start w:val="1"/>
      <w:numFmt w:val="bullet"/>
      <w:lvlText w:val=""/>
      <w:lvlJc w:val="left"/>
      <w:pPr>
        <w:ind w:left="720" w:hanging="360"/>
      </w:pPr>
      <w:rPr>
        <w:rFonts w:ascii="Symbol" w:hAnsi="Symbol"/>
      </w:rPr>
    </w:lvl>
  </w:abstractNum>
  <w:abstractNum w:abstractNumId="4" w15:restartNumberingAfterBreak="0">
    <w:nsid w:val="0C607F98"/>
    <w:multiLevelType w:val="hybridMultilevel"/>
    <w:tmpl w:val="684ED34E"/>
    <w:lvl w:ilvl="0" w:tplc="14AAFB72">
      <w:start w:val="1"/>
      <w:numFmt w:val="bullet"/>
      <w:lvlText w:val=""/>
      <w:lvlJc w:val="left"/>
      <w:pPr>
        <w:ind w:left="720" w:hanging="360"/>
      </w:pPr>
      <w:rPr>
        <w:rFonts w:ascii="Symbol" w:hAnsi="Symbol"/>
      </w:rPr>
    </w:lvl>
    <w:lvl w:ilvl="1" w:tplc="DF544E78">
      <w:start w:val="1"/>
      <w:numFmt w:val="bullet"/>
      <w:lvlText w:val=""/>
      <w:lvlJc w:val="left"/>
      <w:pPr>
        <w:ind w:left="720" w:hanging="360"/>
      </w:pPr>
      <w:rPr>
        <w:rFonts w:ascii="Symbol" w:hAnsi="Symbol"/>
      </w:rPr>
    </w:lvl>
    <w:lvl w:ilvl="2" w:tplc="A5AAE9F6">
      <w:start w:val="1"/>
      <w:numFmt w:val="bullet"/>
      <w:lvlText w:val=""/>
      <w:lvlJc w:val="left"/>
      <w:pPr>
        <w:ind w:left="720" w:hanging="360"/>
      </w:pPr>
      <w:rPr>
        <w:rFonts w:ascii="Symbol" w:hAnsi="Symbol"/>
      </w:rPr>
    </w:lvl>
    <w:lvl w:ilvl="3" w:tplc="2F66D90E">
      <w:start w:val="1"/>
      <w:numFmt w:val="bullet"/>
      <w:lvlText w:val=""/>
      <w:lvlJc w:val="left"/>
      <w:pPr>
        <w:ind w:left="720" w:hanging="360"/>
      </w:pPr>
      <w:rPr>
        <w:rFonts w:ascii="Symbol" w:hAnsi="Symbol"/>
      </w:rPr>
    </w:lvl>
    <w:lvl w:ilvl="4" w:tplc="92C40FE8">
      <w:start w:val="1"/>
      <w:numFmt w:val="bullet"/>
      <w:lvlText w:val=""/>
      <w:lvlJc w:val="left"/>
      <w:pPr>
        <w:ind w:left="720" w:hanging="360"/>
      </w:pPr>
      <w:rPr>
        <w:rFonts w:ascii="Symbol" w:hAnsi="Symbol"/>
      </w:rPr>
    </w:lvl>
    <w:lvl w:ilvl="5" w:tplc="A4641B30">
      <w:start w:val="1"/>
      <w:numFmt w:val="bullet"/>
      <w:lvlText w:val=""/>
      <w:lvlJc w:val="left"/>
      <w:pPr>
        <w:ind w:left="720" w:hanging="360"/>
      </w:pPr>
      <w:rPr>
        <w:rFonts w:ascii="Symbol" w:hAnsi="Symbol"/>
      </w:rPr>
    </w:lvl>
    <w:lvl w:ilvl="6" w:tplc="8AC88234">
      <w:start w:val="1"/>
      <w:numFmt w:val="bullet"/>
      <w:lvlText w:val=""/>
      <w:lvlJc w:val="left"/>
      <w:pPr>
        <w:ind w:left="720" w:hanging="360"/>
      </w:pPr>
      <w:rPr>
        <w:rFonts w:ascii="Symbol" w:hAnsi="Symbol"/>
      </w:rPr>
    </w:lvl>
    <w:lvl w:ilvl="7" w:tplc="8540741E">
      <w:start w:val="1"/>
      <w:numFmt w:val="bullet"/>
      <w:lvlText w:val=""/>
      <w:lvlJc w:val="left"/>
      <w:pPr>
        <w:ind w:left="720" w:hanging="360"/>
      </w:pPr>
      <w:rPr>
        <w:rFonts w:ascii="Symbol" w:hAnsi="Symbol"/>
      </w:rPr>
    </w:lvl>
    <w:lvl w:ilvl="8" w:tplc="10780C52">
      <w:start w:val="1"/>
      <w:numFmt w:val="bullet"/>
      <w:lvlText w:val=""/>
      <w:lvlJc w:val="left"/>
      <w:pPr>
        <w:ind w:left="720" w:hanging="360"/>
      </w:pPr>
      <w:rPr>
        <w:rFonts w:ascii="Symbol" w:hAnsi="Symbol"/>
      </w:rPr>
    </w:lvl>
  </w:abstractNum>
  <w:abstractNum w:abstractNumId="5" w15:restartNumberingAfterBreak="0">
    <w:nsid w:val="0DAE7DCB"/>
    <w:multiLevelType w:val="hybridMultilevel"/>
    <w:tmpl w:val="6226C5CA"/>
    <w:lvl w:ilvl="0" w:tplc="744852A2">
      <w:start w:val="1"/>
      <w:numFmt w:val="bullet"/>
      <w:lvlText w:val=""/>
      <w:lvlJc w:val="left"/>
      <w:pPr>
        <w:ind w:left="720" w:hanging="360"/>
      </w:pPr>
      <w:rPr>
        <w:rFonts w:ascii="Symbol" w:hAnsi="Symbol"/>
      </w:rPr>
    </w:lvl>
    <w:lvl w:ilvl="1" w:tplc="9CEEF988">
      <w:start w:val="1"/>
      <w:numFmt w:val="bullet"/>
      <w:lvlText w:val=""/>
      <w:lvlJc w:val="left"/>
      <w:pPr>
        <w:ind w:left="720" w:hanging="360"/>
      </w:pPr>
      <w:rPr>
        <w:rFonts w:ascii="Symbol" w:hAnsi="Symbol"/>
      </w:rPr>
    </w:lvl>
    <w:lvl w:ilvl="2" w:tplc="7C5C51A4">
      <w:start w:val="1"/>
      <w:numFmt w:val="bullet"/>
      <w:lvlText w:val=""/>
      <w:lvlJc w:val="left"/>
      <w:pPr>
        <w:ind w:left="720" w:hanging="360"/>
      </w:pPr>
      <w:rPr>
        <w:rFonts w:ascii="Symbol" w:hAnsi="Symbol"/>
      </w:rPr>
    </w:lvl>
    <w:lvl w:ilvl="3" w:tplc="63A423E8">
      <w:start w:val="1"/>
      <w:numFmt w:val="bullet"/>
      <w:lvlText w:val=""/>
      <w:lvlJc w:val="left"/>
      <w:pPr>
        <w:ind w:left="720" w:hanging="360"/>
      </w:pPr>
      <w:rPr>
        <w:rFonts w:ascii="Symbol" w:hAnsi="Symbol"/>
      </w:rPr>
    </w:lvl>
    <w:lvl w:ilvl="4" w:tplc="D0445AA8">
      <w:start w:val="1"/>
      <w:numFmt w:val="bullet"/>
      <w:lvlText w:val=""/>
      <w:lvlJc w:val="left"/>
      <w:pPr>
        <w:ind w:left="720" w:hanging="360"/>
      </w:pPr>
      <w:rPr>
        <w:rFonts w:ascii="Symbol" w:hAnsi="Symbol"/>
      </w:rPr>
    </w:lvl>
    <w:lvl w:ilvl="5" w:tplc="3272C2C8">
      <w:start w:val="1"/>
      <w:numFmt w:val="bullet"/>
      <w:lvlText w:val=""/>
      <w:lvlJc w:val="left"/>
      <w:pPr>
        <w:ind w:left="720" w:hanging="360"/>
      </w:pPr>
      <w:rPr>
        <w:rFonts w:ascii="Symbol" w:hAnsi="Symbol"/>
      </w:rPr>
    </w:lvl>
    <w:lvl w:ilvl="6" w:tplc="20D6136A">
      <w:start w:val="1"/>
      <w:numFmt w:val="bullet"/>
      <w:lvlText w:val=""/>
      <w:lvlJc w:val="left"/>
      <w:pPr>
        <w:ind w:left="720" w:hanging="360"/>
      </w:pPr>
      <w:rPr>
        <w:rFonts w:ascii="Symbol" w:hAnsi="Symbol"/>
      </w:rPr>
    </w:lvl>
    <w:lvl w:ilvl="7" w:tplc="22E04382">
      <w:start w:val="1"/>
      <w:numFmt w:val="bullet"/>
      <w:lvlText w:val=""/>
      <w:lvlJc w:val="left"/>
      <w:pPr>
        <w:ind w:left="720" w:hanging="360"/>
      </w:pPr>
      <w:rPr>
        <w:rFonts w:ascii="Symbol" w:hAnsi="Symbol"/>
      </w:rPr>
    </w:lvl>
    <w:lvl w:ilvl="8" w:tplc="47F4DE24">
      <w:start w:val="1"/>
      <w:numFmt w:val="bullet"/>
      <w:lvlText w:val=""/>
      <w:lvlJc w:val="left"/>
      <w:pPr>
        <w:ind w:left="720" w:hanging="360"/>
      </w:pPr>
      <w:rPr>
        <w:rFonts w:ascii="Symbol" w:hAnsi="Symbol"/>
      </w:rPr>
    </w:lvl>
  </w:abstractNum>
  <w:abstractNum w:abstractNumId="6"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24300"/>
    <w:multiLevelType w:val="hybridMultilevel"/>
    <w:tmpl w:val="58B8DFF4"/>
    <w:lvl w:ilvl="0" w:tplc="3B86EFB2">
      <w:start w:val="1"/>
      <w:numFmt w:val="bullet"/>
      <w:lvlText w:val=""/>
      <w:lvlJc w:val="left"/>
      <w:pPr>
        <w:ind w:left="720" w:hanging="360"/>
      </w:pPr>
      <w:rPr>
        <w:rFonts w:ascii="Symbol" w:hAnsi="Symbol"/>
      </w:rPr>
    </w:lvl>
    <w:lvl w:ilvl="1" w:tplc="160288D0">
      <w:start w:val="1"/>
      <w:numFmt w:val="bullet"/>
      <w:lvlText w:val=""/>
      <w:lvlJc w:val="left"/>
      <w:pPr>
        <w:ind w:left="720" w:hanging="360"/>
      </w:pPr>
      <w:rPr>
        <w:rFonts w:ascii="Symbol" w:hAnsi="Symbol"/>
      </w:rPr>
    </w:lvl>
    <w:lvl w:ilvl="2" w:tplc="2B3C1BD6">
      <w:start w:val="1"/>
      <w:numFmt w:val="bullet"/>
      <w:lvlText w:val=""/>
      <w:lvlJc w:val="left"/>
      <w:pPr>
        <w:ind w:left="720" w:hanging="360"/>
      </w:pPr>
      <w:rPr>
        <w:rFonts w:ascii="Symbol" w:hAnsi="Symbol"/>
      </w:rPr>
    </w:lvl>
    <w:lvl w:ilvl="3" w:tplc="21B46434">
      <w:start w:val="1"/>
      <w:numFmt w:val="bullet"/>
      <w:lvlText w:val=""/>
      <w:lvlJc w:val="left"/>
      <w:pPr>
        <w:ind w:left="720" w:hanging="360"/>
      </w:pPr>
      <w:rPr>
        <w:rFonts w:ascii="Symbol" w:hAnsi="Symbol"/>
      </w:rPr>
    </w:lvl>
    <w:lvl w:ilvl="4" w:tplc="A9747B12">
      <w:start w:val="1"/>
      <w:numFmt w:val="bullet"/>
      <w:lvlText w:val=""/>
      <w:lvlJc w:val="left"/>
      <w:pPr>
        <w:ind w:left="720" w:hanging="360"/>
      </w:pPr>
      <w:rPr>
        <w:rFonts w:ascii="Symbol" w:hAnsi="Symbol"/>
      </w:rPr>
    </w:lvl>
    <w:lvl w:ilvl="5" w:tplc="CB2E3F4C">
      <w:start w:val="1"/>
      <w:numFmt w:val="bullet"/>
      <w:lvlText w:val=""/>
      <w:lvlJc w:val="left"/>
      <w:pPr>
        <w:ind w:left="720" w:hanging="360"/>
      </w:pPr>
      <w:rPr>
        <w:rFonts w:ascii="Symbol" w:hAnsi="Symbol"/>
      </w:rPr>
    </w:lvl>
    <w:lvl w:ilvl="6" w:tplc="94C83734">
      <w:start w:val="1"/>
      <w:numFmt w:val="bullet"/>
      <w:lvlText w:val=""/>
      <w:lvlJc w:val="left"/>
      <w:pPr>
        <w:ind w:left="720" w:hanging="360"/>
      </w:pPr>
      <w:rPr>
        <w:rFonts w:ascii="Symbol" w:hAnsi="Symbol"/>
      </w:rPr>
    </w:lvl>
    <w:lvl w:ilvl="7" w:tplc="1B2E20C2">
      <w:start w:val="1"/>
      <w:numFmt w:val="bullet"/>
      <w:lvlText w:val=""/>
      <w:lvlJc w:val="left"/>
      <w:pPr>
        <w:ind w:left="720" w:hanging="360"/>
      </w:pPr>
      <w:rPr>
        <w:rFonts w:ascii="Symbol" w:hAnsi="Symbol"/>
      </w:rPr>
    </w:lvl>
    <w:lvl w:ilvl="8" w:tplc="3B50E192">
      <w:start w:val="1"/>
      <w:numFmt w:val="bullet"/>
      <w:lvlText w:val=""/>
      <w:lvlJc w:val="left"/>
      <w:pPr>
        <w:ind w:left="720" w:hanging="360"/>
      </w:pPr>
      <w:rPr>
        <w:rFonts w:ascii="Symbol" w:hAnsi="Symbol"/>
      </w:rPr>
    </w:lvl>
  </w:abstractNum>
  <w:abstractNum w:abstractNumId="8" w15:restartNumberingAfterBreak="0">
    <w:nsid w:val="1275491F"/>
    <w:multiLevelType w:val="hybridMultilevel"/>
    <w:tmpl w:val="E06C3540"/>
    <w:lvl w:ilvl="0" w:tplc="32009DB2">
      <w:start w:val="1"/>
      <w:numFmt w:val="bullet"/>
      <w:lvlText w:val=""/>
      <w:lvlJc w:val="left"/>
      <w:pPr>
        <w:ind w:left="1320" w:hanging="360"/>
      </w:pPr>
      <w:rPr>
        <w:rFonts w:ascii="Symbol" w:hAnsi="Symbol"/>
      </w:rPr>
    </w:lvl>
    <w:lvl w:ilvl="1" w:tplc="5FA6DD36">
      <w:start w:val="1"/>
      <w:numFmt w:val="bullet"/>
      <w:lvlText w:val=""/>
      <w:lvlJc w:val="left"/>
      <w:pPr>
        <w:ind w:left="1320" w:hanging="360"/>
      </w:pPr>
      <w:rPr>
        <w:rFonts w:ascii="Symbol" w:hAnsi="Symbol"/>
      </w:rPr>
    </w:lvl>
    <w:lvl w:ilvl="2" w:tplc="EEDCF7C4">
      <w:start w:val="1"/>
      <w:numFmt w:val="bullet"/>
      <w:lvlText w:val=""/>
      <w:lvlJc w:val="left"/>
      <w:pPr>
        <w:ind w:left="1320" w:hanging="360"/>
      </w:pPr>
      <w:rPr>
        <w:rFonts w:ascii="Symbol" w:hAnsi="Symbol"/>
      </w:rPr>
    </w:lvl>
    <w:lvl w:ilvl="3" w:tplc="C73831B8">
      <w:start w:val="1"/>
      <w:numFmt w:val="bullet"/>
      <w:lvlText w:val=""/>
      <w:lvlJc w:val="left"/>
      <w:pPr>
        <w:ind w:left="1320" w:hanging="360"/>
      </w:pPr>
      <w:rPr>
        <w:rFonts w:ascii="Symbol" w:hAnsi="Symbol"/>
      </w:rPr>
    </w:lvl>
    <w:lvl w:ilvl="4" w:tplc="E4644FC2">
      <w:start w:val="1"/>
      <w:numFmt w:val="bullet"/>
      <w:lvlText w:val=""/>
      <w:lvlJc w:val="left"/>
      <w:pPr>
        <w:ind w:left="1320" w:hanging="360"/>
      </w:pPr>
      <w:rPr>
        <w:rFonts w:ascii="Symbol" w:hAnsi="Symbol"/>
      </w:rPr>
    </w:lvl>
    <w:lvl w:ilvl="5" w:tplc="3E442046">
      <w:start w:val="1"/>
      <w:numFmt w:val="bullet"/>
      <w:lvlText w:val=""/>
      <w:lvlJc w:val="left"/>
      <w:pPr>
        <w:ind w:left="1320" w:hanging="360"/>
      </w:pPr>
      <w:rPr>
        <w:rFonts w:ascii="Symbol" w:hAnsi="Symbol"/>
      </w:rPr>
    </w:lvl>
    <w:lvl w:ilvl="6" w:tplc="824033D2">
      <w:start w:val="1"/>
      <w:numFmt w:val="bullet"/>
      <w:lvlText w:val=""/>
      <w:lvlJc w:val="left"/>
      <w:pPr>
        <w:ind w:left="1320" w:hanging="360"/>
      </w:pPr>
      <w:rPr>
        <w:rFonts w:ascii="Symbol" w:hAnsi="Symbol"/>
      </w:rPr>
    </w:lvl>
    <w:lvl w:ilvl="7" w:tplc="8E6AF156">
      <w:start w:val="1"/>
      <w:numFmt w:val="bullet"/>
      <w:lvlText w:val=""/>
      <w:lvlJc w:val="left"/>
      <w:pPr>
        <w:ind w:left="1320" w:hanging="360"/>
      </w:pPr>
      <w:rPr>
        <w:rFonts w:ascii="Symbol" w:hAnsi="Symbol"/>
      </w:rPr>
    </w:lvl>
    <w:lvl w:ilvl="8" w:tplc="FE30102C">
      <w:start w:val="1"/>
      <w:numFmt w:val="bullet"/>
      <w:lvlText w:val=""/>
      <w:lvlJc w:val="left"/>
      <w:pPr>
        <w:ind w:left="1320" w:hanging="360"/>
      </w:pPr>
      <w:rPr>
        <w:rFonts w:ascii="Symbol" w:hAnsi="Symbol"/>
      </w:rPr>
    </w:lvl>
  </w:abstractNum>
  <w:abstractNum w:abstractNumId="9"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F630A"/>
    <w:multiLevelType w:val="hybridMultilevel"/>
    <w:tmpl w:val="8F508586"/>
    <w:lvl w:ilvl="0" w:tplc="E9ACF6DE">
      <w:start w:val="1"/>
      <w:numFmt w:val="bullet"/>
      <w:lvlText w:val=""/>
      <w:lvlJc w:val="left"/>
      <w:pPr>
        <w:ind w:left="720" w:hanging="360"/>
      </w:pPr>
      <w:rPr>
        <w:rFonts w:ascii="Symbol" w:hAnsi="Symbol"/>
      </w:rPr>
    </w:lvl>
    <w:lvl w:ilvl="1" w:tplc="6A34C634">
      <w:start w:val="1"/>
      <w:numFmt w:val="bullet"/>
      <w:lvlText w:val=""/>
      <w:lvlJc w:val="left"/>
      <w:pPr>
        <w:ind w:left="720" w:hanging="360"/>
      </w:pPr>
      <w:rPr>
        <w:rFonts w:ascii="Symbol" w:hAnsi="Symbol"/>
      </w:rPr>
    </w:lvl>
    <w:lvl w:ilvl="2" w:tplc="63A060DE">
      <w:start w:val="1"/>
      <w:numFmt w:val="bullet"/>
      <w:lvlText w:val=""/>
      <w:lvlJc w:val="left"/>
      <w:pPr>
        <w:ind w:left="720" w:hanging="360"/>
      </w:pPr>
      <w:rPr>
        <w:rFonts w:ascii="Symbol" w:hAnsi="Symbol"/>
      </w:rPr>
    </w:lvl>
    <w:lvl w:ilvl="3" w:tplc="ABD6E50E">
      <w:start w:val="1"/>
      <w:numFmt w:val="bullet"/>
      <w:lvlText w:val=""/>
      <w:lvlJc w:val="left"/>
      <w:pPr>
        <w:ind w:left="720" w:hanging="360"/>
      </w:pPr>
      <w:rPr>
        <w:rFonts w:ascii="Symbol" w:hAnsi="Symbol"/>
      </w:rPr>
    </w:lvl>
    <w:lvl w:ilvl="4" w:tplc="F692E7DA">
      <w:start w:val="1"/>
      <w:numFmt w:val="bullet"/>
      <w:lvlText w:val=""/>
      <w:lvlJc w:val="left"/>
      <w:pPr>
        <w:ind w:left="720" w:hanging="360"/>
      </w:pPr>
      <w:rPr>
        <w:rFonts w:ascii="Symbol" w:hAnsi="Symbol"/>
      </w:rPr>
    </w:lvl>
    <w:lvl w:ilvl="5" w:tplc="4AF28072">
      <w:start w:val="1"/>
      <w:numFmt w:val="bullet"/>
      <w:lvlText w:val=""/>
      <w:lvlJc w:val="left"/>
      <w:pPr>
        <w:ind w:left="720" w:hanging="360"/>
      </w:pPr>
      <w:rPr>
        <w:rFonts w:ascii="Symbol" w:hAnsi="Symbol"/>
      </w:rPr>
    </w:lvl>
    <w:lvl w:ilvl="6" w:tplc="FFF29914">
      <w:start w:val="1"/>
      <w:numFmt w:val="bullet"/>
      <w:lvlText w:val=""/>
      <w:lvlJc w:val="left"/>
      <w:pPr>
        <w:ind w:left="720" w:hanging="360"/>
      </w:pPr>
      <w:rPr>
        <w:rFonts w:ascii="Symbol" w:hAnsi="Symbol"/>
      </w:rPr>
    </w:lvl>
    <w:lvl w:ilvl="7" w:tplc="0728F490">
      <w:start w:val="1"/>
      <w:numFmt w:val="bullet"/>
      <w:lvlText w:val=""/>
      <w:lvlJc w:val="left"/>
      <w:pPr>
        <w:ind w:left="720" w:hanging="360"/>
      </w:pPr>
      <w:rPr>
        <w:rFonts w:ascii="Symbol" w:hAnsi="Symbol"/>
      </w:rPr>
    </w:lvl>
    <w:lvl w:ilvl="8" w:tplc="CAAA7526">
      <w:start w:val="1"/>
      <w:numFmt w:val="bullet"/>
      <w:lvlText w:val=""/>
      <w:lvlJc w:val="left"/>
      <w:pPr>
        <w:ind w:left="720" w:hanging="360"/>
      </w:pPr>
      <w:rPr>
        <w:rFonts w:ascii="Symbol" w:hAnsi="Symbol"/>
      </w:rPr>
    </w:lvl>
  </w:abstractNum>
  <w:abstractNum w:abstractNumId="13"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8159E"/>
    <w:multiLevelType w:val="hybridMultilevel"/>
    <w:tmpl w:val="10BC5B94"/>
    <w:lvl w:ilvl="0" w:tplc="9DB6DF90">
      <w:start w:val="1"/>
      <w:numFmt w:val="bullet"/>
      <w:lvlText w:val=""/>
      <w:lvlJc w:val="left"/>
      <w:pPr>
        <w:ind w:left="720" w:hanging="360"/>
      </w:pPr>
      <w:rPr>
        <w:rFonts w:ascii="Symbol" w:hAnsi="Symbol"/>
      </w:rPr>
    </w:lvl>
    <w:lvl w:ilvl="1" w:tplc="2196C556">
      <w:start w:val="1"/>
      <w:numFmt w:val="bullet"/>
      <w:lvlText w:val=""/>
      <w:lvlJc w:val="left"/>
      <w:pPr>
        <w:ind w:left="720" w:hanging="360"/>
      </w:pPr>
      <w:rPr>
        <w:rFonts w:ascii="Symbol" w:hAnsi="Symbol"/>
      </w:rPr>
    </w:lvl>
    <w:lvl w:ilvl="2" w:tplc="EA125478">
      <w:start w:val="1"/>
      <w:numFmt w:val="bullet"/>
      <w:lvlText w:val=""/>
      <w:lvlJc w:val="left"/>
      <w:pPr>
        <w:ind w:left="720" w:hanging="360"/>
      </w:pPr>
      <w:rPr>
        <w:rFonts w:ascii="Symbol" w:hAnsi="Symbol"/>
      </w:rPr>
    </w:lvl>
    <w:lvl w:ilvl="3" w:tplc="D5666B92">
      <w:start w:val="1"/>
      <w:numFmt w:val="bullet"/>
      <w:lvlText w:val=""/>
      <w:lvlJc w:val="left"/>
      <w:pPr>
        <w:ind w:left="720" w:hanging="360"/>
      </w:pPr>
      <w:rPr>
        <w:rFonts w:ascii="Symbol" w:hAnsi="Symbol"/>
      </w:rPr>
    </w:lvl>
    <w:lvl w:ilvl="4" w:tplc="4D6A4290">
      <w:start w:val="1"/>
      <w:numFmt w:val="bullet"/>
      <w:lvlText w:val=""/>
      <w:lvlJc w:val="left"/>
      <w:pPr>
        <w:ind w:left="720" w:hanging="360"/>
      </w:pPr>
      <w:rPr>
        <w:rFonts w:ascii="Symbol" w:hAnsi="Symbol"/>
      </w:rPr>
    </w:lvl>
    <w:lvl w:ilvl="5" w:tplc="0AD6EEFA">
      <w:start w:val="1"/>
      <w:numFmt w:val="bullet"/>
      <w:lvlText w:val=""/>
      <w:lvlJc w:val="left"/>
      <w:pPr>
        <w:ind w:left="720" w:hanging="360"/>
      </w:pPr>
      <w:rPr>
        <w:rFonts w:ascii="Symbol" w:hAnsi="Symbol"/>
      </w:rPr>
    </w:lvl>
    <w:lvl w:ilvl="6" w:tplc="9FA02934">
      <w:start w:val="1"/>
      <w:numFmt w:val="bullet"/>
      <w:lvlText w:val=""/>
      <w:lvlJc w:val="left"/>
      <w:pPr>
        <w:ind w:left="720" w:hanging="360"/>
      </w:pPr>
      <w:rPr>
        <w:rFonts w:ascii="Symbol" w:hAnsi="Symbol"/>
      </w:rPr>
    </w:lvl>
    <w:lvl w:ilvl="7" w:tplc="377016DE">
      <w:start w:val="1"/>
      <w:numFmt w:val="bullet"/>
      <w:lvlText w:val=""/>
      <w:lvlJc w:val="left"/>
      <w:pPr>
        <w:ind w:left="720" w:hanging="360"/>
      </w:pPr>
      <w:rPr>
        <w:rFonts w:ascii="Symbol" w:hAnsi="Symbol"/>
      </w:rPr>
    </w:lvl>
    <w:lvl w:ilvl="8" w:tplc="A57025B8">
      <w:start w:val="1"/>
      <w:numFmt w:val="bullet"/>
      <w:lvlText w:val=""/>
      <w:lvlJc w:val="left"/>
      <w:pPr>
        <w:ind w:left="720" w:hanging="360"/>
      </w:pPr>
      <w:rPr>
        <w:rFonts w:ascii="Symbol" w:hAnsi="Symbol"/>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D27F1"/>
    <w:multiLevelType w:val="hybridMultilevel"/>
    <w:tmpl w:val="045EE83A"/>
    <w:lvl w:ilvl="0" w:tplc="871A53F2">
      <w:start w:val="1"/>
      <w:numFmt w:val="bullet"/>
      <w:lvlText w:val=""/>
      <w:lvlJc w:val="left"/>
      <w:pPr>
        <w:ind w:left="720" w:hanging="360"/>
      </w:pPr>
      <w:rPr>
        <w:rFonts w:ascii="Symbol" w:hAnsi="Symbol"/>
      </w:rPr>
    </w:lvl>
    <w:lvl w:ilvl="1" w:tplc="CF5C83F4">
      <w:start w:val="1"/>
      <w:numFmt w:val="bullet"/>
      <w:lvlText w:val=""/>
      <w:lvlJc w:val="left"/>
      <w:pPr>
        <w:ind w:left="720" w:hanging="360"/>
      </w:pPr>
      <w:rPr>
        <w:rFonts w:ascii="Symbol" w:hAnsi="Symbol"/>
      </w:rPr>
    </w:lvl>
    <w:lvl w:ilvl="2" w:tplc="AE6E217C">
      <w:start w:val="1"/>
      <w:numFmt w:val="bullet"/>
      <w:lvlText w:val=""/>
      <w:lvlJc w:val="left"/>
      <w:pPr>
        <w:ind w:left="720" w:hanging="360"/>
      </w:pPr>
      <w:rPr>
        <w:rFonts w:ascii="Symbol" w:hAnsi="Symbol"/>
      </w:rPr>
    </w:lvl>
    <w:lvl w:ilvl="3" w:tplc="0A9EC306">
      <w:start w:val="1"/>
      <w:numFmt w:val="bullet"/>
      <w:lvlText w:val=""/>
      <w:lvlJc w:val="left"/>
      <w:pPr>
        <w:ind w:left="720" w:hanging="360"/>
      </w:pPr>
      <w:rPr>
        <w:rFonts w:ascii="Symbol" w:hAnsi="Symbol"/>
      </w:rPr>
    </w:lvl>
    <w:lvl w:ilvl="4" w:tplc="3364DC86">
      <w:start w:val="1"/>
      <w:numFmt w:val="bullet"/>
      <w:lvlText w:val=""/>
      <w:lvlJc w:val="left"/>
      <w:pPr>
        <w:ind w:left="720" w:hanging="360"/>
      </w:pPr>
      <w:rPr>
        <w:rFonts w:ascii="Symbol" w:hAnsi="Symbol"/>
      </w:rPr>
    </w:lvl>
    <w:lvl w:ilvl="5" w:tplc="A48AD60A">
      <w:start w:val="1"/>
      <w:numFmt w:val="bullet"/>
      <w:lvlText w:val=""/>
      <w:lvlJc w:val="left"/>
      <w:pPr>
        <w:ind w:left="720" w:hanging="360"/>
      </w:pPr>
      <w:rPr>
        <w:rFonts w:ascii="Symbol" w:hAnsi="Symbol"/>
      </w:rPr>
    </w:lvl>
    <w:lvl w:ilvl="6" w:tplc="B66E236E">
      <w:start w:val="1"/>
      <w:numFmt w:val="bullet"/>
      <w:lvlText w:val=""/>
      <w:lvlJc w:val="left"/>
      <w:pPr>
        <w:ind w:left="720" w:hanging="360"/>
      </w:pPr>
      <w:rPr>
        <w:rFonts w:ascii="Symbol" w:hAnsi="Symbol"/>
      </w:rPr>
    </w:lvl>
    <w:lvl w:ilvl="7" w:tplc="92902784">
      <w:start w:val="1"/>
      <w:numFmt w:val="bullet"/>
      <w:lvlText w:val=""/>
      <w:lvlJc w:val="left"/>
      <w:pPr>
        <w:ind w:left="720" w:hanging="360"/>
      </w:pPr>
      <w:rPr>
        <w:rFonts w:ascii="Symbol" w:hAnsi="Symbol"/>
      </w:rPr>
    </w:lvl>
    <w:lvl w:ilvl="8" w:tplc="464E913E">
      <w:start w:val="1"/>
      <w:numFmt w:val="bullet"/>
      <w:lvlText w:val=""/>
      <w:lvlJc w:val="left"/>
      <w:pPr>
        <w:ind w:left="720" w:hanging="360"/>
      </w:pPr>
      <w:rPr>
        <w:rFonts w:ascii="Symbol" w:hAnsi="Symbol"/>
      </w:rPr>
    </w:lvl>
  </w:abstractNum>
  <w:abstractNum w:abstractNumId="19"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9E2E72"/>
    <w:multiLevelType w:val="hybridMultilevel"/>
    <w:tmpl w:val="2580E79C"/>
    <w:lvl w:ilvl="0" w:tplc="A1A836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D5AF7"/>
    <w:multiLevelType w:val="hybridMultilevel"/>
    <w:tmpl w:val="A210C598"/>
    <w:lvl w:ilvl="0" w:tplc="1200D15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84999"/>
    <w:multiLevelType w:val="hybridMultilevel"/>
    <w:tmpl w:val="541287C0"/>
    <w:lvl w:ilvl="0" w:tplc="56B605FC">
      <w:start w:val="1"/>
      <w:numFmt w:val="bullet"/>
      <w:lvlText w:val=""/>
      <w:lvlJc w:val="left"/>
      <w:pPr>
        <w:ind w:left="720" w:hanging="360"/>
      </w:pPr>
      <w:rPr>
        <w:rFonts w:ascii="Symbol" w:hAnsi="Symbol"/>
      </w:rPr>
    </w:lvl>
    <w:lvl w:ilvl="1" w:tplc="E0746EBE">
      <w:start w:val="1"/>
      <w:numFmt w:val="bullet"/>
      <w:lvlText w:val=""/>
      <w:lvlJc w:val="left"/>
      <w:pPr>
        <w:ind w:left="720" w:hanging="360"/>
      </w:pPr>
      <w:rPr>
        <w:rFonts w:ascii="Symbol" w:hAnsi="Symbol"/>
      </w:rPr>
    </w:lvl>
    <w:lvl w:ilvl="2" w:tplc="ED8EE75C">
      <w:start w:val="1"/>
      <w:numFmt w:val="bullet"/>
      <w:lvlText w:val=""/>
      <w:lvlJc w:val="left"/>
      <w:pPr>
        <w:ind w:left="720" w:hanging="360"/>
      </w:pPr>
      <w:rPr>
        <w:rFonts w:ascii="Symbol" w:hAnsi="Symbol"/>
      </w:rPr>
    </w:lvl>
    <w:lvl w:ilvl="3" w:tplc="64EA0340">
      <w:start w:val="1"/>
      <w:numFmt w:val="bullet"/>
      <w:lvlText w:val=""/>
      <w:lvlJc w:val="left"/>
      <w:pPr>
        <w:ind w:left="720" w:hanging="360"/>
      </w:pPr>
      <w:rPr>
        <w:rFonts w:ascii="Symbol" w:hAnsi="Symbol"/>
      </w:rPr>
    </w:lvl>
    <w:lvl w:ilvl="4" w:tplc="23DCF1CC">
      <w:start w:val="1"/>
      <w:numFmt w:val="bullet"/>
      <w:lvlText w:val=""/>
      <w:lvlJc w:val="left"/>
      <w:pPr>
        <w:ind w:left="720" w:hanging="360"/>
      </w:pPr>
      <w:rPr>
        <w:rFonts w:ascii="Symbol" w:hAnsi="Symbol"/>
      </w:rPr>
    </w:lvl>
    <w:lvl w:ilvl="5" w:tplc="E1F06FC0">
      <w:start w:val="1"/>
      <w:numFmt w:val="bullet"/>
      <w:lvlText w:val=""/>
      <w:lvlJc w:val="left"/>
      <w:pPr>
        <w:ind w:left="720" w:hanging="360"/>
      </w:pPr>
      <w:rPr>
        <w:rFonts w:ascii="Symbol" w:hAnsi="Symbol"/>
      </w:rPr>
    </w:lvl>
    <w:lvl w:ilvl="6" w:tplc="70F4D056">
      <w:start w:val="1"/>
      <w:numFmt w:val="bullet"/>
      <w:lvlText w:val=""/>
      <w:lvlJc w:val="left"/>
      <w:pPr>
        <w:ind w:left="720" w:hanging="360"/>
      </w:pPr>
      <w:rPr>
        <w:rFonts w:ascii="Symbol" w:hAnsi="Symbol"/>
      </w:rPr>
    </w:lvl>
    <w:lvl w:ilvl="7" w:tplc="26389F40">
      <w:start w:val="1"/>
      <w:numFmt w:val="bullet"/>
      <w:lvlText w:val=""/>
      <w:lvlJc w:val="left"/>
      <w:pPr>
        <w:ind w:left="720" w:hanging="360"/>
      </w:pPr>
      <w:rPr>
        <w:rFonts w:ascii="Symbol" w:hAnsi="Symbol"/>
      </w:rPr>
    </w:lvl>
    <w:lvl w:ilvl="8" w:tplc="CF50E9AC">
      <w:start w:val="1"/>
      <w:numFmt w:val="bullet"/>
      <w:lvlText w:val=""/>
      <w:lvlJc w:val="left"/>
      <w:pPr>
        <w:ind w:left="720" w:hanging="360"/>
      </w:pPr>
      <w:rPr>
        <w:rFonts w:ascii="Symbol" w:hAnsi="Symbol"/>
      </w:rPr>
    </w:lvl>
  </w:abstractNum>
  <w:abstractNum w:abstractNumId="29" w15:restartNumberingAfterBreak="0">
    <w:nsid w:val="6DD1453F"/>
    <w:multiLevelType w:val="hybridMultilevel"/>
    <w:tmpl w:val="83361602"/>
    <w:lvl w:ilvl="0" w:tplc="D422CA14">
      <w:start w:val="1"/>
      <w:numFmt w:val="bullet"/>
      <w:lvlText w:val=""/>
      <w:lvlJc w:val="left"/>
      <w:pPr>
        <w:ind w:left="720" w:hanging="360"/>
      </w:pPr>
      <w:rPr>
        <w:rFonts w:ascii="Symbol" w:hAnsi="Symbol"/>
      </w:rPr>
    </w:lvl>
    <w:lvl w:ilvl="1" w:tplc="DB283870">
      <w:start w:val="1"/>
      <w:numFmt w:val="bullet"/>
      <w:lvlText w:val=""/>
      <w:lvlJc w:val="left"/>
      <w:pPr>
        <w:ind w:left="720" w:hanging="360"/>
      </w:pPr>
      <w:rPr>
        <w:rFonts w:ascii="Symbol" w:hAnsi="Symbol"/>
      </w:rPr>
    </w:lvl>
    <w:lvl w:ilvl="2" w:tplc="7EFABDFA">
      <w:start w:val="1"/>
      <w:numFmt w:val="bullet"/>
      <w:lvlText w:val=""/>
      <w:lvlJc w:val="left"/>
      <w:pPr>
        <w:ind w:left="720" w:hanging="360"/>
      </w:pPr>
      <w:rPr>
        <w:rFonts w:ascii="Symbol" w:hAnsi="Symbol"/>
      </w:rPr>
    </w:lvl>
    <w:lvl w:ilvl="3" w:tplc="9B4EAB92">
      <w:start w:val="1"/>
      <w:numFmt w:val="bullet"/>
      <w:lvlText w:val=""/>
      <w:lvlJc w:val="left"/>
      <w:pPr>
        <w:ind w:left="720" w:hanging="360"/>
      </w:pPr>
      <w:rPr>
        <w:rFonts w:ascii="Symbol" w:hAnsi="Symbol"/>
      </w:rPr>
    </w:lvl>
    <w:lvl w:ilvl="4" w:tplc="B406C3DA">
      <w:start w:val="1"/>
      <w:numFmt w:val="bullet"/>
      <w:lvlText w:val=""/>
      <w:lvlJc w:val="left"/>
      <w:pPr>
        <w:ind w:left="720" w:hanging="360"/>
      </w:pPr>
      <w:rPr>
        <w:rFonts w:ascii="Symbol" w:hAnsi="Symbol"/>
      </w:rPr>
    </w:lvl>
    <w:lvl w:ilvl="5" w:tplc="0F0201A0">
      <w:start w:val="1"/>
      <w:numFmt w:val="bullet"/>
      <w:lvlText w:val=""/>
      <w:lvlJc w:val="left"/>
      <w:pPr>
        <w:ind w:left="720" w:hanging="360"/>
      </w:pPr>
      <w:rPr>
        <w:rFonts w:ascii="Symbol" w:hAnsi="Symbol"/>
      </w:rPr>
    </w:lvl>
    <w:lvl w:ilvl="6" w:tplc="A25AED6C">
      <w:start w:val="1"/>
      <w:numFmt w:val="bullet"/>
      <w:lvlText w:val=""/>
      <w:lvlJc w:val="left"/>
      <w:pPr>
        <w:ind w:left="720" w:hanging="360"/>
      </w:pPr>
      <w:rPr>
        <w:rFonts w:ascii="Symbol" w:hAnsi="Symbol"/>
      </w:rPr>
    </w:lvl>
    <w:lvl w:ilvl="7" w:tplc="0C184FEC">
      <w:start w:val="1"/>
      <w:numFmt w:val="bullet"/>
      <w:lvlText w:val=""/>
      <w:lvlJc w:val="left"/>
      <w:pPr>
        <w:ind w:left="720" w:hanging="360"/>
      </w:pPr>
      <w:rPr>
        <w:rFonts w:ascii="Symbol" w:hAnsi="Symbol"/>
      </w:rPr>
    </w:lvl>
    <w:lvl w:ilvl="8" w:tplc="7DFA4588">
      <w:start w:val="1"/>
      <w:numFmt w:val="bullet"/>
      <w:lvlText w:val=""/>
      <w:lvlJc w:val="left"/>
      <w:pPr>
        <w:ind w:left="720" w:hanging="360"/>
      </w:pPr>
      <w:rPr>
        <w:rFonts w:ascii="Symbol" w:hAnsi="Symbol"/>
      </w:rPr>
    </w:lvl>
  </w:abstractNum>
  <w:abstractNum w:abstractNumId="30" w15:restartNumberingAfterBreak="0">
    <w:nsid w:val="74F956E1"/>
    <w:multiLevelType w:val="hybridMultilevel"/>
    <w:tmpl w:val="63DC5B9E"/>
    <w:lvl w:ilvl="0" w:tplc="2F24CA70">
      <w:start w:val="1"/>
      <w:numFmt w:val="decimal"/>
      <w:lvlText w:val="%1."/>
      <w:lvlJc w:val="left"/>
      <w:pPr>
        <w:ind w:left="720" w:hanging="360"/>
      </w:pPr>
    </w:lvl>
    <w:lvl w:ilvl="1" w:tplc="C4A0DC6C">
      <w:start w:val="1"/>
      <w:numFmt w:val="decimal"/>
      <w:lvlText w:val="%2."/>
      <w:lvlJc w:val="left"/>
      <w:pPr>
        <w:ind w:left="720" w:hanging="360"/>
      </w:pPr>
    </w:lvl>
    <w:lvl w:ilvl="2" w:tplc="D10C49C0">
      <w:start w:val="1"/>
      <w:numFmt w:val="decimal"/>
      <w:lvlText w:val="%3."/>
      <w:lvlJc w:val="left"/>
      <w:pPr>
        <w:ind w:left="720" w:hanging="360"/>
      </w:pPr>
    </w:lvl>
    <w:lvl w:ilvl="3" w:tplc="B95A5BF0">
      <w:start w:val="1"/>
      <w:numFmt w:val="decimal"/>
      <w:lvlText w:val="%4."/>
      <w:lvlJc w:val="left"/>
      <w:pPr>
        <w:ind w:left="720" w:hanging="360"/>
      </w:pPr>
    </w:lvl>
    <w:lvl w:ilvl="4" w:tplc="741009B2">
      <w:start w:val="1"/>
      <w:numFmt w:val="decimal"/>
      <w:lvlText w:val="%5."/>
      <w:lvlJc w:val="left"/>
      <w:pPr>
        <w:ind w:left="720" w:hanging="360"/>
      </w:pPr>
    </w:lvl>
    <w:lvl w:ilvl="5" w:tplc="70747C3E">
      <w:start w:val="1"/>
      <w:numFmt w:val="decimal"/>
      <w:lvlText w:val="%6."/>
      <w:lvlJc w:val="left"/>
      <w:pPr>
        <w:ind w:left="720" w:hanging="360"/>
      </w:pPr>
    </w:lvl>
    <w:lvl w:ilvl="6" w:tplc="F89AE526">
      <w:start w:val="1"/>
      <w:numFmt w:val="decimal"/>
      <w:lvlText w:val="%7."/>
      <w:lvlJc w:val="left"/>
      <w:pPr>
        <w:ind w:left="720" w:hanging="360"/>
      </w:pPr>
    </w:lvl>
    <w:lvl w:ilvl="7" w:tplc="6A04B9F8">
      <w:start w:val="1"/>
      <w:numFmt w:val="decimal"/>
      <w:lvlText w:val="%8."/>
      <w:lvlJc w:val="left"/>
      <w:pPr>
        <w:ind w:left="720" w:hanging="360"/>
      </w:pPr>
    </w:lvl>
    <w:lvl w:ilvl="8" w:tplc="E070D14E">
      <w:start w:val="1"/>
      <w:numFmt w:val="decimal"/>
      <w:lvlText w:val="%9."/>
      <w:lvlJc w:val="left"/>
      <w:pPr>
        <w:ind w:left="720" w:hanging="360"/>
      </w:pPr>
    </w:lvl>
  </w:abstractNum>
  <w:abstractNum w:abstractNumId="31"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D539E"/>
    <w:multiLevelType w:val="hybridMultilevel"/>
    <w:tmpl w:val="3E047772"/>
    <w:lvl w:ilvl="0" w:tplc="C84A5FA8">
      <w:start w:val="1"/>
      <w:numFmt w:val="decimal"/>
      <w:lvlText w:val="%1."/>
      <w:lvlJc w:val="left"/>
      <w:pPr>
        <w:ind w:left="720" w:hanging="360"/>
      </w:pPr>
    </w:lvl>
    <w:lvl w:ilvl="1" w:tplc="242AD6BE">
      <w:start w:val="1"/>
      <w:numFmt w:val="decimal"/>
      <w:lvlText w:val="%2."/>
      <w:lvlJc w:val="left"/>
      <w:pPr>
        <w:ind w:left="720" w:hanging="360"/>
      </w:pPr>
    </w:lvl>
    <w:lvl w:ilvl="2" w:tplc="CC2EBCA6">
      <w:start w:val="1"/>
      <w:numFmt w:val="decimal"/>
      <w:lvlText w:val="%3."/>
      <w:lvlJc w:val="left"/>
      <w:pPr>
        <w:ind w:left="720" w:hanging="360"/>
      </w:pPr>
    </w:lvl>
    <w:lvl w:ilvl="3" w:tplc="E250BD24">
      <w:start w:val="1"/>
      <w:numFmt w:val="decimal"/>
      <w:lvlText w:val="%4."/>
      <w:lvlJc w:val="left"/>
      <w:pPr>
        <w:ind w:left="720" w:hanging="360"/>
      </w:pPr>
    </w:lvl>
    <w:lvl w:ilvl="4" w:tplc="B5389EE8">
      <w:start w:val="1"/>
      <w:numFmt w:val="decimal"/>
      <w:lvlText w:val="%5."/>
      <w:lvlJc w:val="left"/>
      <w:pPr>
        <w:ind w:left="720" w:hanging="360"/>
      </w:pPr>
    </w:lvl>
    <w:lvl w:ilvl="5" w:tplc="93B4EBEE">
      <w:start w:val="1"/>
      <w:numFmt w:val="decimal"/>
      <w:lvlText w:val="%6."/>
      <w:lvlJc w:val="left"/>
      <w:pPr>
        <w:ind w:left="720" w:hanging="360"/>
      </w:pPr>
    </w:lvl>
    <w:lvl w:ilvl="6" w:tplc="A93E3BFC">
      <w:start w:val="1"/>
      <w:numFmt w:val="decimal"/>
      <w:lvlText w:val="%7."/>
      <w:lvlJc w:val="left"/>
      <w:pPr>
        <w:ind w:left="720" w:hanging="360"/>
      </w:pPr>
    </w:lvl>
    <w:lvl w:ilvl="7" w:tplc="991C6668">
      <w:start w:val="1"/>
      <w:numFmt w:val="decimal"/>
      <w:lvlText w:val="%8."/>
      <w:lvlJc w:val="left"/>
      <w:pPr>
        <w:ind w:left="720" w:hanging="360"/>
      </w:pPr>
    </w:lvl>
    <w:lvl w:ilvl="8" w:tplc="0212DB64">
      <w:start w:val="1"/>
      <w:numFmt w:val="decimal"/>
      <w:lvlText w:val="%9."/>
      <w:lvlJc w:val="left"/>
      <w:pPr>
        <w:ind w:left="720" w:hanging="360"/>
      </w:pPr>
    </w:lvl>
  </w:abstractNum>
  <w:num w:numId="1" w16cid:durableId="787820912">
    <w:abstractNumId w:val="10"/>
  </w:num>
  <w:num w:numId="2" w16cid:durableId="1586065221">
    <w:abstractNumId w:val="21"/>
  </w:num>
  <w:num w:numId="3" w16cid:durableId="1813019816">
    <w:abstractNumId w:val="0"/>
  </w:num>
  <w:num w:numId="4" w16cid:durableId="974414233">
    <w:abstractNumId w:val="23"/>
  </w:num>
  <w:num w:numId="5" w16cid:durableId="1128007351">
    <w:abstractNumId w:val="2"/>
  </w:num>
  <w:num w:numId="6" w16cid:durableId="1995378354">
    <w:abstractNumId w:val="15"/>
  </w:num>
  <w:num w:numId="7" w16cid:durableId="1358122451">
    <w:abstractNumId w:val="17"/>
  </w:num>
  <w:num w:numId="8" w16cid:durableId="1694112172">
    <w:abstractNumId w:val="9"/>
  </w:num>
  <w:num w:numId="9" w16cid:durableId="1354259586">
    <w:abstractNumId w:val="25"/>
  </w:num>
  <w:num w:numId="10" w16cid:durableId="871530244">
    <w:abstractNumId w:val="6"/>
  </w:num>
  <w:num w:numId="11" w16cid:durableId="1990595404">
    <w:abstractNumId w:val="13"/>
  </w:num>
  <w:num w:numId="12" w16cid:durableId="63646288">
    <w:abstractNumId w:val="11"/>
  </w:num>
  <w:num w:numId="13" w16cid:durableId="427510575">
    <w:abstractNumId w:val="24"/>
  </w:num>
  <w:num w:numId="14" w16cid:durableId="997805861">
    <w:abstractNumId w:val="2"/>
    <w:lvlOverride w:ilvl="0">
      <w:startOverride w:val="12"/>
    </w:lvlOverride>
  </w:num>
  <w:num w:numId="15" w16cid:durableId="729235068">
    <w:abstractNumId w:val="16"/>
  </w:num>
  <w:num w:numId="16" w16cid:durableId="1971474035">
    <w:abstractNumId w:val="19"/>
  </w:num>
  <w:num w:numId="17" w16cid:durableId="236864607">
    <w:abstractNumId w:val="20"/>
  </w:num>
  <w:num w:numId="18" w16cid:durableId="42602224">
    <w:abstractNumId w:val="27"/>
  </w:num>
  <w:num w:numId="19" w16cid:durableId="936139805">
    <w:abstractNumId w:val="31"/>
  </w:num>
  <w:num w:numId="20" w16cid:durableId="1543208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597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222477">
    <w:abstractNumId w:val="26"/>
  </w:num>
  <w:num w:numId="23" w16cid:durableId="702053708">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0936585">
    <w:abstractNumId w:val="7"/>
  </w:num>
  <w:num w:numId="25" w16cid:durableId="1013874494">
    <w:abstractNumId w:val="3"/>
  </w:num>
  <w:num w:numId="26" w16cid:durableId="2116168155">
    <w:abstractNumId w:val="29"/>
  </w:num>
  <w:num w:numId="27" w16cid:durableId="1154101533">
    <w:abstractNumId w:val="22"/>
  </w:num>
  <w:num w:numId="28" w16cid:durableId="748891758">
    <w:abstractNumId w:val="1"/>
  </w:num>
  <w:num w:numId="29" w16cid:durableId="1733850434">
    <w:abstractNumId w:val="12"/>
  </w:num>
  <w:num w:numId="30" w16cid:durableId="1022121745">
    <w:abstractNumId w:val="18"/>
  </w:num>
  <w:num w:numId="31" w16cid:durableId="82072907">
    <w:abstractNumId w:val="28"/>
  </w:num>
  <w:num w:numId="32" w16cid:durableId="1961720467">
    <w:abstractNumId w:val="4"/>
  </w:num>
  <w:num w:numId="33" w16cid:durableId="1842816793">
    <w:abstractNumId w:val="8"/>
  </w:num>
  <w:num w:numId="34" w16cid:durableId="778139485">
    <w:abstractNumId w:val="2"/>
  </w:num>
  <w:num w:numId="35" w16cid:durableId="1033002469">
    <w:abstractNumId w:val="2"/>
  </w:num>
  <w:num w:numId="36" w16cid:durableId="1359771614">
    <w:abstractNumId w:val="5"/>
  </w:num>
  <w:num w:numId="37" w16cid:durableId="860244041">
    <w:abstractNumId w:val="14"/>
  </w:num>
  <w:num w:numId="38" w16cid:durableId="334647908">
    <w:abstractNumId w:val="30"/>
  </w:num>
  <w:num w:numId="39" w16cid:durableId="2417944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B4"/>
    <w:rsid w:val="00000603"/>
    <w:rsid w:val="000021F7"/>
    <w:rsid w:val="00010497"/>
    <w:rsid w:val="00010CDC"/>
    <w:rsid w:val="000123B6"/>
    <w:rsid w:val="000129F3"/>
    <w:rsid w:val="000137BA"/>
    <w:rsid w:val="00014525"/>
    <w:rsid w:val="000151BA"/>
    <w:rsid w:val="000160A0"/>
    <w:rsid w:val="0001647B"/>
    <w:rsid w:val="0002216A"/>
    <w:rsid w:val="00022DD4"/>
    <w:rsid w:val="000237E3"/>
    <w:rsid w:val="0002397E"/>
    <w:rsid w:val="00024AED"/>
    <w:rsid w:val="0002625E"/>
    <w:rsid w:val="00026FD1"/>
    <w:rsid w:val="0002774E"/>
    <w:rsid w:val="00030126"/>
    <w:rsid w:val="00030AA7"/>
    <w:rsid w:val="00033498"/>
    <w:rsid w:val="0003668A"/>
    <w:rsid w:val="00036B29"/>
    <w:rsid w:val="00036E5A"/>
    <w:rsid w:val="00043CAA"/>
    <w:rsid w:val="000441D0"/>
    <w:rsid w:val="00044F10"/>
    <w:rsid w:val="00046992"/>
    <w:rsid w:val="00047278"/>
    <w:rsid w:val="000472E8"/>
    <w:rsid w:val="00050CF1"/>
    <w:rsid w:val="00052B59"/>
    <w:rsid w:val="00053A39"/>
    <w:rsid w:val="00056BEF"/>
    <w:rsid w:val="000575C4"/>
    <w:rsid w:val="00061C83"/>
    <w:rsid w:val="00062DF3"/>
    <w:rsid w:val="0006731F"/>
    <w:rsid w:val="0007039A"/>
    <w:rsid w:val="000704DC"/>
    <w:rsid w:val="00070D89"/>
    <w:rsid w:val="00072016"/>
    <w:rsid w:val="000721B3"/>
    <w:rsid w:val="00073FEC"/>
    <w:rsid w:val="00074256"/>
    <w:rsid w:val="000746CA"/>
    <w:rsid w:val="00075432"/>
    <w:rsid w:val="00081551"/>
    <w:rsid w:val="00082768"/>
    <w:rsid w:val="00083968"/>
    <w:rsid w:val="00083B89"/>
    <w:rsid w:val="00083FD8"/>
    <w:rsid w:val="00085FE8"/>
    <w:rsid w:val="00087DDF"/>
    <w:rsid w:val="00087E4C"/>
    <w:rsid w:val="0009039D"/>
    <w:rsid w:val="00090E37"/>
    <w:rsid w:val="000914F5"/>
    <w:rsid w:val="00091593"/>
    <w:rsid w:val="00091930"/>
    <w:rsid w:val="000921DB"/>
    <w:rsid w:val="000930E9"/>
    <w:rsid w:val="0009388E"/>
    <w:rsid w:val="00093DA9"/>
    <w:rsid w:val="00094CA9"/>
    <w:rsid w:val="00095CDF"/>
    <w:rsid w:val="000968ED"/>
    <w:rsid w:val="000A05EB"/>
    <w:rsid w:val="000A2775"/>
    <w:rsid w:val="000A2B80"/>
    <w:rsid w:val="000A2F59"/>
    <w:rsid w:val="000A59F5"/>
    <w:rsid w:val="000A7536"/>
    <w:rsid w:val="000B03EA"/>
    <w:rsid w:val="000B27F0"/>
    <w:rsid w:val="000B371B"/>
    <w:rsid w:val="000B3A88"/>
    <w:rsid w:val="000B46D3"/>
    <w:rsid w:val="000B52B7"/>
    <w:rsid w:val="000B58DD"/>
    <w:rsid w:val="000B617C"/>
    <w:rsid w:val="000C0196"/>
    <w:rsid w:val="000C05D1"/>
    <w:rsid w:val="000C1A14"/>
    <w:rsid w:val="000C4254"/>
    <w:rsid w:val="000C6AC1"/>
    <w:rsid w:val="000C6DBD"/>
    <w:rsid w:val="000D04C8"/>
    <w:rsid w:val="000D0E8A"/>
    <w:rsid w:val="000D1BE8"/>
    <w:rsid w:val="000D32BD"/>
    <w:rsid w:val="000D3B73"/>
    <w:rsid w:val="000D4B3D"/>
    <w:rsid w:val="000D563E"/>
    <w:rsid w:val="000D66F9"/>
    <w:rsid w:val="000E04AC"/>
    <w:rsid w:val="000E0800"/>
    <w:rsid w:val="000E29B5"/>
    <w:rsid w:val="000E4CA5"/>
    <w:rsid w:val="000E5C0D"/>
    <w:rsid w:val="000F169D"/>
    <w:rsid w:val="000F422B"/>
    <w:rsid w:val="000F579A"/>
    <w:rsid w:val="000F5B80"/>
    <w:rsid w:val="000F5E56"/>
    <w:rsid w:val="000F668E"/>
    <w:rsid w:val="000F6861"/>
    <w:rsid w:val="000F6F87"/>
    <w:rsid w:val="000F7DED"/>
    <w:rsid w:val="00101633"/>
    <w:rsid w:val="001024FE"/>
    <w:rsid w:val="001042BF"/>
    <w:rsid w:val="00106E5D"/>
    <w:rsid w:val="001075AF"/>
    <w:rsid w:val="00107A93"/>
    <w:rsid w:val="00107AA9"/>
    <w:rsid w:val="00110652"/>
    <w:rsid w:val="00111176"/>
    <w:rsid w:val="001118B1"/>
    <w:rsid w:val="00113E06"/>
    <w:rsid w:val="001141B2"/>
    <w:rsid w:val="00116224"/>
    <w:rsid w:val="001165E0"/>
    <w:rsid w:val="0012165F"/>
    <w:rsid w:val="0013161F"/>
    <w:rsid w:val="0013179D"/>
    <w:rsid w:val="001317D6"/>
    <w:rsid w:val="001327AE"/>
    <w:rsid w:val="00133609"/>
    <w:rsid w:val="00133C78"/>
    <w:rsid w:val="00133E07"/>
    <w:rsid w:val="001362EE"/>
    <w:rsid w:val="00136F34"/>
    <w:rsid w:val="001377AD"/>
    <w:rsid w:val="00140D4A"/>
    <w:rsid w:val="00141527"/>
    <w:rsid w:val="001415B5"/>
    <w:rsid w:val="0014184E"/>
    <w:rsid w:val="00142868"/>
    <w:rsid w:val="00143119"/>
    <w:rsid w:val="001432AC"/>
    <w:rsid w:val="00143652"/>
    <w:rsid w:val="00145404"/>
    <w:rsid w:val="00145BA2"/>
    <w:rsid w:val="00146004"/>
    <w:rsid w:val="0014618C"/>
    <w:rsid w:val="00146756"/>
    <w:rsid w:val="0014675B"/>
    <w:rsid w:val="001475F6"/>
    <w:rsid w:val="00152C87"/>
    <w:rsid w:val="0015401B"/>
    <w:rsid w:val="00154620"/>
    <w:rsid w:val="00155454"/>
    <w:rsid w:val="00156571"/>
    <w:rsid w:val="0015733A"/>
    <w:rsid w:val="00160BD7"/>
    <w:rsid w:val="00162FBF"/>
    <w:rsid w:val="00164914"/>
    <w:rsid w:val="00167D87"/>
    <w:rsid w:val="00170399"/>
    <w:rsid w:val="00170543"/>
    <w:rsid w:val="00171227"/>
    <w:rsid w:val="00173335"/>
    <w:rsid w:val="001741E4"/>
    <w:rsid w:val="0017495F"/>
    <w:rsid w:val="001768BF"/>
    <w:rsid w:val="00176E68"/>
    <w:rsid w:val="001776F4"/>
    <w:rsid w:val="00177A1E"/>
    <w:rsid w:val="0018114D"/>
    <w:rsid w:val="00181824"/>
    <w:rsid w:val="00181BB2"/>
    <w:rsid w:val="001832A6"/>
    <w:rsid w:val="00185784"/>
    <w:rsid w:val="00195B99"/>
    <w:rsid w:val="001963CB"/>
    <w:rsid w:val="00197DBA"/>
    <w:rsid w:val="001A12B6"/>
    <w:rsid w:val="001A1F57"/>
    <w:rsid w:val="001A26F7"/>
    <w:rsid w:val="001A29AD"/>
    <w:rsid w:val="001A2B9E"/>
    <w:rsid w:val="001A3470"/>
    <w:rsid w:val="001A403F"/>
    <w:rsid w:val="001A5E04"/>
    <w:rsid w:val="001B03B2"/>
    <w:rsid w:val="001B0825"/>
    <w:rsid w:val="001B1228"/>
    <w:rsid w:val="001B3090"/>
    <w:rsid w:val="001B3D54"/>
    <w:rsid w:val="001B508E"/>
    <w:rsid w:val="001B51B4"/>
    <w:rsid w:val="001B5751"/>
    <w:rsid w:val="001B6224"/>
    <w:rsid w:val="001C076B"/>
    <w:rsid w:val="001C0FEA"/>
    <w:rsid w:val="001C4C24"/>
    <w:rsid w:val="001C6808"/>
    <w:rsid w:val="001C7F4E"/>
    <w:rsid w:val="001D06E9"/>
    <w:rsid w:val="001D1BCA"/>
    <w:rsid w:val="001D1F7F"/>
    <w:rsid w:val="001D2886"/>
    <w:rsid w:val="001D4E8C"/>
    <w:rsid w:val="001D5A06"/>
    <w:rsid w:val="001D63A1"/>
    <w:rsid w:val="001D681F"/>
    <w:rsid w:val="001D6BCC"/>
    <w:rsid w:val="001D6E56"/>
    <w:rsid w:val="001E0234"/>
    <w:rsid w:val="001E02C9"/>
    <w:rsid w:val="001E0828"/>
    <w:rsid w:val="001E1FFA"/>
    <w:rsid w:val="001E225F"/>
    <w:rsid w:val="001E2F23"/>
    <w:rsid w:val="001E36C0"/>
    <w:rsid w:val="001E3F3B"/>
    <w:rsid w:val="001E567F"/>
    <w:rsid w:val="001F2E98"/>
    <w:rsid w:val="001F32A1"/>
    <w:rsid w:val="001F5954"/>
    <w:rsid w:val="001F5B7B"/>
    <w:rsid w:val="001F6722"/>
    <w:rsid w:val="00200753"/>
    <w:rsid w:val="00200A13"/>
    <w:rsid w:val="00202970"/>
    <w:rsid w:val="002034F4"/>
    <w:rsid w:val="00204F50"/>
    <w:rsid w:val="00206004"/>
    <w:rsid w:val="002121FA"/>
    <w:rsid w:val="002148BC"/>
    <w:rsid w:val="00215213"/>
    <w:rsid w:val="00216EFA"/>
    <w:rsid w:val="00220B99"/>
    <w:rsid w:val="002237A6"/>
    <w:rsid w:val="00224B25"/>
    <w:rsid w:val="0022600E"/>
    <w:rsid w:val="00227ED8"/>
    <w:rsid w:val="00231F01"/>
    <w:rsid w:val="0023246B"/>
    <w:rsid w:val="00233C29"/>
    <w:rsid w:val="00242AD0"/>
    <w:rsid w:val="002437EF"/>
    <w:rsid w:val="002452D0"/>
    <w:rsid w:val="0024530C"/>
    <w:rsid w:val="00245C7D"/>
    <w:rsid w:val="00246D2D"/>
    <w:rsid w:val="002511DA"/>
    <w:rsid w:val="00252709"/>
    <w:rsid w:val="00254287"/>
    <w:rsid w:val="00255293"/>
    <w:rsid w:val="002558EA"/>
    <w:rsid w:val="0025625C"/>
    <w:rsid w:val="00257CBC"/>
    <w:rsid w:val="00257F70"/>
    <w:rsid w:val="002618E6"/>
    <w:rsid w:val="002624B2"/>
    <w:rsid w:val="00263322"/>
    <w:rsid w:val="002634C4"/>
    <w:rsid w:val="00263D2A"/>
    <w:rsid w:val="00267594"/>
    <w:rsid w:val="0026790E"/>
    <w:rsid w:val="00270B6A"/>
    <w:rsid w:val="00271567"/>
    <w:rsid w:val="00271C73"/>
    <w:rsid w:val="00271F1B"/>
    <w:rsid w:val="0027271D"/>
    <w:rsid w:val="00273569"/>
    <w:rsid w:val="00273CE7"/>
    <w:rsid w:val="00274546"/>
    <w:rsid w:val="00280491"/>
    <w:rsid w:val="00281F16"/>
    <w:rsid w:val="002820EC"/>
    <w:rsid w:val="00283803"/>
    <w:rsid w:val="002839C8"/>
    <w:rsid w:val="00285955"/>
    <w:rsid w:val="002876DC"/>
    <w:rsid w:val="002906CC"/>
    <w:rsid w:val="0029082F"/>
    <w:rsid w:val="00290E47"/>
    <w:rsid w:val="00291793"/>
    <w:rsid w:val="002924B9"/>
    <w:rsid w:val="002928D3"/>
    <w:rsid w:val="00293245"/>
    <w:rsid w:val="002938F5"/>
    <w:rsid w:val="002960DD"/>
    <w:rsid w:val="00296CDB"/>
    <w:rsid w:val="00297419"/>
    <w:rsid w:val="00297588"/>
    <w:rsid w:val="002A08DE"/>
    <w:rsid w:val="002A1349"/>
    <w:rsid w:val="002A4B04"/>
    <w:rsid w:val="002B2503"/>
    <w:rsid w:val="002B36C4"/>
    <w:rsid w:val="002B409F"/>
    <w:rsid w:val="002B4667"/>
    <w:rsid w:val="002B5B49"/>
    <w:rsid w:val="002B609F"/>
    <w:rsid w:val="002B791F"/>
    <w:rsid w:val="002C03E8"/>
    <w:rsid w:val="002C26E6"/>
    <w:rsid w:val="002C4092"/>
    <w:rsid w:val="002C6196"/>
    <w:rsid w:val="002C7465"/>
    <w:rsid w:val="002D458C"/>
    <w:rsid w:val="002D4E9F"/>
    <w:rsid w:val="002D600D"/>
    <w:rsid w:val="002D6613"/>
    <w:rsid w:val="002D670F"/>
    <w:rsid w:val="002D6914"/>
    <w:rsid w:val="002E002E"/>
    <w:rsid w:val="002E07F8"/>
    <w:rsid w:val="002E15EC"/>
    <w:rsid w:val="002E2F4B"/>
    <w:rsid w:val="002E3CDA"/>
    <w:rsid w:val="002E40B5"/>
    <w:rsid w:val="002E427D"/>
    <w:rsid w:val="002E4389"/>
    <w:rsid w:val="002E4A45"/>
    <w:rsid w:val="002F0950"/>
    <w:rsid w:val="002F1FE6"/>
    <w:rsid w:val="002F4800"/>
    <w:rsid w:val="002F4E68"/>
    <w:rsid w:val="002F5488"/>
    <w:rsid w:val="002F5758"/>
    <w:rsid w:val="002F6B2F"/>
    <w:rsid w:val="002F7339"/>
    <w:rsid w:val="0030044C"/>
    <w:rsid w:val="00300698"/>
    <w:rsid w:val="00304869"/>
    <w:rsid w:val="00304A6D"/>
    <w:rsid w:val="003069FD"/>
    <w:rsid w:val="00307F38"/>
    <w:rsid w:val="00311476"/>
    <w:rsid w:val="00312F7F"/>
    <w:rsid w:val="00316225"/>
    <w:rsid w:val="00320511"/>
    <w:rsid w:val="00321DDF"/>
    <w:rsid w:val="003227EB"/>
    <w:rsid w:val="003228B7"/>
    <w:rsid w:val="00322A07"/>
    <w:rsid w:val="0032371C"/>
    <w:rsid w:val="0032424E"/>
    <w:rsid w:val="003258D8"/>
    <w:rsid w:val="003272A6"/>
    <w:rsid w:val="00327F3C"/>
    <w:rsid w:val="00335C02"/>
    <w:rsid w:val="0033612C"/>
    <w:rsid w:val="00336CAA"/>
    <w:rsid w:val="003503CB"/>
    <w:rsid w:val="003508A3"/>
    <w:rsid w:val="003517A7"/>
    <w:rsid w:val="003521F4"/>
    <w:rsid w:val="003529EA"/>
    <w:rsid w:val="00352D7B"/>
    <w:rsid w:val="00353862"/>
    <w:rsid w:val="003555DF"/>
    <w:rsid w:val="00355D1E"/>
    <w:rsid w:val="0035652D"/>
    <w:rsid w:val="00356D8D"/>
    <w:rsid w:val="0036310D"/>
    <w:rsid w:val="00366A2C"/>
    <w:rsid w:val="003673CF"/>
    <w:rsid w:val="00370644"/>
    <w:rsid w:val="00371494"/>
    <w:rsid w:val="00372EF5"/>
    <w:rsid w:val="00373B62"/>
    <w:rsid w:val="00377956"/>
    <w:rsid w:val="003842ED"/>
    <w:rsid w:val="003845C1"/>
    <w:rsid w:val="00387479"/>
    <w:rsid w:val="003879B0"/>
    <w:rsid w:val="003913FC"/>
    <w:rsid w:val="00391613"/>
    <w:rsid w:val="0039197B"/>
    <w:rsid w:val="00392648"/>
    <w:rsid w:val="00394AB7"/>
    <w:rsid w:val="003A026D"/>
    <w:rsid w:val="003A0A9B"/>
    <w:rsid w:val="003A13B3"/>
    <w:rsid w:val="003A2BB5"/>
    <w:rsid w:val="003A32D9"/>
    <w:rsid w:val="003A6F89"/>
    <w:rsid w:val="003B2EF6"/>
    <w:rsid w:val="003B31EE"/>
    <w:rsid w:val="003B38C1"/>
    <w:rsid w:val="003B4278"/>
    <w:rsid w:val="003B5D7C"/>
    <w:rsid w:val="003B628F"/>
    <w:rsid w:val="003B7151"/>
    <w:rsid w:val="003B7B3F"/>
    <w:rsid w:val="003C1EE2"/>
    <w:rsid w:val="003C222D"/>
    <w:rsid w:val="003C57E4"/>
    <w:rsid w:val="003C62D3"/>
    <w:rsid w:val="003C6753"/>
    <w:rsid w:val="003D1721"/>
    <w:rsid w:val="003D1805"/>
    <w:rsid w:val="003D66FE"/>
    <w:rsid w:val="003D7F63"/>
    <w:rsid w:val="003E1B0D"/>
    <w:rsid w:val="003E4A8E"/>
    <w:rsid w:val="003E6A17"/>
    <w:rsid w:val="003F03E3"/>
    <w:rsid w:val="003F09F8"/>
    <w:rsid w:val="003F5EF3"/>
    <w:rsid w:val="00400217"/>
    <w:rsid w:val="004023A8"/>
    <w:rsid w:val="00402C5A"/>
    <w:rsid w:val="004033B9"/>
    <w:rsid w:val="00404708"/>
    <w:rsid w:val="00410F10"/>
    <w:rsid w:val="00412D96"/>
    <w:rsid w:val="004135A5"/>
    <w:rsid w:val="00414871"/>
    <w:rsid w:val="004148D4"/>
    <w:rsid w:val="00414CBC"/>
    <w:rsid w:val="00417302"/>
    <w:rsid w:val="00421432"/>
    <w:rsid w:val="00421E03"/>
    <w:rsid w:val="00422923"/>
    <w:rsid w:val="00423E3E"/>
    <w:rsid w:val="0042462B"/>
    <w:rsid w:val="00425BD4"/>
    <w:rsid w:val="00427AF4"/>
    <w:rsid w:val="004313AB"/>
    <w:rsid w:val="00431F65"/>
    <w:rsid w:val="00432C43"/>
    <w:rsid w:val="00433D17"/>
    <w:rsid w:val="00433DB9"/>
    <w:rsid w:val="00433F9D"/>
    <w:rsid w:val="004400E2"/>
    <w:rsid w:val="00442119"/>
    <w:rsid w:val="00443567"/>
    <w:rsid w:val="00443AF1"/>
    <w:rsid w:val="0044512F"/>
    <w:rsid w:val="00450F94"/>
    <w:rsid w:val="00453595"/>
    <w:rsid w:val="00461632"/>
    <w:rsid w:val="004619C1"/>
    <w:rsid w:val="004645B4"/>
    <w:rsid w:val="004647DA"/>
    <w:rsid w:val="00465BA0"/>
    <w:rsid w:val="00465CA8"/>
    <w:rsid w:val="00466332"/>
    <w:rsid w:val="004670CB"/>
    <w:rsid w:val="0047146C"/>
    <w:rsid w:val="00471FED"/>
    <w:rsid w:val="00472C4B"/>
    <w:rsid w:val="00473BF4"/>
    <w:rsid w:val="00474062"/>
    <w:rsid w:val="00474DA5"/>
    <w:rsid w:val="0047786D"/>
    <w:rsid w:val="00477C30"/>
    <w:rsid w:val="00477D6B"/>
    <w:rsid w:val="00482537"/>
    <w:rsid w:val="0048371C"/>
    <w:rsid w:val="00483C13"/>
    <w:rsid w:val="004841D9"/>
    <w:rsid w:val="00484BAE"/>
    <w:rsid w:val="0048557C"/>
    <w:rsid w:val="00486881"/>
    <w:rsid w:val="0049013A"/>
    <w:rsid w:val="00493C7D"/>
    <w:rsid w:val="00494AE3"/>
    <w:rsid w:val="00496267"/>
    <w:rsid w:val="004972E5"/>
    <w:rsid w:val="004A0CF7"/>
    <w:rsid w:val="004A2F89"/>
    <w:rsid w:val="004A304B"/>
    <w:rsid w:val="004A624D"/>
    <w:rsid w:val="004A79F9"/>
    <w:rsid w:val="004B0641"/>
    <w:rsid w:val="004B3F13"/>
    <w:rsid w:val="004B405C"/>
    <w:rsid w:val="004B5AF5"/>
    <w:rsid w:val="004B5F02"/>
    <w:rsid w:val="004B7A05"/>
    <w:rsid w:val="004C2FF0"/>
    <w:rsid w:val="004C3202"/>
    <w:rsid w:val="004C5147"/>
    <w:rsid w:val="004D0BAF"/>
    <w:rsid w:val="004D2DF5"/>
    <w:rsid w:val="004D39C4"/>
    <w:rsid w:val="004D5092"/>
    <w:rsid w:val="004D5FFC"/>
    <w:rsid w:val="004E0EE7"/>
    <w:rsid w:val="004E29DD"/>
    <w:rsid w:val="004E586B"/>
    <w:rsid w:val="004E6B24"/>
    <w:rsid w:val="004E7C32"/>
    <w:rsid w:val="004F1023"/>
    <w:rsid w:val="004F2F05"/>
    <w:rsid w:val="004F53C3"/>
    <w:rsid w:val="004F568B"/>
    <w:rsid w:val="005019AD"/>
    <w:rsid w:val="00503BD8"/>
    <w:rsid w:val="00503F3F"/>
    <w:rsid w:val="00506895"/>
    <w:rsid w:val="00507BCD"/>
    <w:rsid w:val="00510644"/>
    <w:rsid w:val="00513823"/>
    <w:rsid w:val="005160D5"/>
    <w:rsid w:val="0051673A"/>
    <w:rsid w:val="00516D92"/>
    <w:rsid w:val="0051712C"/>
    <w:rsid w:val="00521A7E"/>
    <w:rsid w:val="00522AAC"/>
    <w:rsid w:val="005238BC"/>
    <w:rsid w:val="00525397"/>
    <w:rsid w:val="00526CBB"/>
    <w:rsid w:val="0053057A"/>
    <w:rsid w:val="00531973"/>
    <w:rsid w:val="00533D42"/>
    <w:rsid w:val="0053554C"/>
    <w:rsid w:val="00540D10"/>
    <w:rsid w:val="00540ED2"/>
    <w:rsid w:val="00542CBC"/>
    <w:rsid w:val="00543741"/>
    <w:rsid w:val="005445E6"/>
    <w:rsid w:val="00544F73"/>
    <w:rsid w:val="00552085"/>
    <w:rsid w:val="0055278F"/>
    <w:rsid w:val="00553A42"/>
    <w:rsid w:val="00553FE9"/>
    <w:rsid w:val="005568C0"/>
    <w:rsid w:val="005609EC"/>
    <w:rsid w:val="00560A29"/>
    <w:rsid w:val="00560E5F"/>
    <w:rsid w:val="005610B8"/>
    <w:rsid w:val="00563CF4"/>
    <w:rsid w:val="005654C4"/>
    <w:rsid w:val="00567088"/>
    <w:rsid w:val="00570C95"/>
    <w:rsid w:val="00571A9C"/>
    <w:rsid w:val="00572F52"/>
    <w:rsid w:val="00573A75"/>
    <w:rsid w:val="00576DB9"/>
    <w:rsid w:val="00581083"/>
    <w:rsid w:val="00582A06"/>
    <w:rsid w:val="00582C01"/>
    <w:rsid w:val="00583603"/>
    <w:rsid w:val="00584136"/>
    <w:rsid w:val="005845DE"/>
    <w:rsid w:val="00587598"/>
    <w:rsid w:val="00587D1E"/>
    <w:rsid w:val="00593B18"/>
    <w:rsid w:val="00593C8C"/>
    <w:rsid w:val="00594B85"/>
    <w:rsid w:val="00594D27"/>
    <w:rsid w:val="005952C2"/>
    <w:rsid w:val="005970A7"/>
    <w:rsid w:val="005A0A21"/>
    <w:rsid w:val="005A1EC6"/>
    <w:rsid w:val="005A295A"/>
    <w:rsid w:val="005A413E"/>
    <w:rsid w:val="005A4E50"/>
    <w:rsid w:val="005A5FCD"/>
    <w:rsid w:val="005A6162"/>
    <w:rsid w:val="005A64B6"/>
    <w:rsid w:val="005A7079"/>
    <w:rsid w:val="005A74A7"/>
    <w:rsid w:val="005A77D3"/>
    <w:rsid w:val="005B1427"/>
    <w:rsid w:val="005B175A"/>
    <w:rsid w:val="005B36A7"/>
    <w:rsid w:val="005B4B56"/>
    <w:rsid w:val="005B6650"/>
    <w:rsid w:val="005B713B"/>
    <w:rsid w:val="005C1474"/>
    <w:rsid w:val="005C251C"/>
    <w:rsid w:val="005C2782"/>
    <w:rsid w:val="005C409C"/>
    <w:rsid w:val="005C53F2"/>
    <w:rsid w:val="005D262C"/>
    <w:rsid w:val="005D30C1"/>
    <w:rsid w:val="005D6FFE"/>
    <w:rsid w:val="005E0356"/>
    <w:rsid w:val="005E2A6C"/>
    <w:rsid w:val="005E6890"/>
    <w:rsid w:val="005F14A3"/>
    <w:rsid w:val="005F1BAF"/>
    <w:rsid w:val="005F30F0"/>
    <w:rsid w:val="005F7E99"/>
    <w:rsid w:val="00601270"/>
    <w:rsid w:val="00601760"/>
    <w:rsid w:val="00601C56"/>
    <w:rsid w:val="00603453"/>
    <w:rsid w:val="006042D2"/>
    <w:rsid w:val="00605827"/>
    <w:rsid w:val="00611425"/>
    <w:rsid w:val="00612BF8"/>
    <w:rsid w:val="006130BE"/>
    <w:rsid w:val="0061362A"/>
    <w:rsid w:val="00613ADE"/>
    <w:rsid w:val="00620240"/>
    <w:rsid w:val="0062151F"/>
    <w:rsid w:val="00621C5C"/>
    <w:rsid w:val="0062274E"/>
    <w:rsid w:val="006232B5"/>
    <w:rsid w:val="00623E6B"/>
    <w:rsid w:val="00624626"/>
    <w:rsid w:val="006259D9"/>
    <w:rsid w:val="0062702A"/>
    <w:rsid w:val="0062779F"/>
    <w:rsid w:val="0063046A"/>
    <w:rsid w:val="00633A32"/>
    <w:rsid w:val="00634CFE"/>
    <w:rsid w:val="006373D3"/>
    <w:rsid w:val="00642717"/>
    <w:rsid w:val="00646050"/>
    <w:rsid w:val="00652AB8"/>
    <w:rsid w:val="00657462"/>
    <w:rsid w:val="00661F2D"/>
    <w:rsid w:val="00664440"/>
    <w:rsid w:val="006669EC"/>
    <w:rsid w:val="00670D0D"/>
    <w:rsid w:val="006713CA"/>
    <w:rsid w:val="00673BEA"/>
    <w:rsid w:val="00673CDB"/>
    <w:rsid w:val="006761B4"/>
    <w:rsid w:val="00676C5C"/>
    <w:rsid w:val="00683C24"/>
    <w:rsid w:val="0068452E"/>
    <w:rsid w:val="006847B4"/>
    <w:rsid w:val="0068659E"/>
    <w:rsid w:val="00687BD2"/>
    <w:rsid w:val="006906ED"/>
    <w:rsid w:val="00691A71"/>
    <w:rsid w:val="00695267"/>
    <w:rsid w:val="00695558"/>
    <w:rsid w:val="00696FDF"/>
    <w:rsid w:val="00697B7C"/>
    <w:rsid w:val="006A2504"/>
    <w:rsid w:val="006A3064"/>
    <w:rsid w:val="006A51AB"/>
    <w:rsid w:val="006A7A65"/>
    <w:rsid w:val="006A7C69"/>
    <w:rsid w:val="006A7F36"/>
    <w:rsid w:val="006B0E2E"/>
    <w:rsid w:val="006B165E"/>
    <w:rsid w:val="006B19EF"/>
    <w:rsid w:val="006B2DBC"/>
    <w:rsid w:val="006B4136"/>
    <w:rsid w:val="006C0B18"/>
    <w:rsid w:val="006C15C8"/>
    <w:rsid w:val="006C30DC"/>
    <w:rsid w:val="006C3838"/>
    <w:rsid w:val="006C3847"/>
    <w:rsid w:val="006D048C"/>
    <w:rsid w:val="006D0BE2"/>
    <w:rsid w:val="006D0D41"/>
    <w:rsid w:val="006D1A7E"/>
    <w:rsid w:val="006D1AB1"/>
    <w:rsid w:val="006D27B4"/>
    <w:rsid w:val="006D3123"/>
    <w:rsid w:val="006D3F37"/>
    <w:rsid w:val="006D410F"/>
    <w:rsid w:val="006D43F2"/>
    <w:rsid w:val="006D5E0F"/>
    <w:rsid w:val="006D6706"/>
    <w:rsid w:val="006D71BB"/>
    <w:rsid w:val="006D7308"/>
    <w:rsid w:val="006E48C0"/>
    <w:rsid w:val="006F1C98"/>
    <w:rsid w:val="006F20A2"/>
    <w:rsid w:val="006F29A5"/>
    <w:rsid w:val="006F3189"/>
    <w:rsid w:val="006F33B3"/>
    <w:rsid w:val="006F4008"/>
    <w:rsid w:val="006F55D2"/>
    <w:rsid w:val="006F56A0"/>
    <w:rsid w:val="006F757A"/>
    <w:rsid w:val="006F788C"/>
    <w:rsid w:val="00701D33"/>
    <w:rsid w:val="007033B9"/>
    <w:rsid w:val="0070503A"/>
    <w:rsid w:val="007058FB"/>
    <w:rsid w:val="00705B34"/>
    <w:rsid w:val="007060D6"/>
    <w:rsid w:val="00710A9A"/>
    <w:rsid w:val="00713DE1"/>
    <w:rsid w:val="00714943"/>
    <w:rsid w:val="007155A0"/>
    <w:rsid w:val="007162AC"/>
    <w:rsid w:val="00722DAE"/>
    <w:rsid w:val="00723709"/>
    <w:rsid w:val="00724D2D"/>
    <w:rsid w:val="0072607C"/>
    <w:rsid w:val="007263C1"/>
    <w:rsid w:val="00726B9E"/>
    <w:rsid w:val="007300A2"/>
    <w:rsid w:val="00730286"/>
    <w:rsid w:val="00731D6A"/>
    <w:rsid w:val="00734B96"/>
    <w:rsid w:val="0073519E"/>
    <w:rsid w:val="00736071"/>
    <w:rsid w:val="00736F0A"/>
    <w:rsid w:val="007374CC"/>
    <w:rsid w:val="00737C01"/>
    <w:rsid w:val="00740B12"/>
    <w:rsid w:val="0074103B"/>
    <w:rsid w:val="0074129B"/>
    <w:rsid w:val="00742419"/>
    <w:rsid w:val="00742A62"/>
    <w:rsid w:val="00744D95"/>
    <w:rsid w:val="0074612C"/>
    <w:rsid w:val="007474D0"/>
    <w:rsid w:val="00751AE0"/>
    <w:rsid w:val="00751DF0"/>
    <w:rsid w:val="00753861"/>
    <w:rsid w:val="00753F11"/>
    <w:rsid w:val="007547E1"/>
    <w:rsid w:val="0075689D"/>
    <w:rsid w:val="007577A7"/>
    <w:rsid w:val="007614CC"/>
    <w:rsid w:val="00761695"/>
    <w:rsid w:val="007618F9"/>
    <w:rsid w:val="00762E65"/>
    <w:rsid w:val="007633A8"/>
    <w:rsid w:val="007638F2"/>
    <w:rsid w:val="0076477D"/>
    <w:rsid w:val="00765A26"/>
    <w:rsid w:val="00765E4D"/>
    <w:rsid w:val="007711E9"/>
    <w:rsid w:val="00772668"/>
    <w:rsid w:val="00772AFF"/>
    <w:rsid w:val="00774FFE"/>
    <w:rsid w:val="00775102"/>
    <w:rsid w:val="007754E4"/>
    <w:rsid w:val="00775C31"/>
    <w:rsid w:val="0077604E"/>
    <w:rsid w:val="00777C8B"/>
    <w:rsid w:val="00780083"/>
    <w:rsid w:val="00782B68"/>
    <w:rsid w:val="00783C88"/>
    <w:rsid w:val="00790A1B"/>
    <w:rsid w:val="00791C17"/>
    <w:rsid w:val="00792456"/>
    <w:rsid w:val="007929E2"/>
    <w:rsid w:val="007938F9"/>
    <w:rsid w:val="00795258"/>
    <w:rsid w:val="00796DE6"/>
    <w:rsid w:val="00796EAD"/>
    <w:rsid w:val="007A07E8"/>
    <w:rsid w:val="007A2CBE"/>
    <w:rsid w:val="007A388C"/>
    <w:rsid w:val="007A6F7C"/>
    <w:rsid w:val="007A7EFF"/>
    <w:rsid w:val="007B6A58"/>
    <w:rsid w:val="007B6F75"/>
    <w:rsid w:val="007C03E9"/>
    <w:rsid w:val="007C0A53"/>
    <w:rsid w:val="007C3147"/>
    <w:rsid w:val="007C473A"/>
    <w:rsid w:val="007C490E"/>
    <w:rsid w:val="007C50FB"/>
    <w:rsid w:val="007C62EE"/>
    <w:rsid w:val="007C6EEB"/>
    <w:rsid w:val="007C7534"/>
    <w:rsid w:val="007C7566"/>
    <w:rsid w:val="007C76DC"/>
    <w:rsid w:val="007D13EA"/>
    <w:rsid w:val="007D1613"/>
    <w:rsid w:val="007D2F97"/>
    <w:rsid w:val="007D31C9"/>
    <w:rsid w:val="007D66E0"/>
    <w:rsid w:val="007D67E1"/>
    <w:rsid w:val="007E04F7"/>
    <w:rsid w:val="007E1129"/>
    <w:rsid w:val="007E19D5"/>
    <w:rsid w:val="007E1DB0"/>
    <w:rsid w:val="007E30EF"/>
    <w:rsid w:val="007E59EE"/>
    <w:rsid w:val="007E5AC4"/>
    <w:rsid w:val="007E7473"/>
    <w:rsid w:val="007E7684"/>
    <w:rsid w:val="007F1D3B"/>
    <w:rsid w:val="007F75F6"/>
    <w:rsid w:val="00800D0E"/>
    <w:rsid w:val="00801A5B"/>
    <w:rsid w:val="00802D44"/>
    <w:rsid w:val="008053E1"/>
    <w:rsid w:val="00806340"/>
    <w:rsid w:val="008064D0"/>
    <w:rsid w:val="00807B89"/>
    <w:rsid w:val="008114EC"/>
    <w:rsid w:val="00812563"/>
    <w:rsid w:val="00813F69"/>
    <w:rsid w:val="0081617D"/>
    <w:rsid w:val="008163C5"/>
    <w:rsid w:val="008220A5"/>
    <w:rsid w:val="00822C26"/>
    <w:rsid w:val="008237F3"/>
    <w:rsid w:val="008246DD"/>
    <w:rsid w:val="0082590D"/>
    <w:rsid w:val="00826358"/>
    <w:rsid w:val="00826B8A"/>
    <w:rsid w:val="008275AD"/>
    <w:rsid w:val="00827881"/>
    <w:rsid w:val="0083048D"/>
    <w:rsid w:val="00830509"/>
    <w:rsid w:val="00833C80"/>
    <w:rsid w:val="008350E9"/>
    <w:rsid w:val="00835B54"/>
    <w:rsid w:val="008373E7"/>
    <w:rsid w:val="00837AD1"/>
    <w:rsid w:val="00841A95"/>
    <w:rsid w:val="00841B31"/>
    <w:rsid w:val="00843E75"/>
    <w:rsid w:val="00843F99"/>
    <w:rsid w:val="0084534C"/>
    <w:rsid w:val="008475F1"/>
    <w:rsid w:val="00851E9D"/>
    <w:rsid w:val="0085625E"/>
    <w:rsid w:val="008565DE"/>
    <w:rsid w:val="008602D7"/>
    <w:rsid w:val="00862F72"/>
    <w:rsid w:val="0086396B"/>
    <w:rsid w:val="00863DCC"/>
    <w:rsid w:val="0086577E"/>
    <w:rsid w:val="00866D81"/>
    <w:rsid w:val="0087084F"/>
    <w:rsid w:val="00870EA8"/>
    <w:rsid w:val="00872DC3"/>
    <w:rsid w:val="008735E5"/>
    <w:rsid w:val="00873A75"/>
    <w:rsid w:val="00873EE5"/>
    <w:rsid w:val="008742A8"/>
    <w:rsid w:val="008751BF"/>
    <w:rsid w:val="008755BB"/>
    <w:rsid w:val="00875A1B"/>
    <w:rsid w:val="00875BB5"/>
    <w:rsid w:val="0087600D"/>
    <w:rsid w:val="0087670D"/>
    <w:rsid w:val="00876A1F"/>
    <w:rsid w:val="008774E5"/>
    <w:rsid w:val="0088165C"/>
    <w:rsid w:val="00882101"/>
    <w:rsid w:val="0088240C"/>
    <w:rsid w:val="008829A6"/>
    <w:rsid w:val="0088736F"/>
    <w:rsid w:val="008873D4"/>
    <w:rsid w:val="00890FB6"/>
    <w:rsid w:val="00893CF3"/>
    <w:rsid w:val="008956F3"/>
    <w:rsid w:val="00895F9F"/>
    <w:rsid w:val="008A009E"/>
    <w:rsid w:val="008A1D84"/>
    <w:rsid w:val="008A425E"/>
    <w:rsid w:val="008A43E7"/>
    <w:rsid w:val="008A446D"/>
    <w:rsid w:val="008A629D"/>
    <w:rsid w:val="008A686D"/>
    <w:rsid w:val="008A709A"/>
    <w:rsid w:val="008A7E00"/>
    <w:rsid w:val="008B06BB"/>
    <w:rsid w:val="008B2B1F"/>
    <w:rsid w:val="008B2CC1"/>
    <w:rsid w:val="008B37F8"/>
    <w:rsid w:val="008B3F8F"/>
    <w:rsid w:val="008B400E"/>
    <w:rsid w:val="008B43B0"/>
    <w:rsid w:val="008B48B4"/>
    <w:rsid w:val="008B4AAF"/>
    <w:rsid w:val="008B4B5E"/>
    <w:rsid w:val="008B5AD1"/>
    <w:rsid w:val="008B60B2"/>
    <w:rsid w:val="008C0983"/>
    <w:rsid w:val="008C1C09"/>
    <w:rsid w:val="008C2CB4"/>
    <w:rsid w:val="008C4DC5"/>
    <w:rsid w:val="008C58E9"/>
    <w:rsid w:val="008C5DFE"/>
    <w:rsid w:val="008C6B99"/>
    <w:rsid w:val="008C7C78"/>
    <w:rsid w:val="008D14DD"/>
    <w:rsid w:val="008D18FE"/>
    <w:rsid w:val="008D2144"/>
    <w:rsid w:val="008D6F8C"/>
    <w:rsid w:val="008E217F"/>
    <w:rsid w:val="008E22AB"/>
    <w:rsid w:val="008E2AF0"/>
    <w:rsid w:val="008E2D46"/>
    <w:rsid w:val="008E30C3"/>
    <w:rsid w:val="008E3C5A"/>
    <w:rsid w:val="008E5A8E"/>
    <w:rsid w:val="008E67FE"/>
    <w:rsid w:val="008E71B2"/>
    <w:rsid w:val="008F037D"/>
    <w:rsid w:val="008F14D7"/>
    <w:rsid w:val="008F3478"/>
    <w:rsid w:val="008F4450"/>
    <w:rsid w:val="008F557E"/>
    <w:rsid w:val="008F69D6"/>
    <w:rsid w:val="008F7210"/>
    <w:rsid w:val="008F763D"/>
    <w:rsid w:val="008F7E79"/>
    <w:rsid w:val="009002F8"/>
    <w:rsid w:val="009028DA"/>
    <w:rsid w:val="00906B54"/>
    <w:rsid w:val="00906E51"/>
    <w:rsid w:val="0090731E"/>
    <w:rsid w:val="00907A9D"/>
    <w:rsid w:val="00910741"/>
    <w:rsid w:val="00910A5F"/>
    <w:rsid w:val="00911B38"/>
    <w:rsid w:val="00912762"/>
    <w:rsid w:val="00912E10"/>
    <w:rsid w:val="00913FBD"/>
    <w:rsid w:val="00914A39"/>
    <w:rsid w:val="00916BB3"/>
    <w:rsid w:val="00916EE2"/>
    <w:rsid w:val="009216FE"/>
    <w:rsid w:val="00921CA2"/>
    <w:rsid w:val="0092549C"/>
    <w:rsid w:val="00925703"/>
    <w:rsid w:val="00926670"/>
    <w:rsid w:val="00927FF5"/>
    <w:rsid w:val="00930F12"/>
    <w:rsid w:val="009321E5"/>
    <w:rsid w:val="0093425F"/>
    <w:rsid w:val="00934706"/>
    <w:rsid w:val="009350A2"/>
    <w:rsid w:val="00935931"/>
    <w:rsid w:val="00941C71"/>
    <w:rsid w:val="009444AB"/>
    <w:rsid w:val="00944D3E"/>
    <w:rsid w:val="0094708D"/>
    <w:rsid w:val="00951F7E"/>
    <w:rsid w:val="00952B3B"/>
    <w:rsid w:val="00953D36"/>
    <w:rsid w:val="0095575E"/>
    <w:rsid w:val="0095604E"/>
    <w:rsid w:val="00956061"/>
    <w:rsid w:val="0095619B"/>
    <w:rsid w:val="00957B0C"/>
    <w:rsid w:val="00961324"/>
    <w:rsid w:val="009626F2"/>
    <w:rsid w:val="00962CCD"/>
    <w:rsid w:val="00966626"/>
    <w:rsid w:val="00966A22"/>
    <w:rsid w:val="0096722F"/>
    <w:rsid w:val="00971BBE"/>
    <w:rsid w:val="00971DCE"/>
    <w:rsid w:val="0097282B"/>
    <w:rsid w:val="009736AA"/>
    <w:rsid w:val="00973B13"/>
    <w:rsid w:val="00974E29"/>
    <w:rsid w:val="009771AA"/>
    <w:rsid w:val="0097780E"/>
    <w:rsid w:val="00980607"/>
    <w:rsid w:val="0098069E"/>
    <w:rsid w:val="00980843"/>
    <w:rsid w:val="00981C9A"/>
    <w:rsid w:val="00981ED1"/>
    <w:rsid w:val="0098221D"/>
    <w:rsid w:val="009844D1"/>
    <w:rsid w:val="00987B20"/>
    <w:rsid w:val="0099117B"/>
    <w:rsid w:val="009915D3"/>
    <w:rsid w:val="00992533"/>
    <w:rsid w:val="00992ADC"/>
    <w:rsid w:val="00993E41"/>
    <w:rsid w:val="0099422A"/>
    <w:rsid w:val="009953A4"/>
    <w:rsid w:val="00996925"/>
    <w:rsid w:val="009978F1"/>
    <w:rsid w:val="009A0D08"/>
    <w:rsid w:val="009A0F3A"/>
    <w:rsid w:val="009A2C9C"/>
    <w:rsid w:val="009A2F0A"/>
    <w:rsid w:val="009A3B06"/>
    <w:rsid w:val="009A425A"/>
    <w:rsid w:val="009A54E9"/>
    <w:rsid w:val="009A61E6"/>
    <w:rsid w:val="009A786F"/>
    <w:rsid w:val="009B3C16"/>
    <w:rsid w:val="009B3F1A"/>
    <w:rsid w:val="009B7A4E"/>
    <w:rsid w:val="009C0CBF"/>
    <w:rsid w:val="009C0EF8"/>
    <w:rsid w:val="009C5EBB"/>
    <w:rsid w:val="009D0995"/>
    <w:rsid w:val="009D0D09"/>
    <w:rsid w:val="009D2013"/>
    <w:rsid w:val="009D22D0"/>
    <w:rsid w:val="009D60B2"/>
    <w:rsid w:val="009D612C"/>
    <w:rsid w:val="009D6C94"/>
    <w:rsid w:val="009E0C7E"/>
    <w:rsid w:val="009E19A2"/>
    <w:rsid w:val="009E1C71"/>
    <w:rsid w:val="009E2047"/>
    <w:rsid w:val="009E2791"/>
    <w:rsid w:val="009E2A7A"/>
    <w:rsid w:val="009E2EA8"/>
    <w:rsid w:val="009E3F6F"/>
    <w:rsid w:val="009E4BB0"/>
    <w:rsid w:val="009E5639"/>
    <w:rsid w:val="009E5DF8"/>
    <w:rsid w:val="009E7CFB"/>
    <w:rsid w:val="009F158D"/>
    <w:rsid w:val="009F2A35"/>
    <w:rsid w:val="009F387C"/>
    <w:rsid w:val="009F3BF9"/>
    <w:rsid w:val="009F499F"/>
    <w:rsid w:val="009F6286"/>
    <w:rsid w:val="009F653A"/>
    <w:rsid w:val="009F773B"/>
    <w:rsid w:val="009F798A"/>
    <w:rsid w:val="009F7D66"/>
    <w:rsid w:val="00A00816"/>
    <w:rsid w:val="00A02C8B"/>
    <w:rsid w:val="00A0330A"/>
    <w:rsid w:val="00A05045"/>
    <w:rsid w:val="00A066F1"/>
    <w:rsid w:val="00A0722A"/>
    <w:rsid w:val="00A073BF"/>
    <w:rsid w:val="00A11FC7"/>
    <w:rsid w:val="00A1344E"/>
    <w:rsid w:val="00A13694"/>
    <w:rsid w:val="00A155A7"/>
    <w:rsid w:val="00A16D3F"/>
    <w:rsid w:val="00A16FE1"/>
    <w:rsid w:val="00A171A1"/>
    <w:rsid w:val="00A2051D"/>
    <w:rsid w:val="00A21548"/>
    <w:rsid w:val="00A22430"/>
    <w:rsid w:val="00A22C1B"/>
    <w:rsid w:val="00A2459B"/>
    <w:rsid w:val="00A24ECB"/>
    <w:rsid w:val="00A273A8"/>
    <w:rsid w:val="00A2767F"/>
    <w:rsid w:val="00A31304"/>
    <w:rsid w:val="00A32BD7"/>
    <w:rsid w:val="00A331C5"/>
    <w:rsid w:val="00A34CB4"/>
    <w:rsid w:val="00A36171"/>
    <w:rsid w:val="00A36888"/>
    <w:rsid w:val="00A371E9"/>
    <w:rsid w:val="00A374F0"/>
    <w:rsid w:val="00A37B22"/>
    <w:rsid w:val="00A40583"/>
    <w:rsid w:val="00A4171D"/>
    <w:rsid w:val="00A41CF3"/>
    <w:rsid w:val="00A42878"/>
    <w:rsid w:val="00A42B36"/>
    <w:rsid w:val="00A42DAF"/>
    <w:rsid w:val="00A43948"/>
    <w:rsid w:val="00A449D6"/>
    <w:rsid w:val="00A44DEC"/>
    <w:rsid w:val="00A45BD8"/>
    <w:rsid w:val="00A46033"/>
    <w:rsid w:val="00A46DE9"/>
    <w:rsid w:val="00A5082A"/>
    <w:rsid w:val="00A508F7"/>
    <w:rsid w:val="00A537ED"/>
    <w:rsid w:val="00A5482C"/>
    <w:rsid w:val="00A57CA9"/>
    <w:rsid w:val="00A60D89"/>
    <w:rsid w:val="00A612A9"/>
    <w:rsid w:val="00A62626"/>
    <w:rsid w:val="00A62DD7"/>
    <w:rsid w:val="00A631FC"/>
    <w:rsid w:val="00A63258"/>
    <w:rsid w:val="00A63E2B"/>
    <w:rsid w:val="00A65A9C"/>
    <w:rsid w:val="00A66BC2"/>
    <w:rsid w:val="00A67E56"/>
    <w:rsid w:val="00A714F0"/>
    <w:rsid w:val="00A716CD"/>
    <w:rsid w:val="00A71BC6"/>
    <w:rsid w:val="00A7425B"/>
    <w:rsid w:val="00A75359"/>
    <w:rsid w:val="00A76B17"/>
    <w:rsid w:val="00A775F3"/>
    <w:rsid w:val="00A778BF"/>
    <w:rsid w:val="00A8026B"/>
    <w:rsid w:val="00A81799"/>
    <w:rsid w:val="00A81911"/>
    <w:rsid w:val="00A8200D"/>
    <w:rsid w:val="00A83218"/>
    <w:rsid w:val="00A83CE8"/>
    <w:rsid w:val="00A84845"/>
    <w:rsid w:val="00A85B8E"/>
    <w:rsid w:val="00A87502"/>
    <w:rsid w:val="00A92C71"/>
    <w:rsid w:val="00A94CEA"/>
    <w:rsid w:val="00A94F4C"/>
    <w:rsid w:val="00A975E7"/>
    <w:rsid w:val="00A97F96"/>
    <w:rsid w:val="00AA071F"/>
    <w:rsid w:val="00AA0F2A"/>
    <w:rsid w:val="00AA234C"/>
    <w:rsid w:val="00AA2A44"/>
    <w:rsid w:val="00AA6C11"/>
    <w:rsid w:val="00AB2636"/>
    <w:rsid w:val="00AB3207"/>
    <w:rsid w:val="00AB3BCB"/>
    <w:rsid w:val="00AB44A8"/>
    <w:rsid w:val="00AB7986"/>
    <w:rsid w:val="00AC027B"/>
    <w:rsid w:val="00AC028A"/>
    <w:rsid w:val="00AC128D"/>
    <w:rsid w:val="00AC1B03"/>
    <w:rsid w:val="00AC1DBE"/>
    <w:rsid w:val="00AC1F9E"/>
    <w:rsid w:val="00AC205C"/>
    <w:rsid w:val="00AC3C37"/>
    <w:rsid w:val="00AC5327"/>
    <w:rsid w:val="00AC6ECB"/>
    <w:rsid w:val="00AD06DF"/>
    <w:rsid w:val="00AD0C4B"/>
    <w:rsid w:val="00AD1F46"/>
    <w:rsid w:val="00AD2E31"/>
    <w:rsid w:val="00AD2E83"/>
    <w:rsid w:val="00AD4576"/>
    <w:rsid w:val="00AD5B85"/>
    <w:rsid w:val="00AD6B13"/>
    <w:rsid w:val="00AE2465"/>
    <w:rsid w:val="00AE331D"/>
    <w:rsid w:val="00AE4511"/>
    <w:rsid w:val="00AE4A18"/>
    <w:rsid w:val="00AE4D83"/>
    <w:rsid w:val="00AF04BB"/>
    <w:rsid w:val="00AF06E2"/>
    <w:rsid w:val="00AF292B"/>
    <w:rsid w:val="00AF4760"/>
    <w:rsid w:val="00AF5C73"/>
    <w:rsid w:val="00AF62EB"/>
    <w:rsid w:val="00AF7CDC"/>
    <w:rsid w:val="00B011DD"/>
    <w:rsid w:val="00B02B17"/>
    <w:rsid w:val="00B03663"/>
    <w:rsid w:val="00B04D31"/>
    <w:rsid w:val="00B04DAF"/>
    <w:rsid w:val="00B05278"/>
    <w:rsid w:val="00B05A69"/>
    <w:rsid w:val="00B0783F"/>
    <w:rsid w:val="00B12BEB"/>
    <w:rsid w:val="00B12D99"/>
    <w:rsid w:val="00B13616"/>
    <w:rsid w:val="00B263B0"/>
    <w:rsid w:val="00B26EA5"/>
    <w:rsid w:val="00B2792B"/>
    <w:rsid w:val="00B3259F"/>
    <w:rsid w:val="00B34151"/>
    <w:rsid w:val="00B378E1"/>
    <w:rsid w:val="00B40598"/>
    <w:rsid w:val="00B40C4F"/>
    <w:rsid w:val="00B41A6B"/>
    <w:rsid w:val="00B4459F"/>
    <w:rsid w:val="00B45DE2"/>
    <w:rsid w:val="00B47EB4"/>
    <w:rsid w:val="00B50B99"/>
    <w:rsid w:val="00B528DC"/>
    <w:rsid w:val="00B530C6"/>
    <w:rsid w:val="00B53C14"/>
    <w:rsid w:val="00B61456"/>
    <w:rsid w:val="00B616F7"/>
    <w:rsid w:val="00B62A18"/>
    <w:rsid w:val="00B62CD9"/>
    <w:rsid w:val="00B63D13"/>
    <w:rsid w:val="00B65FC4"/>
    <w:rsid w:val="00B71810"/>
    <w:rsid w:val="00B732F0"/>
    <w:rsid w:val="00B769B7"/>
    <w:rsid w:val="00B7708C"/>
    <w:rsid w:val="00B812D2"/>
    <w:rsid w:val="00B813CE"/>
    <w:rsid w:val="00B813F2"/>
    <w:rsid w:val="00B81DE0"/>
    <w:rsid w:val="00B821EA"/>
    <w:rsid w:val="00B825B1"/>
    <w:rsid w:val="00B839F0"/>
    <w:rsid w:val="00B874CA"/>
    <w:rsid w:val="00B87A90"/>
    <w:rsid w:val="00B91A85"/>
    <w:rsid w:val="00B92B2B"/>
    <w:rsid w:val="00B94FA2"/>
    <w:rsid w:val="00B9537A"/>
    <w:rsid w:val="00B953FC"/>
    <w:rsid w:val="00B97137"/>
    <w:rsid w:val="00B9734B"/>
    <w:rsid w:val="00B9738C"/>
    <w:rsid w:val="00B97560"/>
    <w:rsid w:val="00B975E6"/>
    <w:rsid w:val="00BA000D"/>
    <w:rsid w:val="00BA040B"/>
    <w:rsid w:val="00BA0998"/>
    <w:rsid w:val="00BA13F3"/>
    <w:rsid w:val="00BA1CBB"/>
    <w:rsid w:val="00BA1EAA"/>
    <w:rsid w:val="00BA3D84"/>
    <w:rsid w:val="00BA423F"/>
    <w:rsid w:val="00BA42DB"/>
    <w:rsid w:val="00BA5880"/>
    <w:rsid w:val="00BB0DE4"/>
    <w:rsid w:val="00BB1A66"/>
    <w:rsid w:val="00BB708C"/>
    <w:rsid w:val="00BB784B"/>
    <w:rsid w:val="00BC1EC6"/>
    <w:rsid w:val="00BC322A"/>
    <w:rsid w:val="00BC55A9"/>
    <w:rsid w:val="00BC6DC9"/>
    <w:rsid w:val="00BD0050"/>
    <w:rsid w:val="00BD1DA4"/>
    <w:rsid w:val="00BD4E04"/>
    <w:rsid w:val="00BD5E03"/>
    <w:rsid w:val="00BD61E8"/>
    <w:rsid w:val="00BD657F"/>
    <w:rsid w:val="00BE34B8"/>
    <w:rsid w:val="00BE3773"/>
    <w:rsid w:val="00BE3DCD"/>
    <w:rsid w:val="00BE63DA"/>
    <w:rsid w:val="00BF18C6"/>
    <w:rsid w:val="00BF5757"/>
    <w:rsid w:val="00BF681B"/>
    <w:rsid w:val="00BF712E"/>
    <w:rsid w:val="00C0090F"/>
    <w:rsid w:val="00C00AF3"/>
    <w:rsid w:val="00C01411"/>
    <w:rsid w:val="00C024FA"/>
    <w:rsid w:val="00C028BF"/>
    <w:rsid w:val="00C03049"/>
    <w:rsid w:val="00C10397"/>
    <w:rsid w:val="00C117CC"/>
    <w:rsid w:val="00C11BFE"/>
    <w:rsid w:val="00C16E67"/>
    <w:rsid w:val="00C20F7C"/>
    <w:rsid w:val="00C21A1F"/>
    <w:rsid w:val="00C22339"/>
    <w:rsid w:val="00C24804"/>
    <w:rsid w:val="00C25951"/>
    <w:rsid w:val="00C27041"/>
    <w:rsid w:val="00C271A3"/>
    <w:rsid w:val="00C30359"/>
    <w:rsid w:val="00C30A63"/>
    <w:rsid w:val="00C32413"/>
    <w:rsid w:val="00C334D5"/>
    <w:rsid w:val="00C34276"/>
    <w:rsid w:val="00C34623"/>
    <w:rsid w:val="00C3480E"/>
    <w:rsid w:val="00C3691A"/>
    <w:rsid w:val="00C373BF"/>
    <w:rsid w:val="00C37614"/>
    <w:rsid w:val="00C37DF7"/>
    <w:rsid w:val="00C37E63"/>
    <w:rsid w:val="00C43024"/>
    <w:rsid w:val="00C43E73"/>
    <w:rsid w:val="00C44060"/>
    <w:rsid w:val="00C45190"/>
    <w:rsid w:val="00C47432"/>
    <w:rsid w:val="00C5013D"/>
    <w:rsid w:val="00C52DEA"/>
    <w:rsid w:val="00C55589"/>
    <w:rsid w:val="00C55DFD"/>
    <w:rsid w:val="00C56146"/>
    <w:rsid w:val="00C57465"/>
    <w:rsid w:val="00C57526"/>
    <w:rsid w:val="00C60A57"/>
    <w:rsid w:val="00C63014"/>
    <w:rsid w:val="00C63AD2"/>
    <w:rsid w:val="00C63D29"/>
    <w:rsid w:val="00C641E1"/>
    <w:rsid w:val="00C70867"/>
    <w:rsid w:val="00C7230F"/>
    <w:rsid w:val="00C726C6"/>
    <w:rsid w:val="00C746F4"/>
    <w:rsid w:val="00C76813"/>
    <w:rsid w:val="00C775AE"/>
    <w:rsid w:val="00C77774"/>
    <w:rsid w:val="00C843DC"/>
    <w:rsid w:val="00C84D17"/>
    <w:rsid w:val="00C92061"/>
    <w:rsid w:val="00C94629"/>
    <w:rsid w:val="00C96041"/>
    <w:rsid w:val="00C968B6"/>
    <w:rsid w:val="00C96E3E"/>
    <w:rsid w:val="00C9725A"/>
    <w:rsid w:val="00CA2262"/>
    <w:rsid w:val="00CA2C26"/>
    <w:rsid w:val="00CA36BB"/>
    <w:rsid w:val="00CA3DE8"/>
    <w:rsid w:val="00CA6DA2"/>
    <w:rsid w:val="00CB0330"/>
    <w:rsid w:val="00CB4167"/>
    <w:rsid w:val="00CC10C7"/>
    <w:rsid w:val="00CC1A38"/>
    <w:rsid w:val="00CC36D1"/>
    <w:rsid w:val="00CC52BC"/>
    <w:rsid w:val="00CC76F2"/>
    <w:rsid w:val="00CD20AA"/>
    <w:rsid w:val="00CD4706"/>
    <w:rsid w:val="00CD5E27"/>
    <w:rsid w:val="00CD669D"/>
    <w:rsid w:val="00CD77EB"/>
    <w:rsid w:val="00CD7A88"/>
    <w:rsid w:val="00CD7F3D"/>
    <w:rsid w:val="00CE0D36"/>
    <w:rsid w:val="00CE20A9"/>
    <w:rsid w:val="00CE2C4E"/>
    <w:rsid w:val="00CE55E4"/>
    <w:rsid w:val="00CE65D4"/>
    <w:rsid w:val="00CE6E79"/>
    <w:rsid w:val="00CF3481"/>
    <w:rsid w:val="00CF3A60"/>
    <w:rsid w:val="00CF3AC7"/>
    <w:rsid w:val="00CF424E"/>
    <w:rsid w:val="00CF7A4F"/>
    <w:rsid w:val="00D007E4"/>
    <w:rsid w:val="00D01044"/>
    <w:rsid w:val="00D016CA"/>
    <w:rsid w:val="00D01799"/>
    <w:rsid w:val="00D0301C"/>
    <w:rsid w:val="00D039E1"/>
    <w:rsid w:val="00D049FF"/>
    <w:rsid w:val="00D04A96"/>
    <w:rsid w:val="00D05151"/>
    <w:rsid w:val="00D06233"/>
    <w:rsid w:val="00D06682"/>
    <w:rsid w:val="00D066E3"/>
    <w:rsid w:val="00D073DA"/>
    <w:rsid w:val="00D1040E"/>
    <w:rsid w:val="00D11479"/>
    <w:rsid w:val="00D158B5"/>
    <w:rsid w:val="00D16AAF"/>
    <w:rsid w:val="00D17357"/>
    <w:rsid w:val="00D17597"/>
    <w:rsid w:val="00D218E9"/>
    <w:rsid w:val="00D22647"/>
    <w:rsid w:val="00D228AE"/>
    <w:rsid w:val="00D22B27"/>
    <w:rsid w:val="00D24AB0"/>
    <w:rsid w:val="00D25046"/>
    <w:rsid w:val="00D25A90"/>
    <w:rsid w:val="00D26D0E"/>
    <w:rsid w:val="00D2772E"/>
    <w:rsid w:val="00D27A04"/>
    <w:rsid w:val="00D30AB2"/>
    <w:rsid w:val="00D31394"/>
    <w:rsid w:val="00D3420E"/>
    <w:rsid w:val="00D34A72"/>
    <w:rsid w:val="00D34D36"/>
    <w:rsid w:val="00D35175"/>
    <w:rsid w:val="00D36B82"/>
    <w:rsid w:val="00D41306"/>
    <w:rsid w:val="00D419FA"/>
    <w:rsid w:val="00D4280A"/>
    <w:rsid w:val="00D434B9"/>
    <w:rsid w:val="00D44980"/>
    <w:rsid w:val="00D44EF2"/>
    <w:rsid w:val="00D45252"/>
    <w:rsid w:val="00D464D1"/>
    <w:rsid w:val="00D52902"/>
    <w:rsid w:val="00D56314"/>
    <w:rsid w:val="00D5662D"/>
    <w:rsid w:val="00D57302"/>
    <w:rsid w:val="00D60EEB"/>
    <w:rsid w:val="00D60F00"/>
    <w:rsid w:val="00D64D60"/>
    <w:rsid w:val="00D6592B"/>
    <w:rsid w:val="00D66498"/>
    <w:rsid w:val="00D71B4D"/>
    <w:rsid w:val="00D72765"/>
    <w:rsid w:val="00D7427E"/>
    <w:rsid w:val="00D7545E"/>
    <w:rsid w:val="00D76686"/>
    <w:rsid w:val="00D76EA9"/>
    <w:rsid w:val="00D77823"/>
    <w:rsid w:val="00D8053C"/>
    <w:rsid w:val="00D80FD6"/>
    <w:rsid w:val="00D81116"/>
    <w:rsid w:val="00D8138E"/>
    <w:rsid w:val="00D81521"/>
    <w:rsid w:val="00D82066"/>
    <w:rsid w:val="00D8430A"/>
    <w:rsid w:val="00D84483"/>
    <w:rsid w:val="00D84716"/>
    <w:rsid w:val="00D84904"/>
    <w:rsid w:val="00D8498B"/>
    <w:rsid w:val="00D85F59"/>
    <w:rsid w:val="00D90328"/>
    <w:rsid w:val="00D911A2"/>
    <w:rsid w:val="00D9362B"/>
    <w:rsid w:val="00D93D55"/>
    <w:rsid w:val="00D94159"/>
    <w:rsid w:val="00D9434D"/>
    <w:rsid w:val="00D94EBA"/>
    <w:rsid w:val="00D95287"/>
    <w:rsid w:val="00D9541A"/>
    <w:rsid w:val="00D957D8"/>
    <w:rsid w:val="00D96472"/>
    <w:rsid w:val="00DA1EA9"/>
    <w:rsid w:val="00DA23E5"/>
    <w:rsid w:val="00DA68B5"/>
    <w:rsid w:val="00DB347B"/>
    <w:rsid w:val="00DB642B"/>
    <w:rsid w:val="00DB67BD"/>
    <w:rsid w:val="00DB691C"/>
    <w:rsid w:val="00DB6DD1"/>
    <w:rsid w:val="00DC1701"/>
    <w:rsid w:val="00DC1913"/>
    <w:rsid w:val="00DC2603"/>
    <w:rsid w:val="00DC2B01"/>
    <w:rsid w:val="00DC2B6F"/>
    <w:rsid w:val="00DC64BC"/>
    <w:rsid w:val="00DC7E0E"/>
    <w:rsid w:val="00DD1EBE"/>
    <w:rsid w:val="00DD2377"/>
    <w:rsid w:val="00DD2B0F"/>
    <w:rsid w:val="00DD2EAB"/>
    <w:rsid w:val="00DD4F92"/>
    <w:rsid w:val="00DD5215"/>
    <w:rsid w:val="00DD57CB"/>
    <w:rsid w:val="00DE0A77"/>
    <w:rsid w:val="00DE261D"/>
    <w:rsid w:val="00DE5187"/>
    <w:rsid w:val="00DE54D3"/>
    <w:rsid w:val="00DE6371"/>
    <w:rsid w:val="00DE6E51"/>
    <w:rsid w:val="00DF1475"/>
    <w:rsid w:val="00DF490E"/>
    <w:rsid w:val="00DF679E"/>
    <w:rsid w:val="00DF796F"/>
    <w:rsid w:val="00E00797"/>
    <w:rsid w:val="00E013CE"/>
    <w:rsid w:val="00E0221E"/>
    <w:rsid w:val="00E026C9"/>
    <w:rsid w:val="00E032E6"/>
    <w:rsid w:val="00E03DBF"/>
    <w:rsid w:val="00E0434E"/>
    <w:rsid w:val="00E043B3"/>
    <w:rsid w:val="00E043DE"/>
    <w:rsid w:val="00E044BD"/>
    <w:rsid w:val="00E05D1F"/>
    <w:rsid w:val="00E06556"/>
    <w:rsid w:val="00E14367"/>
    <w:rsid w:val="00E14857"/>
    <w:rsid w:val="00E161A2"/>
    <w:rsid w:val="00E169DB"/>
    <w:rsid w:val="00E17AC7"/>
    <w:rsid w:val="00E17EAD"/>
    <w:rsid w:val="00E20BC1"/>
    <w:rsid w:val="00E213C7"/>
    <w:rsid w:val="00E22E5E"/>
    <w:rsid w:val="00E25C4E"/>
    <w:rsid w:val="00E25EB8"/>
    <w:rsid w:val="00E26101"/>
    <w:rsid w:val="00E26C1F"/>
    <w:rsid w:val="00E271F8"/>
    <w:rsid w:val="00E27B20"/>
    <w:rsid w:val="00E3116D"/>
    <w:rsid w:val="00E319CD"/>
    <w:rsid w:val="00E324E5"/>
    <w:rsid w:val="00E327E4"/>
    <w:rsid w:val="00E32AA8"/>
    <w:rsid w:val="00E32BD2"/>
    <w:rsid w:val="00E335FE"/>
    <w:rsid w:val="00E33A08"/>
    <w:rsid w:val="00E33F3B"/>
    <w:rsid w:val="00E346ED"/>
    <w:rsid w:val="00E34E59"/>
    <w:rsid w:val="00E362EE"/>
    <w:rsid w:val="00E40F2F"/>
    <w:rsid w:val="00E42755"/>
    <w:rsid w:val="00E431D4"/>
    <w:rsid w:val="00E433A4"/>
    <w:rsid w:val="00E45EA0"/>
    <w:rsid w:val="00E46E62"/>
    <w:rsid w:val="00E5021F"/>
    <w:rsid w:val="00E50DC4"/>
    <w:rsid w:val="00E552EC"/>
    <w:rsid w:val="00E60774"/>
    <w:rsid w:val="00E61CC0"/>
    <w:rsid w:val="00E63AD0"/>
    <w:rsid w:val="00E6434F"/>
    <w:rsid w:val="00E64BE2"/>
    <w:rsid w:val="00E65954"/>
    <w:rsid w:val="00E6654B"/>
    <w:rsid w:val="00E671A6"/>
    <w:rsid w:val="00E7064D"/>
    <w:rsid w:val="00E713A2"/>
    <w:rsid w:val="00E71A6E"/>
    <w:rsid w:val="00E72BF7"/>
    <w:rsid w:val="00E75D6D"/>
    <w:rsid w:val="00E77DD7"/>
    <w:rsid w:val="00E81AB0"/>
    <w:rsid w:val="00E822F1"/>
    <w:rsid w:val="00E84029"/>
    <w:rsid w:val="00E872AC"/>
    <w:rsid w:val="00E87845"/>
    <w:rsid w:val="00E87B68"/>
    <w:rsid w:val="00E87BE3"/>
    <w:rsid w:val="00E913B6"/>
    <w:rsid w:val="00E9144E"/>
    <w:rsid w:val="00E91DA1"/>
    <w:rsid w:val="00E93B81"/>
    <w:rsid w:val="00E967A9"/>
    <w:rsid w:val="00EA0F9A"/>
    <w:rsid w:val="00EB3A56"/>
    <w:rsid w:val="00EB4988"/>
    <w:rsid w:val="00EB5118"/>
    <w:rsid w:val="00EB6EBD"/>
    <w:rsid w:val="00EB6FA6"/>
    <w:rsid w:val="00EC07C1"/>
    <w:rsid w:val="00EC1F8A"/>
    <w:rsid w:val="00EC27FA"/>
    <w:rsid w:val="00EC2FA7"/>
    <w:rsid w:val="00EC4E49"/>
    <w:rsid w:val="00EC5611"/>
    <w:rsid w:val="00EC5C11"/>
    <w:rsid w:val="00EC7082"/>
    <w:rsid w:val="00ED154D"/>
    <w:rsid w:val="00ED17BC"/>
    <w:rsid w:val="00ED2BBC"/>
    <w:rsid w:val="00ED3844"/>
    <w:rsid w:val="00ED56BB"/>
    <w:rsid w:val="00ED648A"/>
    <w:rsid w:val="00ED77FB"/>
    <w:rsid w:val="00ED7810"/>
    <w:rsid w:val="00EE1610"/>
    <w:rsid w:val="00EE2B6B"/>
    <w:rsid w:val="00EE3725"/>
    <w:rsid w:val="00EE4CB3"/>
    <w:rsid w:val="00EE7EB5"/>
    <w:rsid w:val="00EF0985"/>
    <w:rsid w:val="00EF345B"/>
    <w:rsid w:val="00EF4536"/>
    <w:rsid w:val="00EF4BB3"/>
    <w:rsid w:val="00EF5AC8"/>
    <w:rsid w:val="00EF76D7"/>
    <w:rsid w:val="00EF7809"/>
    <w:rsid w:val="00F021A6"/>
    <w:rsid w:val="00F02E1E"/>
    <w:rsid w:val="00F04B6A"/>
    <w:rsid w:val="00F0503C"/>
    <w:rsid w:val="00F11D94"/>
    <w:rsid w:val="00F14D60"/>
    <w:rsid w:val="00F2118A"/>
    <w:rsid w:val="00F22D34"/>
    <w:rsid w:val="00F22DF4"/>
    <w:rsid w:val="00F24D0F"/>
    <w:rsid w:val="00F259DB"/>
    <w:rsid w:val="00F26F9A"/>
    <w:rsid w:val="00F3291F"/>
    <w:rsid w:val="00F33410"/>
    <w:rsid w:val="00F33BA2"/>
    <w:rsid w:val="00F34936"/>
    <w:rsid w:val="00F35027"/>
    <w:rsid w:val="00F368BB"/>
    <w:rsid w:val="00F4132A"/>
    <w:rsid w:val="00F4501A"/>
    <w:rsid w:val="00F45625"/>
    <w:rsid w:val="00F45F5F"/>
    <w:rsid w:val="00F501F5"/>
    <w:rsid w:val="00F5158A"/>
    <w:rsid w:val="00F51FEB"/>
    <w:rsid w:val="00F52E29"/>
    <w:rsid w:val="00F53FE1"/>
    <w:rsid w:val="00F54044"/>
    <w:rsid w:val="00F54E48"/>
    <w:rsid w:val="00F568D4"/>
    <w:rsid w:val="00F56D3A"/>
    <w:rsid w:val="00F610F4"/>
    <w:rsid w:val="00F6213B"/>
    <w:rsid w:val="00F6236A"/>
    <w:rsid w:val="00F63281"/>
    <w:rsid w:val="00F650DB"/>
    <w:rsid w:val="00F651FA"/>
    <w:rsid w:val="00F65702"/>
    <w:rsid w:val="00F66152"/>
    <w:rsid w:val="00F67A82"/>
    <w:rsid w:val="00F71005"/>
    <w:rsid w:val="00F71006"/>
    <w:rsid w:val="00F71615"/>
    <w:rsid w:val="00F72E55"/>
    <w:rsid w:val="00F731D3"/>
    <w:rsid w:val="00F73DFA"/>
    <w:rsid w:val="00F74423"/>
    <w:rsid w:val="00F76452"/>
    <w:rsid w:val="00F81649"/>
    <w:rsid w:val="00F81CF9"/>
    <w:rsid w:val="00F8440B"/>
    <w:rsid w:val="00F8481E"/>
    <w:rsid w:val="00F86E6C"/>
    <w:rsid w:val="00F870C4"/>
    <w:rsid w:val="00F87B7C"/>
    <w:rsid w:val="00F907C0"/>
    <w:rsid w:val="00F90A52"/>
    <w:rsid w:val="00F90A66"/>
    <w:rsid w:val="00F90C71"/>
    <w:rsid w:val="00F926AD"/>
    <w:rsid w:val="00F93C43"/>
    <w:rsid w:val="00F961DB"/>
    <w:rsid w:val="00F96562"/>
    <w:rsid w:val="00FA12FE"/>
    <w:rsid w:val="00FA2615"/>
    <w:rsid w:val="00FA44E0"/>
    <w:rsid w:val="00FA59FF"/>
    <w:rsid w:val="00FB06D7"/>
    <w:rsid w:val="00FB1053"/>
    <w:rsid w:val="00FB16A9"/>
    <w:rsid w:val="00FB29F7"/>
    <w:rsid w:val="00FB448B"/>
    <w:rsid w:val="00FB463D"/>
    <w:rsid w:val="00FB4B0B"/>
    <w:rsid w:val="00FB53F8"/>
    <w:rsid w:val="00FB7559"/>
    <w:rsid w:val="00FB76D1"/>
    <w:rsid w:val="00FC01D9"/>
    <w:rsid w:val="00FC11ED"/>
    <w:rsid w:val="00FC276E"/>
    <w:rsid w:val="00FC35B5"/>
    <w:rsid w:val="00FC4381"/>
    <w:rsid w:val="00FC744F"/>
    <w:rsid w:val="00FC7A59"/>
    <w:rsid w:val="00FD29E4"/>
    <w:rsid w:val="00FD45C1"/>
    <w:rsid w:val="00FD4F41"/>
    <w:rsid w:val="00FD623A"/>
    <w:rsid w:val="00FE0C3B"/>
    <w:rsid w:val="00FE2F9F"/>
    <w:rsid w:val="00FE3892"/>
    <w:rsid w:val="00FE6B93"/>
    <w:rsid w:val="00FE7083"/>
    <w:rsid w:val="00FE7321"/>
    <w:rsid w:val="00FE7832"/>
    <w:rsid w:val="00FE7ACA"/>
    <w:rsid w:val="00FF06B2"/>
    <w:rsid w:val="00FF0EA3"/>
    <w:rsid w:val="00FF1B55"/>
    <w:rsid w:val="00FF1F71"/>
    <w:rsid w:val="00FF56B7"/>
    <w:rsid w:val="00FF5E81"/>
    <w:rsid w:val="00FF7F12"/>
    <w:rsid w:val="032B8F89"/>
    <w:rsid w:val="06A1079F"/>
    <w:rsid w:val="0B940A38"/>
    <w:rsid w:val="0FA957B1"/>
    <w:rsid w:val="16A720B9"/>
    <w:rsid w:val="17D0A618"/>
    <w:rsid w:val="24BAEEEB"/>
    <w:rsid w:val="294C6CF3"/>
    <w:rsid w:val="2AD35FF1"/>
    <w:rsid w:val="2E936A9E"/>
    <w:rsid w:val="30F40DF8"/>
    <w:rsid w:val="3165B700"/>
    <w:rsid w:val="3697F588"/>
    <w:rsid w:val="3FB1C83F"/>
    <w:rsid w:val="4F02E802"/>
    <w:rsid w:val="531B05C9"/>
    <w:rsid w:val="5E492F20"/>
    <w:rsid w:val="62E16270"/>
    <w:rsid w:val="69565CF2"/>
    <w:rsid w:val="70EC3DAD"/>
    <w:rsid w:val="79F5CA6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A23"/>
  <w15:docId w15:val="{FA7F3B6D-BE87-4B02-AA12-B92C099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C746F4"/>
    <w:pPr>
      <w:keepNext/>
      <w:numPr>
        <w:numId w:val="22"/>
      </w:numPr>
      <w:bidi/>
      <w:spacing w:before="240" w:after="220"/>
      <w:ind w:left="0" w:firstLine="0"/>
      <w:outlineLvl w:val="0"/>
    </w:pPr>
    <w:rPr>
      <w:rFonts w:cs="Calibri"/>
      <w:b/>
      <w:bCs/>
      <w:caps/>
      <w:kern w:val="32"/>
      <w:szCs w:val="22"/>
    </w:rPr>
  </w:style>
  <w:style w:type="paragraph" w:styleId="Heading2">
    <w:name w:val="heading 2"/>
    <w:basedOn w:val="Normal"/>
    <w:next w:val="Normal"/>
    <w:qFormat/>
    <w:rsid w:val="00AD2E83"/>
    <w:pPr>
      <w:keepNext/>
      <w:bidi/>
      <w:spacing w:before="240" w:after="220"/>
      <w:ind w:left="-1"/>
      <w:outlineLvl w:val="1"/>
    </w:pPr>
    <w:rPr>
      <w:rFonts w:cs="Calibri"/>
      <w:b/>
      <w:i/>
      <w:caps/>
      <w:sz w:val="24"/>
      <w:szCs w:val="24"/>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uiPriority w:val="99"/>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uiPriority w:val="99"/>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Arial"/>
      <w:sz w:val="18"/>
      <w:szCs w:val="18"/>
      <w:lang w:val="en-US" w:eastAsia="zh-CN"/>
    </w:rPr>
  </w:style>
  <w:style w:type="paragraph" w:styleId="Revision">
    <w:name w:val="Revision"/>
    <w:hidden/>
    <w:uiPriority w:val="99"/>
    <w:semiHidden/>
    <w:rsid w:val="006761B4"/>
    <w:rPr>
      <w:rFonts w:ascii="Arial" w:eastAsia="SimSun" w:hAnsi="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1"/>
    <w:qFormat/>
    <w:rsid w:val="006761B4"/>
    <w:pPr>
      <w:ind w:left="720"/>
      <w:contextualSpacing/>
    </w:pPr>
  </w:style>
  <w:style w:type="character" w:customStyle="1" w:styleId="cf01">
    <w:name w:val="cf01"/>
    <w:basedOn w:val="DefaultParagraphFont"/>
    <w:rsid w:val="008C0983"/>
    <w:rPr>
      <w:rFonts w:ascii="Segoe UI" w:hAnsi="Segoe UI" w:cs="Arial" w:hint="default"/>
      <w:sz w:val="18"/>
      <w:szCs w:val="18"/>
    </w:rPr>
  </w:style>
  <w:style w:type="character" w:styleId="UnresolvedMention">
    <w:name w:val="Unresolved Mention"/>
    <w:basedOn w:val="DefaultParagraphFont"/>
    <w:uiPriority w:val="99"/>
    <w:semiHidden/>
    <w:unhideWhenUsed/>
    <w:rsid w:val="006F20A2"/>
    <w:rPr>
      <w:color w:val="605E5C"/>
      <w:shd w:val="clear" w:color="auto" w:fill="E1DFDD"/>
    </w:rPr>
  </w:style>
  <w:style w:type="paragraph" w:customStyle="1" w:styleId="pf0">
    <w:name w:val="pf0"/>
    <w:basedOn w:val="Normal"/>
    <w:rsid w:val="00621C5C"/>
    <w:pPr>
      <w:spacing w:before="100" w:beforeAutospacing="1" w:after="100" w:afterAutospacing="1"/>
    </w:pPr>
    <w:rPr>
      <w:rFonts w:ascii="Times New Roman" w:eastAsia="Times New Roman" w:hAnsi="Times New Roman"/>
      <w:sz w:val="24"/>
      <w:szCs w:val="24"/>
      <w:lang w:eastAsia="en-US"/>
    </w:rPr>
  </w:style>
  <w:style w:type="character" w:styleId="Mention">
    <w:name w:val="Mention"/>
    <w:basedOn w:val="DefaultParagraphFont"/>
    <w:uiPriority w:val="99"/>
    <w:unhideWhenUsed/>
    <w:rsid w:val="00A44D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661">
      <w:bodyDiv w:val="1"/>
      <w:marLeft w:val="0"/>
      <w:marRight w:val="0"/>
      <w:marTop w:val="0"/>
      <w:marBottom w:val="0"/>
      <w:divBdr>
        <w:top w:val="none" w:sz="0" w:space="0" w:color="auto"/>
        <w:left w:val="none" w:sz="0" w:space="0" w:color="auto"/>
        <w:bottom w:val="none" w:sz="0" w:space="0" w:color="auto"/>
        <w:right w:val="none" w:sz="0" w:space="0" w:color="auto"/>
      </w:divBdr>
    </w:div>
    <w:div w:id="1835880097">
      <w:bodyDiv w:val="1"/>
      <w:marLeft w:val="0"/>
      <w:marRight w:val="0"/>
      <w:marTop w:val="0"/>
      <w:marBottom w:val="0"/>
      <w:divBdr>
        <w:top w:val="none" w:sz="0" w:space="0" w:color="auto"/>
        <w:left w:val="none" w:sz="0" w:space="0" w:color="auto"/>
        <w:bottom w:val="none" w:sz="0" w:space="0" w:color="auto"/>
        <w:right w:val="none" w:sz="0" w:space="0" w:color="auto"/>
      </w:divBdr>
      <w:divsChild>
        <w:div w:id="2061519099">
          <w:marLeft w:val="0"/>
          <w:marRight w:val="0"/>
          <w:marTop w:val="0"/>
          <w:marBottom w:val="0"/>
          <w:divBdr>
            <w:top w:val="none" w:sz="0" w:space="0" w:color="auto"/>
            <w:left w:val="none" w:sz="0" w:space="0" w:color="auto"/>
            <w:bottom w:val="none" w:sz="0" w:space="0" w:color="auto"/>
            <w:right w:val="none" w:sz="0" w:space="0" w:color="auto"/>
          </w:divBdr>
        </w:div>
      </w:divsChild>
    </w:div>
    <w:div w:id="1927420586">
      <w:bodyDiv w:val="1"/>
      <w:marLeft w:val="0"/>
      <w:marRight w:val="0"/>
      <w:marTop w:val="0"/>
      <w:marBottom w:val="0"/>
      <w:divBdr>
        <w:top w:val="none" w:sz="0" w:space="0" w:color="auto"/>
        <w:left w:val="none" w:sz="0" w:space="0" w:color="auto"/>
        <w:bottom w:val="none" w:sz="0" w:space="0" w:color="auto"/>
        <w:right w:val="none" w:sz="0" w:space="0" w:color="auto"/>
      </w:divBdr>
    </w:div>
    <w:div w:id="1949847691">
      <w:bodyDiv w:val="1"/>
      <w:marLeft w:val="0"/>
      <w:marRight w:val="0"/>
      <w:marTop w:val="0"/>
      <w:marBottom w:val="0"/>
      <w:divBdr>
        <w:top w:val="none" w:sz="0" w:space="0" w:color="auto"/>
        <w:left w:val="none" w:sz="0" w:space="0" w:color="auto"/>
        <w:bottom w:val="none" w:sz="0" w:space="0" w:color="auto"/>
        <w:right w:val="none" w:sz="0" w:space="0" w:color="auto"/>
      </w:divBdr>
    </w:div>
    <w:div w:id="2056855290">
      <w:bodyDiv w:val="1"/>
      <w:marLeft w:val="0"/>
      <w:marRight w:val="0"/>
      <w:marTop w:val="0"/>
      <w:marBottom w:val="0"/>
      <w:divBdr>
        <w:top w:val="none" w:sz="0" w:space="0" w:color="auto"/>
        <w:left w:val="none" w:sz="0" w:space="0" w:color="auto"/>
        <w:bottom w:val="none" w:sz="0" w:space="0" w:color="auto"/>
        <w:right w:val="none" w:sz="0" w:space="0" w:color="auto"/>
      </w:divBdr>
      <w:divsChild>
        <w:div w:id="51390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4.xml"/><Relationship Id="rId21" Type="http://schemas.openxmlformats.org/officeDocument/2006/relationships/footer" Target="footer1.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image" Target="media/image9.jp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theme" Target="theme/theme1.xml"/><Relationship Id="rId37"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customXml" Target="../customXml/item5.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TR\TR-268518-DG\Graphs%20for%20Ethics%20Office%20Annual%20Report%202024_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'Annual Charts'!$B$43:$B$47</c:f>
              <c:numCache>
                <c:formatCode>General</c:formatCode>
                <c:ptCount val="5"/>
                <c:pt idx="0">
                  <c:v>2020</c:v>
                </c:pt>
                <c:pt idx="1">
                  <c:v>2021</c:v>
                </c:pt>
                <c:pt idx="2">
                  <c:v>2022</c:v>
                </c:pt>
                <c:pt idx="3">
                  <c:v>2023</c:v>
                </c:pt>
                <c:pt idx="4">
                  <c:v>2024</c:v>
                </c:pt>
              </c:numCache>
            </c:numRef>
          </c:cat>
          <c:val>
            <c:numRef>
              <c:f>'Annual Charts'!$C$43:$C$47</c:f>
              <c:numCache>
                <c:formatCode>General</c:formatCode>
                <c:ptCount val="5"/>
                <c:pt idx="0">
                  <c:v>0</c:v>
                </c:pt>
                <c:pt idx="1">
                  <c:v>0</c:v>
                </c:pt>
                <c:pt idx="2">
                  <c:v>4</c:v>
                </c:pt>
                <c:pt idx="3">
                  <c:v>4</c:v>
                </c:pt>
                <c:pt idx="4">
                  <c:v>2</c:v>
                </c:pt>
              </c:numCache>
            </c:numRef>
          </c:val>
          <c:extLst>
            <c:ext xmlns:c16="http://schemas.microsoft.com/office/drawing/2014/chart" uri="{C3380CC4-5D6E-409C-BE32-E72D297353CC}">
              <c16:uniqueId val="{00000000-679C-4028-93A8-E901055C8023}"/>
            </c:ext>
          </c:extLst>
        </c:ser>
        <c:dLbls>
          <c:showLegendKey val="0"/>
          <c:showVal val="0"/>
          <c:showCatName val="0"/>
          <c:showSerName val="0"/>
          <c:showPercent val="0"/>
          <c:showBubbleSize val="0"/>
        </c:dLbls>
        <c:gapWidth val="219"/>
        <c:overlap val="-27"/>
        <c:axId val="976096159"/>
        <c:axId val="976075999"/>
      </c:barChart>
      <c:catAx>
        <c:axId val="97609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075999"/>
        <c:crosses val="autoZero"/>
        <c:auto val="1"/>
        <c:lblAlgn val="ctr"/>
        <c:lblOffset val="100"/>
        <c:noMultiLvlLbl val="0"/>
      </c:catAx>
      <c:valAx>
        <c:axId val="97607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0961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6'!$M$4:$M$6</c:f>
              <c:strCache>
                <c:ptCount val="3"/>
                <c:pt idx="0">
                  <c:v>قضية غير ظاهرة الوجاهة (عقب استعراض أولي من قبل مكتب الأخلاقيات)</c:v>
                </c:pt>
                <c:pt idx="1">
                  <c:v>لا يزال قيد النظر لدى شعبة الرقابة الداخلية (عقب استعراض أولي من قبل مكتب الأخلاقيات)</c:v>
                </c:pt>
                <c:pt idx="2">
                  <c:v>لم تثبت صحته (بعد التحقيق)</c:v>
                </c:pt>
              </c:strCache>
            </c:strRef>
          </c:cat>
          <c:val>
            <c:numRef>
              <c:f>'\\wipogvafs01\Ethics_Team\01 - Requests for Advice\01 - Case Log\2024\[2024 - Case Database_ETH_ January 2024_Tracking_Final (version 2) (version 2).xlsx]Annual Charts'!$C$51:$C$53</c:f>
              <c:numCache>
                <c:formatCode>General</c:formatCode>
                <c:ptCount val="3"/>
                <c:pt idx="0">
                  <c:v>2</c:v>
                </c:pt>
                <c:pt idx="1">
                  <c:v>1</c:v>
                </c:pt>
                <c:pt idx="2">
                  <c:v>3</c:v>
                </c:pt>
              </c:numCache>
            </c:numRef>
          </c:val>
          <c:extLst>
            <c:ext xmlns:c16="http://schemas.microsoft.com/office/drawing/2014/chart" uri="{C3380CC4-5D6E-409C-BE32-E72D297353CC}">
              <c16:uniqueId val="{00000000-DF7E-4AC2-B75A-97D72D9882D0}"/>
            </c:ext>
          </c:extLst>
        </c:ser>
        <c:dLbls>
          <c:showLegendKey val="0"/>
          <c:showVal val="0"/>
          <c:showCatName val="0"/>
          <c:showSerName val="0"/>
          <c:showPercent val="0"/>
          <c:showBubbleSize val="0"/>
        </c:dLbls>
        <c:gapWidth val="219"/>
        <c:overlap val="-27"/>
        <c:axId val="976115359"/>
        <c:axId val="976135519"/>
      </c:barChart>
      <c:catAx>
        <c:axId val="976115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976135519"/>
        <c:crosses val="autoZero"/>
        <c:auto val="0"/>
        <c:lblAlgn val="ctr"/>
        <c:lblOffset val="100"/>
        <c:noMultiLvlLbl val="0"/>
      </c:catAx>
      <c:valAx>
        <c:axId val="976135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61153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DEAADBFP-1499948599-783</_dlc_DocId>
    <_dlc_DocIdUrl xmlns="afdacc0a-6563-489f-9b51-6fc9acac5c48">
      <Url>https://wipoprod.sharepoint.com/sites/SPS-INT-BFP-DEAAD-AsseAffa/_layouts/15/DocIdRedir.aspx?ID=DEAADBFP-1499948599-783</Url>
      <Description>DEAADBFP-1499948599-783</Description>
    </_dlc_DocIdUrl>
  </documentManagement>
</p:properties>
</file>

<file path=customXml/itemProps1.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customXml/itemProps2.xml><?xml version="1.0" encoding="utf-8"?>
<ds:datastoreItem xmlns:ds="http://schemas.openxmlformats.org/officeDocument/2006/customXml" ds:itemID="{5E5ACA3B-437B-454C-A222-60792A06A326}"/>
</file>

<file path=customXml/itemProps3.xml><?xml version="1.0" encoding="utf-8"?>
<ds:datastoreItem xmlns:ds="http://schemas.openxmlformats.org/officeDocument/2006/customXml" ds:itemID="{3A49E99A-EE83-4A81-A581-E45A68293BB9}"/>
</file>

<file path=customXml/itemProps4.xml><?xml version="1.0" encoding="utf-8"?>
<ds:datastoreItem xmlns:ds="http://schemas.openxmlformats.org/officeDocument/2006/customXml" ds:itemID="{9D5A5761-7132-45D1-8C04-B2BE0C44617B}"/>
</file>

<file path=customXml/itemProps5.xml><?xml version="1.0" encoding="utf-8"?>
<ds:datastoreItem xmlns:ds="http://schemas.openxmlformats.org/officeDocument/2006/customXml" ds:itemID="{E70622B5-53A4-4C9E-8F58-A5B189A49991}"/>
</file>

<file path=customXml/itemProps6.xml><?xml version="1.0" encoding="utf-8"?>
<ds:datastoreItem xmlns:ds="http://schemas.openxmlformats.org/officeDocument/2006/customXml" ds:itemID="{752EF404-DF6B-46C6-AC43-420B1CC0FB5C}"/>
</file>

<file path=docProps/app.xml><?xml version="1.0" encoding="utf-8"?>
<Properties xmlns="http://schemas.openxmlformats.org/officeDocument/2006/extended-properties" xmlns:vt="http://schemas.openxmlformats.org/officeDocument/2006/docPropsVTypes">
  <Template>Normal.dotm</Template>
  <TotalTime>6</TotalTime>
  <Pages>10</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WO/CC/83/INF/2 Rev.</vt:lpstr>
    </vt:vector>
  </TitlesOfParts>
  <Company>WIPO</Company>
  <LinksUpToDate>false</LinksUpToDate>
  <CharactersWithSpaces>15681</CharactersWithSpaces>
  <SharedDoc>false</SharedDoc>
  <HLinks>
    <vt:vector size="72" baseType="variant">
      <vt:variant>
        <vt:i4>4128847</vt:i4>
      </vt:variant>
      <vt:variant>
        <vt:i4>33</vt:i4>
      </vt:variant>
      <vt:variant>
        <vt:i4>0</vt:i4>
      </vt:variant>
      <vt:variant>
        <vt:i4>5</vt:i4>
      </vt:variant>
      <vt:variant>
        <vt:lpwstr>mailto:sarah.castroroberts@wipo.int</vt:lpwstr>
      </vt:variant>
      <vt:variant>
        <vt:lpwstr/>
      </vt:variant>
      <vt:variant>
        <vt:i4>4128847</vt:i4>
      </vt:variant>
      <vt:variant>
        <vt:i4>30</vt:i4>
      </vt:variant>
      <vt:variant>
        <vt:i4>0</vt:i4>
      </vt:variant>
      <vt:variant>
        <vt:i4>5</vt:i4>
      </vt:variant>
      <vt:variant>
        <vt:lpwstr>mailto:sarah.castroroberts@wipo.int</vt:lpwstr>
      </vt:variant>
      <vt:variant>
        <vt:lpwstr/>
      </vt:variant>
      <vt:variant>
        <vt:i4>4128847</vt:i4>
      </vt:variant>
      <vt:variant>
        <vt:i4>27</vt:i4>
      </vt:variant>
      <vt:variant>
        <vt:i4>0</vt:i4>
      </vt:variant>
      <vt:variant>
        <vt:i4>5</vt:i4>
      </vt:variant>
      <vt:variant>
        <vt:lpwstr>mailto:sarah.castroroberts@wipo.int</vt:lpwstr>
      </vt:variant>
      <vt:variant>
        <vt:lpwstr/>
      </vt:variant>
      <vt:variant>
        <vt:i4>4128847</vt:i4>
      </vt:variant>
      <vt:variant>
        <vt:i4>24</vt:i4>
      </vt:variant>
      <vt:variant>
        <vt:i4>0</vt:i4>
      </vt:variant>
      <vt:variant>
        <vt:i4>5</vt:i4>
      </vt:variant>
      <vt:variant>
        <vt:lpwstr>mailto:sarah.castroroberts@wipo.int</vt:lpwstr>
      </vt:variant>
      <vt:variant>
        <vt:lpwstr/>
      </vt:variant>
      <vt:variant>
        <vt:i4>4128847</vt:i4>
      </vt:variant>
      <vt:variant>
        <vt:i4>21</vt:i4>
      </vt:variant>
      <vt:variant>
        <vt:i4>0</vt:i4>
      </vt:variant>
      <vt:variant>
        <vt:i4>5</vt:i4>
      </vt:variant>
      <vt:variant>
        <vt:lpwstr>mailto:sarah.castroroberts@wipo.int</vt:lpwstr>
      </vt:variant>
      <vt:variant>
        <vt:lpwstr/>
      </vt:variant>
      <vt:variant>
        <vt:i4>1310835</vt:i4>
      </vt:variant>
      <vt:variant>
        <vt:i4>18</vt:i4>
      </vt:variant>
      <vt:variant>
        <vt:i4>0</vt:i4>
      </vt:variant>
      <vt:variant>
        <vt:i4>5</vt:i4>
      </vt:variant>
      <vt:variant>
        <vt:lpwstr>https://intranet.wipo.int/oiic_doc/en/2023/oi_33_2017_rev_1.pdf</vt:lpwstr>
      </vt:variant>
      <vt:variant>
        <vt:lpwstr/>
      </vt:variant>
      <vt:variant>
        <vt:i4>4128847</vt:i4>
      </vt:variant>
      <vt:variant>
        <vt:i4>15</vt:i4>
      </vt:variant>
      <vt:variant>
        <vt:i4>0</vt:i4>
      </vt:variant>
      <vt:variant>
        <vt:i4>5</vt:i4>
      </vt:variant>
      <vt:variant>
        <vt:lpwstr>mailto:sarah.castroroberts@wipo.int</vt:lpwstr>
      </vt:variant>
      <vt:variant>
        <vt:lpwstr/>
      </vt:variant>
      <vt:variant>
        <vt:i4>4128847</vt:i4>
      </vt:variant>
      <vt:variant>
        <vt:i4>12</vt:i4>
      </vt:variant>
      <vt:variant>
        <vt:i4>0</vt:i4>
      </vt:variant>
      <vt:variant>
        <vt:i4>5</vt:i4>
      </vt:variant>
      <vt:variant>
        <vt:lpwstr>mailto:sarah.castroroberts@wipo.int</vt:lpwstr>
      </vt:variant>
      <vt:variant>
        <vt:lpwstr/>
      </vt:variant>
      <vt:variant>
        <vt:i4>4128847</vt:i4>
      </vt:variant>
      <vt:variant>
        <vt:i4>9</vt:i4>
      </vt:variant>
      <vt:variant>
        <vt:i4>0</vt:i4>
      </vt:variant>
      <vt:variant>
        <vt:i4>5</vt:i4>
      </vt:variant>
      <vt:variant>
        <vt:lpwstr>mailto:sarah.castroroberts@wipo.int</vt:lpwstr>
      </vt:variant>
      <vt:variant>
        <vt:lpwstr/>
      </vt:variant>
      <vt:variant>
        <vt:i4>4128847</vt:i4>
      </vt:variant>
      <vt:variant>
        <vt:i4>6</vt:i4>
      </vt:variant>
      <vt:variant>
        <vt:i4>0</vt:i4>
      </vt:variant>
      <vt:variant>
        <vt:i4>5</vt:i4>
      </vt:variant>
      <vt:variant>
        <vt:lpwstr>mailto:sarah.castroroberts@wipo.int</vt:lpwstr>
      </vt:variant>
      <vt:variant>
        <vt:lpwstr/>
      </vt:variant>
      <vt:variant>
        <vt:i4>4128847</vt:i4>
      </vt:variant>
      <vt:variant>
        <vt:i4>3</vt:i4>
      </vt:variant>
      <vt:variant>
        <vt:i4>0</vt:i4>
      </vt:variant>
      <vt:variant>
        <vt:i4>5</vt:i4>
      </vt:variant>
      <vt:variant>
        <vt:lpwstr>mailto:sarah.castroroberts@wipo.int</vt:lpwstr>
      </vt:variant>
      <vt:variant>
        <vt:lpwstr/>
      </vt:variant>
      <vt:variant>
        <vt:i4>4128847</vt:i4>
      </vt:variant>
      <vt:variant>
        <vt:i4>0</vt:i4>
      </vt:variant>
      <vt:variant>
        <vt:i4>0</vt:i4>
      </vt:variant>
      <vt:variant>
        <vt:i4>5</vt:i4>
      </vt:variant>
      <vt:variant>
        <vt:lpwstr>mailto:sarah.castroroberts@wipo.int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WO/CC/84/INF/2</dc:title>
  <dc:subject/>
  <dc:creator>WIPO</dc:creator>
  <cp:keywords/>
  <dc:description/>
  <cp:lastModifiedBy>RUSSO Antonella</cp:lastModifiedBy>
  <cp:revision>4</cp:revision>
  <cp:lastPrinted>2025-04-07T07:21:00Z</cp:lastPrinted>
  <dcterms:created xsi:type="dcterms:W3CDTF">2025-04-07T09:42:00Z</dcterms:created>
  <dcterms:modified xsi:type="dcterms:W3CDTF">2025-07-17T11:04:00Z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2025-03-07T09:59:07Z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f32a4462-f57a-4309-8620-e05e0887282b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0x01010043A0F979BE30A3469F998CB749C11FBD0F007FA3E1EBB780B94A848853097E393549</vt:lpwstr>
  </property>
  <property fmtid="{D5CDD505-2E9C-101B-9397-08002B2CF9AE}" pid="17" name="_dlc_DocIdItemGuid">
    <vt:lpwstr>bc2364bd-8b5a-49d4-91e5-c4634554b460</vt:lpwstr>
  </property>
  <property fmtid="{D5CDD505-2E9C-101B-9397-08002B2CF9AE}" pid="18" name="Languages">
    <vt:lpwstr>1;#English|950e6fa2-2df0-4983-a604-54e57c7a6d93</vt:lpwstr>
  </property>
  <property fmtid="{D5CDD505-2E9C-101B-9397-08002B2CF9AE}" pid="19" name="BusinessUnit">
    <vt:lpwstr>3;#Diplomatic Engagement and Assemblies Affairs Division|c4a5cf71-800f-4e10-aab9-36d8b83eadc2</vt:lpwstr>
  </property>
  <property fmtid="{D5CDD505-2E9C-101B-9397-08002B2CF9AE}" pid="20" name="RMClassification">
    <vt:lpwstr>7;#09 Official Meeting Documents|1c3d7eba-ea38-434e-9ba8-de39eb589212</vt:lpwstr>
  </property>
  <property fmtid="{D5CDD505-2E9C-101B-9397-08002B2CF9AE}" pid="21" name="Body1">
    <vt:lpwstr/>
  </property>
</Properties>
</file>