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394790">
            <w:pPr>
              <w:pStyle w:val="DocumentCodeAR"/>
              <w:bidi/>
              <w:rPr>
                <w:rtl/>
              </w:rPr>
            </w:pPr>
            <w:r>
              <w:t>WO/</w:t>
            </w:r>
            <w:r w:rsidR="000D7BA7">
              <w:t>C</w:t>
            </w:r>
            <w:r w:rsidR="00983389">
              <w:t>C</w:t>
            </w:r>
            <w:r w:rsidR="00100F97">
              <w:t>/</w:t>
            </w:r>
            <w:r w:rsidR="00CB1F62">
              <w:t>7</w:t>
            </w:r>
            <w:r w:rsidR="00394790">
              <w:t>4</w:t>
            </w:r>
            <w:r w:rsidR="005B3280">
              <w:t>/7</w:t>
            </w:r>
          </w:p>
        </w:tc>
      </w:tr>
      <w:tr w:rsidR="001667B6" w:rsidTr="00BF164F">
        <w:tc>
          <w:tcPr>
            <w:tcW w:w="9571" w:type="dxa"/>
            <w:gridSpan w:val="3"/>
          </w:tcPr>
          <w:p w:rsidR="001667B6" w:rsidRPr="00B6101C" w:rsidRDefault="00B6101C" w:rsidP="005B3280">
            <w:pPr>
              <w:pStyle w:val="DocumentLanguageAR"/>
              <w:bidi/>
              <w:rPr>
                <w:rtl/>
              </w:rPr>
            </w:pPr>
            <w:r w:rsidRPr="00B6101C">
              <w:rPr>
                <w:rFonts w:hint="cs"/>
                <w:rtl/>
              </w:rPr>
              <w:t xml:space="preserve">الأصل: </w:t>
            </w:r>
            <w:proofErr w:type="gramStart"/>
            <w:r w:rsidR="005B3280">
              <w:rPr>
                <w:rFonts w:hint="cs"/>
                <w:rtl/>
              </w:rPr>
              <w:t>بالإنكليزية</w:t>
            </w:r>
            <w:proofErr w:type="gramEnd"/>
          </w:p>
        </w:tc>
      </w:tr>
      <w:tr w:rsidR="001667B6" w:rsidTr="00BF164F">
        <w:tc>
          <w:tcPr>
            <w:tcW w:w="9571" w:type="dxa"/>
            <w:gridSpan w:val="3"/>
          </w:tcPr>
          <w:p w:rsidR="001667B6" w:rsidRPr="00B6101C" w:rsidRDefault="00B6101C" w:rsidP="005B3280">
            <w:pPr>
              <w:pStyle w:val="DocumentDateAR"/>
              <w:bidi/>
              <w:rPr>
                <w:rtl/>
              </w:rPr>
            </w:pPr>
            <w:r w:rsidRPr="00B6101C">
              <w:rPr>
                <w:rFonts w:hint="cs"/>
                <w:rtl/>
              </w:rPr>
              <w:t xml:space="preserve">التاريخ: </w:t>
            </w:r>
            <w:r w:rsidR="005B3280">
              <w:rPr>
                <w:rFonts w:hint="cs"/>
                <w:rtl/>
              </w:rPr>
              <w:t>26</w:t>
            </w:r>
            <w:r w:rsidRPr="00B6101C">
              <w:rPr>
                <w:rFonts w:hint="cs"/>
                <w:rtl/>
              </w:rPr>
              <w:t xml:space="preserve"> </w:t>
            </w:r>
            <w:proofErr w:type="gramStart"/>
            <w:r w:rsidR="005B3280">
              <w:rPr>
                <w:rFonts w:hint="cs"/>
                <w:rtl/>
              </w:rPr>
              <w:t>سبتمبر</w:t>
            </w:r>
            <w:proofErr w:type="gramEnd"/>
            <w:r w:rsidRPr="00B6101C">
              <w:rPr>
                <w:rFonts w:hint="cs"/>
                <w:rtl/>
              </w:rPr>
              <w:t xml:space="preserve"> </w:t>
            </w:r>
            <w:r w:rsidR="005F5866">
              <w:rPr>
                <w:rFonts w:hint="cs"/>
                <w:rtl/>
              </w:rPr>
              <w:t>201</w:t>
            </w:r>
            <w:r w:rsidR="00270D37">
              <w:rPr>
                <w:rFonts w:hint="cs"/>
                <w:rtl/>
              </w:rPr>
              <w:t>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0D7BA7">
      <w:pPr>
        <w:pStyle w:val="MeetingTitleAR"/>
        <w:bidi/>
        <w:ind w:right="550"/>
        <w:rPr>
          <w:rtl/>
          <w:lang w:val="fr-CH"/>
        </w:rPr>
      </w:pPr>
      <w:r w:rsidRPr="00100F97">
        <w:rPr>
          <w:rtl/>
        </w:rPr>
        <w:t xml:space="preserve">لجنة </w:t>
      </w:r>
      <w:r w:rsidR="000D7BA7">
        <w:rPr>
          <w:rFonts w:hint="cs"/>
          <w:rtl/>
          <w:lang w:val="fr-CH"/>
        </w:rPr>
        <w:t>الويبو للتنسيق</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B848C2" w:rsidP="00270D37">
      <w:pPr>
        <w:pStyle w:val="MeetingSessionAR"/>
        <w:bidi/>
        <w:rPr>
          <w:rFonts w:ascii="Cambria Math" w:hAnsi="Cambria Math"/>
          <w:rtl/>
        </w:rPr>
      </w:pPr>
      <w:r w:rsidRPr="00B848C2">
        <w:rPr>
          <w:rFonts w:ascii="Cambria Math" w:hAnsi="Cambria Math"/>
          <w:rtl/>
        </w:rPr>
        <w:t xml:space="preserve">الدورة </w:t>
      </w:r>
      <w:r w:rsidR="00270D37">
        <w:rPr>
          <w:rFonts w:ascii="Cambria Math" w:hAnsi="Cambria Math" w:hint="cs"/>
          <w:rtl/>
        </w:rPr>
        <w:t>الرابعة</w:t>
      </w:r>
      <w:r w:rsidRPr="00B848C2">
        <w:rPr>
          <w:rFonts w:ascii="Cambria Math" w:hAnsi="Cambria Math"/>
          <w:rtl/>
        </w:rPr>
        <w:t xml:space="preserve"> والسبعون (الدورة العادية </w:t>
      </w:r>
      <w:r w:rsidR="00270D37">
        <w:rPr>
          <w:rFonts w:ascii="Cambria Math" w:hAnsi="Cambria Math" w:hint="cs"/>
          <w:rtl/>
        </w:rPr>
        <w:t>الثامنة</w:t>
      </w:r>
      <w:r w:rsidRPr="00B848C2">
        <w:rPr>
          <w:rFonts w:ascii="Cambria Math" w:hAnsi="Cambria Math"/>
          <w:rtl/>
        </w:rPr>
        <w:t xml:space="preserve"> </w:t>
      </w:r>
      <w:proofErr w:type="gramStart"/>
      <w:r w:rsidRPr="00B848C2">
        <w:rPr>
          <w:rFonts w:ascii="Cambria Math" w:hAnsi="Cambria Math"/>
          <w:rtl/>
        </w:rPr>
        <w:t>والأربعون</w:t>
      </w:r>
      <w:proofErr w:type="gramEnd"/>
      <w:r w:rsidRPr="00B848C2">
        <w:rPr>
          <w:rFonts w:ascii="Cambria Math" w:hAnsi="Cambria Math"/>
          <w:rtl/>
        </w:rPr>
        <w:t>)</w:t>
      </w:r>
    </w:p>
    <w:p w:rsidR="00D61541" w:rsidRPr="00D61541" w:rsidRDefault="00B848C2" w:rsidP="00270D37">
      <w:pPr>
        <w:pStyle w:val="MeetingDatesAR"/>
        <w:bidi/>
        <w:rPr>
          <w:rtl/>
        </w:rPr>
      </w:pPr>
      <w:r w:rsidRPr="00B848C2">
        <w:rPr>
          <w:rtl/>
        </w:rPr>
        <w:t xml:space="preserve">جنيف، </w:t>
      </w:r>
      <w:proofErr w:type="gramStart"/>
      <w:r w:rsidRPr="00B848C2">
        <w:rPr>
          <w:rtl/>
        </w:rPr>
        <w:t>من</w:t>
      </w:r>
      <w:proofErr w:type="gramEnd"/>
      <w:r w:rsidRPr="00B848C2">
        <w:rPr>
          <w:rtl/>
        </w:rPr>
        <w:t xml:space="preserve"> </w:t>
      </w:r>
      <w:r w:rsidR="00270D37">
        <w:rPr>
          <w:rFonts w:hint="cs"/>
          <w:rtl/>
        </w:rPr>
        <w:t>2</w:t>
      </w:r>
      <w:r w:rsidRPr="00B848C2">
        <w:rPr>
          <w:rtl/>
        </w:rPr>
        <w:t xml:space="preserve"> إلى 11 أكتوبر 201</w:t>
      </w:r>
      <w:r w:rsidR="00270D37">
        <w:rPr>
          <w:rFonts w:hint="cs"/>
          <w:rtl/>
        </w:rPr>
        <w:t>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5B3280" w:rsidP="00FB7EC9">
      <w:pPr>
        <w:pStyle w:val="DocumentTitleAR"/>
        <w:bidi/>
        <w:rPr>
          <w:rtl/>
        </w:rPr>
      </w:pPr>
      <w:proofErr w:type="gramStart"/>
      <w:r w:rsidRPr="005B3280">
        <w:rPr>
          <w:rtl/>
        </w:rPr>
        <w:t>تعديلات</w:t>
      </w:r>
      <w:proofErr w:type="gramEnd"/>
      <w:r w:rsidRPr="005B3280">
        <w:rPr>
          <w:rtl/>
        </w:rPr>
        <w:t xml:space="preserve"> على نظام الموظفين م</w:t>
      </w:r>
      <w:r>
        <w:rPr>
          <w:rtl/>
        </w:rPr>
        <w:t>ن اقتراح اللجنة الاستشارية المس</w:t>
      </w:r>
      <w:r w:rsidRPr="005B3280">
        <w:rPr>
          <w:rtl/>
        </w:rPr>
        <w:t>تقلة للرقابة</w:t>
      </w:r>
    </w:p>
    <w:p w:rsidR="00D61541" w:rsidRPr="00D61541" w:rsidRDefault="00D61541" w:rsidP="00931859">
      <w:pPr>
        <w:pStyle w:val="PreparedbyAR"/>
        <w:bidi/>
      </w:pPr>
      <w:r w:rsidRPr="00D61541">
        <w:rPr>
          <w:rFonts w:hint="cs"/>
          <w:rtl/>
        </w:rPr>
        <w:t xml:space="preserve">من </w:t>
      </w:r>
      <w:r w:rsidRPr="00931859">
        <w:rPr>
          <w:rFonts w:hint="cs"/>
          <w:rtl/>
        </w:rPr>
        <w:t>إعداد</w:t>
      </w:r>
      <w:r w:rsidR="005B3280">
        <w:rPr>
          <w:rFonts w:hint="cs"/>
          <w:rtl/>
        </w:rPr>
        <w:t xml:space="preserve"> اللجنة الاستشارية المستقلة للرقابة</w:t>
      </w:r>
    </w:p>
    <w:p w:rsidR="00D61541" w:rsidRDefault="005B3280" w:rsidP="005B3280">
      <w:pPr>
        <w:pStyle w:val="NumberedParaAR"/>
      </w:pPr>
      <w:r>
        <w:rPr>
          <w:rFonts w:hint="cs"/>
          <w:rtl/>
        </w:rPr>
        <w:t xml:space="preserve">قرّرت الجمعية العامة </w:t>
      </w:r>
      <w:proofErr w:type="spellStart"/>
      <w:r>
        <w:rPr>
          <w:rFonts w:hint="cs"/>
          <w:rtl/>
        </w:rPr>
        <w:t>للويبو</w:t>
      </w:r>
      <w:proofErr w:type="spellEnd"/>
      <w:r>
        <w:rPr>
          <w:rFonts w:hint="cs"/>
          <w:rtl/>
        </w:rPr>
        <w:t>، في دورتها الثامنة والأربعين (أكتوبر 2016)، ما يلي:</w:t>
      </w:r>
    </w:p>
    <w:p w:rsidR="005B3280" w:rsidRDefault="005B3280" w:rsidP="005B3280">
      <w:pPr>
        <w:pStyle w:val="NormalParaAR"/>
        <w:ind w:left="566"/>
      </w:pPr>
      <w:r w:rsidRPr="005B3280">
        <w:rPr>
          <w:rFonts w:hint="cs"/>
          <w:i/>
          <w:iCs/>
          <w:rtl/>
        </w:rPr>
        <w:t>""2"</w:t>
      </w:r>
      <w:r w:rsidRPr="005B3280">
        <w:rPr>
          <w:i/>
          <w:iCs/>
          <w:rtl/>
        </w:rPr>
        <w:tab/>
      </w:r>
      <w:r w:rsidRPr="005B3280">
        <w:rPr>
          <w:rFonts w:hint="cs"/>
          <w:i/>
          <w:iCs/>
          <w:rtl/>
        </w:rPr>
        <w:t>والالتماس من اللجنة الاستشارية المستقلة للرقابة أن تعدّ، بالمساعدة التقنية من الأمانة وبعد التشاور مع الدول الأعضاء، الطرائق والإجراءات المناسبة (بما في ذلك أية تعديلات ضرورية يُقترح إدخالها على نظام الموظفين) وفقا للنسخة المراجَعة من ميثاق الرقابة الداخلية، بما في ذلك تلك المنطبقة على المسارات التي تتبعها لجنة التنسيق، كي تنظر فيها لجنة التنسيق وتعتمدها في دورتها المقبلة."</w:t>
      </w:r>
      <w:r>
        <w:rPr>
          <w:rFonts w:hint="cs"/>
          <w:rtl/>
        </w:rPr>
        <w:t xml:space="preserve"> (الفقرة 22"2" من الوثيقة </w:t>
      </w:r>
      <w:r w:rsidRPr="005B3280">
        <w:t>A/56/16</w:t>
      </w:r>
      <w:r>
        <w:rPr>
          <w:rFonts w:hint="cs"/>
          <w:rtl/>
        </w:rPr>
        <w:t>)</w:t>
      </w:r>
    </w:p>
    <w:p w:rsidR="007135A2" w:rsidRDefault="00701979" w:rsidP="00803B4B">
      <w:pPr>
        <w:pStyle w:val="NumberedParaAR"/>
      </w:pPr>
      <w:proofErr w:type="gramStart"/>
      <w:r>
        <w:rPr>
          <w:rFonts w:hint="cs"/>
          <w:rtl/>
        </w:rPr>
        <w:t>وطبقا</w:t>
      </w:r>
      <w:proofErr w:type="gramEnd"/>
      <w:r>
        <w:rPr>
          <w:rFonts w:hint="cs"/>
          <w:rtl/>
        </w:rPr>
        <w:t xml:space="preserve"> للقرار الوارد </w:t>
      </w:r>
      <w:r w:rsidR="00803B4B">
        <w:rPr>
          <w:rFonts w:hint="cs"/>
          <w:rtl/>
        </w:rPr>
        <w:t>أعلاه</w:t>
      </w:r>
      <w:r>
        <w:rPr>
          <w:rFonts w:hint="cs"/>
          <w:rtl/>
        </w:rPr>
        <w:t xml:space="preserve">، تحتوي هذه الوثيقة على التعديلات التي تقترح اللجنة الاستشارية المستقلة للرقابة </w:t>
      </w:r>
      <w:r w:rsidR="00211283">
        <w:rPr>
          <w:rFonts w:hint="cs"/>
          <w:rtl/>
        </w:rPr>
        <w:t>(اللجنة</w:t>
      </w:r>
      <w:r w:rsidR="00211283">
        <w:rPr>
          <w:rFonts w:hint="eastAsia"/>
          <w:rtl/>
        </w:rPr>
        <w:t> </w:t>
      </w:r>
      <w:r w:rsidR="00211283">
        <w:rPr>
          <w:rFonts w:hint="cs"/>
          <w:rtl/>
        </w:rPr>
        <w:t xml:space="preserve">الاستشارية) </w:t>
      </w:r>
      <w:r>
        <w:rPr>
          <w:rFonts w:hint="cs"/>
          <w:rtl/>
        </w:rPr>
        <w:t>إدخالها على نظام الموظفين.</w:t>
      </w:r>
    </w:p>
    <w:p w:rsidR="00701979" w:rsidRDefault="00211283" w:rsidP="00803B4B">
      <w:pPr>
        <w:pStyle w:val="NumberedParaAR"/>
      </w:pPr>
      <w:r>
        <w:rPr>
          <w:rFonts w:hint="cs"/>
          <w:rtl/>
        </w:rPr>
        <w:t>وقد نظرت اللجنة الاستشارية، في دورتها الرابعة والأربعين المعقودة في مارس</w:t>
      </w:r>
      <w:r w:rsidR="00803B4B">
        <w:rPr>
          <w:rFonts w:hint="eastAsia"/>
          <w:rtl/>
        </w:rPr>
        <w:t> </w:t>
      </w:r>
      <w:r>
        <w:rPr>
          <w:rFonts w:hint="cs"/>
          <w:rtl/>
        </w:rPr>
        <w:t>2017 ودورتها الخامسة والأربعين المعقودة في يوليو</w:t>
      </w:r>
      <w:r w:rsidR="00803B4B">
        <w:rPr>
          <w:rFonts w:hint="eastAsia"/>
          <w:rtl/>
        </w:rPr>
        <w:t> </w:t>
      </w:r>
      <w:r>
        <w:rPr>
          <w:rFonts w:hint="cs"/>
          <w:rtl/>
        </w:rPr>
        <w:t>2017، في المسألة بغرض تحديد الطرائق والإج</w:t>
      </w:r>
      <w:r w:rsidR="00A45052">
        <w:rPr>
          <w:rFonts w:hint="cs"/>
          <w:rtl/>
        </w:rPr>
        <w:t xml:space="preserve">راءات المناسبة أو اللازم تحديدها وفقا لميثاق الرقابة الداخلية المراجَع الذي اعتمدته الجمعية العامة </w:t>
      </w:r>
      <w:proofErr w:type="spellStart"/>
      <w:r w:rsidR="00A45052">
        <w:rPr>
          <w:rFonts w:hint="cs"/>
          <w:rtl/>
        </w:rPr>
        <w:t>للويبو</w:t>
      </w:r>
      <w:proofErr w:type="spellEnd"/>
      <w:r w:rsidR="00A45052">
        <w:rPr>
          <w:rFonts w:hint="cs"/>
          <w:rtl/>
        </w:rPr>
        <w:t>.</w:t>
      </w:r>
    </w:p>
    <w:p w:rsidR="00A45052" w:rsidRDefault="00A45052" w:rsidP="00803B4B">
      <w:pPr>
        <w:pStyle w:val="NumberedParaAR"/>
      </w:pPr>
      <w:r>
        <w:rPr>
          <w:rFonts w:hint="cs"/>
          <w:rtl/>
        </w:rPr>
        <w:t xml:space="preserve">وتنص </w:t>
      </w:r>
      <w:r w:rsidR="000B5BC8">
        <w:rPr>
          <w:rFonts w:hint="cs"/>
          <w:rtl/>
        </w:rPr>
        <w:t>الفقرة</w:t>
      </w:r>
      <w:r w:rsidR="00803B4B">
        <w:rPr>
          <w:rFonts w:hint="eastAsia"/>
          <w:rtl/>
        </w:rPr>
        <w:t> </w:t>
      </w:r>
      <w:r>
        <w:rPr>
          <w:rFonts w:hint="cs"/>
          <w:rtl/>
        </w:rPr>
        <w:t xml:space="preserve">39 من ميثاق الرقابة الداخلية المراجَع على جملة أمور منها أنه في حال أثبت التحقيق الخاص بالمدير العام بعضا من ادعاءات سوك السلوك أو كلها، يكون للجنة الويبو للتنسيق </w:t>
      </w:r>
      <w:r w:rsidRPr="000B5BC8">
        <w:rPr>
          <w:rFonts w:hint="cs"/>
          <w:i/>
          <w:iCs/>
          <w:rtl/>
        </w:rPr>
        <w:t xml:space="preserve">"البت </w:t>
      </w:r>
      <w:r w:rsidR="000B5BC8" w:rsidRPr="000B5BC8">
        <w:rPr>
          <w:rFonts w:hint="cs"/>
          <w:i/>
          <w:iCs/>
          <w:rtl/>
        </w:rPr>
        <w:t>فيما كان يتعين إغلاق القضية أو بدء إجراء تأديبي والمضي فيه"</w:t>
      </w:r>
      <w:r w:rsidR="000B5BC8">
        <w:rPr>
          <w:rFonts w:hint="cs"/>
          <w:rtl/>
        </w:rPr>
        <w:t xml:space="preserve">. وفي حين تخضع التدابير التأديبية والإجراءات ذات صلة لأحكام المادة 1.10 </w:t>
      </w:r>
      <w:proofErr w:type="gramStart"/>
      <w:r w:rsidR="000B5BC8">
        <w:rPr>
          <w:rFonts w:hint="cs"/>
          <w:rtl/>
        </w:rPr>
        <w:t>من</w:t>
      </w:r>
      <w:proofErr w:type="gramEnd"/>
      <w:r w:rsidR="000B5BC8">
        <w:rPr>
          <w:rFonts w:hint="cs"/>
          <w:rtl/>
        </w:rPr>
        <w:t xml:space="preserve"> نظام الموظفين وللقواعد من</w:t>
      </w:r>
      <w:r w:rsidR="000B5BC8">
        <w:rPr>
          <w:rFonts w:hint="eastAsia"/>
          <w:rtl/>
        </w:rPr>
        <w:t> </w:t>
      </w:r>
      <w:r w:rsidR="000B5BC8">
        <w:rPr>
          <w:rFonts w:hint="cs"/>
          <w:rtl/>
        </w:rPr>
        <w:t xml:space="preserve">1.1.10 إلى 6.1.10 من لائحة الموظفين، فإن تلك الأحكام لا تشمل التدابير التأديبية والإجراءات ذات الصلة المنطبقة على المدير العام. وعليه لا </w:t>
      </w:r>
      <w:r w:rsidR="00BF5FD1">
        <w:rPr>
          <w:rFonts w:hint="cs"/>
          <w:rtl/>
        </w:rPr>
        <w:t xml:space="preserve">بد من سدّ تلك الفجوة بتوضيح أن </w:t>
      </w:r>
      <w:r w:rsidR="000B5BC8">
        <w:rPr>
          <w:rFonts w:hint="cs"/>
          <w:rtl/>
        </w:rPr>
        <w:t xml:space="preserve">لجنة الويبو للتنسيق </w:t>
      </w:r>
      <w:r w:rsidR="00BF5FD1">
        <w:rPr>
          <w:rFonts w:hint="cs"/>
          <w:rtl/>
        </w:rPr>
        <w:t xml:space="preserve">هي السلطة المختصة </w:t>
      </w:r>
      <w:r w:rsidR="003E463E">
        <w:rPr>
          <w:rFonts w:hint="cs"/>
          <w:rtl/>
        </w:rPr>
        <w:t>بال</w:t>
      </w:r>
      <w:r w:rsidR="00BF5FD1">
        <w:rPr>
          <w:rFonts w:hint="cs"/>
          <w:rtl/>
        </w:rPr>
        <w:t xml:space="preserve">مضي في </w:t>
      </w:r>
      <w:r w:rsidR="000B5BC8">
        <w:rPr>
          <w:rFonts w:hint="cs"/>
          <w:rtl/>
        </w:rPr>
        <w:t>ذلك الإجراء، و</w:t>
      </w:r>
      <w:r w:rsidR="00AD5525">
        <w:rPr>
          <w:rFonts w:hint="cs"/>
          <w:rtl/>
        </w:rPr>
        <w:t xml:space="preserve">توصية الجمعية العامة </w:t>
      </w:r>
      <w:proofErr w:type="spellStart"/>
      <w:r w:rsidR="00AD5525">
        <w:rPr>
          <w:rFonts w:hint="cs"/>
          <w:rtl/>
        </w:rPr>
        <w:t>للويبو</w:t>
      </w:r>
      <w:proofErr w:type="spellEnd"/>
      <w:r w:rsidR="00AD5525">
        <w:rPr>
          <w:rFonts w:hint="cs"/>
          <w:rtl/>
        </w:rPr>
        <w:t xml:space="preserve"> بفرض</w:t>
      </w:r>
      <w:r w:rsidR="000B5BC8">
        <w:rPr>
          <w:rFonts w:hint="cs"/>
          <w:rtl/>
        </w:rPr>
        <w:t xml:space="preserve"> تدبير تأديبي، إن رأت ضرورة ذلك.</w:t>
      </w:r>
    </w:p>
    <w:p w:rsidR="00BF5FD1" w:rsidRDefault="00BF5FD1" w:rsidP="000A42A7">
      <w:pPr>
        <w:pStyle w:val="NumberedParaAR"/>
      </w:pPr>
      <w:r>
        <w:rPr>
          <w:rFonts w:hint="cs"/>
          <w:rtl/>
        </w:rPr>
        <w:lastRenderedPageBreak/>
        <w:t xml:space="preserve">وبناء على ذلك، توصي اللجنة الاستشارية بإدراج مادة جديدة </w:t>
      </w:r>
      <w:r w:rsidR="000A42A7">
        <w:rPr>
          <w:rFonts w:hint="cs"/>
          <w:rtl/>
        </w:rPr>
        <w:t>في نظام الموظفين في نهاية الفصل العاشر لمعالجة تلك</w:t>
      </w:r>
      <w:r w:rsidR="000A42A7">
        <w:rPr>
          <w:rFonts w:hint="eastAsia"/>
          <w:rtl/>
        </w:rPr>
        <w:t> </w:t>
      </w:r>
      <w:r w:rsidR="000A42A7">
        <w:rPr>
          <w:rFonts w:hint="cs"/>
          <w:rtl/>
        </w:rPr>
        <w:t xml:space="preserve">الحالة المحدّدة التي تصدر فيها ادعاءات سوء سلوك ضد المدير العام. ويُقترح أن يكون </w:t>
      </w:r>
      <w:proofErr w:type="gramStart"/>
      <w:r w:rsidR="000A42A7">
        <w:rPr>
          <w:rFonts w:hint="cs"/>
          <w:rtl/>
        </w:rPr>
        <w:t>نص</w:t>
      </w:r>
      <w:proofErr w:type="gramEnd"/>
      <w:r w:rsidR="000A42A7">
        <w:rPr>
          <w:rFonts w:hint="cs"/>
          <w:rtl/>
        </w:rPr>
        <w:t xml:space="preserve"> المادة 2.10 الجديدة من نظام الموظفين كما يلي:</w:t>
      </w:r>
    </w:p>
    <w:tbl>
      <w:tblPr>
        <w:tblStyle w:val="TableGrid"/>
        <w:bidiVisual/>
        <w:tblW w:w="0" w:type="auto"/>
        <w:tblLook w:val="04A0" w:firstRow="1" w:lastRow="0" w:firstColumn="1" w:lastColumn="0" w:noHBand="0" w:noVBand="1"/>
      </w:tblPr>
      <w:tblGrid>
        <w:gridCol w:w="1268"/>
        <w:gridCol w:w="2910"/>
        <w:gridCol w:w="2910"/>
        <w:gridCol w:w="2375"/>
      </w:tblGrid>
      <w:tr w:rsidR="000A42A7" w:rsidRPr="000A42A7" w:rsidTr="000A42A7">
        <w:tc>
          <w:tcPr>
            <w:tcW w:w="1268" w:type="dxa"/>
            <w:shd w:val="clear" w:color="auto" w:fill="FBD4B4" w:themeFill="accent6" w:themeFillTint="66"/>
          </w:tcPr>
          <w:p w:rsidR="000A42A7" w:rsidRPr="000A42A7" w:rsidRDefault="000A42A7" w:rsidP="000A42A7">
            <w:pPr>
              <w:tabs>
                <w:tab w:val="left" w:pos="0"/>
              </w:tabs>
              <w:bidi/>
              <w:jc w:val="center"/>
              <w:rPr>
                <w:rFonts w:ascii="Arabic Typesetting" w:eastAsia="SimSun" w:hAnsi="Arabic Typesetting" w:cs="Arabic Typesetting"/>
                <w:b/>
                <w:bCs/>
                <w:sz w:val="32"/>
                <w:szCs w:val="32"/>
                <w:lang w:eastAsia="zh-CN"/>
              </w:rPr>
            </w:pPr>
            <w:r w:rsidRPr="000A42A7">
              <w:rPr>
                <w:rFonts w:ascii="Arabic Typesetting" w:eastAsia="SimSun" w:hAnsi="Arabic Typesetting" w:cs="Arabic Typesetting" w:hint="cs"/>
                <w:b/>
                <w:bCs/>
                <w:sz w:val="32"/>
                <w:szCs w:val="32"/>
                <w:rtl/>
                <w:lang w:eastAsia="zh-CN"/>
              </w:rPr>
              <w:t>الحكم</w:t>
            </w:r>
          </w:p>
        </w:tc>
        <w:tc>
          <w:tcPr>
            <w:tcW w:w="2910" w:type="dxa"/>
            <w:shd w:val="clear" w:color="auto" w:fill="FBD4B4" w:themeFill="accent6" w:themeFillTint="66"/>
          </w:tcPr>
          <w:p w:rsidR="000A42A7" w:rsidRPr="000A42A7" w:rsidRDefault="000A42A7" w:rsidP="000A42A7">
            <w:pPr>
              <w:tabs>
                <w:tab w:val="left" w:pos="0"/>
              </w:tabs>
              <w:bidi/>
              <w:jc w:val="center"/>
              <w:rPr>
                <w:rFonts w:ascii="Arabic Typesetting" w:eastAsia="SimSun" w:hAnsi="Arabic Typesetting" w:cs="Arabic Typesetting"/>
                <w:b/>
                <w:bCs/>
                <w:sz w:val="32"/>
                <w:szCs w:val="32"/>
                <w:lang w:eastAsia="zh-CN"/>
              </w:rPr>
            </w:pPr>
            <w:proofErr w:type="gramStart"/>
            <w:r w:rsidRPr="000A42A7">
              <w:rPr>
                <w:rFonts w:ascii="Arabic Typesetting" w:eastAsia="SimSun" w:hAnsi="Arabic Typesetting" w:cs="Arabic Typesetting" w:hint="cs"/>
                <w:b/>
                <w:bCs/>
                <w:sz w:val="32"/>
                <w:szCs w:val="32"/>
                <w:rtl/>
                <w:lang w:eastAsia="zh-CN"/>
              </w:rPr>
              <w:t>النص</w:t>
            </w:r>
            <w:proofErr w:type="gramEnd"/>
            <w:r w:rsidRPr="000A42A7">
              <w:rPr>
                <w:rFonts w:ascii="Arabic Typesetting" w:eastAsia="SimSun" w:hAnsi="Arabic Typesetting" w:cs="Arabic Typesetting" w:hint="cs"/>
                <w:b/>
                <w:bCs/>
                <w:sz w:val="32"/>
                <w:szCs w:val="32"/>
                <w:rtl/>
                <w:lang w:eastAsia="zh-CN"/>
              </w:rPr>
              <w:t xml:space="preserve"> الحالي</w:t>
            </w:r>
          </w:p>
        </w:tc>
        <w:tc>
          <w:tcPr>
            <w:tcW w:w="2910" w:type="dxa"/>
            <w:shd w:val="clear" w:color="auto" w:fill="FBD4B4" w:themeFill="accent6" w:themeFillTint="66"/>
          </w:tcPr>
          <w:p w:rsidR="000A42A7" w:rsidRPr="000A42A7" w:rsidRDefault="000A42A7" w:rsidP="000A42A7">
            <w:pPr>
              <w:tabs>
                <w:tab w:val="left" w:pos="0"/>
              </w:tabs>
              <w:bidi/>
              <w:jc w:val="center"/>
              <w:rPr>
                <w:rFonts w:ascii="Arabic Typesetting" w:eastAsia="SimSun" w:hAnsi="Arabic Typesetting" w:cs="Arabic Typesetting"/>
                <w:b/>
                <w:bCs/>
                <w:sz w:val="32"/>
                <w:szCs w:val="32"/>
                <w:lang w:eastAsia="zh-CN"/>
              </w:rPr>
            </w:pPr>
            <w:proofErr w:type="gramStart"/>
            <w:r w:rsidRPr="000A42A7">
              <w:rPr>
                <w:rFonts w:ascii="Arabic Typesetting" w:eastAsia="SimSun" w:hAnsi="Arabic Typesetting" w:cs="Arabic Typesetting" w:hint="cs"/>
                <w:b/>
                <w:bCs/>
                <w:sz w:val="32"/>
                <w:szCs w:val="32"/>
                <w:rtl/>
                <w:lang w:eastAsia="zh-CN"/>
              </w:rPr>
              <w:t>النص</w:t>
            </w:r>
            <w:proofErr w:type="gramEnd"/>
            <w:r w:rsidRPr="000A42A7">
              <w:rPr>
                <w:rFonts w:ascii="Arabic Typesetting" w:eastAsia="SimSun" w:hAnsi="Arabic Typesetting" w:cs="Arabic Typesetting" w:hint="cs"/>
                <w:b/>
                <w:bCs/>
                <w:sz w:val="32"/>
                <w:szCs w:val="32"/>
                <w:rtl/>
                <w:lang w:eastAsia="zh-CN"/>
              </w:rPr>
              <w:t xml:space="preserve"> الجديد المقترح</w:t>
            </w:r>
          </w:p>
        </w:tc>
        <w:tc>
          <w:tcPr>
            <w:tcW w:w="2375" w:type="dxa"/>
            <w:shd w:val="clear" w:color="auto" w:fill="FBD4B4" w:themeFill="accent6" w:themeFillTint="66"/>
          </w:tcPr>
          <w:p w:rsidR="000A42A7" w:rsidRPr="000A42A7" w:rsidRDefault="000A42A7" w:rsidP="000A42A7">
            <w:pPr>
              <w:tabs>
                <w:tab w:val="left" w:pos="0"/>
              </w:tabs>
              <w:bidi/>
              <w:jc w:val="center"/>
              <w:rPr>
                <w:rFonts w:ascii="Arabic Typesetting" w:eastAsia="SimSun" w:hAnsi="Arabic Typesetting" w:cs="Arabic Typesetting"/>
                <w:b/>
                <w:bCs/>
                <w:sz w:val="32"/>
                <w:szCs w:val="32"/>
                <w:lang w:eastAsia="zh-CN"/>
              </w:rPr>
            </w:pPr>
            <w:r w:rsidRPr="000A42A7">
              <w:rPr>
                <w:rFonts w:ascii="Arabic Typesetting" w:eastAsia="SimSun" w:hAnsi="Arabic Typesetting" w:cs="Arabic Typesetting" w:hint="cs"/>
                <w:b/>
                <w:bCs/>
                <w:sz w:val="32"/>
                <w:szCs w:val="32"/>
                <w:rtl/>
                <w:lang w:eastAsia="zh-CN"/>
              </w:rPr>
              <w:t>الغرض/وصف التعديل</w:t>
            </w:r>
          </w:p>
        </w:tc>
      </w:tr>
      <w:tr w:rsidR="000A42A7" w:rsidRPr="000A42A7" w:rsidTr="000A42A7">
        <w:tc>
          <w:tcPr>
            <w:tcW w:w="1268" w:type="dxa"/>
          </w:tcPr>
          <w:p w:rsidR="000A42A7" w:rsidRPr="000A42A7" w:rsidRDefault="000A42A7" w:rsidP="000A42A7">
            <w:pPr>
              <w:tabs>
                <w:tab w:val="left" w:pos="0"/>
              </w:tabs>
              <w:bidi/>
              <w:rPr>
                <w:rFonts w:ascii="Arabic Typesetting" w:eastAsia="SimSun" w:hAnsi="Arabic Typesetting" w:cs="Arabic Typesetting"/>
                <w:sz w:val="32"/>
                <w:szCs w:val="32"/>
                <w:lang w:eastAsia="zh-CN"/>
              </w:rPr>
            </w:pPr>
            <w:r w:rsidRPr="000A42A7">
              <w:rPr>
                <w:rFonts w:ascii="Arabic Typesetting" w:eastAsia="SimSun" w:hAnsi="Arabic Typesetting" w:cs="Arabic Typesetting" w:hint="cs"/>
                <w:sz w:val="32"/>
                <w:szCs w:val="32"/>
                <w:rtl/>
                <w:lang w:eastAsia="zh-CN"/>
              </w:rPr>
              <w:t xml:space="preserve">المادة 2.10 </w:t>
            </w:r>
            <w:r w:rsidRPr="00474692">
              <w:rPr>
                <w:rFonts w:ascii="Arabic Typesetting" w:eastAsia="SimSun" w:hAnsi="Arabic Typesetting" w:cs="Arabic Typesetting" w:hint="cs"/>
                <w:b/>
                <w:bCs/>
                <w:sz w:val="32"/>
                <w:szCs w:val="32"/>
                <w:u w:val="single"/>
                <w:rtl/>
                <w:lang w:eastAsia="zh-CN"/>
              </w:rPr>
              <w:t>الجديدة</w:t>
            </w:r>
            <w:r w:rsidRPr="000A42A7">
              <w:rPr>
                <w:rFonts w:ascii="Arabic Typesetting" w:eastAsia="SimSun" w:hAnsi="Arabic Typesetting" w:cs="Arabic Typesetting" w:hint="cs"/>
                <w:sz w:val="32"/>
                <w:szCs w:val="32"/>
                <w:rtl/>
                <w:lang w:eastAsia="zh-CN"/>
              </w:rPr>
              <w:t xml:space="preserve"> من نظام الموظفين</w:t>
            </w:r>
          </w:p>
        </w:tc>
        <w:tc>
          <w:tcPr>
            <w:tcW w:w="2910" w:type="dxa"/>
          </w:tcPr>
          <w:p w:rsidR="000A42A7" w:rsidRPr="000A42A7" w:rsidRDefault="000A42A7" w:rsidP="000A42A7">
            <w:pPr>
              <w:tabs>
                <w:tab w:val="left" w:pos="0"/>
              </w:tabs>
              <w:bidi/>
              <w:rPr>
                <w:rFonts w:ascii="Arabic Typesetting" w:eastAsia="SimSun" w:hAnsi="Arabic Typesetting" w:cs="Arabic Typesetting"/>
                <w:sz w:val="32"/>
                <w:szCs w:val="32"/>
                <w:lang w:eastAsia="zh-CN"/>
              </w:rPr>
            </w:pPr>
          </w:p>
        </w:tc>
        <w:tc>
          <w:tcPr>
            <w:tcW w:w="2910" w:type="dxa"/>
          </w:tcPr>
          <w:p w:rsidR="000A42A7" w:rsidRPr="000A42A7" w:rsidRDefault="000A42A7" w:rsidP="00982BA2">
            <w:pPr>
              <w:tabs>
                <w:tab w:val="left" w:pos="0"/>
                <w:tab w:val="left" w:pos="93"/>
              </w:tabs>
              <w:bidi/>
              <w:rPr>
                <w:rFonts w:ascii="Arabic Typesetting" w:eastAsia="SimSun" w:hAnsi="Arabic Typesetting" w:cs="Arabic Typesetting"/>
                <w:b/>
                <w:bCs/>
                <w:sz w:val="32"/>
                <w:szCs w:val="32"/>
                <w:u w:val="single"/>
                <w:lang w:eastAsia="zh-CN"/>
              </w:rPr>
            </w:pPr>
            <w:r w:rsidRPr="00982BA2">
              <w:rPr>
                <w:rFonts w:ascii="Arabic Typesetting" w:eastAsia="SimSun" w:hAnsi="Arabic Typesetting" w:cs="Arabic Typesetting" w:hint="cs"/>
                <w:b/>
                <w:bCs/>
                <w:sz w:val="32"/>
                <w:szCs w:val="32"/>
                <w:u w:val="single"/>
                <w:rtl/>
                <w:lang w:eastAsia="zh-CN"/>
              </w:rPr>
              <w:t>"</w:t>
            </w:r>
            <w:r w:rsidR="003E463E" w:rsidRPr="00982BA2">
              <w:rPr>
                <w:rFonts w:ascii="Arabic Typesetting" w:eastAsia="SimSun" w:hAnsi="Arabic Typesetting" w:cs="Arabic Typesetting" w:hint="cs"/>
                <w:b/>
                <w:bCs/>
                <w:sz w:val="32"/>
                <w:szCs w:val="32"/>
                <w:u w:val="single"/>
                <w:rtl/>
                <w:lang w:eastAsia="zh-CN"/>
              </w:rPr>
              <w:t>في حال أثبت تحقيق ادعاءات سوء السلوك الصادرة ضد المدير العام، تكون لجنة التنسيق هي السلطة المختصة ب</w:t>
            </w:r>
            <w:r w:rsidR="00AD5525">
              <w:rPr>
                <w:rFonts w:ascii="Arabic Typesetting" w:eastAsia="SimSun" w:hAnsi="Arabic Typesetting" w:cs="Arabic Typesetting" w:hint="cs"/>
                <w:b/>
                <w:bCs/>
                <w:sz w:val="32"/>
                <w:szCs w:val="32"/>
                <w:u w:val="single"/>
                <w:rtl/>
                <w:lang w:eastAsia="zh-CN"/>
              </w:rPr>
              <w:t>استهلال</w:t>
            </w:r>
            <w:r w:rsidR="003E463E" w:rsidRPr="00982BA2">
              <w:rPr>
                <w:rFonts w:ascii="Arabic Typesetting" w:eastAsia="SimSun" w:hAnsi="Arabic Typesetting" w:cs="Arabic Typesetting" w:hint="cs"/>
                <w:b/>
                <w:bCs/>
                <w:sz w:val="32"/>
                <w:szCs w:val="32"/>
                <w:u w:val="single"/>
                <w:rtl/>
                <w:lang w:eastAsia="zh-CN"/>
              </w:rPr>
              <w:t xml:space="preserve"> إجراءات تأديبية من خلال إصدار رسالة اتهام، وتسلّم الردّ على رسالة الاتهام، والتوصية بتدبير تأديبي، إن رأت ضرورة ذلك، كي تطبقه الجمعية العامة.</w:t>
            </w:r>
            <w:r w:rsidR="00982BA2" w:rsidRPr="00982BA2">
              <w:rPr>
                <w:rFonts w:ascii="Arabic Typesetting" w:eastAsia="SimSun" w:hAnsi="Arabic Typesetting" w:cs="Arabic Typesetting" w:hint="cs"/>
                <w:b/>
                <w:bCs/>
                <w:sz w:val="32"/>
                <w:szCs w:val="32"/>
                <w:u w:val="single"/>
                <w:rtl/>
                <w:lang w:eastAsia="zh-CN"/>
              </w:rPr>
              <w:t xml:space="preserve"> وللجنة التنسيق سلطة تحديد المهلة لإرسال الردّ على رسالة الاتهام، ولإصدار توصيتها إلى الجمعية العامة. ولجنة التنسيق </w:t>
            </w:r>
            <w:r w:rsidR="00982BA2">
              <w:rPr>
                <w:rFonts w:ascii="Arabic Typesetting" w:eastAsia="SimSun" w:hAnsi="Arabic Typesetting" w:cs="Arabic Typesetting" w:hint="cs"/>
                <w:b/>
                <w:bCs/>
                <w:sz w:val="32"/>
                <w:szCs w:val="32"/>
                <w:u w:val="single"/>
                <w:rtl/>
                <w:lang w:eastAsia="zh-CN"/>
              </w:rPr>
              <w:t xml:space="preserve">هي أيضا </w:t>
            </w:r>
            <w:r w:rsidR="00982BA2" w:rsidRPr="00982BA2">
              <w:rPr>
                <w:rFonts w:ascii="Arabic Typesetting" w:eastAsia="SimSun" w:hAnsi="Arabic Typesetting" w:cs="Arabic Typesetting" w:hint="cs"/>
                <w:b/>
                <w:bCs/>
                <w:sz w:val="32"/>
                <w:szCs w:val="32"/>
                <w:u w:val="single"/>
                <w:rtl/>
                <w:lang w:eastAsia="zh-CN"/>
              </w:rPr>
              <w:t xml:space="preserve">السلطة المختصة للبتّ في </w:t>
            </w:r>
            <w:r w:rsidR="00FB11D5">
              <w:rPr>
                <w:rFonts w:ascii="Arabic Typesetting" w:eastAsia="SimSun" w:hAnsi="Arabic Typesetting" w:cs="Arabic Typesetting" w:hint="cs"/>
                <w:b/>
                <w:bCs/>
                <w:sz w:val="32"/>
                <w:szCs w:val="32"/>
                <w:u w:val="single"/>
                <w:rtl/>
                <w:lang w:eastAsia="zh-CN"/>
              </w:rPr>
              <w:t>ال</w:t>
            </w:r>
            <w:r w:rsidR="00982BA2" w:rsidRPr="00982BA2">
              <w:rPr>
                <w:rFonts w:ascii="Arabic Typesetting" w:eastAsia="SimSun" w:hAnsi="Arabic Typesetting" w:cs="Arabic Typesetting" w:hint="cs"/>
                <w:b/>
                <w:bCs/>
                <w:sz w:val="32"/>
                <w:szCs w:val="32"/>
                <w:u w:val="single"/>
                <w:rtl/>
                <w:lang w:eastAsia="zh-CN"/>
              </w:rPr>
              <w:t xml:space="preserve">وقف </w:t>
            </w:r>
            <w:r w:rsidR="00FB11D5">
              <w:rPr>
                <w:rFonts w:ascii="Arabic Typesetting" w:eastAsia="SimSun" w:hAnsi="Arabic Typesetting" w:cs="Arabic Typesetting" w:hint="cs"/>
                <w:b/>
                <w:bCs/>
                <w:sz w:val="32"/>
                <w:szCs w:val="32"/>
                <w:u w:val="single"/>
                <w:rtl/>
                <w:lang w:eastAsia="zh-CN"/>
              </w:rPr>
              <w:t>ال</w:t>
            </w:r>
            <w:r w:rsidR="00474692">
              <w:rPr>
                <w:rFonts w:ascii="Arabic Typesetting" w:eastAsia="SimSun" w:hAnsi="Arabic Typesetting" w:cs="Arabic Typesetting" w:hint="cs"/>
                <w:b/>
                <w:bCs/>
                <w:sz w:val="32"/>
                <w:szCs w:val="32"/>
                <w:u w:val="single"/>
                <w:rtl/>
                <w:lang w:eastAsia="zh-CN"/>
              </w:rPr>
              <w:t xml:space="preserve">مؤقت عن العمل، </w:t>
            </w:r>
            <w:proofErr w:type="gramStart"/>
            <w:r w:rsidR="00474692">
              <w:rPr>
                <w:rFonts w:ascii="Arabic Typesetting" w:eastAsia="SimSun" w:hAnsi="Arabic Typesetting" w:cs="Arabic Typesetting" w:hint="cs"/>
                <w:b/>
                <w:bCs/>
                <w:sz w:val="32"/>
                <w:szCs w:val="32"/>
                <w:u w:val="single"/>
                <w:rtl/>
                <w:lang w:eastAsia="zh-CN"/>
              </w:rPr>
              <w:t>إن</w:t>
            </w:r>
            <w:proofErr w:type="gramEnd"/>
            <w:r w:rsidR="00474692">
              <w:rPr>
                <w:rFonts w:ascii="Arabic Typesetting" w:eastAsia="SimSun" w:hAnsi="Arabic Typesetting" w:cs="Arabic Typesetting" w:hint="cs"/>
                <w:b/>
                <w:bCs/>
                <w:sz w:val="32"/>
                <w:szCs w:val="32"/>
                <w:u w:val="single"/>
                <w:rtl/>
                <w:lang w:eastAsia="zh-CN"/>
              </w:rPr>
              <w:t xml:space="preserve"> رأت ضرورة ذلك.</w:t>
            </w:r>
            <w:r w:rsidR="00982BA2" w:rsidRPr="00982BA2">
              <w:rPr>
                <w:rFonts w:ascii="Arabic Typesetting" w:eastAsia="SimSun" w:hAnsi="Arabic Typesetting" w:cs="Arabic Typesetting" w:hint="cs"/>
                <w:b/>
                <w:bCs/>
                <w:sz w:val="32"/>
                <w:szCs w:val="32"/>
                <w:u w:val="single"/>
                <w:rtl/>
                <w:lang w:eastAsia="zh-CN"/>
              </w:rPr>
              <w:t xml:space="preserve"> وفي كل الحالات الأخرى، تُطبق على المدير العام، حسب الاقتضاء، المبادئ العامة الخاصة بالإجراء التأديبي المعمول به في الويبو، مع ما يلزم من تبديل."</w:t>
            </w:r>
          </w:p>
          <w:p w:rsidR="000A42A7" w:rsidRPr="000A42A7" w:rsidRDefault="000A42A7" w:rsidP="000A42A7">
            <w:pPr>
              <w:tabs>
                <w:tab w:val="left" w:pos="0"/>
              </w:tabs>
              <w:bidi/>
              <w:jc w:val="both"/>
              <w:rPr>
                <w:rFonts w:ascii="Arabic Typesetting" w:eastAsia="SimSun" w:hAnsi="Arabic Typesetting" w:cs="Arabic Typesetting"/>
                <w:sz w:val="32"/>
                <w:szCs w:val="32"/>
                <w:lang w:eastAsia="zh-CN"/>
              </w:rPr>
            </w:pPr>
          </w:p>
        </w:tc>
        <w:tc>
          <w:tcPr>
            <w:tcW w:w="2375" w:type="dxa"/>
          </w:tcPr>
          <w:p w:rsidR="000A42A7" w:rsidRPr="000A42A7" w:rsidRDefault="000A42A7" w:rsidP="00474692">
            <w:pPr>
              <w:tabs>
                <w:tab w:val="left" w:pos="0"/>
              </w:tabs>
              <w:bidi/>
              <w:rPr>
                <w:rFonts w:ascii="Arabic Typesetting" w:eastAsia="SimSun" w:hAnsi="Arabic Typesetting" w:cs="Arabic Typesetting"/>
                <w:sz w:val="32"/>
                <w:szCs w:val="32"/>
                <w:lang w:eastAsia="zh-CN"/>
              </w:rPr>
            </w:pPr>
            <w:r w:rsidRPr="000A42A7">
              <w:rPr>
                <w:rFonts w:ascii="Arabic Typesetting" w:eastAsia="SimSun" w:hAnsi="Arabic Typesetting" w:cs="Arabic Typesetting" w:hint="cs"/>
                <w:sz w:val="32"/>
                <w:szCs w:val="32"/>
                <w:rtl/>
                <w:lang w:eastAsia="zh-CN"/>
              </w:rPr>
              <w:t xml:space="preserve">يُقترح إدراج </w:t>
            </w:r>
            <w:proofErr w:type="gramStart"/>
            <w:r w:rsidRPr="000A42A7">
              <w:rPr>
                <w:rFonts w:ascii="Arabic Typesetting" w:eastAsia="SimSun" w:hAnsi="Arabic Typesetting" w:cs="Arabic Typesetting" w:hint="cs"/>
                <w:sz w:val="32"/>
                <w:szCs w:val="32"/>
                <w:rtl/>
                <w:lang w:eastAsia="zh-CN"/>
              </w:rPr>
              <w:t>المادة</w:t>
            </w:r>
            <w:proofErr w:type="gramEnd"/>
            <w:r w:rsidRPr="000A42A7">
              <w:rPr>
                <w:rFonts w:ascii="Arabic Typesetting" w:eastAsia="SimSun" w:hAnsi="Arabic Typesetting" w:cs="Arabic Typesetting" w:hint="eastAsia"/>
                <w:sz w:val="32"/>
                <w:szCs w:val="32"/>
                <w:rtl/>
                <w:lang w:eastAsia="zh-CN"/>
              </w:rPr>
              <w:t> </w:t>
            </w:r>
            <w:r w:rsidRPr="000A42A7">
              <w:rPr>
                <w:rFonts w:ascii="Arabic Typesetting" w:eastAsia="SimSun" w:hAnsi="Arabic Typesetting" w:cs="Arabic Typesetting" w:hint="cs"/>
                <w:sz w:val="32"/>
                <w:szCs w:val="32"/>
                <w:rtl/>
                <w:lang w:eastAsia="zh-CN"/>
              </w:rPr>
              <w:t>2.10 الجديدة في نظام الموظفين لمعالجة الحالة المحدّدة التي ي</w:t>
            </w:r>
            <w:r w:rsidR="00474692">
              <w:rPr>
                <w:rFonts w:ascii="Arabic Typesetting" w:eastAsia="SimSun" w:hAnsi="Arabic Typesetting" w:cs="Arabic Typesetting" w:hint="cs"/>
                <w:sz w:val="32"/>
                <w:szCs w:val="32"/>
                <w:rtl/>
                <w:lang w:eastAsia="zh-CN"/>
              </w:rPr>
              <w:t>ُ</w:t>
            </w:r>
            <w:r w:rsidRPr="000A42A7">
              <w:rPr>
                <w:rFonts w:ascii="Arabic Typesetting" w:eastAsia="SimSun" w:hAnsi="Arabic Typesetting" w:cs="Arabic Typesetting" w:hint="cs"/>
                <w:sz w:val="32"/>
                <w:szCs w:val="32"/>
                <w:rtl/>
                <w:lang w:eastAsia="zh-CN"/>
              </w:rPr>
              <w:t>ثبت فيها تحقيق ادعاءات سوء السلوك الصادرة ضد المدير</w:t>
            </w:r>
            <w:r w:rsidR="00474692">
              <w:rPr>
                <w:rFonts w:ascii="Arabic Typesetting" w:eastAsia="SimSun" w:hAnsi="Arabic Typesetting" w:cs="Arabic Typesetting" w:hint="eastAsia"/>
                <w:sz w:val="32"/>
                <w:szCs w:val="32"/>
                <w:rtl/>
                <w:lang w:eastAsia="zh-CN"/>
              </w:rPr>
              <w:t> </w:t>
            </w:r>
            <w:r w:rsidRPr="000A42A7">
              <w:rPr>
                <w:rFonts w:ascii="Arabic Typesetting" w:eastAsia="SimSun" w:hAnsi="Arabic Typesetting" w:cs="Arabic Typesetting" w:hint="cs"/>
                <w:sz w:val="32"/>
                <w:szCs w:val="32"/>
                <w:rtl/>
                <w:lang w:eastAsia="zh-CN"/>
              </w:rPr>
              <w:t>العام.</w:t>
            </w:r>
          </w:p>
        </w:tc>
      </w:tr>
    </w:tbl>
    <w:p w:rsidR="00B848C2" w:rsidRDefault="00FB11D5" w:rsidP="008E2371">
      <w:pPr>
        <w:pStyle w:val="NumberedParaAR"/>
        <w:spacing w:before="240"/>
      </w:pPr>
      <w:r>
        <w:rPr>
          <w:rFonts w:hint="cs"/>
          <w:rtl/>
        </w:rPr>
        <w:t>ويخضع إنهاء التعيينات لأحكام المادة</w:t>
      </w:r>
      <w:r w:rsidR="008E2371">
        <w:rPr>
          <w:rFonts w:hint="eastAsia"/>
          <w:rtl/>
        </w:rPr>
        <w:t> </w:t>
      </w:r>
      <w:r>
        <w:rPr>
          <w:rFonts w:hint="cs"/>
          <w:rtl/>
        </w:rPr>
        <w:t xml:space="preserve">2.9 </w:t>
      </w:r>
      <w:proofErr w:type="gramStart"/>
      <w:r>
        <w:rPr>
          <w:rFonts w:hint="cs"/>
          <w:rtl/>
        </w:rPr>
        <w:t>من</w:t>
      </w:r>
      <w:proofErr w:type="gramEnd"/>
      <w:r>
        <w:rPr>
          <w:rFonts w:hint="cs"/>
          <w:rtl/>
        </w:rPr>
        <w:t xml:space="preserve"> نظام الموظفين. </w:t>
      </w:r>
      <w:proofErr w:type="gramStart"/>
      <w:r>
        <w:rPr>
          <w:rFonts w:hint="cs"/>
          <w:rtl/>
        </w:rPr>
        <w:t>وتنطبق</w:t>
      </w:r>
      <w:proofErr w:type="gramEnd"/>
      <w:r>
        <w:rPr>
          <w:rFonts w:hint="cs"/>
          <w:rtl/>
        </w:rPr>
        <w:t xml:space="preserve"> الفقرة</w:t>
      </w:r>
      <w:r w:rsidR="008E2371">
        <w:rPr>
          <w:rFonts w:hint="eastAsia"/>
          <w:rtl/>
        </w:rPr>
        <w:t> </w:t>
      </w:r>
      <w:r>
        <w:rPr>
          <w:rFonts w:hint="cs"/>
          <w:rtl/>
        </w:rPr>
        <w:t>(أ) من تلك المادة على إنهاء تعيين موظف من الموظفين. أما الفقرة</w:t>
      </w:r>
      <w:r w:rsidR="008E2371">
        <w:rPr>
          <w:rFonts w:hint="eastAsia"/>
          <w:rtl/>
        </w:rPr>
        <w:t> </w:t>
      </w:r>
      <w:r>
        <w:rPr>
          <w:rFonts w:hint="cs"/>
          <w:rtl/>
        </w:rPr>
        <w:t xml:space="preserve">(د) منها فتحتوي </w:t>
      </w:r>
      <w:proofErr w:type="gramStart"/>
      <w:r>
        <w:rPr>
          <w:rFonts w:hint="cs"/>
          <w:rtl/>
        </w:rPr>
        <w:t>على</w:t>
      </w:r>
      <w:proofErr w:type="gramEnd"/>
      <w:r>
        <w:rPr>
          <w:rFonts w:hint="cs"/>
          <w:rtl/>
        </w:rPr>
        <w:t xml:space="preserve"> حكم خاص يتناول إنهاء تعيين المدير العام:</w:t>
      </w:r>
    </w:p>
    <w:p w:rsidR="00FB11D5" w:rsidRPr="00D30ED3" w:rsidRDefault="00D30ED3" w:rsidP="00FB11D5">
      <w:pPr>
        <w:pStyle w:val="NormalParaAR"/>
        <w:ind w:left="566"/>
        <w:rPr>
          <w:i/>
          <w:iCs/>
        </w:rPr>
      </w:pPr>
      <w:r w:rsidRPr="00D30ED3">
        <w:rPr>
          <w:rFonts w:hint="cs"/>
          <w:i/>
          <w:iCs/>
          <w:rtl/>
        </w:rPr>
        <w:t>"</w:t>
      </w:r>
      <w:r w:rsidR="00FB11D5" w:rsidRPr="00D30ED3">
        <w:rPr>
          <w:i/>
          <w:iCs/>
          <w:rtl/>
        </w:rPr>
        <w:t>ويجوز للجمعية العامة، بناءً على مشورة لجنة التنسيق، إنهاء تعيين المدير العام إذا لم يعد قادراً على أداء واجباته لأسباب صحية، أو إذ</w:t>
      </w:r>
      <w:r w:rsidR="00841A6E">
        <w:rPr>
          <w:i/>
          <w:iCs/>
          <w:rtl/>
        </w:rPr>
        <w:t>ا ثبت أن أداءه أو سلوكه غير مرض</w:t>
      </w:r>
      <w:r w:rsidR="00841A6E">
        <w:rPr>
          <w:rFonts w:hint="cs"/>
          <w:i/>
          <w:iCs/>
          <w:rtl/>
        </w:rPr>
        <w:t>ٍ</w:t>
      </w:r>
      <w:r w:rsidR="00FB11D5" w:rsidRPr="00D30ED3">
        <w:rPr>
          <w:i/>
          <w:iCs/>
          <w:rtl/>
        </w:rPr>
        <w:t>، أو لسبب آخر مُحدَّد في كتاب تعيينه.</w:t>
      </w:r>
      <w:r w:rsidRPr="00D30ED3">
        <w:rPr>
          <w:rFonts w:hint="cs"/>
          <w:i/>
          <w:iCs/>
          <w:rtl/>
        </w:rPr>
        <w:t>"</w:t>
      </w:r>
    </w:p>
    <w:p w:rsidR="004B67EC" w:rsidRDefault="00C07965" w:rsidP="008E2371">
      <w:pPr>
        <w:pStyle w:val="NumberedParaAR"/>
        <w:spacing w:before="240"/>
        <w:rPr>
          <w:rtl/>
        </w:rPr>
      </w:pPr>
      <w:r>
        <w:rPr>
          <w:rFonts w:hint="cs"/>
          <w:rtl/>
        </w:rPr>
        <w:t xml:space="preserve">ولا يشير النص الحالي للمادة </w:t>
      </w:r>
      <w:r w:rsidR="008E2371">
        <w:rPr>
          <w:rFonts w:hint="cs"/>
          <w:rtl/>
        </w:rPr>
        <w:t xml:space="preserve">2.9(أ)(3) و(د) </w:t>
      </w:r>
      <w:proofErr w:type="gramStart"/>
      <w:r w:rsidR="008E2371">
        <w:rPr>
          <w:rFonts w:hint="cs"/>
          <w:rtl/>
        </w:rPr>
        <w:t>من</w:t>
      </w:r>
      <w:proofErr w:type="gramEnd"/>
      <w:r w:rsidR="008E2371">
        <w:rPr>
          <w:rFonts w:hint="cs"/>
          <w:rtl/>
        </w:rPr>
        <w:t xml:space="preserve"> نظام الموظفين</w:t>
      </w:r>
      <w:r>
        <w:rPr>
          <w:rFonts w:hint="cs"/>
          <w:rtl/>
        </w:rPr>
        <w:t>، صراحة، إلى إنهاء التعيين بسبب سوء السلوك، ب</w:t>
      </w:r>
      <w:r w:rsidR="00841A6E">
        <w:rPr>
          <w:rFonts w:hint="cs"/>
          <w:rtl/>
        </w:rPr>
        <w:t>ل إلى إنهائه بسبب "سلوك غير مرضٍ</w:t>
      </w:r>
      <w:r>
        <w:rPr>
          <w:rFonts w:hint="cs"/>
          <w:rtl/>
        </w:rPr>
        <w:t>"، وهو مصطلح غير مُستخدم لا في المادة</w:t>
      </w:r>
      <w:r w:rsidR="008E2371">
        <w:rPr>
          <w:rFonts w:hint="eastAsia"/>
          <w:rtl/>
        </w:rPr>
        <w:t> </w:t>
      </w:r>
      <w:r>
        <w:rPr>
          <w:rFonts w:hint="cs"/>
          <w:rtl/>
        </w:rPr>
        <w:t xml:space="preserve">1.10 من نظام الموظفين بشأن التدابير التأديبية ولا في ميثاق الويبو للرقابة الداخلية أو الوثائق ذات الصلة. وتودّ اللجنة الاستشارية أن تشير إلى أن </w:t>
      </w:r>
      <w:r w:rsidR="00685576">
        <w:rPr>
          <w:rFonts w:hint="cs"/>
          <w:rtl/>
        </w:rPr>
        <w:t>النظامي</w:t>
      </w:r>
      <w:r w:rsidR="008E5143">
        <w:rPr>
          <w:rFonts w:hint="cs"/>
          <w:rtl/>
        </w:rPr>
        <w:t>ن الأساسي والإداري لموظفي الأمم المتحدة (</w:t>
      </w:r>
      <w:r w:rsidR="008E5143" w:rsidRPr="008E5143">
        <w:t>ST/SGB/2017/1</w:t>
      </w:r>
      <w:r w:rsidR="008E5143">
        <w:rPr>
          <w:rFonts w:hint="cs"/>
          <w:rtl/>
        </w:rPr>
        <w:t>) يميّزان بوضوح بين إنهاء الخدمة بسبب "الخدمة</w:t>
      </w:r>
      <w:r w:rsidR="008E2371">
        <w:rPr>
          <w:rFonts w:hint="eastAsia"/>
          <w:rtl/>
        </w:rPr>
        <w:t> </w:t>
      </w:r>
      <w:r w:rsidR="008E5143">
        <w:rPr>
          <w:rFonts w:hint="cs"/>
          <w:rtl/>
        </w:rPr>
        <w:t>غير</w:t>
      </w:r>
      <w:r w:rsidR="008E2371">
        <w:rPr>
          <w:rFonts w:hint="eastAsia"/>
          <w:rtl/>
        </w:rPr>
        <w:t> </w:t>
      </w:r>
      <w:r w:rsidR="008E5143">
        <w:rPr>
          <w:rFonts w:hint="cs"/>
          <w:rtl/>
        </w:rPr>
        <w:t>المرضية" وإنهاء الخدمة "لأسباب تأديبية"</w:t>
      </w:r>
      <w:r w:rsidR="00685576">
        <w:rPr>
          <w:rFonts w:hint="cs"/>
          <w:rtl/>
        </w:rPr>
        <w:t xml:space="preserve"> وترى أنه من المستحسن توفير توضيح مماثل في نظام موظفي الويبو. وعليه</w:t>
      </w:r>
      <w:r w:rsidR="008E2371">
        <w:rPr>
          <w:rFonts w:hint="cs"/>
          <w:rtl/>
        </w:rPr>
        <w:t>،</w:t>
      </w:r>
      <w:r w:rsidR="00685576">
        <w:rPr>
          <w:rFonts w:hint="cs"/>
          <w:rtl/>
        </w:rPr>
        <w:t xml:space="preserve"> توصي اللجنة الاستشارية بتعديل المادة 2.9(د). </w:t>
      </w:r>
      <w:r w:rsidR="004B67EC">
        <w:rPr>
          <w:rFonts w:hint="cs"/>
          <w:rtl/>
        </w:rPr>
        <w:t>وتوصي أيضا بتوفير توضيح مماثل فيما يخص المادة 2.9(أ)(3).</w:t>
      </w:r>
    </w:p>
    <w:p w:rsidR="004B67EC" w:rsidRDefault="004B67EC">
      <w:pPr>
        <w:rPr>
          <w:rFonts w:ascii="Arabic Typesetting" w:hAnsi="Arabic Typesetting" w:cs="Arabic Typesetting"/>
          <w:sz w:val="36"/>
          <w:szCs w:val="36"/>
          <w:rtl/>
        </w:rPr>
      </w:pPr>
      <w:r>
        <w:rPr>
          <w:rtl/>
        </w:rPr>
        <w:br w:type="page"/>
      </w:r>
    </w:p>
    <w:tbl>
      <w:tblPr>
        <w:tblStyle w:val="TableGrid"/>
        <w:bidiVisual/>
        <w:tblW w:w="0" w:type="auto"/>
        <w:tblLook w:val="04A0" w:firstRow="1" w:lastRow="0" w:firstColumn="1" w:lastColumn="0" w:noHBand="0" w:noVBand="1"/>
      </w:tblPr>
      <w:tblGrid>
        <w:gridCol w:w="1465"/>
        <w:gridCol w:w="2875"/>
        <w:gridCol w:w="2875"/>
        <w:gridCol w:w="2356"/>
      </w:tblGrid>
      <w:tr w:rsidR="004B67EC" w:rsidRPr="00D862A4" w:rsidTr="00E92CA6">
        <w:tc>
          <w:tcPr>
            <w:tcW w:w="1465" w:type="dxa"/>
            <w:tcBorders>
              <w:bottom w:val="single" w:sz="4" w:space="0" w:color="auto"/>
            </w:tcBorders>
            <w:shd w:val="clear" w:color="auto" w:fill="FBD4B4" w:themeFill="accent6" w:themeFillTint="66"/>
          </w:tcPr>
          <w:p w:rsidR="004B67EC" w:rsidRPr="00D862A4" w:rsidRDefault="004B67EC" w:rsidP="004B67EC">
            <w:pPr>
              <w:pStyle w:val="NormalParaAR"/>
              <w:rPr>
                <w:b/>
                <w:bCs/>
                <w:sz w:val="32"/>
                <w:szCs w:val="32"/>
              </w:rPr>
            </w:pPr>
            <w:r w:rsidRPr="00D862A4">
              <w:rPr>
                <w:rFonts w:hint="cs"/>
                <w:b/>
                <w:bCs/>
                <w:sz w:val="32"/>
                <w:szCs w:val="32"/>
                <w:rtl/>
              </w:rPr>
              <w:lastRenderedPageBreak/>
              <w:t>الحكم</w:t>
            </w:r>
          </w:p>
        </w:tc>
        <w:tc>
          <w:tcPr>
            <w:tcW w:w="2875" w:type="dxa"/>
            <w:tcBorders>
              <w:bottom w:val="single" w:sz="4" w:space="0" w:color="auto"/>
            </w:tcBorders>
            <w:shd w:val="clear" w:color="auto" w:fill="FBD4B4" w:themeFill="accent6" w:themeFillTint="66"/>
          </w:tcPr>
          <w:p w:rsidR="004B67EC" w:rsidRPr="00D862A4" w:rsidRDefault="004B67EC" w:rsidP="004B67EC">
            <w:pPr>
              <w:pStyle w:val="NormalParaAR"/>
              <w:rPr>
                <w:b/>
                <w:bCs/>
                <w:sz w:val="32"/>
                <w:szCs w:val="32"/>
              </w:rPr>
            </w:pPr>
            <w:proofErr w:type="gramStart"/>
            <w:r w:rsidRPr="00D862A4">
              <w:rPr>
                <w:rFonts w:hint="cs"/>
                <w:b/>
                <w:bCs/>
                <w:sz w:val="32"/>
                <w:szCs w:val="32"/>
                <w:rtl/>
              </w:rPr>
              <w:t>النص</w:t>
            </w:r>
            <w:proofErr w:type="gramEnd"/>
            <w:r w:rsidRPr="00D862A4">
              <w:rPr>
                <w:rFonts w:hint="cs"/>
                <w:b/>
                <w:bCs/>
                <w:sz w:val="32"/>
                <w:szCs w:val="32"/>
                <w:rtl/>
              </w:rPr>
              <w:t xml:space="preserve"> الحالي</w:t>
            </w:r>
          </w:p>
        </w:tc>
        <w:tc>
          <w:tcPr>
            <w:tcW w:w="2875" w:type="dxa"/>
            <w:tcBorders>
              <w:bottom w:val="single" w:sz="4" w:space="0" w:color="auto"/>
            </w:tcBorders>
            <w:shd w:val="clear" w:color="auto" w:fill="FBD4B4" w:themeFill="accent6" w:themeFillTint="66"/>
          </w:tcPr>
          <w:p w:rsidR="004B67EC" w:rsidRPr="00D862A4" w:rsidRDefault="004B67EC" w:rsidP="004B67EC">
            <w:pPr>
              <w:pStyle w:val="NormalParaAR"/>
              <w:rPr>
                <w:b/>
                <w:bCs/>
                <w:sz w:val="32"/>
                <w:szCs w:val="32"/>
              </w:rPr>
            </w:pPr>
            <w:proofErr w:type="gramStart"/>
            <w:r w:rsidRPr="00D862A4">
              <w:rPr>
                <w:rFonts w:hint="cs"/>
                <w:b/>
                <w:bCs/>
                <w:sz w:val="32"/>
                <w:szCs w:val="32"/>
                <w:rtl/>
              </w:rPr>
              <w:t>النص</w:t>
            </w:r>
            <w:proofErr w:type="gramEnd"/>
            <w:r w:rsidRPr="00D862A4">
              <w:rPr>
                <w:rFonts w:hint="cs"/>
                <w:b/>
                <w:bCs/>
                <w:sz w:val="32"/>
                <w:szCs w:val="32"/>
                <w:rtl/>
              </w:rPr>
              <w:t xml:space="preserve"> الجديد المقترح</w:t>
            </w:r>
          </w:p>
        </w:tc>
        <w:tc>
          <w:tcPr>
            <w:tcW w:w="2356" w:type="dxa"/>
            <w:tcBorders>
              <w:bottom w:val="single" w:sz="4" w:space="0" w:color="auto"/>
            </w:tcBorders>
            <w:shd w:val="clear" w:color="auto" w:fill="FBD4B4" w:themeFill="accent6" w:themeFillTint="66"/>
          </w:tcPr>
          <w:p w:rsidR="004B67EC" w:rsidRPr="00D862A4" w:rsidRDefault="004B67EC" w:rsidP="004B67EC">
            <w:pPr>
              <w:pStyle w:val="NormalParaAR"/>
              <w:rPr>
                <w:b/>
                <w:bCs/>
                <w:sz w:val="32"/>
                <w:szCs w:val="32"/>
              </w:rPr>
            </w:pPr>
            <w:r w:rsidRPr="00D862A4">
              <w:rPr>
                <w:rFonts w:hint="cs"/>
                <w:b/>
                <w:bCs/>
                <w:sz w:val="32"/>
                <w:szCs w:val="32"/>
                <w:rtl/>
              </w:rPr>
              <w:t>الغرض/وصف التعديل</w:t>
            </w:r>
          </w:p>
        </w:tc>
      </w:tr>
      <w:tr w:rsidR="00E92CA6" w:rsidRPr="00D862A4" w:rsidTr="00E92CA6">
        <w:tc>
          <w:tcPr>
            <w:tcW w:w="1465" w:type="dxa"/>
            <w:tcBorders>
              <w:bottom w:val="nil"/>
            </w:tcBorders>
          </w:tcPr>
          <w:p w:rsidR="00E92CA6" w:rsidRPr="00D862A4" w:rsidRDefault="00E92CA6" w:rsidP="00E92CA6">
            <w:pPr>
              <w:pStyle w:val="NormalParaAR"/>
              <w:rPr>
                <w:sz w:val="32"/>
                <w:szCs w:val="32"/>
              </w:rPr>
            </w:pPr>
            <w:r w:rsidRPr="00D862A4">
              <w:rPr>
                <w:rFonts w:hint="cs"/>
                <w:sz w:val="32"/>
                <w:szCs w:val="32"/>
                <w:rtl/>
              </w:rPr>
              <w:t>المادة</w:t>
            </w:r>
            <w:r w:rsidRPr="00D862A4">
              <w:rPr>
                <w:rFonts w:hint="eastAsia"/>
                <w:sz w:val="32"/>
                <w:szCs w:val="32"/>
                <w:rtl/>
              </w:rPr>
              <w:t> </w:t>
            </w:r>
            <w:r w:rsidRPr="00D862A4">
              <w:rPr>
                <w:rFonts w:hint="cs"/>
                <w:sz w:val="32"/>
                <w:szCs w:val="32"/>
                <w:rtl/>
              </w:rPr>
              <w:t xml:space="preserve">2.9(أ)(3) </w:t>
            </w:r>
            <w:proofErr w:type="gramStart"/>
            <w:r w:rsidRPr="00D862A4">
              <w:rPr>
                <w:rFonts w:hint="cs"/>
                <w:sz w:val="32"/>
                <w:szCs w:val="32"/>
                <w:rtl/>
              </w:rPr>
              <w:t>من</w:t>
            </w:r>
            <w:proofErr w:type="gramEnd"/>
            <w:r w:rsidRPr="00D862A4">
              <w:rPr>
                <w:rFonts w:hint="cs"/>
                <w:sz w:val="32"/>
                <w:szCs w:val="32"/>
                <w:rtl/>
              </w:rPr>
              <w:t xml:space="preserve"> نظام الموظفين</w:t>
            </w:r>
          </w:p>
        </w:tc>
        <w:tc>
          <w:tcPr>
            <w:tcW w:w="2875" w:type="dxa"/>
            <w:tcBorders>
              <w:bottom w:val="nil"/>
            </w:tcBorders>
          </w:tcPr>
          <w:p w:rsidR="00E92CA6" w:rsidRPr="00D862A4" w:rsidRDefault="00E92CA6" w:rsidP="004B67EC">
            <w:pPr>
              <w:pStyle w:val="NormalParaAR"/>
              <w:rPr>
                <w:sz w:val="32"/>
                <w:szCs w:val="32"/>
              </w:rPr>
            </w:pPr>
            <w:r w:rsidRPr="00D862A4">
              <w:rPr>
                <w:rFonts w:hint="cs"/>
                <w:sz w:val="32"/>
                <w:szCs w:val="32"/>
                <w:rtl/>
              </w:rPr>
              <w:t xml:space="preserve">(3) </w:t>
            </w:r>
            <w:r w:rsidRPr="00D862A4">
              <w:rPr>
                <w:sz w:val="32"/>
                <w:szCs w:val="32"/>
                <w:rtl/>
              </w:rPr>
              <w:t>إذا ثبَت أن أداء الموظف أو</w:t>
            </w:r>
            <w:r w:rsidRPr="00D862A4">
              <w:rPr>
                <w:rFonts w:hint="cs"/>
                <w:sz w:val="32"/>
                <w:szCs w:val="32"/>
                <w:rtl/>
              </w:rPr>
              <w:t> </w:t>
            </w:r>
            <w:proofErr w:type="gramStart"/>
            <w:r w:rsidR="00841A6E" w:rsidRPr="00D862A4">
              <w:rPr>
                <w:sz w:val="32"/>
                <w:szCs w:val="32"/>
                <w:rtl/>
              </w:rPr>
              <w:t>سلوكه</w:t>
            </w:r>
            <w:proofErr w:type="gramEnd"/>
            <w:r w:rsidR="00841A6E" w:rsidRPr="00D862A4">
              <w:rPr>
                <w:sz w:val="32"/>
                <w:szCs w:val="32"/>
                <w:rtl/>
              </w:rPr>
              <w:t xml:space="preserve"> غير مرض</w:t>
            </w:r>
            <w:r w:rsidR="00841A6E" w:rsidRPr="00D862A4">
              <w:rPr>
                <w:rFonts w:hint="cs"/>
                <w:sz w:val="32"/>
                <w:szCs w:val="32"/>
                <w:rtl/>
              </w:rPr>
              <w:t>ٍ</w:t>
            </w:r>
            <w:r w:rsidRPr="00D862A4">
              <w:rPr>
                <w:sz w:val="32"/>
                <w:szCs w:val="32"/>
                <w:rtl/>
              </w:rPr>
              <w:t>؛</w:t>
            </w:r>
          </w:p>
        </w:tc>
        <w:tc>
          <w:tcPr>
            <w:tcW w:w="2875" w:type="dxa"/>
            <w:tcBorders>
              <w:bottom w:val="nil"/>
            </w:tcBorders>
          </w:tcPr>
          <w:p w:rsidR="00E92CA6" w:rsidRPr="00D862A4" w:rsidRDefault="00E92CA6" w:rsidP="004B67EC">
            <w:pPr>
              <w:pStyle w:val="NormalParaAR"/>
              <w:rPr>
                <w:sz w:val="32"/>
                <w:szCs w:val="32"/>
              </w:rPr>
            </w:pPr>
            <w:r w:rsidRPr="00D862A4">
              <w:rPr>
                <w:rFonts w:hint="cs"/>
                <w:sz w:val="32"/>
                <w:szCs w:val="32"/>
                <w:rtl/>
              </w:rPr>
              <w:t xml:space="preserve">(3) </w:t>
            </w:r>
            <w:proofErr w:type="gramStart"/>
            <w:r w:rsidRPr="00D862A4">
              <w:rPr>
                <w:sz w:val="32"/>
                <w:szCs w:val="32"/>
                <w:rtl/>
              </w:rPr>
              <w:t>إذا</w:t>
            </w:r>
            <w:proofErr w:type="gramEnd"/>
            <w:r w:rsidRPr="00D862A4">
              <w:rPr>
                <w:sz w:val="32"/>
                <w:szCs w:val="32"/>
                <w:rtl/>
              </w:rPr>
              <w:t xml:space="preserve"> ثبَت أن أداء الموظف </w:t>
            </w:r>
            <w:r w:rsidRPr="00D862A4">
              <w:rPr>
                <w:strike/>
                <w:sz w:val="32"/>
                <w:szCs w:val="32"/>
                <w:rtl/>
              </w:rPr>
              <w:t>أو</w:t>
            </w:r>
            <w:r w:rsidRPr="00D862A4">
              <w:rPr>
                <w:rFonts w:hint="cs"/>
                <w:strike/>
                <w:sz w:val="32"/>
                <w:szCs w:val="32"/>
                <w:rtl/>
              </w:rPr>
              <w:t> </w:t>
            </w:r>
            <w:r w:rsidRPr="00D862A4">
              <w:rPr>
                <w:strike/>
                <w:sz w:val="32"/>
                <w:szCs w:val="32"/>
                <w:rtl/>
              </w:rPr>
              <w:t>سلوكه</w:t>
            </w:r>
            <w:r w:rsidR="00841A6E" w:rsidRPr="00D862A4">
              <w:rPr>
                <w:sz w:val="32"/>
                <w:szCs w:val="32"/>
                <w:rtl/>
              </w:rPr>
              <w:t xml:space="preserve"> غير مرض</w:t>
            </w:r>
            <w:r w:rsidR="00841A6E" w:rsidRPr="00D862A4">
              <w:rPr>
                <w:rFonts w:hint="cs"/>
                <w:sz w:val="32"/>
                <w:szCs w:val="32"/>
                <w:rtl/>
              </w:rPr>
              <w:t>ٍ</w:t>
            </w:r>
            <w:r w:rsidRPr="00D862A4">
              <w:rPr>
                <w:rFonts w:hint="cs"/>
                <w:sz w:val="32"/>
                <w:szCs w:val="32"/>
                <w:rtl/>
              </w:rPr>
              <w:t xml:space="preserve"> </w:t>
            </w:r>
            <w:r w:rsidRPr="00D862A4">
              <w:rPr>
                <w:rFonts w:hint="cs"/>
                <w:b/>
                <w:bCs/>
                <w:sz w:val="32"/>
                <w:szCs w:val="32"/>
                <w:u w:val="single"/>
                <w:rtl/>
              </w:rPr>
              <w:t>أو إذا تبيّن أن الموظف ارتكب سوء سلوك؛</w:t>
            </w:r>
          </w:p>
        </w:tc>
        <w:tc>
          <w:tcPr>
            <w:tcW w:w="2356" w:type="dxa"/>
            <w:vMerge w:val="restart"/>
          </w:tcPr>
          <w:p w:rsidR="00E92CA6" w:rsidRPr="00D862A4" w:rsidRDefault="00AD5525" w:rsidP="004B67EC">
            <w:pPr>
              <w:pStyle w:val="NormalParaAR"/>
              <w:rPr>
                <w:sz w:val="32"/>
                <w:szCs w:val="32"/>
              </w:rPr>
            </w:pPr>
            <w:r w:rsidRPr="00D862A4">
              <w:rPr>
                <w:rFonts w:hint="cs"/>
                <w:sz w:val="32"/>
                <w:szCs w:val="32"/>
                <w:rtl/>
              </w:rPr>
              <w:t>الغرض من التعديل هو التمييز بوضوح بين إنهاء التعيين بسبب "الخدمة غير المرضية" وإنهاء التعيين "لأسباب تأديبية" وضمان الاتساق في استخدام المصطلحات.</w:t>
            </w:r>
          </w:p>
        </w:tc>
      </w:tr>
      <w:tr w:rsidR="00E92CA6" w:rsidRPr="00D862A4" w:rsidTr="00E92CA6">
        <w:tc>
          <w:tcPr>
            <w:tcW w:w="1465" w:type="dxa"/>
            <w:tcBorders>
              <w:top w:val="nil"/>
            </w:tcBorders>
          </w:tcPr>
          <w:p w:rsidR="00E92CA6" w:rsidRPr="00D862A4" w:rsidRDefault="00E92CA6" w:rsidP="00E92CA6">
            <w:pPr>
              <w:pStyle w:val="NormalParaAR"/>
              <w:rPr>
                <w:sz w:val="32"/>
                <w:szCs w:val="32"/>
                <w:rtl/>
              </w:rPr>
            </w:pPr>
            <w:r w:rsidRPr="00D862A4">
              <w:rPr>
                <w:rFonts w:hint="cs"/>
                <w:sz w:val="32"/>
                <w:szCs w:val="32"/>
                <w:rtl/>
              </w:rPr>
              <w:t xml:space="preserve">المادة 2.9(د) </w:t>
            </w:r>
            <w:proofErr w:type="gramStart"/>
            <w:r w:rsidRPr="00D862A4">
              <w:rPr>
                <w:rFonts w:hint="cs"/>
                <w:sz w:val="32"/>
                <w:szCs w:val="32"/>
                <w:rtl/>
              </w:rPr>
              <w:t>من</w:t>
            </w:r>
            <w:proofErr w:type="gramEnd"/>
            <w:r w:rsidRPr="00D862A4">
              <w:rPr>
                <w:rFonts w:hint="cs"/>
                <w:sz w:val="32"/>
                <w:szCs w:val="32"/>
                <w:rtl/>
              </w:rPr>
              <w:t xml:space="preserve"> نظام الموظفين</w:t>
            </w:r>
          </w:p>
        </w:tc>
        <w:tc>
          <w:tcPr>
            <w:tcW w:w="2875" w:type="dxa"/>
            <w:tcBorders>
              <w:top w:val="nil"/>
            </w:tcBorders>
          </w:tcPr>
          <w:p w:rsidR="00E92CA6" w:rsidRPr="00D862A4" w:rsidRDefault="00E92CA6" w:rsidP="00E92CA6">
            <w:pPr>
              <w:pStyle w:val="NormalParaAR"/>
              <w:rPr>
                <w:sz w:val="32"/>
                <w:szCs w:val="32"/>
                <w:rtl/>
              </w:rPr>
            </w:pPr>
            <w:r w:rsidRPr="00D862A4">
              <w:rPr>
                <w:rFonts w:hint="cs"/>
                <w:sz w:val="32"/>
                <w:szCs w:val="32"/>
                <w:rtl/>
              </w:rPr>
              <w:t xml:space="preserve">(د) </w:t>
            </w:r>
            <w:r w:rsidRPr="00D862A4">
              <w:rPr>
                <w:rFonts w:hint="cs"/>
                <w:sz w:val="32"/>
                <w:szCs w:val="32"/>
                <w:rtl/>
                <w:lang w:bidi="ar-EG"/>
              </w:rPr>
              <w:t>و</w:t>
            </w:r>
            <w:r w:rsidRPr="00D862A4">
              <w:rPr>
                <w:sz w:val="32"/>
                <w:szCs w:val="32"/>
                <w:rtl/>
              </w:rPr>
              <w:t>يجوز للجمعية العامة، بناءً على مشورة لجنة التنسيق، إنهاء تعيين المدير العام إذا لم يعد قادراً على أداء واجباته لأسباب صحية، أو إذا ثبت أن أداءه أو سلوكه غير مرضي، أو لسبب آخر مُحدَّد في كتاب تعيينه.</w:t>
            </w:r>
          </w:p>
        </w:tc>
        <w:tc>
          <w:tcPr>
            <w:tcW w:w="2875" w:type="dxa"/>
            <w:tcBorders>
              <w:top w:val="nil"/>
            </w:tcBorders>
          </w:tcPr>
          <w:p w:rsidR="00E92CA6" w:rsidRPr="00D862A4" w:rsidRDefault="00E92CA6" w:rsidP="00E92CA6">
            <w:pPr>
              <w:pStyle w:val="NormalParaAR"/>
              <w:rPr>
                <w:sz w:val="32"/>
                <w:szCs w:val="32"/>
                <w:rtl/>
              </w:rPr>
            </w:pPr>
            <w:r w:rsidRPr="00D862A4">
              <w:rPr>
                <w:rFonts w:hint="cs"/>
                <w:sz w:val="32"/>
                <w:szCs w:val="32"/>
                <w:rtl/>
              </w:rPr>
              <w:t xml:space="preserve">(د) </w:t>
            </w:r>
            <w:r w:rsidRPr="00D862A4">
              <w:rPr>
                <w:rFonts w:hint="cs"/>
                <w:sz w:val="32"/>
                <w:szCs w:val="32"/>
                <w:rtl/>
                <w:lang w:bidi="ar-EG"/>
              </w:rPr>
              <w:t>و</w:t>
            </w:r>
            <w:r w:rsidRPr="00D862A4">
              <w:rPr>
                <w:sz w:val="32"/>
                <w:szCs w:val="32"/>
                <w:rtl/>
              </w:rPr>
              <w:t xml:space="preserve">يجوز للجمعية العامة، بناءً على مشورة لجنة التنسيق، إنهاء تعيين المدير العام إذا لم يعد قادراً على أداء واجباته لأسباب صحية، أو إذا ثبت أن أداءه </w:t>
            </w:r>
            <w:r w:rsidRPr="00D862A4">
              <w:rPr>
                <w:strike/>
                <w:sz w:val="32"/>
                <w:szCs w:val="32"/>
                <w:rtl/>
              </w:rPr>
              <w:t xml:space="preserve">أو سلوكه </w:t>
            </w:r>
            <w:r w:rsidR="00841A6E" w:rsidRPr="00D862A4">
              <w:rPr>
                <w:sz w:val="32"/>
                <w:szCs w:val="32"/>
                <w:rtl/>
              </w:rPr>
              <w:t>غير مرض</w:t>
            </w:r>
            <w:r w:rsidR="00841A6E" w:rsidRPr="00D862A4">
              <w:rPr>
                <w:rFonts w:hint="cs"/>
                <w:sz w:val="32"/>
                <w:szCs w:val="32"/>
                <w:rtl/>
              </w:rPr>
              <w:t>ٍ</w:t>
            </w:r>
            <w:r w:rsidRPr="00D862A4">
              <w:rPr>
                <w:sz w:val="32"/>
                <w:szCs w:val="32"/>
                <w:rtl/>
              </w:rPr>
              <w:t xml:space="preserve">، </w:t>
            </w:r>
            <w:r w:rsidRPr="00D862A4">
              <w:rPr>
                <w:rFonts w:hint="cs"/>
                <w:b/>
                <w:bCs/>
                <w:sz w:val="32"/>
                <w:szCs w:val="32"/>
                <w:u w:val="single"/>
                <w:rtl/>
              </w:rPr>
              <w:t>أو إذا تبيّن أنه ارتكب سوء سلوك،</w:t>
            </w:r>
            <w:r w:rsidRPr="00D862A4">
              <w:rPr>
                <w:rFonts w:hint="cs"/>
                <w:sz w:val="32"/>
                <w:szCs w:val="32"/>
                <w:rtl/>
              </w:rPr>
              <w:t xml:space="preserve"> </w:t>
            </w:r>
            <w:r w:rsidRPr="00D862A4">
              <w:rPr>
                <w:sz w:val="32"/>
                <w:szCs w:val="32"/>
                <w:rtl/>
              </w:rPr>
              <w:t>أو لسبب آخر مُحدَّد في كتاب تعيينه.</w:t>
            </w:r>
          </w:p>
        </w:tc>
        <w:tc>
          <w:tcPr>
            <w:tcW w:w="2356" w:type="dxa"/>
            <w:vMerge/>
          </w:tcPr>
          <w:p w:rsidR="00E92CA6" w:rsidRPr="00D862A4" w:rsidRDefault="00E92CA6" w:rsidP="004B67EC">
            <w:pPr>
              <w:pStyle w:val="NormalParaAR"/>
              <w:rPr>
                <w:sz w:val="32"/>
                <w:szCs w:val="32"/>
              </w:rPr>
            </w:pPr>
          </w:p>
        </w:tc>
      </w:tr>
    </w:tbl>
    <w:p w:rsidR="004B67EC" w:rsidRDefault="00AD5525" w:rsidP="006C1D74">
      <w:pPr>
        <w:pStyle w:val="NumberedParaAR"/>
        <w:spacing w:before="240"/>
      </w:pPr>
      <w:r>
        <w:rPr>
          <w:rFonts w:hint="cs"/>
          <w:rtl/>
        </w:rPr>
        <w:t xml:space="preserve">ولاحظت اللجنة الاستشارية أنه </w:t>
      </w:r>
      <w:r w:rsidR="00FE1452">
        <w:rPr>
          <w:rFonts w:hint="cs"/>
          <w:rtl/>
        </w:rPr>
        <w:t>استُهلت</w:t>
      </w:r>
      <w:r>
        <w:rPr>
          <w:rFonts w:hint="cs"/>
          <w:rtl/>
        </w:rPr>
        <w:t xml:space="preserve">، في عدد محدود من الحالات، </w:t>
      </w:r>
      <w:r w:rsidR="00FE1452">
        <w:rPr>
          <w:rFonts w:hint="cs"/>
          <w:rtl/>
        </w:rPr>
        <w:t>إجراءات تأديبية وطُبّقت</w:t>
      </w:r>
      <w:r w:rsidR="006C1D74">
        <w:rPr>
          <w:rFonts w:hint="cs"/>
          <w:rtl/>
        </w:rPr>
        <w:t xml:space="preserve"> تدابير تأديبية</w:t>
      </w:r>
      <w:r>
        <w:rPr>
          <w:rFonts w:hint="cs"/>
          <w:rtl/>
        </w:rPr>
        <w:t xml:space="preserve"> دون تحقيق مسبق.</w:t>
      </w:r>
    </w:p>
    <w:p w:rsidR="00AD5525" w:rsidRPr="004B67EC" w:rsidRDefault="00AD5525" w:rsidP="00841A6E">
      <w:pPr>
        <w:pStyle w:val="NumberedParaAR"/>
        <w:spacing w:before="240"/>
      </w:pPr>
      <w:r>
        <w:rPr>
          <w:rFonts w:hint="cs"/>
          <w:rtl/>
        </w:rPr>
        <w:t>وفي هذا الصدد</w:t>
      </w:r>
      <w:r w:rsidR="00FE1452">
        <w:rPr>
          <w:rFonts w:hint="cs"/>
          <w:rtl/>
        </w:rPr>
        <w:t xml:space="preserve">، تنص القاعدة 2.1.10(أ) </w:t>
      </w:r>
      <w:r w:rsidR="006C1D74">
        <w:rPr>
          <w:rFonts w:hint="cs"/>
          <w:rtl/>
        </w:rPr>
        <w:t xml:space="preserve">من لائحة الموظفين </w:t>
      </w:r>
      <w:r w:rsidR="00FE1452">
        <w:rPr>
          <w:rFonts w:hint="cs"/>
          <w:rtl/>
        </w:rPr>
        <w:t xml:space="preserve">على ما يلي: </w:t>
      </w:r>
      <w:r w:rsidR="00DD2A15">
        <w:rPr>
          <w:rFonts w:hint="cs"/>
          <w:i/>
          <w:iCs/>
          <w:rtl/>
        </w:rPr>
        <w:t>"</w:t>
      </w:r>
      <w:r w:rsidR="00841A6E" w:rsidRPr="00F45D35">
        <w:rPr>
          <w:i/>
          <w:iCs/>
          <w:rtl/>
        </w:rPr>
        <w:t xml:space="preserve">إذا قرّر مدير شعبة إدارة الموارد البشرية استهلال إجراءات تأديبية، ومتى قرّر ذلك، فعليه أن يرسل رسالة إلى الموظف المعني ("المدعى عليه") يعرض فيها بالتفصيل سوء السلوك المزعوم ويقدم الأدلة الأساسية على ذلك السلوك، </w:t>
      </w:r>
      <w:r w:rsidR="00841A6E" w:rsidRPr="00F45D35">
        <w:rPr>
          <w:i/>
          <w:iCs/>
          <w:u w:val="single"/>
          <w:rtl/>
        </w:rPr>
        <w:t>بما في ذلك أي تقرير منبثق عن عملية تحقيق</w:t>
      </w:r>
      <w:r w:rsidR="00F45D35" w:rsidRPr="00F45D35">
        <w:rPr>
          <w:i/>
          <w:iCs/>
          <w:rtl/>
        </w:rPr>
        <w:t>، ويدعوه إلى تقديم ردّ مفصّل</w:t>
      </w:r>
      <w:r w:rsidR="00F45D35" w:rsidRPr="00F45D35">
        <w:rPr>
          <w:rFonts w:hint="cs"/>
          <w:i/>
          <w:iCs/>
          <w:rtl/>
        </w:rPr>
        <w:t>..."</w:t>
      </w:r>
    </w:p>
    <w:p w:rsidR="00394790" w:rsidRDefault="00F45D35" w:rsidP="00A11800">
      <w:pPr>
        <w:pStyle w:val="NumberedParaAR"/>
        <w:spacing w:before="240"/>
      </w:pPr>
      <w:r>
        <w:rPr>
          <w:rFonts w:hint="cs"/>
          <w:rtl/>
        </w:rPr>
        <w:t>وترى أمانة الويبو أن التحقيق غير مطلوب عندما تكون الوقائع م</w:t>
      </w:r>
      <w:r w:rsidR="00A11800">
        <w:rPr>
          <w:rFonts w:hint="cs"/>
          <w:rtl/>
        </w:rPr>
        <w:t>ُ</w:t>
      </w:r>
      <w:r>
        <w:rPr>
          <w:rFonts w:hint="cs"/>
          <w:rtl/>
        </w:rPr>
        <w:t xml:space="preserve">ثبتة ولا تكون موضع احتجاج من قبل الموظف، وأن </w:t>
      </w:r>
      <w:r w:rsidR="007D26A1">
        <w:rPr>
          <w:rFonts w:hint="cs"/>
          <w:rtl/>
        </w:rPr>
        <w:t>أصول الإجراءات</w:t>
      </w:r>
      <w:r>
        <w:rPr>
          <w:rFonts w:hint="cs"/>
          <w:rtl/>
        </w:rPr>
        <w:t xml:space="preserve"> مضمونة بمنح الموظف المعني إمكانية تقديم ردّ على رسالة الاتهام. واللجنة الاستشارية مقتنعة بأن التمييز بين وظيفة التحقيق ووظيفة التأديب عنصر هام من عناصر </w:t>
      </w:r>
      <w:r w:rsidR="007D26A1">
        <w:rPr>
          <w:rFonts w:hint="cs"/>
          <w:rtl/>
        </w:rPr>
        <w:t>أصول الإجراءات</w:t>
      </w:r>
      <w:r>
        <w:rPr>
          <w:rFonts w:hint="cs"/>
          <w:rtl/>
        </w:rPr>
        <w:t xml:space="preserve"> وتود</w:t>
      </w:r>
      <w:r w:rsidR="00A11800">
        <w:rPr>
          <w:rFonts w:hint="cs"/>
          <w:rtl/>
        </w:rPr>
        <w:t>ّ</w:t>
      </w:r>
      <w:r>
        <w:rPr>
          <w:rFonts w:hint="cs"/>
          <w:rtl/>
        </w:rPr>
        <w:t xml:space="preserve"> بالتالي إبراز أن الهدف من التحقيق هو</w:t>
      </w:r>
      <w:r w:rsidR="006C1D74">
        <w:rPr>
          <w:rFonts w:hint="eastAsia"/>
          <w:rtl/>
        </w:rPr>
        <w:t> </w:t>
      </w:r>
      <w:r>
        <w:rPr>
          <w:rFonts w:hint="cs"/>
          <w:rtl/>
        </w:rPr>
        <w:t xml:space="preserve">إثبات الوقائع من خلال جمع واستعراض الأدلة المتاحة، سواء </w:t>
      </w:r>
      <w:r w:rsidR="00E61BA7">
        <w:rPr>
          <w:rFonts w:hint="cs"/>
          <w:rtl/>
        </w:rPr>
        <w:t xml:space="preserve">الأدلة التي تثبت </w:t>
      </w:r>
      <w:r w:rsidR="00A11800">
        <w:rPr>
          <w:rFonts w:hint="cs"/>
          <w:rtl/>
        </w:rPr>
        <w:t>ال</w:t>
      </w:r>
      <w:r w:rsidR="00E61BA7">
        <w:rPr>
          <w:rFonts w:hint="cs"/>
          <w:rtl/>
        </w:rPr>
        <w:t xml:space="preserve">إدانة أو تلك التي </w:t>
      </w:r>
      <w:r w:rsidR="00A11800">
        <w:rPr>
          <w:rFonts w:hint="cs"/>
          <w:rtl/>
        </w:rPr>
        <w:t>تثبت البراءة</w:t>
      </w:r>
      <w:r>
        <w:rPr>
          <w:rFonts w:hint="cs"/>
          <w:rtl/>
        </w:rPr>
        <w:t>.</w:t>
      </w:r>
    </w:p>
    <w:p w:rsidR="00E61BA7" w:rsidRDefault="00E61BA7" w:rsidP="00E61BA7">
      <w:pPr>
        <w:pStyle w:val="NumberedParaAR"/>
      </w:pPr>
      <w:r>
        <w:rPr>
          <w:rFonts w:hint="cs"/>
          <w:rtl/>
        </w:rPr>
        <w:t xml:space="preserve">وتودّ اللجنة الاستشارية أن تشير إلى أن النظام الإداري لموظفي الأمم المتحدة أكثر دقة بكثير في هذا الصدد ويعتبر التحقيق من الشروط المسبقة لاستهلال إجراءات تأديبية: </w:t>
      </w:r>
      <w:r w:rsidRPr="00E61BA7">
        <w:rPr>
          <w:rFonts w:hint="cs"/>
          <w:i/>
          <w:iCs/>
          <w:rtl/>
        </w:rPr>
        <w:t>"</w:t>
      </w:r>
      <w:r w:rsidRPr="00E61BA7">
        <w:rPr>
          <w:i/>
          <w:iCs/>
          <w:rtl/>
        </w:rPr>
        <w:t xml:space="preserve"> يجوز للأمين العام أن يأذن بإجراء عملية تأديبية </w:t>
      </w:r>
      <w:r w:rsidRPr="00E61BA7">
        <w:rPr>
          <w:i/>
          <w:iCs/>
          <w:u w:val="single"/>
          <w:rtl/>
        </w:rPr>
        <w:t>إذا ما أشارت</w:t>
      </w:r>
      <w:r w:rsidRPr="00E61BA7">
        <w:rPr>
          <w:rFonts w:hint="cs"/>
          <w:i/>
          <w:iCs/>
          <w:u w:val="single"/>
          <w:rtl/>
        </w:rPr>
        <w:t xml:space="preserve"> </w:t>
      </w:r>
      <w:r w:rsidRPr="00E61BA7">
        <w:rPr>
          <w:i/>
          <w:iCs/>
          <w:u w:val="single"/>
          <w:rtl/>
        </w:rPr>
        <w:t>نتائج التحقيق</w:t>
      </w:r>
      <w:r w:rsidRPr="00E61BA7">
        <w:rPr>
          <w:rFonts w:hint="cs"/>
          <w:i/>
          <w:iCs/>
          <w:u w:val="single"/>
          <w:rtl/>
        </w:rPr>
        <w:t xml:space="preserve"> </w:t>
      </w:r>
      <w:r w:rsidRPr="00E61BA7">
        <w:rPr>
          <w:i/>
          <w:iCs/>
          <w:u w:val="single"/>
          <w:rtl/>
        </w:rPr>
        <w:t>إلى احتمال وقوع حالة سوء سلوك</w:t>
      </w:r>
      <w:r w:rsidRPr="00E61BA7">
        <w:rPr>
          <w:i/>
          <w:iCs/>
          <w:rtl/>
        </w:rPr>
        <w:t>.</w:t>
      </w:r>
      <w:r w:rsidRPr="00E61BA7">
        <w:rPr>
          <w:rFonts w:hint="cs"/>
          <w:i/>
          <w:iCs/>
          <w:rtl/>
        </w:rPr>
        <w:t>"</w:t>
      </w:r>
      <w:r>
        <w:rPr>
          <w:rFonts w:hint="cs"/>
          <w:rtl/>
        </w:rPr>
        <w:t xml:space="preserve"> (القاعدة 3.10 </w:t>
      </w:r>
      <w:proofErr w:type="gramStart"/>
      <w:r>
        <w:rPr>
          <w:rFonts w:hint="cs"/>
          <w:rtl/>
        </w:rPr>
        <w:t>من</w:t>
      </w:r>
      <w:proofErr w:type="gramEnd"/>
      <w:r>
        <w:rPr>
          <w:rFonts w:hint="cs"/>
          <w:rtl/>
        </w:rPr>
        <w:t xml:space="preserve"> النظام الإداري لموظفي الأمم المتحدة).</w:t>
      </w:r>
    </w:p>
    <w:p w:rsidR="00E61BA7" w:rsidRDefault="0007513C" w:rsidP="00A11800">
      <w:pPr>
        <w:pStyle w:val="NumberedParaAR"/>
      </w:pPr>
      <w:r>
        <w:rPr>
          <w:rFonts w:hint="cs"/>
          <w:rtl/>
        </w:rPr>
        <w:t>و</w:t>
      </w:r>
      <w:r w:rsidR="00A11800">
        <w:rPr>
          <w:rFonts w:hint="cs"/>
          <w:rtl/>
        </w:rPr>
        <w:t xml:space="preserve">بناء </w:t>
      </w:r>
      <w:r>
        <w:rPr>
          <w:rFonts w:hint="cs"/>
          <w:rtl/>
        </w:rPr>
        <w:t>عليه</w:t>
      </w:r>
      <w:r w:rsidR="00A11800">
        <w:rPr>
          <w:rFonts w:hint="cs"/>
          <w:rtl/>
        </w:rPr>
        <w:t>،</w:t>
      </w:r>
      <w:r>
        <w:rPr>
          <w:rFonts w:hint="cs"/>
          <w:rtl/>
        </w:rPr>
        <w:t xml:space="preserve"> ترى اللجنة الاستشارية أنه من المستحسن توضيح هذا الجانب في لائحة موظفي الويبو. </w:t>
      </w:r>
      <w:proofErr w:type="gramStart"/>
      <w:r w:rsidR="00A11800">
        <w:rPr>
          <w:rFonts w:hint="cs"/>
          <w:rtl/>
        </w:rPr>
        <w:t>ولمّا</w:t>
      </w:r>
      <w:proofErr w:type="gramEnd"/>
      <w:r w:rsidR="00DD2A15">
        <w:rPr>
          <w:rFonts w:hint="cs"/>
          <w:rtl/>
        </w:rPr>
        <w:t xml:space="preserve"> كانت المادة</w:t>
      </w:r>
      <w:r w:rsidR="00A11800">
        <w:rPr>
          <w:rFonts w:hint="eastAsia"/>
          <w:rtl/>
        </w:rPr>
        <w:t> </w:t>
      </w:r>
      <w:r w:rsidR="00DD2A15">
        <w:rPr>
          <w:rFonts w:hint="cs"/>
          <w:rtl/>
        </w:rPr>
        <w:t xml:space="preserve">2.12 </w:t>
      </w:r>
      <w:proofErr w:type="gramStart"/>
      <w:r w:rsidR="00DD2A15">
        <w:rPr>
          <w:rFonts w:hint="cs"/>
          <w:rtl/>
        </w:rPr>
        <w:t>من</w:t>
      </w:r>
      <w:proofErr w:type="gramEnd"/>
      <w:r w:rsidR="00DD2A15">
        <w:rPr>
          <w:rFonts w:hint="cs"/>
          <w:rtl/>
        </w:rPr>
        <w:t xml:space="preserve"> نظام الموظفين تقضي بأن للمدير العام صلاحية إدخال أي تعديل على لائحة الموظفين، فإن اللجنة</w:t>
      </w:r>
      <w:r w:rsidR="00A11800">
        <w:rPr>
          <w:rFonts w:hint="eastAsia"/>
          <w:rtl/>
        </w:rPr>
        <w:t> </w:t>
      </w:r>
      <w:r w:rsidR="00DD2A15">
        <w:rPr>
          <w:rFonts w:hint="cs"/>
          <w:rtl/>
        </w:rPr>
        <w:t>الاستشارية توصي المدير العام بالنظر في إمكانية تعديل القاعدة 2.1.10(أ) ليكون نصها كما يلي:</w:t>
      </w:r>
    </w:p>
    <w:p w:rsidR="00DD2A15" w:rsidRDefault="00DD2A15" w:rsidP="00ED46BA">
      <w:pPr>
        <w:pStyle w:val="NormalParaAR"/>
        <w:ind w:left="566"/>
        <w:rPr>
          <w:i/>
          <w:iCs/>
          <w:rtl/>
        </w:rPr>
      </w:pPr>
      <w:r>
        <w:rPr>
          <w:rFonts w:hint="cs"/>
          <w:i/>
          <w:iCs/>
          <w:rtl/>
        </w:rPr>
        <w:t>"</w:t>
      </w:r>
      <w:r w:rsidRPr="00DD2A15">
        <w:rPr>
          <w:i/>
          <w:iCs/>
          <w:rtl/>
        </w:rPr>
        <w:t>إذا قرّر مدير شعبة إدارة الموارد البشرية استهلال إجراءات تأديبية، ومتى قرّر ذلك، فعليه أن يرسل رسالة إ</w:t>
      </w:r>
      <w:r w:rsidR="00E7552C">
        <w:rPr>
          <w:i/>
          <w:iCs/>
          <w:rtl/>
        </w:rPr>
        <w:t>لى الموظف المعني</w:t>
      </w:r>
      <w:r w:rsidRPr="00DD2A15">
        <w:rPr>
          <w:i/>
          <w:iCs/>
          <w:rtl/>
        </w:rPr>
        <w:t xml:space="preserve"> يعرض فيها بالتفصيل سوء السلوك المزعوم ويقدم الأدلة الأساسية على ذلك السلوك، </w:t>
      </w:r>
      <w:r w:rsidRPr="00DD2A15">
        <w:rPr>
          <w:b/>
          <w:bCs/>
          <w:i/>
          <w:iCs/>
          <w:rtl/>
        </w:rPr>
        <w:t xml:space="preserve">بما في ذلك </w:t>
      </w:r>
      <w:r w:rsidR="00ED46BA">
        <w:rPr>
          <w:rFonts w:hint="cs"/>
          <w:b/>
          <w:bCs/>
          <w:i/>
          <w:iCs/>
          <w:rtl/>
        </w:rPr>
        <w:t xml:space="preserve">على وجه الخصوص </w:t>
      </w:r>
      <w:r w:rsidRPr="00DD2A15">
        <w:rPr>
          <w:b/>
          <w:bCs/>
          <w:i/>
          <w:iCs/>
          <w:rtl/>
        </w:rPr>
        <w:t xml:space="preserve">تقرير </w:t>
      </w:r>
      <w:r>
        <w:rPr>
          <w:rFonts w:hint="cs"/>
          <w:b/>
          <w:bCs/>
          <w:i/>
          <w:iCs/>
          <w:rtl/>
        </w:rPr>
        <w:t>ال</w:t>
      </w:r>
      <w:r w:rsidRPr="00DD2A15">
        <w:rPr>
          <w:b/>
          <w:bCs/>
          <w:i/>
          <w:iCs/>
          <w:rtl/>
        </w:rPr>
        <w:t>تحقيق</w:t>
      </w:r>
      <w:r w:rsidRPr="00DD2A15">
        <w:rPr>
          <w:i/>
          <w:iCs/>
          <w:rtl/>
        </w:rPr>
        <w:t xml:space="preserve">، ويدعوه إلى تقديم ردّ </w:t>
      </w:r>
      <w:r w:rsidRPr="00D362F4">
        <w:rPr>
          <w:i/>
          <w:iCs/>
          <w:rtl/>
        </w:rPr>
        <w:t>مفصّل</w:t>
      </w:r>
      <w:r w:rsidRPr="00D362F4">
        <w:rPr>
          <w:rFonts w:hint="cs"/>
          <w:i/>
          <w:iCs/>
          <w:rtl/>
        </w:rPr>
        <w:t xml:space="preserve"> في غضون 30 يوما من تاريخ استلام الرسالة."</w:t>
      </w:r>
    </w:p>
    <w:p w:rsidR="00F47CF8" w:rsidRDefault="00EF13C3" w:rsidP="00A26ABC">
      <w:pPr>
        <w:pStyle w:val="NumberedParaAR"/>
      </w:pPr>
      <w:r>
        <w:rPr>
          <w:rFonts w:hint="cs"/>
          <w:rtl/>
        </w:rPr>
        <w:t xml:space="preserve">وأشارت اللجنة الاستشارية، </w:t>
      </w:r>
      <w:proofErr w:type="gramStart"/>
      <w:r>
        <w:rPr>
          <w:rFonts w:hint="cs"/>
          <w:rtl/>
        </w:rPr>
        <w:t>في</w:t>
      </w:r>
      <w:proofErr w:type="gramEnd"/>
      <w:r>
        <w:rPr>
          <w:rFonts w:hint="cs"/>
          <w:rtl/>
        </w:rPr>
        <w:t xml:space="preserve"> الفقرة 16 من تقريرها الوارد في ا</w:t>
      </w:r>
      <w:bookmarkStart w:id="2" w:name="_GoBack"/>
      <w:bookmarkEnd w:id="2"/>
      <w:r>
        <w:rPr>
          <w:rFonts w:hint="cs"/>
          <w:rtl/>
        </w:rPr>
        <w:t>لوثيقة</w:t>
      </w:r>
      <w:r w:rsidR="00B73EB4">
        <w:rPr>
          <w:rFonts w:hint="eastAsia"/>
          <w:rtl/>
        </w:rPr>
        <w:t> </w:t>
      </w:r>
      <w:r w:rsidRPr="00EF13C3">
        <w:t>WO/GA/48/16</w:t>
      </w:r>
      <w:r>
        <w:rPr>
          <w:rFonts w:hint="cs"/>
          <w:rtl/>
        </w:rPr>
        <w:t>، إلى أن المادة</w:t>
      </w:r>
      <w:r>
        <w:rPr>
          <w:rFonts w:hint="eastAsia"/>
          <w:rtl/>
        </w:rPr>
        <w:t> </w:t>
      </w:r>
      <w:r>
        <w:rPr>
          <w:rFonts w:hint="cs"/>
          <w:rtl/>
        </w:rPr>
        <w:t xml:space="preserve">7.1(ج) </w:t>
      </w:r>
      <w:proofErr w:type="gramStart"/>
      <w:r>
        <w:rPr>
          <w:rFonts w:hint="cs"/>
          <w:rtl/>
        </w:rPr>
        <w:t>من</w:t>
      </w:r>
      <w:proofErr w:type="gramEnd"/>
      <w:r>
        <w:rPr>
          <w:rFonts w:hint="cs"/>
          <w:rtl/>
        </w:rPr>
        <w:t xml:space="preserve"> نظام الموظفين تذكر </w:t>
      </w:r>
      <w:r w:rsidRPr="00EF13C3">
        <w:rPr>
          <w:rtl/>
          <w:lang w:bidi="ar-MA"/>
        </w:rPr>
        <w:t>طريق مدير شعبة الرقابة الداخلية</w:t>
      </w:r>
      <w:r>
        <w:rPr>
          <w:rtl/>
          <w:lang w:bidi="ar-MA"/>
        </w:rPr>
        <w:t>، باعتباره</w:t>
      </w:r>
      <w:r w:rsidRPr="00EF13C3">
        <w:rPr>
          <w:rtl/>
          <w:lang w:bidi="ar-MA"/>
        </w:rPr>
        <w:t xml:space="preserve"> </w:t>
      </w:r>
      <w:r>
        <w:rPr>
          <w:rFonts w:hint="cs"/>
          <w:rtl/>
          <w:lang w:bidi="ar-MA"/>
        </w:rPr>
        <w:t>أحد</w:t>
      </w:r>
      <w:r w:rsidRPr="00EF13C3">
        <w:rPr>
          <w:rtl/>
          <w:lang w:bidi="ar-MA"/>
        </w:rPr>
        <w:t xml:space="preserve"> الطرق العديدة للإبلاغ عن المخالفات </w:t>
      </w:r>
      <w:r w:rsidRPr="00EF13C3">
        <w:rPr>
          <w:i/>
          <w:iCs/>
          <w:rtl/>
          <w:lang w:bidi="ar-MA"/>
        </w:rPr>
        <w:lastRenderedPageBreak/>
        <w:t>("</w:t>
      </w:r>
      <w:r w:rsidRPr="00EF13C3">
        <w:rPr>
          <w:i/>
          <w:iCs/>
          <w:rtl/>
        </w:rPr>
        <w:t>مشرف</w:t>
      </w:r>
      <w:r w:rsidR="00A26ABC">
        <w:rPr>
          <w:rFonts w:hint="cs"/>
          <w:i/>
          <w:iCs/>
          <w:rtl/>
        </w:rPr>
        <w:t> </w:t>
      </w:r>
      <w:r w:rsidRPr="00EF13C3">
        <w:rPr>
          <w:i/>
          <w:iCs/>
          <w:rtl/>
        </w:rPr>
        <w:t>في</w:t>
      </w:r>
      <w:r w:rsidR="00A533E0">
        <w:rPr>
          <w:rFonts w:hint="cs"/>
          <w:i/>
          <w:iCs/>
          <w:rtl/>
        </w:rPr>
        <w:t> </w:t>
      </w:r>
      <w:r w:rsidRPr="00EF13C3">
        <w:rPr>
          <w:i/>
          <w:iCs/>
          <w:rtl/>
        </w:rPr>
        <w:t>التسلسل الوظيفي الهرمي، أو مكتب المدير العام، أو مدير شعبة الرقابة الداخلية، أو رئيس لجنة التنسيق</w:t>
      </w:r>
      <w:r w:rsidRPr="00EF13C3">
        <w:rPr>
          <w:i/>
          <w:iCs/>
          <w:rtl/>
          <w:lang w:bidi="ar-MA"/>
        </w:rPr>
        <w:t>"</w:t>
      </w:r>
      <w:r w:rsidRPr="00EF13C3">
        <w:rPr>
          <w:rFonts w:hint="cs"/>
          <w:i/>
          <w:iCs/>
          <w:rtl/>
          <w:lang w:bidi="ar-MA"/>
        </w:rPr>
        <w:t>)</w:t>
      </w:r>
      <w:r w:rsidRPr="00EF13C3">
        <w:rPr>
          <w:rtl/>
          <w:lang w:bidi="ar-MA"/>
        </w:rPr>
        <w:t>.</w:t>
      </w:r>
      <w:proofErr w:type="gramStart"/>
      <w:r>
        <w:rPr>
          <w:rFonts w:hint="cs"/>
          <w:rtl/>
          <w:lang w:bidi="ar-MA"/>
        </w:rPr>
        <w:t>وتم</w:t>
      </w:r>
      <w:r w:rsidR="00064379">
        <w:rPr>
          <w:rFonts w:hint="cs"/>
          <w:rtl/>
          <w:lang w:bidi="ar-MA"/>
        </w:rPr>
        <w:t>ا</w:t>
      </w:r>
      <w:r>
        <w:rPr>
          <w:rFonts w:hint="cs"/>
          <w:rtl/>
          <w:lang w:bidi="ar-MA"/>
        </w:rPr>
        <w:t>شيا</w:t>
      </w:r>
      <w:proofErr w:type="gramEnd"/>
      <w:r>
        <w:rPr>
          <w:rFonts w:hint="cs"/>
          <w:rtl/>
          <w:lang w:bidi="ar-MA"/>
        </w:rPr>
        <w:t xml:space="preserve"> مع أفضل الممارسات المتبعة في المنظمات الدولية الأخرى المشاركة في نظام الأمم المتحدة الموحد، توصي اللجنة الاستشارية بتعيين مدير شعبة الرقابة الداخلية ليكون الطريق الأولي والمفضّل للإبلاغ عن المخالفات المزعومة. وسيضمن ذلك استلامه كل الشكاوى في الوقت المناسب، </w:t>
      </w:r>
      <w:r w:rsidR="00064379">
        <w:rPr>
          <w:rFonts w:hint="cs"/>
          <w:rtl/>
          <w:lang w:bidi="ar-MA"/>
        </w:rPr>
        <w:t xml:space="preserve">إذ ستكون </w:t>
      </w:r>
      <w:r>
        <w:rPr>
          <w:rFonts w:hint="cs"/>
          <w:rtl/>
          <w:lang w:bidi="ar-MA"/>
        </w:rPr>
        <w:t xml:space="preserve">وظيفة التحقيق </w:t>
      </w:r>
      <w:r w:rsidR="00064379">
        <w:rPr>
          <w:rFonts w:hint="cs"/>
          <w:rtl/>
          <w:lang w:bidi="ar-MA"/>
        </w:rPr>
        <w:t xml:space="preserve">على صعيد الويبو مسندة إليه وسيكون بموجب ميثاق الرقابة الداخلية مكلّفا بمهمة </w:t>
      </w:r>
      <w:r w:rsidR="00064379" w:rsidRPr="00064379">
        <w:rPr>
          <w:rFonts w:hint="cs"/>
          <w:i/>
          <w:iCs/>
          <w:rtl/>
          <w:lang w:bidi="ar-MA"/>
        </w:rPr>
        <w:t>"</w:t>
      </w:r>
      <w:r w:rsidR="00064379" w:rsidRPr="00064379">
        <w:rPr>
          <w:rFonts w:hint="cs"/>
          <w:i/>
          <w:iCs/>
          <w:rtl/>
        </w:rPr>
        <w:t xml:space="preserve">[تحديد] </w:t>
      </w:r>
      <w:r w:rsidR="00064379" w:rsidRPr="00064379">
        <w:rPr>
          <w:i/>
          <w:iCs/>
          <w:rtl/>
        </w:rPr>
        <w:t xml:space="preserve">مكاتب لاستلام الشكاوى المقدمة </w:t>
      </w:r>
      <w:r w:rsidR="00064379" w:rsidRPr="00064379">
        <w:rPr>
          <w:rFonts w:hint="cs"/>
          <w:i/>
          <w:iCs/>
          <w:rtl/>
        </w:rPr>
        <w:t>...</w:t>
      </w:r>
      <w:r w:rsidR="00064379" w:rsidRPr="00064379">
        <w:rPr>
          <w:i/>
          <w:iCs/>
          <w:rtl/>
        </w:rPr>
        <w:t xml:space="preserve"> بشأن الإبلاغ عن سوء سلوك أو </w:t>
      </w:r>
      <w:proofErr w:type="gramStart"/>
      <w:r w:rsidR="00064379" w:rsidRPr="00064379">
        <w:rPr>
          <w:i/>
          <w:iCs/>
          <w:rtl/>
        </w:rPr>
        <w:t>تجاوزات</w:t>
      </w:r>
      <w:proofErr w:type="gramEnd"/>
      <w:r w:rsidR="00064379" w:rsidRPr="00064379">
        <w:rPr>
          <w:i/>
          <w:iCs/>
          <w:rtl/>
        </w:rPr>
        <w:t xml:space="preserve"> أو</w:t>
      </w:r>
      <w:r w:rsidR="00064379">
        <w:rPr>
          <w:rFonts w:hint="cs"/>
          <w:i/>
          <w:iCs/>
          <w:rtl/>
        </w:rPr>
        <w:t> </w:t>
      </w:r>
      <w:r w:rsidR="00064379" w:rsidRPr="00064379">
        <w:rPr>
          <w:i/>
          <w:iCs/>
          <w:rtl/>
        </w:rPr>
        <w:t>مخالفات</w:t>
      </w:r>
      <w:r w:rsidR="00064379" w:rsidRPr="00064379">
        <w:rPr>
          <w:rFonts w:hint="cs"/>
          <w:i/>
          <w:iCs/>
          <w:rtl/>
        </w:rPr>
        <w:t>"</w:t>
      </w:r>
      <w:r w:rsidR="00064379">
        <w:rPr>
          <w:rFonts w:hint="cs"/>
          <w:rtl/>
        </w:rPr>
        <w:t>.</w:t>
      </w:r>
    </w:p>
    <w:p w:rsidR="00064379" w:rsidRDefault="00A533E0" w:rsidP="00A533E0">
      <w:pPr>
        <w:pStyle w:val="NumberedParaAR"/>
        <w:pBdr>
          <w:between w:val="single" w:sz="4" w:space="1" w:color="auto"/>
        </w:pBdr>
        <w:rPr>
          <w:rFonts w:hint="cs"/>
        </w:rPr>
      </w:pPr>
      <w:proofErr w:type="gramStart"/>
      <w:r>
        <w:rPr>
          <w:rFonts w:hint="cs"/>
          <w:rtl/>
        </w:rPr>
        <w:t>وبناء</w:t>
      </w:r>
      <w:proofErr w:type="gramEnd"/>
      <w:r>
        <w:rPr>
          <w:rFonts w:hint="cs"/>
          <w:rtl/>
        </w:rPr>
        <w:t xml:space="preserve"> عليه، توصي اللجنة الاستشارية بتعديل المادة 7.1(ب) و(ج) من نظام </w:t>
      </w:r>
      <w:proofErr w:type="gramStart"/>
      <w:r>
        <w:rPr>
          <w:rFonts w:hint="cs"/>
          <w:rtl/>
        </w:rPr>
        <w:t>الموظفين</w:t>
      </w:r>
      <w:proofErr w:type="gramEnd"/>
      <w:r>
        <w:rPr>
          <w:rFonts w:hint="cs"/>
          <w:rtl/>
        </w:rPr>
        <w:t xml:space="preserve"> ليكون نصها كما يلي:</w:t>
      </w:r>
    </w:p>
    <w:tbl>
      <w:tblPr>
        <w:tblStyle w:val="TableGrid"/>
        <w:bidiVisual/>
        <w:tblW w:w="0" w:type="auto"/>
        <w:tblLook w:val="04A0" w:firstRow="1" w:lastRow="0" w:firstColumn="1" w:lastColumn="0" w:noHBand="0" w:noVBand="1"/>
      </w:tblPr>
      <w:tblGrid>
        <w:gridCol w:w="1465"/>
        <w:gridCol w:w="2875"/>
        <w:gridCol w:w="2875"/>
        <w:gridCol w:w="2356"/>
      </w:tblGrid>
      <w:tr w:rsidR="00A533E0" w:rsidRPr="00D862A4" w:rsidTr="00A533E0">
        <w:tc>
          <w:tcPr>
            <w:tcW w:w="1465" w:type="dxa"/>
            <w:tcBorders>
              <w:bottom w:val="single" w:sz="4" w:space="0" w:color="auto"/>
            </w:tcBorders>
            <w:shd w:val="clear" w:color="auto" w:fill="FBD4B4" w:themeFill="accent6" w:themeFillTint="66"/>
          </w:tcPr>
          <w:p w:rsidR="00A533E0" w:rsidRPr="00D862A4" w:rsidRDefault="00A533E0" w:rsidP="00A533E0">
            <w:pPr>
              <w:pStyle w:val="NormalParaAR"/>
              <w:rPr>
                <w:b/>
                <w:bCs/>
                <w:sz w:val="32"/>
                <w:szCs w:val="32"/>
              </w:rPr>
            </w:pPr>
            <w:r w:rsidRPr="00D862A4">
              <w:rPr>
                <w:rFonts w:hint="cs"/>
                <w:b/>
                <w:bCs/>
                <w:sz w:val="32"/>
                <w:szCs w:val="32"/>
                <w:rtl/>
              </w:rPr>
              <w:t>الحكم</w:t>
            </w:r>
          </w:p>
        </w:tc>
        <w:tc>
          <w:tcPr>
            <w:tcW w:w="2875" w:type="dxa"/>
            <w:tcBorders>
              <w:bottom w:val="single" w:sz="4" w:space="0" w:color="auto"/>
            </w:tcBorders>
            <w:shd w:val="clear" w:color="auto" w:fill="FBD4B4" w:themeFill="accent6" w:themeFillTint="66"/>
          </w:tcPr>
          <w:p w:rsidR="00A533E0" w:rsidRPr="00D862A4" w:rsidRDefault="00A533E0" w:rsidP="00A533E0">
            <w:pPr>
              <w:pStyle w:val="NormalParaAR"/>
              <w:rPr>
                <w:b/>
                <w:bCs/>
                <w:sz w:val="32"/>
                <w:szCs w:val="32"/>
              </w:rPr>
            </w:pPr>
            <w:proofErr w:type="gramStart"/>
            <w:r w:rsidRPr="00D862A4">
              <w:rPr>
                <w:rFonts w:hint="cs"/>
                <w:b/>
                <w:bCs/>
                <w:sz w:val="32"/>
                <w:szCs w:val="32"/>
                <w:rtl/>
              </w:rPr>
              <w:t>النص</w:t>
            </w:r>
            <w:proofErr w:type="gramEnd"/>
            <w:r w:rsidRPr="00D862A4">
              <w:rPr>
                <w:rFonts w:hint="cs"/>
                <w:b/>
                <w:bCs/>
                <w:sz w:val="32"/>
                <w:szCs w:val="32"/>
                <w:rtl/>
              </w:rPr>
              <w:t xml:space="preserve"> الحالي</w:t>
            </w:r>
          </w:p>
        </w:tc>
        <w:tc>
          <w:tcPr>
            <w:tcW w:w="2875" w:type="dxa"/>
            <w:tcBorders>
              <w:bottom w:val="single" w:sz="4" w:space="0" w:color="auto"/>
            </w:tcBorders>
            <w:shd w:val="clear" w:color="auto" w:fill="FBD4B4" w:themeFill="accent6" w:themeFillTint="66"/>
          </w:tcPr>
          <w:p w:rsidR="00A533E0" w:rsidRPr="00D862A4" w:rsidRDefault="00A533E0" w:rsidP="00A533E0">
            <w:pPr>
              <w:pStyle w:val="NormalParaAR"/>
              <w:rPr>
                <w:b/>
                <w:bCs/>
                <w:sz w:val="32"/>
                <w:szCs w:val="32"/>
              </w:rPr>
            </w:pPr>
            <w:proofErr w:type="gramStart"/>
            <w:r w:rsidRPr="00D862A4">
              <w:rPr>
                <w:rFonts w:hint="cs"/>
                <w:b/>
                <w:bCs/>
                <w:sz w:val="32"/>
                <w:szCs w:val="32"/>
                <w:rtl/>
              </w:rPr>
              <w:t>النص</w:t>
            </w:r>
            <w:proofErr w:type="gramEnd"/>
            <w:r w:rsidRPr="00D862A4">
              <w:rPr>
                <w:rFonts w:hint="cs"/>
                <w:b/>
                <w:bCs/>
                <w:sz w:val="32"/>
                <w:szCs w:val="32"/>
                <w:rtl/>
              </w:rPr>
              <w:t xml:space="preserve"> الجديد المقترح</w:t>
            </w:r>
          </w:p>
        </w:tc>
        <w:tc>
          <w:tcPr>
            <w:tcW w:w="2356" w:type="dxa"/>
            <w:tcBorders>
              <w:bottom w:val="single" w:sz="4" w:space="0" w:color="auto"/>
            </w:tcBorders>
            <w:shd w:val="clear" w:color="auto" w:fill="FBD4B4" w:themeFill="accent6" w:themeFillTint="66"/>
          </w:tcPr>
          <w:p w:rsidR="00A533E0" w:rsidRPr="00D862A4" w:rsidRDefault="00A533E0" w:rsidP="00A533E0">
            <w:pPr>
              <w:pStyle w:val="NormalParaAR"/>
              <w:rPr>
                <w:b/>
                <w:bCs/>
                <w:sz w:val="32"/>
                <w:szCs w:val="32"/>
              </w:rPr>
            </w:pPr>
            <w:r w:rsidRPr="00D862A4">
              <w:rPr>
                <w:rFonts w:hint="cs"/>
                <w:b/>
                <w:bCs/>
                <w:sz w:val="32"/>
                <w:szCs w:val="32"/>
                <w:rtl/>
              </w:rPr>
              <w:t>الغرض/وصف التعديل</w:t>
            </w:r>
          </w:p>
        </w:tc>
      </w:tr>
      <w:tr w:rsidR="00A533E0" w:rsidRPr="00D862A4" w:rsidTr="00A533E0">
        <w:tc>
          <w:tcPr>
            <w:tcW w:w="1465" w:type="dxa"/>
            <w:tcBorders>
              <w:bottom w:val="nil"/>
            </w:tcBorders>
          </w:tcPr>
          <w:p w:rsidR="00A533E0" w:rsidRPr="00D862A4" w:rsidRDefault="001A7264" w:rsidP="00A533E0">
            <w:pPr>
              <w:pStyle w:val="NormalParaAR"/>
              <w:rPr>
                <w:sz w:val="32"/>
                <w:szCs w:val="32"/>
              </w:rPr>
            </w:pPr>
            <w:r w:rsidRPr="00D862A4">
              <w:rPr>
                <w:rFonts w:hint="cs"/>
                <w:sz w:val="32"/>
                <w:szCs w:val="32"/>
                <w:rtl/>
              </w:rPr>
              <w:t xml:space="preserve">المادة 7.1(ب) </w:t>
            </w:r>
            <w:proofErr w:type="gramStart"/>
            <w:r w:rsidRPr="00D862A4">
              <w:rPr>
                <w:rFonts w:hint="cs"/>
                <w:sz w:val="32"/>
                <w:szCs w:val="32"/>
                <w:rtl/>
              </w:rPr>
              <w:t>من</w:t>
            </w:r>
            <w:proofErr w:type="gramEnd"/>
            <w:r w:rsidRPr="00D862A4">
              <w:rPr>
                <w:rFonts w:hint="cs"/>
                <w:sz w:val="32"/>
                <w:szCs w:val="32"/>
                <w:rtl/>
              </w:rPr>
              <w:t xml:space="preserve"> نظام الموظفين</w:t>
            </w:r>
          </w:p>
        </w:tc>
        <w:tc>
          <w:tcPr>
            <w:tcW w:w="2875" w:type="dxa"/>
            <w:tcBorders>
              <w:bottom w:val="nil"/>
            </w:tcBorders>
          </w:tcPr>
          <w:p w:rsidR="001A7264" w:rsidRPr="00D862A4" w:rsidRDefault="001A7264" w:rsidP="001A7264">
            <w:pPr>
              <w:pStyle w:val="NormalParaAR"/>
              <w:rPr>
                <w:sz w:val="32"/>
                <w:szCs w:val="32"/>
              </w:rPr>
            </w:pPr>
            <w:r w:rsidRPr="00D862A4">
              <w:rPr>
                <w:sz w:val="32"/>
                <w:szCs w:val="32"/>
                <w:rtl/>
                <w:lang w:bidi="ar-EG"/>
              </w:rPr>
              <w:t xml:space="preserve">(ب) </w:t>
            </w:r>
            <w:r w:rsidRPr="00D862A4">
              <w:rPr>
                <w:rFonts w:hint="cs"/>
                <w:sz w:val="32"/>
                <w:szCs w:val="32"/>
                <w:rtl/>
                <w:lang w:bidi="ar-EG"/>
              </w:rPr>
              <w:t>و</w:t>
            </w:r>
            <w:r w:rsidRPr="00D862A4">
              <w:rPr>
                <w:sz w:val="32"/>
                <w:szCs w:val="32"/>
                <w:rtl/>
                <w:lang w:bidi="ar-EG"/>
              </w:rPr>
              <w:t xml:space="preserve">الموظف الذي يُبلِغ بحسن نية عن معلومات تتعلق باحتمال وجود مخالفة في المكتب الدولي بشأن أمور إدارية أو شؤون العاملين أو غيرها من الأمور المشابهة يكون بإمكانه القيام بذلك دون الكشف عن هويته. </w:t>
            </w:r>
            <w:proofErr w:type="gramStart"/>
            <w:r w:rsidRPr="00D862A4">
              <w:rPr>
                <w:sz w:val="32"/>
                <w:szCs w:val="32"/>
                <w:rtl/>
                <w:lang w:bidi="ar-EG"/>
              </w:rPr>
              <w:t>ويسُنُّ</w:t>
            </w:r>
            <w:proofErr w:type="gramEnd"/>
            <w:r w:rsidRPr="00D862A4">
              <w:rPr>
                <w:sz w:val="32"/>
                <w:szCs w:val="32"/>
                <w:rtl/>
                <w:lang w:bidi="ar-EG"/>
              </w:rPr>
              <w:t xml:space="preserve"> المكتب الدولي أحكاماً للحماية من أي إجراء انتقامي، مثل اتخاذ قرار إداري يضر بالموظف أو التحرش اللفظي.</w:t>
            </w:r>
          </w:p>
          <w:p w:rsidR="00A533E0" w:rsidRPr="00D862A4" w:rsidRDefault="00A533E0" w:rsidP="00A533E0">
            <w:pPr>
              <w:pStyle w:val="NormalParaAR"/>
              <w:rPr>
                <w:sz w:val="32"/>
                <w:szCs w:val="32"/>
              </w:rPr>
            </w:pPr>
          </w:p>
        </w:tc>
        <w:tc>
          <w:tcPr>
            <w:tcW w:w="2875" w:type="dxa"/>
            <w:tcBorders>
              <w:bottom w:val="nil"/>
            </w:tcBorders>
          </w:tcPr>
          <w:p w:rsidR="00A533E0" w:rsidRPr="00D862A4" w:rsidRDefault="001A7264" w:rsidP="00614472">
            <w:pPr>
              <w:pStyle w:val="NormalParaAR"/>
              <w:rPr>
                <w:sz w:val="32"/>
                <w:szCs w:val="32"/>
              </w:rPr>
            </w:pPr>
            <w:r w:rsidRPr="00D862A4">
              <w:rPr>
                <w:sz w:val="32"/>
                <w:szCs w:val="32"/>
                <w:rtl/>
                <w:lang w:bidi="ar-EG"/>
              </w:rPr>
              <w:t xml:space="preserve">(ب) </w:t>
            </w:r>
            <w:r w:rsidRPr="00D862A4">
              <w:rPr>
                <w:rFonts w:hint="cs"/>
                <w:strike/>
                <w:sz w:val="32"/>
                <w:szCs w:val="32"/>
                <w:rtl/>
                <w:lang w:bidi="ar-EG"/>
              </w:rPr>
              <w:t>و</w:t>
            </w:r>
            <w:r w:rsidRPr="00D862A4">
              <w:rPr>
                <w:strike/>
                <w:sz w:val="32"/>
                <w:szCs w:val="32"/>
                <w:rtl/>
                <w:lang w:bidi="ar-EG"/>
              </w:rPr>
              <w:t>الموظف الذي يُبلِغ بحسن نية عن معلومات تتعلق باحتمال وجود مخالفة في المكتب الدولي بشأن أمور إدارية أو شؤون العاملين أو غيرها من الأمور المشابهة يكون بإمكانه القيام بذلك دون الكشف عن هويته.</w:t>
            </w:r>
            <w:r w:rsidRPr="00D862A4">
              <w:rPr>
                <w:sz w:val="32"/>
                <w:szCs w:val="32"/>
                <w:rtl/>
                <w:lang w:bidi="ar-EG"/>
              </w:rPr>
              <w:t xml:space="preserve"> </w:t>
            </w:r>
            <w:r w:rsidR="005E4817" w:rsidRPr="00D862A4">
              <w:rPr>
                <w:rFonts w:hint="cs"/>
                <w:b/>
                <w:bCs/>
                <w:sz w:val="32"/>
                <w:szCs w:val="32"/>
                <w:rtl/>
                <w:lang w:bidi="ar-EG"/>
              </w:rPr>
              <w:t xml:space="preserve">من واجب الموظفين الإبلاغ عن </w:t>
            </w:r>
            <w:r w:rsidR="00614472" w:rsidRPr="00D862A4">
              <w:rPr>
                <w:rFonts w:hint="cs"/>
                <w:b/>
                <w:bCs/>
                <w:sz w:val="32"/>
                <w:szCs w:val="32"/>
                <w:rtl/>
                <w:lang w:bidi="ar-EG"/>
              </w:rPr>
              <w:t>المخالفات المشتبه فيها</w:t>
            </w:r>
            <w:r w:rsidR="005E4817" w:rsidRPr="00D862A4">
              <w:rPr>
                <w:rFonts w:hint="cs"/>
                <w:b/>
                <w:bCs/>
                <w:sz w:val="32"/>
                <w:szCs w:val="32"/>
                <w:rtl/>
                <w:lang w:bidi="ar-EG"/>
              </w:rPr>
              <w:t xml:space="preserve"> </w:t>
            </w:r>
            <w:r w:rsidR="00614472" w:rsidRPr="00D862A4">
              <w:rPr>
                <w:rFonts w:hint="cs"/>
                <w:b/>
                <w:bCs/>
                <w:sz w:val="32"/>
                <w:szCs w:val="32"/>
                <w:rtl/>
                <w:lang w:bidi="ar-EG"/>
              </w:rPr>
              <w:t xml:space="preserve">التي </w:t>
            </w:r>
            <w:r w:rsidR="005E4817" w:rsidRPr="00D862A4">
              <w:rPr>
                <w:rFonts w:hint="cs"/>
                <w:b/>
                <w:bCs/>
                <w:sz w:val="32"/>
                <w:szCs w:val="32"/>
                <w:rtl/>
                <w:lang w:bidi="ar-EG"/>
              </w:rPr>
              <w:t>تحدث في الويبو والتعاون في أي تحقيق مصرّح به حسب الأصول</w:t>
            </w:r>
            <w:r w:rsidR="005E4817" w:rsidRPr="00D862A4">
              <w:rPr>
                <w:rFonts w:hint="cs"/>
                <w:sz w:val="32"/>
                <w:szCs w:val="32"/>
                <w:rtl/>
                <w:lang w:bidi="ar-EG"/>
              </w:rPr>
              <w:t xml:space="preserve">. </w:t>
            </w:r>
            <w:proofErr w:type="gramStart"/>
            <w:r w:rsidRPr="00D862A4">
              <w:rPr>
                <w:sz w:val="32"/>
                <w:szCs w:val="32"/>
                <w:rtl/>
                <w:lang w:bidi="ar-EG"/>
              </w:rPr>
              <w:t>ويسُنُّ</w:t>
            </w:r>
            <w:proofErr w:type="gramEnd"/>
            <w:r w:rsidRPr="00D862A4">
              <w:rPr>
                <w:sz w:val="32"/>
                <w:szCs w:val="32"/>
                <w:rtl/>
                <w:lang w:bidi="ar-EG"/>
              </w:rPr>
              <w:t xml:space="preserve"> المكتب الدولي أحكاماً للحماية من </w:t>
            </w:r>
            <w:r w:rsidRPr="00D862A4">
              <w:rPr>
                <w:strike/>
                <w:sz w:val="32"/>
                <w:szCs w:val="32"/>
                <w:rtl/>
                <w:lang w:bidi="ar-EG"/>
              </w:rPr>
              <w:t>أي إجراء انتقامي، مثل اتخاذ قرار إداري يضر بالموظف أو التحرش اللفظي</w:t>
            </w:r>
            <w:r w:rsidR="005E4817" w:rsidRPr="00D862A4">
              <w:rPr>
                <w:rFonts w:hint="cs"/>
                <w:strike/>
                <w:sz w:val="32"/>
                <w:szCs w:val="32"/>
                <w:rtl/>
                <w:lang w:bidi="ar-EG"/>
              </w:rPr>
              <w:t xml:space="preserve"> </w:t>
            </w:r>
            <w:r w:rsidR="005E4817" w:rsidRPr="00D862A4">
              <w:rPr>
                <w:rFonts w:hint="cs"/>
                <w:b/>
                <w:bCs/>
                <w:sz w:val="32"/>
                <w:szCs w:val="32"/>
                <w:rtl/>
                <w:lang w:bidi="ar-EG"/>
              </w:rPr>
              <w:t>الانتقام بسبب الامتثال لتلك الواجبات</w:t>
            </w:r>
            <w:r w:rsidRPr="00D862A4">
              <w:rPr>
                <w:sz w:val="32"/>
                <w:szCs w:val="32"/>
                <w:rtl/>
                <w:lang w:bidi="ar-EG"/>
              </w:rPr>
              <w:t>.</w:t>
            </w:r>
          </w:p>
        </w:tc>
        <w:tc>
          <w:tcPr>
            <w:tcW w:w="2356" w:type="dxa"/>
            <w:tcBorders>
              <w:bottom w:val="nil"/>
            </w:tcBorders>
          </w:tcPr>
          <w:p w:rsidR="00A533E0" w:rsidRPr="00D862A4" w:rsidRDefault="00CD176C" w:rsidP="00A533E0">
            <w:pPr>
              <w:pStyle w:val="NormalParaAR"/>
              <w:rPr>
                <w:sz w:val="32"/>
                <w:szCs w:val="32"/>
              </w:rPr>
            </w:pPr>
            <w:r w:rsidRPr="00D862A4">
              <w:rPr>
                <w:rFonts w:hint="cs"/>
                <w:sz w:val="32"/>
                <w:szCs w:val="32"/>
                <w:rtl/>
              </w:rPr>
              <w:t>يُقترح التعديل بغرض ترسيخ واضح لواجب الإبلاغ عن المخالفات، تم</w:t>
            </w:r>
            <w:r w:rsidR="00A26ABC">
              <w:rPr>
                <w:rFonts w:hint="cs"/>
                <w:sz w:val="32"/>
                <w:szCs w:val="32"/>
                <w:rtl/>
              </w:rPr>
              <w:t>ا</w:t>
            </w:r>
            <w:r w:rsidRPr="00D862A4">
              <w:rPr>
                <w:rFonts w:hint="cs"/>
                <w:sz w:val="32"/>
                <w:szCs w:val="32"/>
                <w:rtl/>
              </w:rPr>
              <w:t>شيا مع أفضل الممارسات المتبعة في منظومة الأمم المتحدة.</w:t>
            </w:r>
          </w:p>
        </w:tc>
      </w:tr>
      <w:tr w:rsidR="00A533E0" w:rsidRPr="00D862A4" w:rsidTr="00A533E0">
        <w:tc>
          <w:tcPr>
            <w:tcW w:w="1465" w:type="dxa"/>
            <w:tcBorders>
              <w:top w:val="nil"/>
            </w:tcBorders>
          </w:tcPr>
          <w:p w:rsidR="00A533E0" w:rsidRPr="00D862A4" w:rsidRDefault="00CD176C" w:rsidP="00A533E0">
            <w:pPr>
              <w:pStyle w:val="NormalParaAR"/>
              <w:rPr>
                <w:sz w:val="32"/>
                <w:szCs w:val="32"/>
                <w:rtl/>
              </w:rPr>
            </w:pPr>
            <w:r w:rsidRPr="00D862A4">
              <w:rPr>
                <w:rFonts w:hint="cs"/>
                <w:sz w:val="32"/>
                <w:szCs w:val="32"/>
                <w:rtl/>
              </w:rPr>
              <w:t xml:space="preserve">المادة 7.1(ج) </w:t>
            </w:r>
            <w:proofErr w:type="gramStart"/>
            <w:r w:rsidRPr="00D862A4">
              <w:rPr>
                <w:rFonts w:hint="cs"/>
                <w:sz w:val="32"/>
                <w:szCs w:val="32"/>
                <w:rtl/>
              </w:rPr>
              <w:t>من</w:t>
            </w:r>
            <w:proofErr w:type="gramEnd"/>
            <w:r w:rsidRPr="00D862A4">
              <w:rPr>
                <w:rFonts w:hint="cs"/>
                <w:sz w:val="32"/>
                <w:szCs w:val="32"/>
                <w:rtl/>
              </w:rPr>
              <w:t xml:space="preserve"> نظام الموظفين</w:t>
            </w:r>
          </w:p>
        </w:tc>
        <w:tc>
          <w:tcPr>
            <w:tcW w:w="2875" w:type="dxa"/>
            <w:tcBorders>
              <w:top w:val="nil"/>
            </w:tcBorders>
          </w:tcPr>
          <w:p w:rsidR="00A533E0" w:rsidRPr="00D862A4" w:rsidRDefault="00CD176C" w:rsidP="00CD176C">
            <w:pPr>
              <w:pStyle w:val="NormalParaAR"/>
              <w:rPr>
                <w:sz w:val="32"/>
                <w:szCs w:val="32"/>
                <w:rtl/>
              </w:rPr>
            </w:pPr>
            <w:r w:rsidRPr="00D862A4">
              <w:rPr>
                <w:sz w:val="32"/>
                <w:szCs w:val="32"/>
                <w:rtl/>
                <w:lang w:bidi="ar-EG"/>
              </w:rPr>
              <w:t xml:space="preserve">(ج) </w:t>
            </w:r>
            <w:proofErr w:type="gramStart"/>
            <w:r w:rsidRPr="00D862A4">
              <w:rPr>
                <w:sz w:val="32"/>
                <w:szCs w:val="32"/>
                <w:rtl/>
                <w:lang w:bidi="ar-EG"/>
              </w:rPr>
              <w:t>ويكون</w:t>
            </w:r>
            <w:proofErr w:type="gramEnd"/>
            <w:r w:rsidRPr="00D862A4">
              <w:rPr>
                <w:sz w:val="32"/>
                <w:szCs w:val="32"/>
                <w:rtl/>
                <w:lang w:bidi="ar-EG"/>
              </w:rPr>
              <w:t xml:space="preserve"> هذا الإبلاغ من خلال أي من الطرق المُقرَّرة التالية</w:t>
            </w:r>
            <w:r w:rsidRPr="00D862A4">
              <w:rPr>
                <w:rFonts w:hint="cs"/>
                <w:sz w:val="32"/>
                <w:szCs w:val="32"/>
                <w:rtl/>
                <w:lang w:bidi="ar-EG"/>
              </w:rPr>
              <w:t xml:space="preserve">: </w:t>
            </w:r>
            <w:r w:rsidRPr="00D862A4">
              <w:rPr>
                <w:sz w:val="32"/>
                <w:szCs w:val="32"/>
                <w:rtl/>
                <w:lang w:bidi="ar-EG"/>
              </w:rPr>
              <w:t xml:space="preserve">إلى مشرف في التسلسل الوظيفي الهرمي، أو مكتب المدير العام، أو مدير شعبة الرقابة الداخلية، أو رئيس لجنة التنسيق، الذين يجب عليهم الحفاظ على إخفاء هوية الموظف المُبلِّغ. </w:t>
            </w:r>
            <w:r w:rsidRPr="00D862A4">
              <w:rPr>
                <w:rFonts w:hint="cs"/>
                <w:sz w:val="32"/>
                <w:szCs w:val="32"/>
                <w:rtl/>
                <w:lang w:bidi="ar-EG"/>
              </w:rPr>
              <w:t>و</w:t>
            </w:r>
            <w:r w:rsidRPr="00D862A4">
              <w:rPr>
                <w:sz w:val="32"/>
                <w:szCs w:val="32"/>
                <w:rtl/>
                <w:lang w:bidi="ar-EG"/>
              </w:rPr>
              <w:t>يسُنُّ المكتب الدولي أحكاماً بشأن الإبلاغ عن المخالفات.</w:t>
            </w:r>
          </w:p>
        </w:tc>
        <w:tc>
          <w:tcPr>
            <w:tcW w:w="2875" w:type="dxa"/>
            <w:tcBorders>
              <w:top w:val="nil"/>
            </w:tcBorders>
          </w:tcPr>
          <w:p w:rsidR="00A533E0" w:rsidRPr="00D862A4" w:rsidRDefault="00CD176C" w:rsidP="00614472">
            <w:pPr>
              <w:pStyle w:val="NormalParaAR"/>
              <w:rPr>
                <w:sz w:val="32"/>
                <w:szCs w:val="32"/>
                <w:rtl/>
              </w:rPr>
            </w:pPr>
            <w:r w:rsidRPr="00D862A4">
              <w:rPr>
                <w:sz w:val="32"/>
                <w:szCs w:val="32"/>
                <w:rtl/>
                <w:lang w:bidi="ar-EG"/>
              </w:rPr>
              <w:t>(ج)</w:t>
            </w:r>
            <w:r w:rsidRPr="00D862A4">
              <w:rPr>
                <w:strike/>
                <w:sz w:val="32"/>
                <w:szCs w:val="32"/>
                <w:rtl/>
                <w:lang w:bidi="ar-EG"/>
              </w:rPr>
              <w:t xml:space="preserve"> </w:t>
            </w:r>
            <w:proofErr w:type="gramStart"/>
            <w:r w:rsidRPr="00D862A4">
              <w:rPr>
                <w:strike/>
                <w:sz w:val="32"/>
                <w:szCs w:val="32"/>
                <w:rtl/>
                <w:lang w:bidi="ar-EG"/>
              </w:rPr>
              <w:t>ويكون</w:t>
            </w:r>
            <w:proofErr w:type="gramEnd"/>
            <w:r w:rsidRPr="00D862A4">
              <w:rPr>
                <w:strike/>
                <w:sz w:val="32"/>
                <w:szCs w:val="32"/>
                <w:rtl/>
                <w:lang w:bidi="ar-EG"/>
              </w:rPr>
              <w:t xml:space="preserve"> هذا الإبلاغ من خلال أي من الطرق المُقرَّرة التالية</w:t>
            </w:r>
            <w:r w:rsidRPr="00D862A4">
              <w:rPr>
                <w:rFonts w:hint="cs"/>
                <w:strike/>
                <w:sz w:val="32"/>
                <w:szCs w:val="32"/>
                <w:rtl/>
                <w:lang w:bidi="ar-EG"/>
              </w:rPr>
              <w:t xml:space="preserve">: </w:t>
            </w:r>
            <w:r w:rsidRPr="00D862A4">
              <w:rPr>
                <w:strike/>
                <w:sz w:val="32"/>
                <w:szCs w:val="32"/>
                <w:rtl/>
                <w:lang w:bidi="ar-EG"/>
              </w:rPr>
              <w:t xml:space="preserve">إلى مشرف في التسلسل الوظيفي الهرمي، أو مكتب المدير العام، أو مدير شعبة الرقابة الداخلية، أو رئيس لجنة التنسيق، الذين يجب عليهم الحفاظ على إخفاء هوية الموظف المُبلِّغ. </w:t>
            </w:r>
            <w:proofErr w:type="gramStart"/>
            <w:r w:rsidRPr="00D862A4">
              <w:rPr>
                <w:rFonts w:hint="cs"/>
                <w:strike/>
                <w:sz w:val="32"/>
                <w:szCs w:val="32"/>
                <w:rtl/>
                <w:lang w:bidi="ar-EG"/>
              </w:rPr>
              <w:t>و</w:t>
            </w:r>
            <w:r w:rsidRPr="00D862A4">
              <w:rPr>
                <w:strike/>
                <w:sz w:val="32"/>
                <w:szCs w:val="32"/>
                <w:rtl/>
                <w:lang w:bidi="ar-EG"/>
              </w:rPr>
              <w:t>يسُنُّ</w:t>
            </w:r>
            <w:proofErr w:type="gramEnd"/>
            <w:r w:rsidRPr="00D862A4">
              <w:rPr>
                <w:strike/>
                <w:sz w:val="32"/>
                <w:szCs w:val="32"/>
                <w:rtl/>
                <w:lang w:bidi="ar-EG"/>
              </w:rPr>
              <w:t xml:space="preserve"> المكتب الدولي أحكاماً بشأن الإبلاغ عن المخالفات</w:t>
            </w:r>
            <w:r w:rsidRPr="00D862A4">
              <w:rPr>
                <w:rFonts w:hint="cs"/>
                <w:sz w:val="32"/>
                <w:szCs w:val="32"/>
                <w:rtl/>
                <w:lang w:bidi="ar-EG"/>
              </w:rPr>
              <w:t xml:space="preserve"> </w:t>
            </w:r>
            <w:r w:rsidRPr="00D862A4">
              <w:rPr>
                <w:rFonts w:hint="cs"/>
                <w:b/>
                <w:bCs/>
                <w:sz w:val="32"/>
                <w:szCs w:val="32"/>
                <w:rtl/>
                <w:lang w:bidi="ar-EG"/>
              </w:rPr>
              <w:t>ويبلّ</w:t>
            </w:r>
            <w:r w:rsidR="00A611C2" w:rsidRPr="00D862A4">
              <w:rPr>
                <w:rFonts w:hint="cs"/>
                <w:b/>
                <w:bCs/>
                <w:sz w:val="32"/>
                <w:szCs w:val="32"/>
                <w:rtl/>
                <w:lang w:bidi="ar-EG"/>
              </w:rPr>
              <w:t>ِ</w:t>
            </w:r>
            <w:r w:rsidRPr="00D862A4">
              <w:rPr>
                <w:rFonts w:hint="cs"/>
                <w:b/>
                <w:bCs/>
                <w:sz w:val="32"/>
                <w:szCs w:val="32"/>
                <w:rtl/>
                <w:lang w:bidi="ar-EG"/>
              </w:rPr>
              <w:t xml:space="preserve">غ الموظفون عن </w:t>
            </w:r>
            <w:r w:rsidR="00614472" w:rsidRPr="00D862A4">
              <w:rPr>
                <w:rFonts w:hint="cs"/>
                <w:b/>
                <w:bCs/>
                <w:sz w:val="32"/>
                <w:szCs w:val="32"/>
                <w:rtl/>
                <w:lang w:bidi="ar-EG"/>
              </w:rPr>
              <w:t>المخالفات</w:t>
            </w:r>
            <w:r w:rsidRPr="00D862A4">
              <w:rPr>
                <w:rFonts w:hint="cs"/>
                <w:b/>
                <w:bCs/>
                <w:sz w:val="32"/>
                <w:szCs w:val="32"/>
                <w:rtl/>
                <w:lang w:bidi="ar-EG"/>
              </w:rPr>
              <w:t xml:space="preserve"> الم</w:t>
            </w:r>
            <w:r w:rsidR="00614472" w:rsidRPr="00D862A4">
              <w:rPr>
                <w:rFonts w:hint="cs"/>
                <w:b/>
                <w:bCs/>
                <w:sz w:val="32"/>
                <w:szCs w:val="32"/>
                <w:rtl/>
                <w:lang w:bidi="ar-EG"/>
              </w:rPr>
              <w:t>شتبه فيها</w:t>
            </w:r>
            <w:r w:rsidRPr="00D862A4">
              <w:rPr>
                <w:rFonts w:hint="cs"/>
                <w:b/>
                <w:bCs/>
                <w:sz w:val="32"/>
                <w:szCs w:val="32"/>
                <w:rtl/>
                <w:lang w:bidi="ar-EG"/>
              </w:rPr>
              <w:t xml:space="preserve"> إلى مدير </w:t>
            </w:r>
            <w:r w:rsidR="00A611C2" w:rsidRPr="00D862A4">
              <w:rPr>
                <w:rFonts w:hint="cs"/>
                <w:b/>
                <w:bCs/>
                <w:sz w:val="32"/>
                <w:szCs w:val="32"/>
                <w:rtl/>
                <w:lang w:bidi="ar-EG"/>
              </w:rPr>
              <w:t xml:space="preserve">شعبة </w:t>
            </w:r>
            <w:r w:rsidRPr="00D862A4">
              <w:rPr>
                <w:rFonts w:hint="cs"/>
                <w:b/>
                <w:bCs/>
                <w:sz w:val="32"/>
                <w:szCs w:val="32"/>
                <w:rtl/>
                <w:lang w:bidi="ar-EG"/>
              </w:rPr>
              <w:t xml:space="preserve">الرقابة الداخلية، أو </w:t>
            </w:r>
            <w:r w:rsidRPr="00D862A4">
              <w:rPr>
                <w:b/>
                <w:bCs/>
                <w:sz w:val="32"/>
                <w:szCs w:val="32"/>
                <w:rtl/>
                <w:lang w:bidi="ar-EG"/>
              </w:rPr>
              <w:t>مشرف في التسلسل الوظيفي</w:t>
            </w:r>
            <w:r w:rsidRPr="00D862A4">
              <w:rPr>
                <w:rFonts w:hint="cs"/>
                <w:b/>
                <w:bCs/>
                <w:sz w:val="32"/>
                <w:szCs w:val="32"/>
                <w:rtl/>
                <w:lang w:bidi="ar-EG"/>
              </w:rPr>
              <w:t xml:space="preserve">، الذي يقوم على الفور بإبلاغ مدير شعبة الرقابة الداخلية. وتُستلم </w:t>
            </w:r>
            <w:r w:rsidR="00614472" w:rsidRPr="00D862A4">
              <w:rPr>
                <w:rFonts w:hint="cs"/>
                <w:b/>
                <w:bCs/>
                <w:sz w:val="32"/>
                <w:szCs w:val="32"/>
                <w:rtl/>
                <w:lang w:bidi="ar-EG"/>
              </w:rPr>
              <w:t xml:space="preserve">التقارير التي تُقدم إلى </w:t>
            </w:r>
            <w:r w:rsidR="00614472" w:rsidRPr="00D862A4">
              <w:rPr>
                <w:rFonts w:hint="cs"/>
                <w:b/>
                <w:bCs/>
                <w:sz w:val="32"/>
                <w:szCs w:val="32"/>
                <w:rtl/>
                <w:lang w:bidi="ar-EG"/>
              </w:rPr>
              <w:lastRenderedPageBreak/>
              <w:t xml:space="preserve">مدير شعبة الرقابة الداخلية مع توخي السرية ويجوز </w:t>
            </w:r>
            <w:r w:rsidR="003C3B65">
              <w:rPr>
                <w:rFonts w:hint="cs"/>
                <w:b/>
                <w:bCs/>
                <w:sz w:val="32"/>
                <w:szCs w:val="32"/>
                <w:rtl/>
                <w:lang w:bidi="ar-EG"/>
              </w:rPr>
              <w:t xml:space="preserve">أيضا </w:t>
            </w:r>
            <w:r w:rsidR="00614472" w:rsidRPr="00D862A4">
              <w:rPr>
                <w:rFonts w:hint="cs"/>
                <w:b/>
                <w:bCs/>
                <w:sz w:val="32"/>
                <w:szCs w:val="32"/>
                <w:rtl/>
                <w:lang w:bidi="ar-EG"/>
              </w:rPr>
              <w:t>لمقدميها عدم الكشف عن هويتهم</w:t>
            </w:r>
            <w:r w:rsidRPr="00D862A4">
              <w:rPr>
                <w:b/>
                <w:bCs/>
                <w:sz w:val="32"/>
                <w:szCs w:val="32"/>
                <w:rtl/>
                <w:lang w:bidi="ar-EG"/>
              </w:rPr>
              <w:t>.</w:t>
            </w:r>
            <w:r w:rsidR="00614472" w:rsidRPr="00D862A4">
              <w:rPr>
                <w:rFonts w:hint="cs"/>
                <w:b/>
                <w:bCs/>
                <w:sz w:val="32"/>
                <w:szCs w:val="32"/>
                <w:rtl/>
                <w:lang w:bidi="ar-EG"/>
              </w:rPr>
              <w:t xml:space="preserve"> </w:t>
            </w:r>
            <w:r w:rsidR="00A611C2" w:rsidRPr="00D862A4">
              <w:rPr>
                <w:rFonts w:hint="cs"/>
                <w:b/>
                <w:bCs/>
                <w:sz w:val="32"/>
                <w:szCs w:val="32"/>
                <w:rtl/>
                <w:lang w:bidi="ar-EG"/>
              </w:rPr>
              <w:t>وتُبلَّغ ادعاءات المخالفات الصادرة ضد مدير شعبة الرقابة الداخلية إلى المدير العام. وفي حال لم يتخذ مدير شعبة الرقابة الداخلية أي إجراء في غضون ستة أشهر، يجوز للموظفين أيضا إبلاغ المدير العام أو رئيس لجنة التنسيق</w:t>
            </w:r>
            <w:r w:rsidR="00A611C2" w:rsidRPr="00D862A4">
              <w:rPr>
                <w:rFonts w:hint="cs"/>
                <w:sz w:val="32"/>
                <w:szCs w:val="32"/>
                <w:rtl/>
                <w:lang w:bidi="ar-EG"/>
              </w:rPr>
              <w:t>.</w:t>
            </w:r>
          </w:p>
        </w:tc>
        <w:tc>
          <w:tcPr>
            <w:tcW w:w="2356" w:type="dxa"/>
            <w:tcBorders>
              <w:top w:val="nil"/>
            </w:tcBorders>
          </w:tcPr>
          <w:p w:rsidR="00A533E0" w:rsidRPr="00D862A4" w:rsidRDefault="00A611C2" w:rsidP="00A611C2">
            <w:pPr>
              <w:pStyle w:val="NormalParaAR"/>
              <w:rPr>
                <w:sz w:val="32"/>
                <w:szCs w:val="32"/>
              </w:rPr>
            </w:pPr>
            <w:r w:rsidRPr="00D862A4">
              <w:rPr>
                <w:rFonts w:hint="cs"/>
                <w:sz w:val="32"/>
                <w:szCs w:val="32"/>
                <w:rtl/>
              </w:rPr>
              <w:lastRenderedPageBreak/>
              <w:t xml:space="preserve">يُقترح التعديل بغرض تعزيز الإبلاغ عن المخالفات من خلال تأكيد </w:t>
            </w:r>
            <w:proofErr w:type="gramStart"/>
            <w:r w:rsidRPr="00D862A4">
              <w:rPr>
                <w:rFonts w:hint="cs"/>
                <w:sz w:val="32"/>
                <w:szCs w:val="32"/>
                <w:rtl/>
              </w:rPr>
              <w:t>دور</w:t>
            </w:r>
            <w:proofErr w:type="gramEnd"/>
            <w:r w:rsidRPr="00D862A4">
              <w:rPr>
                <w:rFonts w:hint="cs"/>
                <w:sz w:val="32"/>
                <w:szCs w:val="32"/>
                <w:rtl/>
              </w:rPr>
              <w:t xml:space="preserve"> شعبة الرقابة الداخلية بوصفها الطريق الأولي والمفضّل لذلك الإبلاغ.</w:t>
            </w:r>
          </w:p>
        </w:tc>
      </w:tr>
    </w:tbl>
    <w:p w:rsidR="00394790" w:rsidRDefault="00D862A4" w:rsidP="00F90D5A">
      <w:pPr>
        <w:pStyle w:val="NumberedParaAR"/>
        <w:spacing w:before="240"/>
        <w:rPr>
          <w:rFonts w:hint="cs"/>
        </w:rPr>
      </w:pPr>
      <w:r>
        <w:rPr>
          <w:rFonts w:hint="cs"/>
          <w:rtl/>
        </w:rPr>
        <w:lastRenderedPageBreak/>
        <w:t xml:space="preserve">وأبدت أمانة الويبو تحفظات بخصوص </w:t>
      </w:r>
      <w:r w:rsidR="009370E7">
        <w:rPr>
          <w:rFonts w:hint="cs"/>
          <w:rtl/>
        </w:rPr>
        <w:t>الجملة الأخيرة من النص الجديد المقترح للمادة</w:t>
      </w:r>
      <w:r w:rsidR="009B06CC">
        <w:rPr>
          <w:rFonts w:hint="eastAsia"/>
          <w:rtl/>
        </w:rPr>
        <w:t> </w:t>
      </w:r>
      <w:r w:rsidR="009370E7">
        <w:rPr>
          <w:rFonts w:hint="cs"/>
          <w:rtl/>
        </w:rPr>
        <w:t xml:space="preserve">7.1(ج) من نظام الموظفين والتي </w:t>
      </w:r>
      <w:r w:rsidR="009B06CC">
        <w:rPr>
          <w:rFonts w:hint="cs"/>
          <w:rtl/>
        </w:rPr>
        <w:t>ورد</w:t>
      </w:r>
      <w:r w:rsidR="00EF6E55">
        <w:rPr>
          <w:rFonts w:hint="cs"/>
          <w:rtl/>
        </w:rPr>
        <w:t>ت كما يلي</w:t>
      </w:r>
      <w:r w:rsidR="009370E7">
        <w:rPr>
          <w:rFonts w:hint="cs"/>
          <w:rtl/>
        </w:rPr>
        <w:t xml:space="preserve">: </w:t>
      </w:r>
      <w:r w:rsidR="00406F23">
        <w:rPr>
          <w:rFonts w:hint="cs"/>
          <w:rtl/>
        </w:rPr>
        <w:t>"</w:t>
      </w:r>
      <w:r w:rsidR="00406F23" w:rsidRPr="00406F23">
        <w:rPr>
          <w:rtl/>
        </w:rPr>
        <w:t>وفي حال لم يتخذ مدير شعبة الرقابة الداخلية أي إجراء في غضون ستة أشهر، يجوز للموظفين أيضا إبلاغ المدير العام أو رئيس لجنة التنسيق.</w:t>
      </w:r>
      <w:r w:rsidR="009B06CC">
        <w:rPr>
          <w:rFonts w:hint="cs"/>
          <w:rtl/>
        </w:rPr>
        <w:t>" وترى</w:t>
      </w:r>
      <w:r w:rsidR="00406F23">
        <w:rPr>
          <w:rFonts w:hint="cs"/>
          <w:rtl/>
        </w:rPr>
        <w:t xml:space="preserve"> الأمانة، كما جاء في </w:t>
      </w:r>
      <w:r w:rsidR="009B06CC">
        <w:rPr>
          <w:rFonts w:hint="cs"/>
          <w:rtl/>
        </w:rPr>
        <w:t>التعليقات</w:t>
      </w:r>
      <w:r w:rsidR="00406F23">
        <w:rPr>
          <w:rFonts w:hint="cs"/>
          <w:rtl/>
        </w:rPr>
        <w:t xml:space="preserve"> التي قدمتها إلى اللجنة الاستشارية، أن الحكم لا يتوافق مع ميثاق الرقابة الداخلية ولا مع سياسة التحقيق، من حيث سرية المسائل الخاضعة للتحقيق، فهو يستند إلى افتراض أن يكون الموظف على علم، في مرحلة من المراحل، بالإجراء المُتخذ من قبل شعبة الرقابة الداخلية بشأن حالة إبلاغ عن سوء سلوك</w:t>
      </w:r>
      <w:r w:rsidR="009B06CC">
        <w:rPr>
          <w:rFonts w:hint="cs"/>
          <w:rtl/>
        </w:rPr>
        <w:t>، بينما قد لا يكون مدير شعبة الرقابة الداخلية، لأسباب تتعلق بالسرية، في وضع يسمح له بتزويد الموظف بتلك المعلومات. كما ترى الأمانة أن هناك تناقضا آخر بين ذلك الحكم وميثاق الرقابة الداخلية يكمن في عدم نص الميثاق، في</w:t>
      </w:r>
      <w:r w:rsidR="00F90D5A">
        <w:rPr>
          <w:rFonts w:hint="eastAsia"/>
          <w:rtl/>
        </w:rPr>
        <w:t> </w:t>
      </w:r>
      <w:r w:rsidR="009B06CC">
        <w:rPr>
          <w:rFonts w:hint="cs"/>
          <w:rtl/>
        </w:rPr>
        <w:t>أي من أحكامه، على إمكانية أن يتواصل الموظف بشكل مباشر مع رئيس لجنة التنسيق، حتى وإن كانت ادعاءات سوء السلوك تتعلق بمدير شعبة الرقابة الداخلية أو المدير العام.</w:t>
      </w:r>
    </w:p>
    <w:p w:rsidR="009B06CC" w:rsidRDefault="009B06CC" w:rsidP="00F90D5A">
      <w:pPr>
        <w:pStyle w:val="NumberedParaAR"/>
        <w:rPr>
          <w:rFonts w:hint="cs"/>
        </w:rPr>
      </w:pPr>
      <w:r>
        <w:rPr>
          <w:rFonts w:hint="cs"/>
          <w:rtl/>
        </w:rPr>
        <w:t xml:space="preserve">وأعِدّت التعديلات المقترحة بمساعدة تقنية من أمانة الويبو. </w:t>
      </w:r>
      <w:r w:rsidR="0023334E">
        <w:rPr>
          <w:rFonts w:hint="cs"/>
          <w:rtl/>
        </w:rPr>
        <w:t>وقد نُظر في التعليقات المُستلمة وأدمِج</w:t>
      </w:r>
      <w:r w:rsidR="009B3296">
        <w:rPr>
          <w:rFonts w:hint="cs"/>
          <w:rtl/>
        </w:rPr>
        <w:t>ت</w:t>
      </w:r>
      <w:r w:rsidR="0023334E">
        <w:rPr>
          <w:rFonts w:hint="cs"/>
          <w:rtl/>
        </w:rPr>
        <w:t xml:space="preserve"> معظم الاقتراحات في </w:t>
      </w:r>
      <w:r w:rsidR="00F90D5A">
        <w:rPr>
          <w:rFonts w:hint="cs"/>
          <w:rtl/>
        </w:rPr>
        <w:t xml:space="preserve">هذا </w:t>
      </w:r>
      <w:r w:rsidR="0023334E">
        <w:rPr>
          <w:rFonts w:hint="cs"/>
          <w:rtl/>
        </w:rPr>
        <w:t xml:space="preserve">التقرير النهائي. </w:t>
      </w:r>
      <w:proofErr w:type="gramStart"/>
      <w:r w:rsidR="0023334E">
        <w:rPr>
          <w:rFonts w:hint="cs"/>
          <w:rtl/>
        </w:rPr>
        <w:t>وتودّ</w:t>
      </w:r>
      <w:proofErr w:type="gramEnd"/>
      <w:r w:rsidR="0023334E">
        <w:rPr>
          <w:rFonts w:hint="cs"/>
          <w:rtl/>
        </w:rPr>
        <w:t xml:space="preserve"> اللجنة الاستشارية </w:t>
      </w:r>
      <w:r w:rsidR="009B3296">
        <w:rPr>
          <w:rFonts w:hint="cs"/>
          <w:rtl/>
        </w:rPr>
        <w:t xml:space="preserve">أن </w:t>
      </w:r>
      <w:r w:rsidR="00F90D5A">
        <w:rPr>
          <w:rFonts w:hint="cs"/>
          <w:rtl/>
        </w:rPr>
        <w:t>تبدي امتنانها</w:t>
      </w:r>
      <w:r w:rsidR="009B3296">
        <w:rPr>
          <w:rFonts w:hint="cs"/>
          <w:rtl/>
        </w:rPr>
        <w:t xml:space="preserve"> </w:t>
      </w:r>
      <w:r w:rsidR="00F90D5A">
        <w:rPr>
          <w:rFonts w:hint="cs"/>
          <w:rtl/>
        </w:rPr>
        <w:t xml:space="preserve">على </w:t>
      </w:r>
      <w:r w:rsidR="009B3296">
        <w:rPr>
          <w:rFonts w:hint="cs"/>
          <w:rtl/>
        </w:rPr>
        <w:t>ما تلقته من مشورة قانونية ومساعدة في</w:t>
      </w:r>
      <w:r w:rsidR="00F90D5A">
        <w:rPr>
          <w:rFonts w:hint="eastAsia"/>
          <w:rtl/>
        </w:rPr>
        <w:t> </w:t>
      </w:r>
      <w:r w:rsidR="009B3296">
        <w:rPr>
          <w:rFonts w:hint="cs"/>
          <w:rtl/>
        </w:rPr>
        <w:t>هذا</w:t>
      </w:r>
      <w:r w:rsidR="009B3296">
        <w:rPr>
          <w:rFonts w:hint="eastAsia"/>
          <w:rtl/>
        </w:rPr>
        <w:t> </w:t>
      </w:r>
      <w:r w:rsidR="009B3296">
        <w:rPr>
          <w:rFonts w:hint="cs"/>
          <w:rtl/>
        </w:rPr>
        <w:t>الصدد. وقد أتيح مشروع هذا التقرير لمنسقي المجموعات الإقليمية لأغراض التشاور مع الدول الأعضاء. واستُلمت تعليقات من دولتين عضوين ور</w:t>
      </w:r>
      <w:r w:rsidR="00F90D5A">
        <w:rPr>
          <w:rFonts w:hint="cs"/>
          <w:rtl/>
        </w:rPr>
        <w:t xml:space="preserve">وعيت </w:t>
      </w:r>
      <w:proofErr w:type="gramStart"/>
      <w:r w:rsidR="00F90D5A">
        <w:rPr>
          <w:rFonts w:hint="cs"/>
          <w:rtl/>
        </w:rPr>
        <w:t>لدى</w:t>
      </w:r>
      <w:proofErr w:type="gramEnd"/>
      <w:r w:rsidR="00F90D5A">
        <w:rPr>
          <w:rFonts w:hint="cs"/>
          <w:rtl/>
        </w:rPr>
        <w:t xml:space="preserve"> وضع الصيغة النهائية ل</w:t>
      </w:r>
      <w:r w:rsidR="009B3296">
        <w:rPr>
          <w:rFonts w:hint="cs"/>
          <w:rtl/>
        </w:rPr>
        <w:t>هذا التقرير.</w:t>
      </w:r>
    </w:p>
    <w:p w:rsidR="009B3296" w:rsidRDefault="00070BDA" w:rsidP="00070BDA">
      <w:pPr>
        <w:pStyle w:val="NumberedParaAR"/>
        <w:rPr>
          <w:rFonts w:hint="cs"/>
        </w:rPr>
      </w:pPr>
      <w:r>
        <w:rPr>
          <w:rFonts w:hint="cs"/>
          <w:rtl/>
        </w:rPr>
        <w:t>وتُقدم التعديلات المقترحة كي تنظر فيها لجنة الويبو للتنسيق وتعتمدها.</w:t>
      </w:r>
    </w:p>
    <w:p w:rsidR="00070BDA" w:rsidRDefault="00070BDA" w:rsidP="00070BDA">
      <w:pPr>
        <w:pStyle w:val="DecisionParaAR"/>
        <w:spacing w:after="480"/>
        <w:rPr>
          <w:rFonts w:hint="cs"/>
        </w:rPr>
      </w:pPr>
      <w:r>
        <w:rPr>
          <w:rFonts w:hint="cs"/>
          <w:rtl/>
        </w:rPr>
        <w:t xml:space="preserve">إن لجنة الويبو للتنسيق مدعوة إلى النظر في التعديلات </w:t>
      </w:r>
      <w:r>
        <w:rPr>
          <w:rFonts w:hint="cs"/>
          <w:rtl/>
        </w:rPr>
        <w:t>على نظام الموظفين</w:t>
      </w:r>
      <w:r>
        <w:rPr>
          <w:rFonts w:hint="cs"/>
          <w:rtl/>
        </w:rPr>
        <w:t xml:space="preserve"> المقترحة في</w:t>
      </w:r>
      <w:r>
        <w:rPr>
          <w:rFonts w:hint="eastAsia"/>
          <w:rtl/>
        </w:rPr>
        <w:t> </w:t>
      </w:r>
      <w:r>
        <w:rPr>
          <w:rFonts w:hint="cs"/>
          <w:rtl/>
        </w:rPr>
        <w:t>هذه</w:t>
      </w:r>
      <w:r>
        <w:rPr>
          <w:rFonts w:hint="eastAsia"/>
          <w:rtl/>
        </w:rPr>
        <w:t> </w:t>
      </w:r>
      <w:r>
        <w:rPr>
          <w:rFonts w:hint="cs"/>
          <w:rtl/>
        </w:rPr>
        <w:t>الوثيقة</w:t>
      </w:r>
      <w:r>
        <w:rPr>
          <w:rFonts w:hint="cs"/>
          <w:rtl/>
        </w:rPr>
        <w:t xml:space="preserve"> من اللجنة الاستشارية المستقلة للرقابة، واعتمادها.</w:t>
      </w:r>
    </w:p>
    <w:p w:rsidR="00070BDA" w:rsidRDefault="00070BDA" w:rsidP="00070BDA">
      <w:pPr>
        <w:pStyle w:val="EndofDocumentAR"/>
        <w:rPr>
          <w:rtl/>
        </w:rPr>
      </w:pPr>
      <w:r>
        <w:rPr>
          <w:rFonts w:hint="cs"/>
          <w:rtl/>
        </w:rPr>
        <w:t>[</w:t>
      </w:r>
      <w:proofErr w:type="gramStart"/>
      <w:r>
        <w:rPr>
          <w:rFonts w:hint="cs"/>
          <w:rtl/>
        </w:rPr>
        <w:t>نهاية</w:t>
      </w:r>
      <w:proofErr w:type="gramEnd"/>
      <w:r>
        <w:rPr>
          <w:rFonts w:hint="cs"/>
          <w:rtl/>
        </w:rPr>
        <w:t xml:space="preserve"> الوثيقة]</w:t>
      </w:r>
    </w:p>
    <w:sectPr w:rsidR="00070BDA"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F5B" w:rsidRDefault="00AB0F5B">
      <w:r>
        <w:separator/>
      </w:r>
    </w:p>
  </w:endnote>
  <w:endnote w:type="continuationSeparator" w:id="0">
    <w:p w:rsidR="00AB0F5B" w:rsidRDefault="00AB0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F5B" w:rsidRDefault="00AB0F5B" w:rsidP="009622BF">
      <w:pPr>
        <w:bidi/>
      </w:pPr>
      <w:bookmarkStart w:id="0" w:name="OLE_LINK1"/>
      <w:bookmarkStart w:id="1" w:name="OLE_LINK2"/>
      <w:r>
        <w:separator/>
      </w:r>
      <w:bookmarkEnd w:id="0"/>
      <w:bookmarkEnd w:id="1"/>
    </w:p>
  </w:footnote>
  <w:footnote w:type="continuationSeparator" w:id="0">
    <w:p w:rsidR="00AB0F5B" w:rsidRDefault="00AB0F5B"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394790">
    <w:r>
      <w:t>W</w:t>
    </w:r>
    <w:r w:rsidR="00772E46">
      <w:t>O/</w:t>
    </w:r>
    <w:r w:rsidR="000D7BA7">
      <w:t>C</w:t>
    </w:r>
    <w:r>
      <w:t>C</w:t>
    </w:r>
    <w:r w:rsidR="002F77FC">
      <w:t>/</w:t>
    </w:r>
    <w:r w:rsidR="00CB1F62">
      <w:t>7</w:t>
    </w:r>
    <w:r w:rsidR="00394790">
      <w:t>4</w:t>
    </w:r>
    <w:r w:rsidR="00BF5FD1">
      <w:t>/7</w:t>
    </w:r>
  </w:p>
  <w:p w:rsidR="002F77FC" w:rsidRDefault="002F77FC" w:rsidP="00D61541">
    <w:r>
      <w:fldChar w:fldCharType="begin"/>
    </w:r>
    <w:r>
      <w:instrText xml:space="preserve"> PAGE  \* MERGEFORMAT </w:instrText>
    </w:r>
    <w:r>
      <w:fldChar w:fldCharType="separate"/>
    </w:r>
    <w:r w:rsidR="00DE365A">
      <w:rPr>
        <w:noProof/>
      </w:rPr>
      <w:t>4</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F5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5761A"/>
    <w:rsid w:val="00061FF5"/>
    <w:rsid w:val="00062502"/>
    <w:rsid w:val="00063C91"/>
    <w:rsid w:val="000640E7"/>
    <w:rsid w:val="00064379"/>
    <w:rsid w:val="00066DC7"/>
    <w:rsid w:val="0006794A"/>
    <w:rsid w:val="00067F31"/>
    <w:rsid w:val="00070BDA"/>
    <w:rsid w:val="00071138"/>
    <w:rsid w:val="000717BF"/>
    <w:rsid w:val="00073402"/>
    <w:rsid w:val="0007513C"/>
    <w:rsid w:val="00075745"/>
    <w:rsid w:val="00075A04"/>
    <w:rsid w:val="00075D39"/>
    <w:rsid w:val="000760C3"/>
    <w:rsid w:val="000763A4"/>
    <w:rsid w:val="00076901"/>
    <w:rsid w:val="00081D82"/>
    <w:rsid w:val="0008237C"/>
    <w:rsid w:val="000833C3"/>
    <w:rsid w:val="0008421F"/>
    <w:rsid w:val="0008442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42A7"/>
    <w:rsid w:val="000A5408"/>
    <w:rsid w:val="000A6510"/>
    <w:rsid w:val="000B0BB4"/>
    <w:rsid w:val="000B1045"/>
    <w:rsid w:val="000B1BAE"/>
    <w:rsid w:val="000B29B3"/>
    <w:rsid w:val="000B3889"/>
    <w:rsid w:val="000B3B3B"/>
    <w:rsid w:val="000B42E7"/>
    <w:rsid w:val="000B5BC8"/>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37DFE"/>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A7264"/>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83"/>
    <w:rsid w:val="002112E6"/>
    <w:rsid w:val="00213213"/>
    <w:rsid w:val="0021457F"/>
    <w:rsid w:val="0021505D"/>
    <w:rsid w:val="0021604B"/>
    <w:rsid w:val="00216545"/>
    <w:rsid w:val="00220227"/>
    <w:rsid w:val="0022176B"/>
    <w:rsid w:val="00222760"/>
    <w:rsid w:val="00222782"/>
    <w:rsid w:val="0022360A"/>
    <w:rsid w:val="00226B82"/>
    <w:rsid w:val="00227103"/>
    <w:rsid w:val="00227ECF"/>
    <w:rsid w:val="00230249"/>
    <w:rsid w:val="00230D5F"/>
    <w:rsid w:val="00231BE3"/>
    <w:rsid w:val="00232C51"/>
    <w:rsid w:val="0023334E"/>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D37"/>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6913"/>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4790"/>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B6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63E"/>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06F23"/>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4692"/>
    <w:rsid w:val="0047572C"/>
    <w:rsid w:val="00476407"/>
    <w:rsid w:val="004773F7"/>
    <w:rsid w:val="00477FE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B67EC"/>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280"/>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817"/>
    <w:rsid w:val="005E4BBE"/>
    <w:rsid w:val="005E4C97"/>
    <w:rsid w:val="005E5014"/>
    <w:rsid w:val="005E684F"/>
    <w:rsid w:val="005E77BA"/>
    <w:rsid w:val="005F0112"/>
    <w:rsid w:val="005F03E3"/>
    <w:rsid w:val="005F0829"/>
    <w:rsid w:val="005F32BE"/>
    <w:rsid w:val="005F34FB"/>
    <w:rsid w:val="005F39A0"/>
    <w:rsid w:val="005F5866"/>
    <w:rsid w:val="005F6B68"/>
    <w:rsid w:val="005F6F2E"/>
    <w:rsid w:val="005F7D85"/>
    <w:rsid w:val="00601A1F"/>
    <w:rsid w:val="00602655"/>
    <w:rsid w:val="00603B68"/>
    <w:rsid w:val="00605297"/>
    <w:rsid w:val="00605CB9"/>
    <w:rsid w:val="006065BF"/>
    <w:rsid w:val="00607C00"/>
    <w:rsid w:val="00610430"/>
    <w:rsid w:val="00611858"/>
    <w:rsid w:val="00614472"/>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5576"/>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1D7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1979"/>
    <w:rsid w:val="00705027"/>
    <w:rsid w:val="00710494"/>
    <w:rsid w:val="007117BD"/>
    <w:rsid w:val="007135A2"/>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26A1"/>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3B4B"/>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1A6E"/>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2371"/>
    <w:rsid w:val="008E3E79"/>
    <w:rsid w:val="008E5143"/>
    <w:rsid w:val="008E5282"/>
    <w:rsid w:val="008E5E2C"/>
    <w:rsid w:val="008E65F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0E7"/>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57B03"/>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2BA2"/>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7FA0"/>
    <w:rsid w:val="009B010D"/>
    <w:rsid w:val="009B06CC"/>
    <w:rsid w:val="009B0AAB"/>
    <w:rsid w:val="009B0D3E"/>
    <w:rsid w:val="009B2AD1"/>
    <w:rsid w:val="009B3224"/>
    <w:rsid w:val="009B3296"/>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6E65"/>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1800"/>
    <w:rsid w:val="00A13947"/>
    <w:rsid w:val="00A13E2B"/>
    <w:rsid w:val="00A1562A"/>
    <w:rsid w:val="00A15901"/>
    <w:rsid w:val="00A1618E"/>
    <w:rsid w:val="00A161A1"/>
    <w:rsid w:val="00A20562"/>
    <w:rsid w:val="00A20F75"/>
    <w:rsid w:val="00A212B1"/>
    <w:rsid w:val="00A26ABC"/>
    <w:rsid w:val="00A26FFF"/>
    <w:rsid w:val="00A316EC"/>
    <w:rsid w:val="00A31804"/>
    <w:rsid w:val="00A318AE"/>
    <w:rsid w:val="00A318C5"/>
    <w:rsid w:val="00A320BA"/>
    <w:rsid w:val="00A32283"/>
    <w:rsid w:val="00A32342"/>
    <w:rsid w:val="00A325EC"/>
    <w:rsid w:val="00A32B81"/>
    <w:rsid w:val="00A32E98"/>
    <w:rsid w:val="00A337E5"/>
    <w:rsid w:val="00A3658D"/>
    <w:rsid w:val="00A36E51"/>
    <w:rsid w:val="00A377C5"/>
    <w:rsid w:val="00A37B2E"/>
    <w:rsid w:val="00A37D45"/>
    <w:rsid w:val="00A401FD"/>
    <w:rsid w:val="00A40558"/>
    <w:rsid w:val="00A40AF2"/>
    <w:rsid w:val="00A411DC"/>
    <w:rsid w:val="00A43904"/>
    <w:rsid w:val="00A45052"/>
    <w:rsid w:val="00A4582E"/>
    <w:rsid w:val="00A45BD2"/>
    <w:rsid w:val="00A45DFA"/>
    <w:rsid w:val="00A46A1E"/>
    <w:rsid w:val="00A50595"/>
    <w:rsid w:val="00A50A39"/>
    <w:rsid w:val="00A51DF1"/>
    <w:rsid w:val="00A52AFB"/>
    <w:rsid w:val="00A533E0"/>
    <w:rsid w:val="00A53967"/>
    <w:rsid w:val="00A5455C"/>
    <w:rsid w:val="00A545EC"/>
    <w:rsid w:val="00A54C5F"/>
    <w:rsid w:val="00A54D3B"/>
    <w:rsid w:val="00A5578A"/>
    <w:rsid w:val="00A611C2"/>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0F5B"/>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5525"/>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8FC"/>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3EB4"/>
    <w:rsid w:val="00B751C3"/>
    <w:rsid w:val="00B76C0D"/>
    <w:rsid w:val="00B77D0D"/>
    <w:rsid w:val="00B80817"/>
    <w:rsid w:val="00B827E6"/>
    <w:rsid w:val="00B82A28"/>
    <w:rsid w:val="00B82B8D"/>
    <w:rsid w:val="00B82C97"/>
    <w:rsid w:val="00B848C2"/>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5FD1"/>
    <w:rsid w:val="00C01804"/>
    <w:rsid w:val="00C026BC"/>
    <w:rsid w:val="00C02AD4"/>
    <w:rsid w:val="00C03869"/>
    <w:rsid w:val="00C07965"/>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1F62"/>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176C"/>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0ED3"/>
    <w:rsid w:val="00D31021"/>
    <w:rsid w:val="00D329B9"/>
    <w:rsid w:val="00D33412"/>
    <w:rsid w:val="00D3482C"/>
    <w:rsid w:val="00D362F4"/>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9AF"/>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2A4"/>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634B"/>
    <w:rsid w:val="00DB71DB"/>
    <w:rsid w:val="00DB71E1"/>
    <w:rsid w:val="00DB7B0F"/>
    <w:rsid w:val="00DB7CB3"/>
    <w:rsid w:val="00DC0D57"/>
    <w:rsid w:val="00DC16F7"/>
    <w:rsid w:val="00DC1CA3"/>
    <w:rsid w:val="00DC2641"/>
    <w:rsid w:val="00DC2B1E"/>
    <w:rsid w:val="00DC7481"/>
    <w:rsid w:val="00DC7591"/>
    <w:rsid w:val="00DD0839"/>
    <w:rsid w:val="00DD26D0"/>
    <w:rsid w:val="00DD2A15"/>
    <w:rsid w:val="00DD47D5"/>
    <w:rsid w:val="00DD6729"/>
    <w:rsid w:val="00DD7960"/>
    <w:rsid w:val="00DD7B0D"/>
    <w:rsid w:val="00DE1F29"/>
    <w:rsid w:val="00DE365A"/>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1BA7"/>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52C"/>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2CA6"/>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07F"/>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37F4"/>
    <w:rsid w:val="00ED46BA"/>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3"/>
    <w:rsid w:val="00EF13C5"/>
    <w:rsid w:val="00EF16D8"/>
    <w:rsid w:val="00EF28EF"/>
    <w:rsid w:val="00EF2EB9"/>
    <w:rsid w:val="00EF32E4"/>
    <w:rsid w:val="00EF40E7"/>
    <w:rsid w:val="00EF4529"/>
    <w:rsid w:val="00EF5B34"/>
    <w:rsid w:val="00EF657C"/>
    <w:rsid w:val="00EF6E55"/>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6A67"/>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35"/>
    <w:rsid w:val="00F45D51"/>
    <w:rsid w:val="00F46842"/>
    <w:rsid w:val="00F4765F"/>
    <w:rsid w:val="00F479B5"/>
    <w:rsid w:val="00F47A1B"/>
    <w:rsid w:val="00F47C4B"/>
    <w:rsid w:val="00F47CF8"/>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0D5A"/>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11D5"/>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452"/>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CC_7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4B484-BB59-4C1C-90BB-BCBDA91B1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WO_CC_74_AR.dotx</Template>
  <TotalTime>669</TotalTime>
  <Pages>5</Pages>
  <Words>1862</Words>
  <Characters>9377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WO/CC/74/7 (Arabic)</vt:lpstr>
    </vt:vector>
  </TitlesOfParts>
  <Company>World Intellectual Property Organization</Company>
  <LinksUpToDate>false</LinksUpToDate>
  <CharactersWithSpaces>11217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WO/CC/74/7 (Arabic)</dc:title>
  <dc:creator>MERZOUK Fawzi</dc:creator>
  <cp:lastModifiedBy>MERZOUK Fawzi</cp:lastModifiedBy>
  <cp:revision>55</cp:revision>
  <cp:lastPrinted>2017-09-28T14:45:00Z</cp:lastPrinted>
  <dcterms:created xsi:type="dcterms:W3CDTF">2017-09-26T13:01:00Z</dcterms:created>
  <dcterms:modified xsi:type="dcterms:W3CDTF">2017-09-28T14:45:00Z</dcterms:modified>
</cp:coreProperties>
</file>