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1C5190">
            <w:pPr>
              <w:pStyle w:val="DocumentCodeAR"/>
              <w:bidi/>
              <w:rPr>
                <w:rtl/>
              </w:rPr>
            </w:pPr>
            <w:r>
              <w:t>WO/</w:t>
            </w:r>
            <w:r w:rsidR="000D7BA7">
              <w:t>C</w:t>
            </w:r>
            <w:r w:rsidR="00983389">
              <w:t>C</w:t>
            </w:r>
            <w:r w:rsidR="00100F97">
              <w:t>/</w:t>
            </w:r>
            <w:r w:rsidR="00CB1F62">
              <w:t>7</w:t>
            </w:r>
            <w:r w:rsidR="00343643">
              <w:t>3/</w:t>
            </w:r>
            <w:r w:rsidR="001C5190">
              <w:t>INF/1</w:t>
            </w:r>
          </w:p>
        </w:tc>
      </w:tr>
      <w:tr w:rsidR="001667B6" w:rsidTr="00BF164F">
        <w:tc>
          <w:tcPr>
            <w:tcW w:w="9571" w:type="dxa"/>
            <w:gridSpan w:val="3"/>
          </w:tcPr>
          <w:p w:rsidR="001667B6" w:rsidRPr="00B6101C" w:rsidRDefault="00B6101C" w:rsidP="00343643">
            <w:pPr>
              <w:pStyle w:val="DocumentLanguageAR"/>
              <w:bidi/>
              <w:rPr>
                <w:rtl/>
              </w:rPr>
            </w:pPr>
            <w:r w:rsidRPr="00B6101C">
              <w:rPr>
                <w:rFonts w:hint="cs"/>
                <w:rtl/>
              </w:rPr>
              <w:t xml:space="preserve">الأصل: </w:t>
            </w:r>
            <w:proofErr w:type="gramStart"/>
            <w:r w:rsidR="00343643">
              <w:rPr>
                <w:rFonts w:hint="cs"/>
                <w:rtl/>
              </w:rPr>
              <w:t>بالإنكليزية</w:t>
            </w:r>
            <w:proofErr w:type="gramEnd"/>
          </w:p>
        </w:tc>
      </w:tr>
      <w:tr w:rsidR="001667B6" w:rsidTr="00BF164F">
        <w:tc>
          <w:tcPr>
            <w:tcW w:w="9571" w:type="dxa"/>
            <w:gridSpan w:val="3"/>
          </w:tcPr>
          <w:p w:rsidR="001667B6" w:rsidRPr="00B6101C" w:rsidRDefault="00B6101C" w:rsidP="001C5190">
            <w:pPr>
              <w:pStyle w:val="DocumentDateAR"/>
              <w:bidi/>
              <w:rPr>
                <w:rtl/>
              </w:rPr>
            </w:pPr>
            <w:r w:rsidRPr="00B6101C">
              <w:rPr>
                <w:rFonts w:hint="cs"/>
                <w:rtl/>
              </w:rPr>
              <w:t xml:space="preserve">التاريخ: </w:t>
            </w:r>
            <w:r w:rsidR="001C5190">
              <w:rPr>
                <w:rFonts w:hint="cs"/>
                <w:rtl/>
              </w:rPr>
              <w:t xml:space="preserve">5 </w:t>
            </w:r>
            <w:proofErr w:type="gramStart"/>
            <w:r w:rsidR="001C5190">
              <w:rPr>
                <w:rFonts w:hint="cs"/>
                <w:rtl/>
              </w:rPr>
              <w:t>أغسطس</w:t>
            </w:r>
            <w:proofErr w:type="gramEnd"/>
            <w:r w:rsidRPr="00B6101C">
              <w:rPr>
                <w:rFonts w:hint="cs"/>
                <w:rtl/>
              </w:rPr>
              <w:t xml:space="preserve"> </w:t>
            </w:r>
            <w:r w:rsidR="005F5866">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B35B71">
      <w:pPr>
        <w:pStyle w:val="MeetingSessionAR"/>
        <w:bidi/>
        <w:rPr>
          <w:rFonts w:ascii="Cambria Math" w:hAnsi="Cambria Math"/>
          <w:rtl/>
        </w:rPr>
      </w:pPr>
      <w:r w:rsidRPr="00783D11">
        <w:rPr>
          <w:rFonts w:ascii="Cambria Math" w:hAnsi="Cambria Math"/>
          <w:rtl/>
        </w:rPr>
        <w:t xml:space="preserve">الدورة </w:t>
      </w:r>
      <w:r w:rsidR="004E47BF">
        <w:rPr>
          <w:rFonts w:ascii="Cambria Math" w:hAnsi="Cambria Math" w:hint="cs"/>
          <w:rtl/>
        </w:rPr>
        <w:t>الثالثة</w:t>
      </w:r>
      <w:r w:rsidR="007135A2">
        <w:rPr>
          <w:rFonts w:ascii="Cambria Math" w:hAnsi="Cambria Math" w:hint="cs"/>
          <w:rtl/>
        </w:rPr>
        <w:t xml:space="preserve"> و</w:t>
      </w:r>
      <w:r w:rsidR="00CB1F62">
        <w:rPr>
          <w:rFonts w:ascii="Cambria Math" w:hAnsi="Cambria Math" w:hint="cs"/>
          <w:rtl/>
          <w:lang w:val="fr-CH"/>
        </w:rPr>
        <w:t xml:space="preserve">السبعون </w:t>
      </w:r>
      <w:r w:rsidR="000D7BA7">
        <w:rPr>
          <w:rFonts w:ascii="Cambria Math" w:hAnsi="Cambria Math" w:hint="cs"/>
          <w:rtl/>
        </w:rPr>
        <w:t xml:space="preserve">(الدورة </w:t>
      </w:r>
      <w:r w:rsidR="00B35B71" w:rsidRPr="009E5DE6">
        <w:rPr>
          <w:rFonts w:ascii="Cambria Math" w:hAnsi="Cambria Math" w:hint="eastAsia"/>
          <w:rtl/>
        </w:rPr>
        <w:t>العادية</w:t>
      </w:r>
      <w:r w:rsidR="00B35B71">
        <w:rPr>
          <w:rFonts w:ascii="Cambria Math" w:hAnsi="Cambria Math" w:hint="cs"/>
          <w:rtl/>
        </w:rPr>
        <w:t xml:space="preserve"> </w:t>
      </w:r>
      <w:r w:rsidR="0055224C">
        <w:rPr>
          <w:rFonts w:ascii="Cambria Math" w:hAnsi="Cambria Math" w:hint="cs"/>
          <w:rtl/>
        </w:rPr>
        <w:t>السابعة</w:t>
      </w:r>
      <w:r w:rsidR="00227ECF">
        <w:rPr>
          <w:rFonts w:ascii="Cambria Math" w:hAnsi="Cambria Math" w:hint="cs"/>
          <w:rtl/>
        </w:rPr>
        <w:t xml:space="preserve"> </w:t>
      </w:r>
      <w:proofErr w:type="gramStart"/>
      <w:r w:rsidR="003F0BC0">
        <w:rPr>
          <w:rFonts w:ascii="Cambria Math" w:hAnsi="Cambria Math" w:hint="cs"/>
          <w:rtl/>
        </w:rPr>
        <w:t>والأربعون</w:t>
      </w:r>
      <w:proofErr w:type="gramEnd"/>
      <w:r w:rsidR="000D7BA7">
        <w:rPr>
          <w:rFonts w:ascii="Cambria Math" w:hAnsi="Cambria Math" w:hint="cs"/>
          <w:rtl/>
        </w:rPr>
        <w:t>)</w:t>
      </w:r>
    </w:p>
    <w:p w:rsidR="00D61541" w:rsidRPr="00D61541" w:rsidRDefault="00227ECF" w:rsidP="004C6FB7">
      <w:pPr>
        <w:pStyle w:val="MeetingDatesAR"/>
        <w:bidi/>
        <w:rPr>
          <w:rtl/>
        </w:rPr>
      </w:pPr>
      <w:r>
        <w:rPr>
          <w:rFonts w:hint="cs"/>
          <w:rtl/>
        </w:rPr>
        <w:t>جنيف،</w:t>
      </w:r>
      <w:r>
        <w:rPr>
          <w:rFonts w:hint="cs"/>
          <w:rtl/>
          <w:lang w:val="fr-CH"/>
        </w:rPr>
        <w:t xml:space="preserve"> </w:t>
      </w:r>
      <w:proofErr w:type="gramStart"/>
      <w:r w:rsidR="00CB1F62">
        <w:rPr>
          <w:rFonts w:hint="cs"/>
          <w:rtl/>
          <w:lang w:val="fr-CH"/>
        </w:rPr>
        <w:t>من</w:t>
      </w:r>
      <w:proofErr w:type="gramEnd"/>
      <w:r w:rsidR="00CB1F62">
        <w:rPr>
          <w:rFonts w:hint="cs"/>
          <w:rtl/>
          <w:lang w:val="fr-CH"/>
        </w:rPr>
        <w:t xml:space="preserve"> </w:t>
      </w:r>
      <w:r w:rsidR="004C6FB7">
        <w:rPr>
          <w:rFonts w:hint="cs"/>
          <w:rtl/>
        </w:rPr>
        <w:t>3</w:t>
      </w:r>
      <w:r w:rsidR="007135A2">
        <w:rPr>
          <w:rFonts w:hint="cs"/>
          <w:rtl/>
        </w:rPr>
        <w:t xml:space="preserve"> إلى </w:t>
      </w:r>
      <w:r w:rsidR="004C6FB7">
        <w:rPr>
          <w:rFonts w:hint="cs"/>
          <w:rtl/>
        </w:rPr>
        <w:t>11</w:t>
      </w:r>
      <w:r w:rsidR="007135A2">
        <w:rPr>
          <w:rFonts w:hint="cs"/>
          <w:rtl/>
        </w:rPr>
        <w:t xml:space="preserve"> </w:t>
      </w:r>
      <w:r w:rsidR="004C6FB7">
        <w:rPr>
          <w:rFonts w:hint="cs"/>
          <w:rtl/>
        </w:rPr>
        <w:t>أكتوبر</w:t>
      </w:r>
      <w:r w:rsidR="007135A2">
        <w:rPr>
          <w:rFonts w:hint="cs"/>
          <w:rtl/>
        </w:rPr>
        <w:t xml:space="preserve"> </w:t>
      </w:r>
      <w:r w:rsidR="005F5866">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71067D" w:rsidRDefault="004C6FB7" w:rsidP="009E5DE6">
      <w:pPr>
        <w:pStyle w:val="MeetingTitleAR"/>
        <w:bidi/>
        <w:rPr>
          <w:rtl/>
        </w:rPr>
      </w:pPr>
      <w:proofErr w:type="gramStart"/>
      <w:r w:rsidRPr="004C6FB7">
        <w:rPr>
          <w:rtl/>
        </w:rPr>
        <w:t>رأي</w:t>
      </w:r>
      <w:proofErr w:type="gramEnd"/>
      <w:r w:rsidRPr="004C6FB7">
        <w:rPr>
          <w:rtl/>
        </w:rPr>
        <w:t xml:space="preserve"> قانوني في مسألة الحقوق المكتسبة في منح</w:t>
      </w:r>
      <w:r w:rsidR="003708DD">
        <w:rPr>
          <w:rFonts w:hint="cs"/>
          <w:rtl/>
        </w:rPr>
        <w:t>ة</w:t>
      </w:r>
      <w:r w:rsidRPr="004C6FB7">
        <w:rPr>
          <w:rtl/>
        </w:rPr>
        <w:t xml:space="preserve"> التعليم للموظفين المقيمين في بلدهم وغير العاملين فيه </w:t>
      </w:r>
    </w:p>
    <w:p w:rsidR="0071067D" w:rsidRDefault="0071067D" w:rsidP="0071067D">
      <w:pPr>
        <w:pStyle w:val="MeetingTitleAR"/>
        <w:bidi/>
        <w:rPr>
          <w:rtl/>
        </w:rPr>
      </w:pPr>
    </w:p>
    <w:p w:rsidR="004C6FB7" w:rsidRPr="004C6FB7" w:rsidRDefault="004C6FB7" w:rsidP="0071067D">
      <w:pPr>
        <w:pStyle w:val="MeetingTitleAR"/>
        <w:bidi/>
        <w:rPr>
          <w:rtl/>
        </w:rPr>
      </w:pPr>
      <w:proofErr w:type="gramStart"/>
      <w:r w:rsidRPr="004C6FB7">
        <w:rPr>
          <w:rtl/>
        </w:rPr>
        <w:t>وتقييم</w:t>
      </w:r>
      <w:proofErr w:type="gramEnd"/>
      <w:r w:rsidRPr="004C6FB7">
        <w:rPr>
          <w:rtl/>
        </w:rPr>
        <w:t xml:space="preserve"> </w:t>
      </w:r>
      <w:r w:rsidR="00312610">
        <w:rPr>
          <w:rFonts w:hint="cs"/>
          <w:rtl/>
        </w:rPr>
        <w:t>الأثر المالي</w:t>
      </w:r>
      <w:r w:rsidR="00312610">
        <w:rPr>
          <w:rtl/>
        </w:rPr>
        <w:t xml:space="preserve"> </w:t>
      </w:r>
      <w:r w:rsidR="00312610">
        <w:rPr>
          <w:rFonts w:hint="cs"/>
          <w:rtl/>
        </w:rPr>
        <w:t xml:space="preserve">الذي قد ينجم عن </w:t>
      </w:r>
      <w:r w:rsidR="003E29DE">
        <w:rPr>
          <w:rtl/>
        </w:rPr>
        <w:t>اعتماد تد</w:t>
      </w:r>
      <w:r w:rsidR="003E29DE">
        <w:rPr>
          <w:rFonts w:hint="cs"/>
          <w:rtl/>
        </w:rPr>
        <w:t>ب</w:t>
      </w:r>
      <w:r w:rsidR="003E29DE">
        <w:rPr>
          <w:rtl/>
        </w:rPr>
        <w:t>ير انتقالي محدود</w:t>
      </w:r>
    </w:p>
    <w:p w:rsidR="00D61541" w:rsidRPr="00D61541" w:rsidRDefault="004C6FB7" w:rsidP="00931859">
      <w:pPr>
        <w:pStyle w:val="PreparedbyAR"/>
        <w:bidi/>
        <w:rPr>
          <w:rtl/>
        </w:rPr>
      </w:pPr>
      <w:proofErr w:type="gramStart"/>
      <w:r>
        <w:rPr>
          <w:rFonts w:hint="cs"/>
          <w:rtl/>
        </w:rPr>
        <w:t>وثيقة</w:t>
      </w:r>
      <w:proofErr w:type="gramEnd"/>
      <w:r>
        <w:rPr>
          <w:rFonts w:hint="cs"/>
          <w:rtl/>
        </w:rPr>
        <w:t xml:space="preserve"> إعلامية </w:t>
      </w:r>
      <w:r w:rsidR="00D61541" w:rsidRPr="00D61541">
        <w:rPr>
          <w:rFonts w:hint="cs"/>
          <w:rtl/>
        </w:rPr>
        <w:t xml:space="preserve">من </w:t>
      </w:r>
      <w:r w:rsidR="00D61541" w:rsidRPr="00931859">
        <w:rPr>
          <w:rFonts w:hint="cs"/>
          <w:rtl/>
        </w:rPr>
        <w:t>إعداد</w:t>
      </w:r>
      <w:r w:rsidR="006F547D">
        <w:rPr>
          <w:rFonts w:hint="cs"/>
          <w:rtl/>
        </w:rPr>
        <w:t xml:space="preserve"> </w:t>
      </w:r>
      <w:r w:rsidR="006F547D" w:rsidRPr="00817298">
        <w:rPr>
          <w:rFonts w:hint="cs"/>
          <w:rtl/>
        </w:rPr>
        <w:t xml:space="preserve">مكتب </w:t>
      </w:r>
      <w:r w:rsidR="006F547D" w:rsidRPr="00817298">
        <w:rPr>
          <w:rtl/>
        </w:rPr>
        <w:t>المستشار القانوني</w:t>
      </w:r>
    </w:p>
    <w:p w:rsidR="00D61541" w:rsidRDefault="00EC455C" w:rsidP="009E5DE6">
      <w:pPr>
        <w:pStyle w:val="Heading1AR"/>
        <w:spacing w:after="240" w:line="360" w:lineRule="exact"/>
        <w:rPr>
          <w:rtl/>
        </w:rPr>
      </w:pPr>
      <w:r>
        <w:rPr>
          <w:rFonts w:hint="cs"/>
          <w:rtl/>
        </w:rPr>
        <w:t>أولا.</w:t>
      </w:r>
      <w:r>
        <w:rPr>
          <w:rFonts w:hint="cs"/>
          <w:rtl/>
        </w:rPr>
        <w:tab/>
        <w:t>مقدمة</w:t>
      </w:r>
    </w:p>
    <w:p w:rsidR="008E2010" w:rsidRDefault="008E2010" w:rsidP="009E5DE6">
      <w:pPr>
        <w:pStyle w:val="NumberedParaAR"/>
      </w:pPr>
      <w:r>
        <w:rPr>
          <w:rFonts w:hint="cs"/>
          <w:rtl/>
        </w:rPr>
        <w:t xml:space="preserve">طُلب من </w:t>
      </w:r>
      <w:r w:rsidRPr="008E2010">
        <w:rPr>
          <w:rtl/>
        </w:rPr>
        <w:t>لجنة الويبو للتنسيق</w:t>
      </w:r>
      <w:r>
        <w:rPr>
          <w:rFonts w:hint="cs"/>
          <w:rtl/>
        </w:rPr>
        <w:t xml:space="preserve"> في دورتها الحادية والسبعين المنعقدة في أكتوبر</w:t>
      </w:r>
      <w:r w:rsidR="00C572AE">
        <w:rPr>
          <w:rFonts w:hint="eastAsia"/>
          <w:rtl/>
        </w:rPr>
        <w:t> </w:t>
      </w:r>
      <w:r>
        <w:rPr>
          <w:rFonts w:hint="cs"/>
          <w:rtl/>
        </w:rPr>
        <w:t xml:space="preserve">2015 أن تعتمد تعديلين أدخلا </w:t>
      </w:r>
      <w:r w:rsidRPr="008E2010">
        <w:rPr>
          <w:rtl/>
        </w:rPr>
        <w:t xml:space="preserve">على </w:t>
      </w:r>
      <w:r w:rsidR="00CE0300" w:rsidRPr="003708DD">
        <w:rPr>
          <w:rFonts w:hint="cs"/>
          <w:rtl/>
        </w:rPr>
        <w:t>المادة</w:t>
      </w:r>
      <w:r>
        <w:rPr>
          <w:rFonts w:hint="cs"/>
          <w:rtl/>
        </w:rPr>
        <w:t xml:space="preserve"> 14.3 من </w:t>
      </w:r>
      <w:r w:rsidR="00E702D3" w:rsidRPr="00E702D3">
        <w:rPr>
          <w:rtl/>
        </w:rPr>
        <w:t>نظام الموظفين ولائحته</w:t>
      </w:r>
      <w:r w:rsidR="00ED0F89">
        <w:rPr>
          <w:rFonts w:hint="cs"/>
          <w:rtl/>
        </w:rPr>
        <w:t xml:space="preserve"> </w:t>
      </w:r>
      <w:r w:rsidR="00020371">
        <w:rPr>
          <w:rFonts w:hint="cs"/>
          <w:rtl/>
        </w:rPr>
        <w:t>الخاص با</w:t>
      </w:r>
      <w:r w:rsidR="00ED0F89">
        <w:rPr>
          <w:rFonts w:hint="cs"/>
          <w:rtl/>
        </w:rPr>
        <w:t xml:space="preserve">لويبو </w:t>
      </w:r>
      <w:r>
        <w:rPr>
          <w:rFonts w:hint="cs"/>
          <w:rtl/>
        </w:rPr>
        <w:t xml:space="preserve">بشأن </w:t>
      </w:r>
      <w:r w:rsidR="00CE0300">
        <w:rPr>
          <w:rFonts w:hint="cs"/>
          <w:rtl/>
        </w:rPr>
        <w:t>منح</w:t>
      </w:r>
      <w:r w:rsidR="003708DD">
        <w:rPr>
          <w:rFonts w:hint="cs"/>
          <w:rtl/>
        </w:rPr>
        <w:t>ة</w:t>
      </w:r>
      <w:r w:rsidR="00CE0300">
        <w:rPr>
          <w:rFonts w:hint="cs"/>
          <w:rtl/>
        </w:rPr>
        <w:t xml:space="preserve"> التعليم. </w:t>
      </w:r>
      <w:r w:rsidR="003708DD">
        <w:rPr>
          <w:rFonts w:hint="cs"/>
          <w:rtl/>
        </w:rPr>
        <w:t xml:space="preserve">وكانت المادة 14.3(أ) </w:t>
      </w:r>
      <w:r w:rsidR="00C572AE">
        <w:rPr>
          <w:rFonts w:hint="cs"/>
          <w:rtl/>
        </w:rPr>
        <w:t>تنص آ</w:t>
      </w:r>
      <w:r w:rsidR="003708DD">
        <w:rPr>
          <w:rFonts w:hint="cs"/>
          <w:rtl/>
        </w:rPr>
        <w:t xml:space="preserve">نذاك </w:t>
      </w:r>
      <w:proofErr w:type="gramStart"/>
      <w:r w:rsidR="003708DD">
        <w:rPr>
          <w:rFonts w:hint="cs"/>
          <w:rtl/>
        </w:rPr>
        <w:t>على</w:t>
      </w:r>
      <w:proofErr w:type="gramEnd"/>
      <w:r w:rsidR="003708DD">
        <w:rPr>
          <w:rFonts w:hint="cs"/>
          <w:rtl/>
        </w:rPr>
        <w:t xml:space="preserve"> أن </w:t>
      </w:r>
      <w:r w:rsidR="00C572AE" w:rsidRPr="00760778">
        <w:rPr>
          <w:rtl/>
        </w:rPr>
        <w:t xml:space="preserve">أي </w:t>
      </w:r>
      <w:r w:rsidR="00760778">
        <w:rPr>
          <w:rFonts w:hint="cs"/>
          <w:rtl/>
        </w:rPr>
        <w:t>"</w:t>
      </w:r>
      <w:r w:rsidR="00760778" w:rsidRPr="00760778">
        <w:rPr>
          <w:rtl/>
        </w:rPr>
        <w:t xml:space="preserve">موظف </w:t>
      </w:r>
      <w:r w:rsidR="00760778" w:rsidRPr="005D48E9">
        <w:rPr>
          <w:rtl/>
        </w:rPr>
        <w:t>[</w:t>
      </w:r>
      <w:r w:rsidR="00760778" w:rsidRPr="005D48E9">
        <w:rPr>
          <w:rFonts w:hint="cs"/>
          <w:rtl/>
        </w:rPr>
        <w:t>...</w:t>
      </w:r>
      <w:r w:rsidR="005D48E9">
        <w:rPr>
          <w:rtl/>
        </w:rPr>
        <w:t>]</w:t>
      </w:r>
      <w:r w:rsidR="00760778">
        <w:rPr>
          <w:rFonts w:hint="cs"/>
          <w:rtl/>
        </w:rPr>
        <w:t xml:space="preserve"> لا </w:t>
      </w:r>
      <w:r w:rsidR="00760778" w:rsidRPr="00760778">
        <w:rPr>
          <w:rtl/>
        </w:rPr>
        <w:t xml:space="preserve">يقع مركز عمله </w:t>
      </w:r>
      <w:proofErr w:type="gramStart"/>
      <w:r w:rsidR="00760778" w:rsidRPr="00760778">
        <w:rPr>
          <w:rtl/>
        </w:rPr>
        <w:t>في</w:t>
      </w:r>
      <w:proofErr w:type="gramEnd"/>
      <w:r w:rsidR="00760778" w:rsidRPr="00760778">
        <w:rPr>
          <w:rtl/>
        </w:rPr>
        <w:t xml:space="preserve"> وطنه، يحق له، </w:t>
      </w:r>
      <w:r w:rsidR="005D48E9" w:rsidRPr="005D48E9">
        <w:rPr>
          <w:rtl/>
        </w:rPr>
        <w:t xml:space="preserve">[...] </w:t>
      </w:r>
      <w:proofErr w:type="gramStart"/>
      <w:r w:rsidR="00760778" w:rsidRPr="00760778">
        <w:rPr>
          <w:rtl/>
        </w:rPr>
        <w:t>أن</w:t>
      </w:r>
      <w:proofErr w:type="gramEnd"/>
      <w:r w:rsidR="00760778" w:rsidRPr="00760778">
        <w:rPr>
          <w:rtl/>
        </w:rPr>
        <w:t xml:space="preserve"> يحصل على منحة </w:t>
      </w:r>
      <w:r w:rsidR="00C572AE">
        <w:rPr>
          <w:rFonts w:hint="cs"/>
          <w:rtl/>
        </w:rPr>
        <w:t>ال</w:t>
      </w:r>
      <w:r w:rsidR="00760778" w:rsidRPr="00760778">
        <w:rPr>
          <w:rtl/>
        </w:rPr>
        <w:t>تعليم</w:t>
      </w:r>
      <w:r w:rsidR="005D48E9">
        <w:rPr>
          <w:rFonts w:hint="cs"/>
          <w:rtl/>
        </w:rPr>
        <w:t>"</w:t>
      </w:r>
      <w:r w:rsidR="00760778" w:rsidRPr="00760778">
        <w:rPr>
          <w:rtl/>
        </w:rPr>
        <w:t>.</w:t>
      </w:r>
    </w:p>
    <w:p w:rsidR="005D48E9" w:rsidRDefault="000C77F0" w:rsidP="0071067D">
      <w:pPr>
        <w:pStyle w:val="NumberedParaAR"/>
      </w:pPr>
      <w:r>
        <w:rPr>
          <w:rFonts w:hint="cs"/>
          <w:rtl/>
        </w:rPr>
        <w:t>واقت</w:t>
      </w:r>
      <w:r w:rsidR="00205B87">
        <w:rPr>
          <w:rFonts w:hint="cs"/>
          <w:rtl/>
        </w:rPr>
        <w:t>ُ</w:t>
      </w:r>
      <w:r>
        <w:rPr>
          <w:rFonts w:hint="cs"/>
          <w:rtl/>
        </w:rPr>
        <w:t>رح</w:t>
      </w:r>
      <w:r w:rsidR="00831F07">
        <w:rPr>
          <w:rFonts w:hint="cs"/>
          <w:rtl/>
        </w:rPr>
        <w:t xml:space="preserve"> تعديل </w:t>
      </w:r>
      <w:proofErr w:type="gramStart"/>
      <w:r w:rsidR="00831F07">
        <w:rPr>
          <w:rFonts w:hint="cs"/>
          <w:rtl/>
        </w:rPr>
        <w:t>المادة</w:t>
      </w:r>
      <w:proofErr w:type="gramEnd"/>
      <w:r w:rsidR="00831F07">
        <w:rPr>
          <w:rFonts w:hint="cs"/>
          <w:rtl/>
        </w:rPr>
        <w:t> 14.3</w:t>
      </w:r>
      <w:r w:rsidR="000E5A3D">
        <w:rPr>
          <w:rFonts w:hint="cs"/>
          <w:rtl/>
        </w:rPr>
        <w:t>(أ)</w:t>
      </w:r>
      <w:r w:rsidR="00831F07">
        <w:rPr>
          <w:rFonts w:hint="cs"/>
          <w:rtl/>
        </w:rPr>
        <w:t xml:space="preserve"> </w:t>
      </w:r>
      <w:proofErr w:type="gramStart"/>
      <w:r w:rsidR="00205B87">
        <w:rPr>
          <w:rFonts w:hint="cs"/>
          <w:rtl/>
        </w:rPr>
        <w:t>لتنص</w:t>
      </w:r>
      <w:proofErr w:type="gramEnd"/>
      <w:r w:rsidR="00205B87">
        <w:rPr>
          <w:rFonts w:hint="cs"/>
          <w:rtl/>
        </w:rPr>
        <w:t xml:space="preserve"> على</w:t>
      </w:r>
      <w:r w:rsidR="00B26699">
        <w:rPr>
          <w:rFonts w:hint="cs"/>
          <w:rtl/>
        </w:rPr>
        <w:t xml:space="preserve"> أنه يحق </w:t>
      </w:r>
      <w:r w:rsidR="00020371">
        <w:rPr>
          <w:rFonts w:hint="cs"/>
          <w:rtl/>
        </w:rPr>
        <w:t xml:space="preserve">فقط </w:t>
      </w:r>
      <w:r w:rsidR="00B26699">
        <w:rPr>
          <w:rFonts w:hint="cs"/>
          <w:rtl/>
        </w:rPr>
        <w:t>للموظفين</w:t>
      </w:r>
      <w:r w:rsidR="00E741AF">
        <w:rPr>
          <w:rFonts w:hint="cs"/>
          <w:rtl/>
        </w:rPr>
        <w:t xml:space="preserve"> الذي</w:t>
      </w:r>
      <w:r w:rsidR="00020371">
        <w:rPr>
          <w:rFonts w:hint="cs"/>
          <w:rtl/>
        </w:rPr>
        <w:t>ن</w:t>
      </w:r>
      <w:r w:rsidR="00E741AF">
        <w:rPr>
          <w:rFonts w:hint="cs"/>
          <w:rtl/>
        </w:rPr>
        <w:t xml:space="preserve"> "لا يقيمون </w:t>
      </w:r>
      <w:r w:rsidR="00BA23B4">
        <w:rPr>
          <w:rFonts w:hint="cs"/>
          <w:rtl/>
        </w:rPr>
        <w:t xml:space="preserve">في بلدهم </w:t>
      </w:r>
      <w:r w:rsidR="00205B87">
        <w:rPr>
          <w:rFonts w:hint="cs"/>
          <w:rtl/>
        </w:rPr>
        <w:t>ول</w:t>
      </w:r>
      <w:r w:rsidR="00C572AE">
        <w:rPr>
          <w:rFonts w:hint="cs"/>
          <w:rtl/>
        </w:rPr>
        <w:t>ا يعملون فيه" أن يحصلوا على منح</w:t>
      </w:r>
      <w:r w:rsidR="00205B87">
        <w:rPr>
          <w:rFonts w:hint="cs"/>
          <w:rtl/>
        </w:rPr>
        <w:t xml:space="preserve">ة التعليم. والقصد من التعديل المقترح أمران: "1" </w:t>
      </w:r>
      <w:r w:rsidR="00880292">
        <w:rPr>
          <w:rFonts w:hint="cs"/>
          <w:rtl/>
        </w:rPr>
        <w:t xml:space="preserve">تحقيق الاتساق مع الغرض من منحة التعليم، </w:t>
      </w:r>
      <w:proofErr w:type="gramStart"/>
      <w:r w:rsidR="00880292">
        <w:rPr>
          <w:rFonts w:hint="cs"/>
          <w:rtl/>
        </w:rPr>
        <w:t>وهو</w:t>
      </w:r>
      <w:proofErr w:type="gramEnd"/>
      <w:r w:rsidR="009D3F36">
        <w:rPr>
          <w:rFonts w:hint="cs"/>
          <w:rtl/>
        </w:rPr>
        <w:t>.</w:t>
      </w:r>
      <w:r w:rsidR="004F1A7F">
        <w:rPr>
          <w:rFonts w:hint="cs"/>
          <w:rtl/>
        </w:rPr>
        <w:t>"</w:t>
      </w:r>
      <w:r w:rsidR="00880292" w:rsidRPr="00880292">
        <w:rPr>
          <w:rtl/>
        </w:rPr>
        <w:t xml:space="preserve">تغطية جزء من التكلفة الإضافية لتعليم أطفال الموظف الناشئة عن اغتراب الموظف" </w:t>
      </w:r>
      <w:r w:rsidR="00880292" w:rsidRPr="00B012F9">
        <w:rPr>
          <w:rFonts w:hint="cs"/>
          <w:rtl/>
        </w:rPr>
        <w:t xml:space="preserve">وفقا </w:t>
      </w:r>
      <w:r w:rsidR="00880292" w:rsidRPr="00B012F9">
        <w:rPr>
          <w:rtl/>
        </w:rPr>
        <w:t>ل</w:t>
      </w:r>
      <w:r w:rsidR="00880292" w:rsidRPr="00B012F9">
        <w:rPr>
          <w:rFonts w:hint="cs"/>
          <w:rtl/>
        </w:rPr>
        <w:t>ل</w:t>
      </w:r>
      <w:r w:rsidR="00880292" w:rsidRPr="00B012F9">
        <w:rPr>
          <w:rtl/>
        </w:rPr>
        <w:t>جنة الخدمة المدنية</w:t>
      </w:r>
      <w:r w:rsidR="004F1A7F" w:rsidRPr="00B012F9">
        <w:rPr>
          <w:rtl/>
        </w:rPr>
        <w:t xml:space="preserve"> الدولية</w:t>
      </w:r>
      <w:r w:rsidR="004F1A7F">
        <w:rPr>
          <w:rFonts w:hint="cs"/>
          <w:rtl/>
        </w:rPr>
        <w:t>؛</w:t>
      </w:r>
      <w:r w:rsidR="00005E60">
        <w:rPr>
          <w:rFonts w:hint="eastAsia"/>
          <w:rtl/>
        </w:rPr>
        <w:t> </w:t>
      </w:r>
      <w:r w:rsidR="004F1A7F">
        <w:rPr>
          <w:rFonts w:hint="cs"/>
          <w:rtl/>
        </w:rPr>
        <w:t>"2"</w:t>
      </w:r>
      <w:r w:rsidR="009F6664">
        <w:rPr>
          <w:rFonts w:hint="eastAsia"/>
          <w:rtl/>
          <w:lang w:val="fr-FR" w:bidi="ar-EG"/>
        </w:rPr>
        <w:t> </w:t>
      </w:r>
      <w:r w:rsidR="004F1A7F" w:rsidRPr="00880292">
        <w:rPr>
          <w:rtl/>
        </w:rPr>
        <w:t>و</w:t>
      </w:r>
      <w:r w:rsidR="004F1A7F">
        <w:rPr>
          <w:rFonts w:hint="cs"/>
          <w:rtl/>
        </w:rPr>
        <w:t xml:space="preserve">تحقيق </w:t>
      </w:r>
      <w:r w:rsidR="004F1A7F" w:rsidRPr="00880292">
        <w:rPr>
          <w:rtl/>
        </w:rPr>
        <w:t xml:space="preserve">التوافق </w:t>
      </w:r>
      <w:r w:rsidR="004F1A7F" w:rsidRPr="00B012F9">
        <w:rPr>
          <w:rFonts w:hint="cs"/>
          <w:rtl/>
        </w:rPr>
        <w:t xml:space="preserve">بين الإطار </w:t>
      </w:r>
      <w:r w:rsidR="00B012F9" w:rsidRPr="00B012F9">
        <w:rPr>
          <w:rFonts w:hint="cs"/>
          <w:rtl/>
        </w:rPr>
        <w:t>القانوني</w:t>
      </w:r>
      <w:r w:rsidR="004F1A7F">
        <w:rPr>
          <w:rFonts w:hint="cs"/>
          <w:rtl/>
        </w:rPr>
        <w:t xml:space="preserve"> للويبو و</w:t>
      </w:r>
      <w:r w:rsidR="004F1A7F" w:rsidRPr="00880292">
        <w:rPr>
          <w:rtl/>
        </w:rPr>
        <w:t xml:space="preserve">القواعد والممارسات المتبعة في المنظمات الأخرى </w:t>
      </w:r>
      <w:r w:rsidR="00BA4B32">
        <w:rPr>
          <w:rFonts w:hint="cs"/>
          <w:rtl/>
        </w:rPr>
        <w:t>في</w:t>
      </w:r>
      <w:r w:rsidR="004F1A7F" w:rsidRPr="00880292">
        <w:rPr>
          <w:rtl/>
        </w:rPr>
        <w:t xml:space="preserve"> </w:t>
      </w:r>
      <w:r w:rsidR="004F1A7F" w:rsidRPr="00B012F9">
        <w:rPr>
          <w:rtl/>
        </w:rPr>
        <w:t>نظام الأمم المتحدة الموحد</w:t>
      </w:r>
      <w:r w:rsidR="004F1A7F" w:rsidRPr="00880292">
        <w:rPr>
          <w:rtl/>
        </w:rPr>
        <w:t>.</w:t>
      </w:r>
      <w:r w:rsidR="00C731AB">
        <w:rPr>
          <w:rFonts w:hint="cs"/>
          <w:rtl/>
        </w:rPr>
        <w:t xml:space="preserve"> </w:t>
      </w:r>
      <w:proofErr w:type="gramStart"/>
      <w:r w:rsidR="00D1059E">
        <w:rPr>
          <w:rFonts w:hint="cs"/>
          <w:rtl/>
        </w:rPr>
        <w:t>ونتيجة</w:t>
      </w:r>
      <w:proofErr w:type="gramEnd"/>
      <w:r w:rsidR="00D1059E" w:rsidRPr="00D1059E">
        <w:rPr>
          <w:rtl/>
        </w:rPr>
        <w:t xml:space="preserve"> </w:t>
      </w:r>
      <w:r w:rsidR="00D1059E">
        <w:rPr>
          <w:rFonts w:hint="cs"/>
          <w:rtl/>
        </w:rPr>
        <w:t xml:space="preserve">لهذا </w:t>
      </w:r>
      <w:r w:rsidR="00011E3B">
        <w:rPr>
          <w:rtl/>
        </w:rPr>
        <w:t>التعديل</w:t>
      </w:r>
      <w:r w:rsidR="00011E3B">
        <w:rPr>
          <w:rFonts w:hint="cs"/>
          <w:rtl/>
        </w:rPr>
        <w:t>، لن يعد من حق</w:t>
      </w:r>
      <w:r w:rsidR="00D1059E" w:rsidRPr="00D1059E">
        <w:rPr>
          <w:rtl/>
        </w:rPr>
        <w:t xml:space="preserve"> الموظفين الذين لا يقع مركز عملهم في وطنهم ولكنهم رغم ذلك يقيمون في وطنهم</w:t>
      </w:r>
      <w:r w:rsidR="00020371">
        <w:rPr>
          <w:rFonts w:hint="cs"/>
          <w:rtl/>
        </w:rPr>
        <w:t>،</w:t>
      </w:r>
      <w:r w:rsidR="00D1059E" w:rsidRPr="00D1059E">
        <w:rPr>
          <w:rtl/>
        </w:rPr>
        <w:t xml:space="preserve"> الحصول على منحة </w:t>
      </w:r>
      <w:r w:rsidR="00BA4B32">
        <w:rPr>
          <w:rFonts w:hint="cs"/>
          <w:rtl/>
        </w:rPr>
        <w:t>ال</w:t>
      </w:r>
      <w:r w:rsidR="00D1059E" w:rsidRPr="00D1059E">
        <w:rPr>
          <w:rtl/>
        </w:rPr>
        <w:t>تعليم.</w:t>
      </w:r>
      <w:r w:rsidR="00011E3B">
        <w:rPr>
          <w:rFonts w:hint="cs"/>
          <w:rtl/>
        </w:rPr>
        <w:t xml:space="preserve"> </w:t>
      </w:r>
      <w:r w:rsidR="00020371">
        <w:rPr>
          <w:rFonts w:hint="cs"/>
          <w:rtl/>
        </w:rPr>
        <w:t>و</w:t>
      </w:r>
      <w:r w:rsidR="004B269B">
        <w:rPr>
          <w:rFonts w:hint="cs"/>
          <w:rtl/>
        </w:rPr>
        <w:t>الموظفون الفرنسيون المقيمون في فرنسا</w:t>
      </w:r>
      <w:r w:rsidR="000C1974" w:rsidRPr="000C1974">
        <w:rPr>
          <w:rFonts w:hint="cs"/>
          <w:rtl/>
        </w:rPr>
        <w:t xml:space="preserve"> </w:t>
      </w:r>
      <w:proofErr w:type="gramStart"/>
      <w:r w:rsidR="000C1974">
        <w:rPr>
          <w:rFonts w:hint="cs"/>
          <w:rtl/>
        </w:rPr>
        <w:t>هم</w:t>
      </w:r>
      <w:proofErr w:type="gramEnd"/>
      <w:r w:rsidR="000C1974">
        <w:rPr>
          <w:rFonts w:hint="cs"/>
          <w:rtl/>
        </w:rPr>
        <w:t xml:space="preserve"> </w:t>
      </w:r>
      <w:r w:rsidR="00020371">
        <w:rPr>
          <w:rFonts w:hint="cs"/>
          <w:rtl/>
        </w:rPr>
        <w:t xml:space="preserve">عمليا </w:t>
      </w:r>
      <w:r w:rsidR="000C1974">
        <w:rPr>
          <w:rFonts w:hint="cs"/>
          <w:rtl/>
        </w:rPr>
        <w:t>الموظفون الذين سيتأثرون بالتعديل</w:t>
      </w:r>
      <w:r w:rsidR="0071067D">
        <w:rPr>
          <w:rFonts w:hint="eastAsia"/>
          <w:rtl/>
        </w:rPr>
        <w:t> </w:t>
      </w:r>
      <w:r w:rsidR="000C1974">
        <w:rPr>
          <w:rFonts w:hint="cs"/>
          <w:rtl/>
        </w:rPr>
        <w:t>المقترح</w:t>
      </w:r>
      <w:r w:rsidR="004B269B">
        <w:rPr>
          <w:rFonts w:hint="cs"/>
          <w:rtl/>
        </w:rPr>
        <w:t>.</w:t>
      </w:r>
    </w:p>
    <w:p w:rsidR="00ED4C62" w:rsidRDefault="00441D10" w:rsidP="009E5DE6">
      <w:pPr>
        <w:pStyle w:val="NumberedParaAR"/>
      </w:pPr>
      <w:r>
        <w:rPr>
          <w:rFonts w:hint="cs"/>
          <w:rtl/>
        </w:rPr>
        <w:lastRenderedPageBreak/>
        <w:t>و</w:t>
      </w:r>
      <w:r w:rsidR="00ED4C62">
        <w:rPr>
          <w:rFonts w:hint="cs"/>
          <w:rtl/>
        </w:rPr>
        <w:t>اقترح</w:t>
      </w:r>
      <w:r w:rsidR="008B79D9">
        <w:rPr>
          <w:rFonts w:hint="cs"/>
          <w:rtl/>
        </w:rPr>
        <w:t xml:space="preserve"> أيضا</w:t>
      </w:r>
      <w:r w:rsidR="00ED4C62" w:rsidRPr="00ED4C62">
        <w:rPr>
          <w:rtl/>
        </w:rPr>
        <w:t xml:space="preserve"> إضافة فقرة جديدة (و) للحفاظ على حقوق الموظفين الذين التحقوا بالعمل في الويبو</w:t>
      </w:r>
      <w:r w:rsidR="00BD247E">
        <w:rPr>
          <w:rtl/>
        </w:rPr>
        <w:t xml:space="preserve"> قبل إدخال التعديل على الفقرة (</w:t>
      </w:r>
      <w:r w:rsidR="00BD247E">
        <w:rPr>
          <w:rFonts w:hint="cs"/>
          <w:rtl/>
        </w:rPr>
        <w:t>أ)</w:t>
      </w:r>
      <w:r w:rsidR="00BD247E">
        <w:rPr>
          <w:rStyle w:val="FootnoteReference"/>
          <w:rtl/>
        </w:rPr>
        <w:footnoteReference w:id="1"/>
      </w:r>
      <w:r w:rsidR="00ED4C62" w:rsidRPr="00ED4C62">
        <w:t>.</w:t>
      </w:r>
      <w:r w:rsidR="004A6A87">
        <w:rPr>
          <w:rFonts w:hint="cs"/>
          <w:rtl/>
        </w:rPr>
        <w:t xml:space="preserve"> وكانت الصياغة المقترحة للفقرة</w:t>
      </w:r>
      <w:r w:rsidR="004A6A87">
        <w:rPr>
          <w:rFonts w:hint="eastAsia"/>
          <w:rtl/>
        </w:rPr>
        <w:t xml:space="preserve"> (و) </w:t>
      </w:r>
      <w:proofErr w:type="gramStart"/>
      <w:r w:rsidR="004A6A87">
        <w:rPr>
          <w:rFonts w:hint="cs"/>
          <w:rtl/>
        </w:rPr>
        <w:t>الجديدة</w:t>
      </w:r>
      <w:proofErr w:type="gramEnd"/>
      <w:r w:rsidR="004A6A87">
        <w:rPr>
          <w:rFonts w:hint="cs"/>
          <w:rtl/>
        </w:rPr>
        <w:t xml:space="preserve"> كالتالي:</w:t>
      </w:r>
    </w:p>
    <w:p w:rsidR="007135A2" w:rsidRDefault="002A5EF3" w:rsidP="009F6664">
      <w:pPr>
        <w:pStyle w:val="NormalParaAR"/>
        <w:ind w:left="566"/>
        <w:rPr>
          <w:rtl/>
        </w:rPr>
      </w:pPr>
      <w:r>
        <w:rPr>
          <w:rFonts w:hint="cs"/>
          <w:rtl/>
        </w:rPr>
        <w:t>"</w:t>
      </w:r>
      <w:proofErr w:type="gramStart"/>
      <w:r w:rsidRPr="002A5EF3">
        <w:rPr>
          <w:rtl/>
        </w:rPr>
        <w:t>بصرف</w:t>
      </w:r>
      <w:proofErr w:type="gramEnd"/>
      <w:r w:rsidRPr="002A5EF3">
        <w:rPr>
          <w:rtl/>
        </w:rPr>
        <w:t xml:space="preserve"> النظر عن الفقرة (أ) الواردة أعلاه، فإن الموظفين المعينين تعييناً مُحدَّد المدة أو مستمراً أو دائماً لدى المكتب الدولي قبل 1 يناير 2016 الذين يقيمون، ولكن لا يعملون، في ذلك الوقت، في وطنهم يحتفظون بالحق في الحصول على منحة تعليم.</w:t>
      </w:r>
      <w:r>
        <w:rPr>
          <w:rFonts w:hint="cs"/>
          <w:rtl/>
        </w:rPr>
        <w:t>"</w:t>
      </w:r>
    </w:p>
    <w:p w:rsidR="002A5EF3" w:rsidRPr="000C1974" w:rsidRDefault="00094231" w:rsidP="009F6664">
      <w:pPr>
        <w:pStyle w:val="NumberedParaAR"/>
      </w:pPr>
      <w:r>
        <w:rPr>
          <w:rFonts w:hint="cs"/>
          <w:rtl/>
        </w:rPr>
        <w:t xml:space="preserve">واعتمدت </w:t>
      </w:r>
      <w:r w:rsidR="0059722E" w:rsidRPr="0059722E">
        <w:rPr>
          <w:rtl/>
        </w:rPr>
        <w:t>لجنة الويبو للتنسيق</w:t>
      </w:r>
      <w:r w:rsidR="0059722E">
        <w:rPr>
          <w:rFonts w:hint="cs"/>
          <w:rtl/>
        </w:rPr>
        <w:t xml:space="preserve"> التعديلين الذين أدخلا على المادة 14.3</w:t>
      </w:r>
      <w:r w:rsidR="00F27418">
        <w:rPr>
          <w:rFonts w:hint="cs"/>
          <w:rtl/>
        </w:rPr>
        <w:t xml:space="preserve"> مع الإحاطة علما بما يلي:</w:t>
      </w:r>
    </w:p>
    <w:p w:rsidR="00CB79E4" w:rsidRPr="00E741AF" w:rsidRDefault="004C0245" w:rsidP="009F6664">
      <w:pPr>
        <w:pStyle w:val="NormalParaAR"/>
        <w:ind w:left="566"/>
      </w:pPr>
      <w:r>
        <w:rPr>
          <w:rFonts w:hint="cs"/>
          <w:rtl/>
        </w:rPr>
        <w:t>"</w:t>
      </w:r>
      <w:proofErr w:type="gramStart"/>
      <w:r w:rsidRPr="004C0245">
        <w:rPr>
          <w:rtl/>
        </w:rPr>
        <w:t>سيقدم</w:t>
      </w:r>
      <w:proofErr w:type="gramEnd"/>
      <w:r w:rsidRPr="004C0245">
        <w:rPr>
          <w:rtl/>
        </w:rPr>
        <w:t xml:space="preserve"> مكتب المستشار القانوني إلى لجنة التنسيق في دورتها </w:t>
      </w:r>
      <w:r w:rsidR="00020371">
        <w:rPr>
          <w:rFonts w:hint="cs"/>
          <w:rtl/>
        </w:rPr>
        <w:t xml:space="preserve">في </w:t>
      </w:r>
      <w:r w:rsidRPr="004C0245">
        <w:rPr>
          <w:rtl/>
        </w:rPr>
        <w:t>عام 2016 تحليلا بشأن قضية حقوق الموظفين المكتسبة فيما يخص منحة التعليم، مع المعلومات ذات الصلة بالأثر المالي، كي تبتّ فيما إذا كان ين</w:t>
      </w:r>
      <w:r>
        <w:rPr>
          <w:rtl/>
        </w:rPr>
        <w:t>بغي الإبقاء على المادة الجديدة</w:t>
      </w:r>
      <w:r>
        <w:rPr>
          <w:rFonts w:hint="cs"/>
          <w:rtl/>
        </w:rPr>
        <w:t> 14.3</w:t>
      </w:r>
      <w:r w:rsidRPr="004C0245">
        <w:rPr>
          <w:rtl/>
        </w:rPr>
        <w:t xml:space="preserve">(و) </w:t>
      </w:r>
      <w:proofErr w:type="gramStart"/>
      <w:r w:rsidRPr="004C0245">
        <w:rPr>
          <w:rtl/>
        </w:rPr>
        <w:t>من</w:t>
      </w:r>
      <w:proofErr w:type="gramEnd"/>
      <w:r w:rsidRPr="004C0245">
        <w:rPr>
          <w:rtl/>
        </w:rPr>
        <w:t xml:space="preserve"> نظام الموظفين الخاصة بمنحة التعليم، أو حذفها</w:t>
      </w:r>
      <w:r>
        <w:rPr>
          <w:rFonts w:hint="cs"/>
          <w:rtl/>
        </w:rPr>
        <w:t>"</w:t>
      </w:r>
      <w:r w:rsidRPr="004C0245">
        <w:rPr>
          <w:rtl/>
        </w:rPr>
        <w:t>.</w:t>
      </w:r>
      <w:r>
        <w:rPr>
          <w:rStyle w:val="FootnoteReference"/>
          <w:rtl/>
        </w:rPr>
        <w:footnoteReference w:id="2"/>
      </w:r>
    </w:p>
    <w:p w:rsidR="005F5866" w:rsidRPr="009E5DE6" w:rsidRDefault="0085625B" w:rsidP="00441D10">
      <w:pPr>
        <w:pStyle w:val="Heading2AR"/>
        <w:spacing w:after="240" w:line="360" w:lineRule="exact"/>
        <w:ind w:left="1134" w:hanging="567"/>
        <w:rPr>
          <w:rtl/>
        </w:rPr>
      </w:pPr>
      <w:proofErr w:type="gramStart"/>
      <w:r w:rsidRPr="009E5DE6">
        <w:rPr>
          <w:rFonts w:hint="eastAsia"/>
          <w:u w:val="single"/>
          <w:rtl/>
        </w:rPr>
        <w:t>الملخص</w:t>
      </w:r>
      <w:proofErr w:type="gramEnd"/>
      <w:r w:rsidRPr="009E5DE6">
        <w:rPr>
          <w:u w:val="single"/>
          <w:rtl/>
        </w:rPr>
        <w:t xml:space="preserve"> </w:t>
      </w:r>
      <w:r w:rsidR="00441D10">
        <w:rPr>
          <w:rFonts w:hint="cs"/>
          <w:u w:val="single"/>
          <w:rtl/>
        </w:rPr>
        <w:t>العملي</w:t>
      </w:r>
    </w:p>
    <w:p w:rsidR="00324ECE" w:rsidRDefault="006E0225" w:rsidP="00441D10">
      <w:pPr>
        <w:pStyle w:val="NumberedParaAR"/>
      </w:pPr>
      <w:r>
        <w:rPr>
          <w:rFonts w:hint="cs"/>
          <w:rtl/>
        </w:rPr>
        <w:t xml:space="preserve">تتضمن هذه الوثيقة </w:t>
      </w:r>
      <w:r w:rsidR="00861BAF">
        <w:rPr>
          <w:rFonts w:hint="cs"/>
          <w:rtl/>
        </w:rPr>
        <w:t xml:space="preserve">التحليل </w:t>
      </w:r>
      <w:r w:rsidR="00D53C83">
        <w:rPr>
          <w:rFonts w:hint="cs"/>
          <w:rtl/>
        </w:rPr>
        <w:t xml:space="preserve">المذكور أعلاه </w:t>
      </w:r>
      <w:r w:rsidR="00B727BA">
        <w:rPr>
          <w:rFonts w:hint="cs"/>
          <w:rtl/>
        </w:rPr>
        <w:t>الذي طُلب</w:t>
      </w:r>
      <w:r w:rsidR="00D53C83">
        <w:rPr>
          <w:rFonts w:hint="cs"/>
          <w:rtl/>
        </w:rPr>
        <w:t xml:space="preserve"> </w:t>
      </w:r>
      <w:proofErr w:type="gramStart"/>
      <w:r w:rsidR="00D53C83">
        <w:rPr>
          <w:rFonts w:hint="cs"/>
          <w:rtl/>
        </w:rPr>
        <w:t>من</w:t>
      </w:r>
      <w:proofErr w:type="gramEnd"/>
      <w:r w:rsidR="00D53C83">
        <w:rPr>
          <w:rFonts w:hint="cs"/>
          <w:rtl/>
        </w:rPr>
        <w:t xml:space="preserve"> لجنة التنسيق. </w:t>
      </w:r>
      <w:r w:rsidR="00F058E3">
        <w:rPr>
          <w:rFonts w:hint="cs"/>
          <w:rtl/>
        </w:rPr>
        <w:t>و</w:t>
      </w:r>
      <w:r w:rsidR="00D53C83">
        <w:rPr>
          <w:rFonts w:hint="cs"/>
          <w:rtl/>
        </w:rPr>
        <w:t xml:space="preserve">موجز </w:t>
      </w:r>
      <w:r w:rsidR="00F058E3">
        <w:rPr>
          <w:rFonts w:hint="cs"/>
          <w:rtl/>
        </w:rPr>
        <w:t>القول إنه</w:t>
      </w:r>
      <w:r w:rsidR="00D53C83">
        <w:rPr>
          <w:rFonts w:hint="cs"/>
          <w:rtl/>
        </w:rPr>
        <w:t xml:space="preserve"> </w:t>
      </w:r>
      <w:r w:rsidR="00F058E3">
        <w:rPr>
          <w:rFonts w:hint="cs"/>
          <w:rtl/>
        </w:rPr>
        <w:t xml:space="preserve">رغم </w:t>
      </w:r>
      <w:r w:rsidR="007B7760">
        <w:rPr>
          <w:rFonts w:hint="cs"/>
          <w:rtl/>
        </w:rPr>
        <w:t>الاعتراف</w:t>
      </w:r>
      <w:r w:rsidR="00D53C83">
        <w:rPr>
          <w:rFonts w:hint="cs"/>
          <w:rtl/>
        </w:rPr>
        <w:t xml:space="preserve"> ب</w:t>
      </w:r>
      <w:r w:rsidR="00787FB6">
        <w:rPr>
          <w:rFonts w:hint="cs"/>
          <w:rtl/>
        </w:rPr>
        <w:t xml:space="preserve">أن </w:t>
      </w:r>
      <w:r w:rsidR="00D53C83">
        <w:rPr>
          <w:rFonts w:hint="cs"/>
          <w:rtl/>
        </w:rPr>
        <w:t xml:space="preserve">استحقاق منحة </w:t>
      </w:r>
      <w:r w:rsidR="007B7760">
        <w:rPr>
          <w:rFonts w:hint="cs"/>
          <w:rtl/>
        </w:rPr>
        <w:t>ال</w:t>
      </w:r>
      <w:r w:rsidR="00D53C83">
        <w:rPr>
          <w:rFonts w:hint="cs"/>
          <w:rtl/>
        </w:rPr>
        <w:t xml:space="preserve">تعليم </w:t>
      </w:r>
      <w:r w:rsidR="00787FB6">
        <w:rPr>
          <w:rFonts w:hint="cs"/>
          <w:rtl/>
        </w:rPr>
        <w:t>ي</w:t>
      </w:r>
      <w:r w:rsidR="00B727BA">
        <w:rPr>
          <w:rFonts w:hint="cs"/>
          <w:rtl/>
        </w:rPr>
        <w:t>ندرج في فئة الحقوق المكتسبة (ا</w:t>
      </w:r>
      <w:r w:rsidR="00D53C83">
        <w:rPr>
          <w:rFonts w:hint="cs"/>
          <w:rtl/>
        </w:rPr>
        <w:t xml:space="preserve">نظر </w:t>
      </w:r>
      <w:r w:rsidR="00461526">
        <w:rPr>
          <w:rFonts w:hint="cs"/>
          <w:rtl/>
        </w:rPr>
        <w:t>القسم</w:t>
      </w:r>
      <w:r w:rsidR="00D53C83">
        <w:rPr>
          <w:rFonts w:hint="cs"/>
          <w:rtl/>
        </w:rPr>
        <w:t xml:space="preserve"> </w:t>
      </w:r>
      <w:r w:rsidR="00F058E3">
        <w:rPr>
          <w:rFonts w:hint="cs"/>
          <w:rtl/>
        </w:rPr>
        <w:t>الثاني</w:t>
      </w:r>
      <w:r w:rsidR="00D53C83">
        <w:rPr>
          <w:rFonts w:hint="cs"/>
          <w:rtl/>
        </w:rPr>
        <w:t>)</w:t>
      </w:r>
      <w:r w:rsidR="00F058E3">
        <w:rPr>
          <w:rFonts w:hint="cs"/>
          <w:rtl/>
        </w:rPr>
        <w:t xml:space="preserve">، </w:t>
      </w:r>
      <w:r w:rsidR="007B7760">
        <w:rPr>
          <w:rFonts w:hint="cs"/>
          <w:rtl/>
        </w:rPr>
        <w:t>فإ</w:t>
      </w:r>
      <w:r w:rsidR="00787FB6">
        <w:rPr>
          <w:rFonts w:hint="cs"/>
          <w:rtl/>
        </w:rPr>
        <w:t>ن الموظفين الفرنسيين المقيمين في فرنسا الذي</w:t>
      </w:r>
      <w:r w:rsidR="000A2142">
        <w:rPr>
          <w:rFonts w:hint="cs"/>
          <w:rtl/>
        </w:rPr>
        <w:t>ن</w:t>
      </w:r>
      <w:r w:rsidR="00787FB6">
        <w:rPr>
          <w:rFonts w:hint="cs"/>
          <w:rtl/>
        </w:rPr>
        <w:t xml:space="preserve"> </w:t>
      </w:r>
      <w:r w:rsidR="00441D10">
        <w:rPr>
          <w:rFonts w:hint="cs"/>
          <w:rtl/>
        </w:rPr>
        <w:t>طلبوا</w:t>
      </w:r>
      <w:r w:rsidR="00787FB6">
        <w:rPr>
          <w:rFonts w:hint="cs"/>
          <w:rtl/>
        </w:rPr>
        <w:t xml:space="preserve"> </w:t>
      </w:r>
      <w:r w:rsidR="00441D10">
        <w:rPr>
          <w:rFonts w:hint="cs"/>
          <w:rtl/>
        </w:rPr>
        <w:t>ا</w:t>
      </w:r>
      <w:r w:rsidR="007B7760">
        <w:rPr>
          <w:rFonts w:hint="cs"/>
          <w:rtl/>
        </w:rPr>
        <w:t xml:space="preserve">لحصول على </w:t>
      </w:r>
      <w:r w:rsidR="00BE220A">
        <w:rPr>
          <w:rFonts w:hint="cs"/>
          <w:rtl/>
        </w:rPr>
        <w:t xml:space="preserve">منحة </w:t>
      </w:r>
      <w:r w:rsidR="007B7760">
        <w:rPr>
          <w:rFonts w:hint="cs"/>
          <w:rtl/>
        </w:rPr>
        <w:t>ال</w:t>
      </w:r>
      <w:r w:rsidR="00BE220A">
        <w:rPr>
          <w:rFonts w:hint="cs"/>
          <w:rtl/>
        </w:rPr>
        <w:t xml:space="preserve">تعليم قد حصلوا عليها </w:t>
      </w:r>
      <w:r w:rsidR="00381F94">
        <w:rPr>
          <w:rFonts w:hint="cs"/>
          <w:rtl/>
        </w:rPr>
        <w:t xml:space="preserve">وفقا </w:t>
      </w:r>
      <w:r w:rsidR="00381F94" w:rsidRPr="008923CF">
        <w:rPr>
          <w:rFonts w:hint="cs"/>
          <w:rtl/>
        </w:rPr>
        <w:t>ل</w:t>
      </w:r>
      <w:r w:rsidR="000A2142">
        <w:rPr>
          <w:rFonts w:hint="cs"/>
          <w:rtl/>
        </w:rPr>
        <w:t>ل</w:t>
      </w:r>
      <w:r w:rsidR="00956FB5" w:rsidRPr="008923CF">
        <w:rPr>
          <w:rFonts w:hint="cs"/>
          <w:rtl/>
        </w:rPr>
        <w:t>م</w:t>
      </w:r>
      <w:r w:rsidR="00381F94" w:rsidRPr="008923CF">
        <w:rPr>
          <w:rFonts w:hint="cs"/>
          <w:rtl/>
        </w:rPr>
        <w:t xml:space="preserve">مارسة </w:t>
      </w:r>
      <w:r w:rsidR="00441D10">
        <w:rPr>
          <w:rFonts w:hint="cs"/>
          <w:rtl/>
        </w:rPr>
        <w:t>الدارجة منذ زمن طويل</w:t>
      </w:r>
      <w:r w:rsidR="00381F94">
        <w:rPr>
          <w:rFonts w:hint="cs"/>
          <w:rtl/>
        </w:rPr>
        <w:t xml:space="preserve"> </w:t>
      </w:r>
      <w:r w:rsidR="00716570">
        <w:rPr>
          <w:rFonts w:hint="cs"/>
          <w:rtl/>
        </w:rPr>
        <w:t xml:space="preserve">وليس بناء على </w:t>
      </w:r>
      <w:r w:rsidR="00891A47">
        <w:rPr>
          <w:rFonts w:hint="cs"/>
          <w:rtl/>
        </w:rPr>
        <w:t xml:space="preserve">استحقاق </w:t>
      </w:r>
      <w:r w:rsidR="00590A48">
        <w:rPr>
          <w:rFonts w:hint="cs"/>
          <w:rtl/>
        </w:rPr>
        <w:t>منصوص</w:t>
      </w:r>
      <w:r w:rsidR="00891A47">
        <w:rPr>
          <w:rFonts w:hint="cs"/>
          <w:rtl/>
        </w:rPr>
        <w:t xml:space="preserve"> عليه </w:t>
      </w:r>
      <w:r w:rsidR="00590A48">
        <w:rPr>
          <w:rFonts w:hint="cs"/>
          <w:rtl/>
        </w:rPr>
        <w:t xml:space="preserve">في </w:t>
      </w:r>
      <w:r w:rsidR="00F42B08" w:rsidRPr="00F42B08">
        <w:rPr>
          <w:rtl/>
        </w:rPr>
        <w:t>نظام الموظفين ولائحته</w:t>
      </w:r>
      <w:r w:rsidR="00F413FD">
        <w:rPr>
          <w:rFonts w:hint="cs"/>
          <w:rtl/>
        </w:rPr>
        <w:t xml:space="preserve"> (انظر </w:t>
      </w:r>
      <w:r w:rsidR="00461526">
        <w:rPr>
          <w:rFonts w:hint="cs"/>
          <w:rtl/>
        </w:rPr>
        <w:t xml:space="preserve">القسم </w:t>
      </w:r>
      <w:r w:rsidR="00F413FD">
        <w:rPr>
          <w:rFonts w:hint="cs"/>
          <w:rtl/>
        </w:rPr>
        <w:t>الثالث)</w:t>
      </w:r>
      <w:r w:rsidR="00F42B08">
        <w:rPr>
          <w:rFonts w:hint="cs"/>
          <w:rtl/>
        </w:rPr>
        <w:t xml:space="preserve">. </w:t>
      </w:r>
      <w:r w:rsidR="000A2142">
        <w:rPr>
          <w:rFonts w:hint="cs"/>
          <w:rtl/>
        </w:rPr>
        <w:t>و</w:t>
      </w:r>
      <w:r w:rsidR="00020371">
        <w:rPr>
          <w:rtl/>
        </w:rPr>
        <w:t>لا حجة قانونية ل</w:t>
      </w:r>
      <w:r w:rsidR="00020371">
        <w:rPr>
          <w:rFonts w:hint="cs"/>
          <w:rtl/>
        </w:rPr>
        <w:t>هذه الممارسة</w:t>
      </w:r>
      <w:r w:rsidR="000A2142">
        <w:rPr>
          <w:rFonts w:hint="cs"/>
          <w:rtl/>
        </w:rPr>
        <w:t xml:space="preserve"> </w:t>
      </w:r>
      <w:r w:rsidR="00441D10">
        <w:rPr>
          <w:rFonts w:hint="cs"/>
          <w:rtl/>
        </w:rPr>
        <w:t>حتى</w:t>
      </w:r>
      <w:r w:rsidR="00020371">
        <w:rPr>
          <w:rFonts w:hint="cs"/>
          <w:rtl/>
        </w:rPr>
        <w:t xml:space="preserve"> ينشأ</w:t>
      </w:r>
      <w:r w:rsidR="00F42B08">
        <w:rPr>
          <w:rFonts w:hint="cs"/>
          <w:rtl/>
        </w:rPr>
        <w:t xml:space="preserve"> </w:t>
      </w:r>
      <w:r w:rsidR="000A2142">
        <w:rPr>
          <w:rFonts w:hint="cs"/>
          <w:rtl/>
        </w:rPr>
        <w:t>عن</w:t>
      </w:r>
      <w:r w:rsidR="00377B76">
        <w:rPr>
          <w:rFonts w:hint="cs"/>
          <w:rtl/>
        </w:rPr>
        <w:t>ها</w:t>
      </w:r>
      <w:r w:rsidR="000A2142">
        <w:rPr>
          <w:rFonts w:hint="cs"/>
          <w:rtl/>
        </w:rPr>
        <w:t xml:space="preserve"> </w:t>
      </w:r>
      <w:r w:rsidR="000B4D72">
        <w:rPr>
          <w:rFonts w:hint="cs"/>
          <w:rtl/>
        </w:rPr>
        <w:t xml:space="preserve">حق مكتسب. لذا يجوز </w:t>
      </w:r>
      <w:proofErr w:type="gramStart"/>
      <w:r w:rsidR="000B4D72" w:rsidRPr="000A2142">
        <w:rPr>
          <w:rFonts w:hint="cs"/>
          <w:rtl/>
        </w:rPr>
        <w:t>وقفها</w:t>
      </w:r>
      <w:proofErr w:type="gramEnd"/>
      <w:r w:rsidR="000B4D72" w:rsidRPr="000A2142">
        <w:rPr>
          <w:rFonts w:hint="cs"/>
          <w:rtl/>
        </w:rPr>
        <w:t xml:space="preserve"> </w:t>
      </w:r>
      <w:r w:rsidR="00FB0F64" w:rsidRPr="000A2142">
        <w:rPr>
          <w:rFonts w:hint="cs"/>
          <w:rtl/>
        </w:rPr>
        <w:t>بشكل قانوني</w:t>
      </w:r>
      <w:r w:rsidR="000B4D72">
        <w:rPr>
          <w:rFonts w:hint="cs"/>
          <w:rtl/>
        </w:rPr>
        <w:t xml:space="preserve"> شريطة أن </w:t>
      </w:r>
      <w:r w:rsidR="0019304E">
        <w:rPr>
          <w:rFonts w:hint="cs"/>
          <w:rtl/>
        </w:rPr>
        <w:t>يطبق ذل</w:t>
      </w:r>
      <w:r w:rsidR="00DA7DB0">
        <w:rPr>
          <w:rFonts w:hint="cs"/>
          <w:rtl/>
        </w:rPr>
        <w:t xml:space="preserve">ك بأثر </w:t>
      </w:r>
      <w:r w:rsidR="00B727BA">
        <w:rPr>
          <w:rFonts w:hint="cs"/>
          <w:rtl/>
        </w:rPr>
        <w:t>مستقبلي</w:t>
      </w:r>
      <w:r w:rsidR="00DA7DB0">
        <w:rPr>
          <w:rFonts w:hint="cs"/>
          <w:rtl/>
        </w:rPr>
        <w:t xml:space="preserve"> مع الإ</w:t>
      </w:r>
      <w:r w:rsidR="000B4D72">
        <w:rPr>
          <w:rFonts w:hint="cs"/>
          <w:rtl/>
        </w:rPr>
        <w:t xml:space="preserve">خطار </w:t>
      </w:r>
      <w:r w:rsidR="00F869FD">
        <w:rPr>
          <w:rFonts w:hint="cs"/>
          <w:rtl/>
        </w:rPr>
        <w:t>المسبق</w:t>
      </w:r>
      <w:r w:rsidR="000B4D72">
        <w:rPr>
          <w:rFonts w:hint="cs"/>
          <w:rtl/>
        </w:rPr>
        <w:t xml:space="preserve"> (</w:t>
      </w:r>
      <w:r w:rsidR="00DA7DB0">
        <w:rPr>
          <w:rFonts w:hint="cs"/>
          <w:rtl/>
        </w:rPr>
        <w:t xml:space="preserve">انظر </w:t>
      </w:r>
      <w:r w:rsidR="00461526">
        <w:rPr>
          <w:rFonts w:hint="cs"/>
          <w:rtl/>
        </w:rPr>
        <w:t xml:space="preserve">القسم </w:t>
      </w:r>
      <w:r w:rsidR="000B4D72">
        <w:rPr>
          <w:rFonts w:hint="cs"/>
          <w:rtl/>
        </w:rPr>
        <w:t>الرابع)</w:t>
      </w:r>
      <w:r w:rsidR="00C64A1E">
        <w:rPr>
          <w:rFonts w:hint="cs"/>
          <w:rtl/>
        </w:rPr>
        <w:t xml:space="preserve">. </w:t>
      </w:r>
      <w:r w:rsidR="00377B76">
        <w:rPr>
          <w:rFonts w:hint="cs"/>
          <w:rtl/>
        </w:rPr>
        <w:t>وعليه</w:t>
      </w:r>
      <w:r w:rsidR="002009AB">
        <w:rPr>
          <w:rFonts w:hint="cs"/>
          <w:rtl/>
        </w:rPr>
        <w:t>،</w:t>
      </w:r>
      <w:r w:rsidR="00C64A1E">
        <w:rPr>
          <w:rFonts w:hint="cs"/>
          <w:rtl/>
        </w:rPr>
        <w:t xml:space="preserve"> يوصى </w:t>
      </w:r>
      <w:r w:rsidR="00DA7DB0">
        <w:rPr>
          <w:rFonts w:hint="cs"/>
          <w:rtl/>
        </w:rPr>
        <w:t>ب</w:t>
      </w:r>
      <w:r w:rsidR="00C64A1E">
        <w:rPr>
          <w:rFonts w:hint="cs"/>
          <w:rtl/>
        </w:rPr>
        <w:t xml:space="preserve">حذف </w:t>
      </w:r>
      <w:proofErr w:type="gramStart"/>
      <w:r w:rsidR="00C64A1E">
        <w:rPr>
          <w:rFonts w:hint="cs"/>
          <w:rtl/>
        </w:rPr>
        <w:t>المادة</w:t>
      </w:r>
      <w:proofErr w:type="gramEnd"/>
      <w:r w:rsidR="00C64A1E">
        <w:rPr>
          <w:rFonts w:hint="cs"/>
          <w:rtl/>
        </w:rPr>
        <w:t xml:space="preserve"> 14.3(و) </w:t>
      </w:r>
      <w:r w:rsidR="00DB75F3">
        <w:rPr>
          <w:rFonts w:hint="cs"/>
          <w:rtl/>
        </w:rPr>
        <w:t xml:space="preserve">وأن يحل محلها </w:t>
      </w:r>
      <w:r w:rsidR="00441D10">
        <w:rPr>
          <w:rFonts w:hint="cs"/>
          <w:rtl/>
        </w:rPr>
        <w:t>تدبير</w:t>
      </w:r>
      <w:r w:rsidR="00DB75F3">
        <w:rPr>
          <w:rFonts w:hint="cs"/>
          <w:rtl/>
        </w:rPr>
        <w:t xml:space="preserve"> انتقالي محدود </w:t>
      </w:r>
      <w:r w:rsidR="00651DA6">
        <w:rPr>
          <w:rFonts w:hint="cs"/>
          <w:rtl/>
        </w:rPr>
        <w:t>يشمل</w:t>
      </w:r>
      <w:r w:rsidR="00DA7DB0">
        <w:rPr>
          <w:rFonts w:hint="cs"/>
          <w:rtl/>
        </w:rPr>
        <w:t xml:space="preserve"> </w:t>
      </w:r>
      <w:proofErr w:type="gramStart"/>
      <w:r w:rsidR="00651DA6">
        <w:rPr>
          <w:rFonts w:hint="cs"/>
          <w:rtl/>
        </w:rPr>
        <w:t>شرط</w:t>
      </w:r>
      <w:proofErr w:type="gramEnd"/>
      <w:r w:rsidR="00DA7DB0">
        <w:rPr>
          <w:rFonts w:hint="cs"/>
          <w:rtl/>
        </w:rPr>
        <w:t xml:space="preserve"> الإخطار (انظر </w:t>
      </w:r>
      <w:r w:rsidR="0029795C">
        <w:rPr>
          <w:rFonts w:hint="cs"/>
          <w:rtl/>
        </w:rPr>
        <w:t>القسم</w:t>
      </w:r>
      <w:r w:rsidR="00DA7DB0">
        <w:rPr>
          <w:rFonts w:hint="cs"/>
          <w:rtl/>
        </w:rPr>
        <w:t xml:space="preserve"> الخامس)</w:t>
      </w:r>
      <w:r w:rsidR="00533601">
        <w:rPr>
          <w:rFonts w:hint="cs"/>
          <w:rtl/>
        </w:rPr>
        <w:t xml:space="preserve">. </w:t>
      </w:r>
      <w:r w:rsidR="000A2142">
        <w:rPr>
          <w:rFonts w:hint="cs"/>
          <w:rtl/>
        </w:rPr>
        <w:t>و</w:t>
      </w:r>
      <w:r w:rsidR="00651DA6">
        <w:rPr>
          <w:rFonts w:hint="cs"/>
          <w:rtl/>
        </w:rPr>
        <w:t>الأثر المالي الناجم عن</w:t>
      </w:r>
      <w:r w:rsidR="00533601">
        <w:rPr>
          <w:rFonts w:hint="cs"/>
          <w:rtl/>
        </w:rPr>
        <w:t xml:space="preserve"> </w:t>
      </w:r>
      <w:r w:rsidR="00651DA6">
        <w:rPr>
          <w:rFonts w:hint="cs"/>
          <w:rtl/>
        </w:rPr>
        <w:t>التدبير الانتقالي المقترح</w:t>
      </w:r>
      <w:r w:rsidR="00461526">
        <w:rPr>
          <w:rFonts w:hint="cs"/>
          <w:rtl/>
        </w:rPr>
        <w:t>،</w:t>
      </w:r>
      <w:r w:rsidR="00651DA6">
        <w:rPr>
          <w:rFonts w:hint="cs"/>
          <w:rtl/>
        </w:rPr>
        <w:t xml:space="preserve"> </w:t>
      </w:r>
      <w:r w:rsidR="002009AB">
        <w:rPr>
          <w:rFonts w:hint="cs"/>
          <w:rtl/>
        </w:rPr>
        <w:t xml:space="preserve">أثر </w:t>
      </w:r>
      <w:r w:rsidR="00651DA6">
        <w:rPr>
          <w:rFonts w:hint="cs"/>
          <w:rtl/>
        </w:rPr>
        <w:t>محدود</w:t>
      </w:r>
      <w:r w:rsidR="00533601">
        <w:rPr>
          <w:rFonts w:hint="cs"/>
          <w:rtl/>
        </w:rPr>
        <w:t xml:space="preserve"> (</w:t>
      </w:r>
      <w:proofErr w:type="gramStart"/>
      <w:r w:rsidR="00533601">
        <w:rPr>
          <w:rFonts w:hint="cs"/>
          <w:rtl/>
        </w:rPr>
        <w:t>انظر</w:t>
      </w:r>
      <w:proofErr w:type="gramEnd"/>
      <w:r w:rsidR="00533601">
        <w:rPr>
          <w:rFonts w:hint="cs"/>
          <w:rtl/>
        </w:rPr>
        <w:t xml:space="preserve"> </w:t>
      </w:r>
      <w:r w:rsidR="00461526">
        <w:rPr>
          <w:rFonts w:hint="cs"/>
          <w:rtl/>
        </w:rPr>
        <w:t xml:space="preserve">القسم </w:t>
      </w:r>
      <w:r w:rsidR="00651DA6">
        <w:rPr>
          <w:rFonts w:hint="cs"/>
          <w:rtl/>
        </w:rPr>
        <w:t>السادس</w:t>
      </w:r>
      <w:r w:rsidR="00533601">
        <w:rPr>
          <w:rFonts w:hint="cs"/>
          <w:rtl/>
        </w:rPr>
        <w:t>).</w:t>
      </w:r>
    </w:p>
    <w:p w:rsidR="00B26D22" w:rsidRDefault="00C316AA" w:rsidP="009E5DE6">
      <w:pPr>
        <w:pStyle w:val="Heading1AR"/>
        <w:spacing w:after="240" w:line="360" w:lineRule="exact"/>
        <w:rPr>
          <w:rtl/>
        </w:rPr>
      </w:pPr>
      <w:r>
        <w:rPr>
          <w:rFonts w:hint="cs"/>
          <w:rtl/>
        </w:rPr>
        <w:t>ثانيا.</w:t>
      </w:r>
      <w:r>
        <w:rPr>
          <w:rFonts w:hint="cs"/>
          <w:rtl/>
        </w:rPr>
        <w:tab/>
      </w:r>
      <w:r w:rsidR="001176F5">
        <w:rPr>
          <w:rFonts w:hint="cs"/>
          <w:rtl/>
        </w:rPr>
        <w:t>مبدأ</w:t>
      </w:r>
      <w:r w:rsidR="00B26D22">
        <w:rPr>
          <w:rFonts w:hint="cs"/>
          <w:rtl/>
        </w:rPr>
        <w:t xml:space="preserve"> الحقوق المكتسبة</w:t>
      </w:r>
    </w:p>
    <w:p w:rsidR="00B26D22" w:rsidRPr="009E5DE6" w:rsidRDefault="00AF6CBF" w:rsidP="009E5DE6">
      <w:pPr>
        <w:pStyle w:val="Heading2AR"/>
        <w:spacing w:after="240" w:line="360" w:lineRule="exact"/>
        <w:ind w:left="1134" w:hanging="567"/>
        <w:rPr>
          <w:rtl/>
        </w:rPr>
      </w:pPr>
      <w:r>
        <w:rPr>
          <w:rFonts w:hint="cs"/>
          <w:u w:val="single"/>
          <w:rtl/>
        </w:rPr>
        <w:t>صلاحية</w:t>
      </w:r>
      <w:r w:rsidR="005E0D42" w:rsidRPr="009E5DE6">
        <w:rPr>
          <w:u w:val="single"/>
          <w:rtl/>
        </w:rPr>
        <w:t xml:space="preserve"> </w:t>
      </w:r>
      <w:r w:rsidR="00CB6E5B" w:rsidRPr="009E5DE6">
        <w:rPr>
          <w:rFonts w:hint="eastAsia"/>
          <w:u w:val="single"/>
          <w:rtl/>
        </w:rPr>
        <w:t>تعديل</w:t>
      </w:r>
      <w:r w:rsidR="00CB6E5B" w:rsidRPr="009E5DE6">
        <w:rPr>
          <w:u w:val="single"/>
          <w:rtl/>
        </w:rPr>
        <w:t xml:space="preserve"> شروط العمل </w:t>
      </w:r>
      <w:r w:rsidR="0019304E" w:rsidRPr="009E5DE6">
        <w:rPr>
          <w:rFonts w:hint="eastAsia"/>
          <w:u w:val="single"/>
          <w:rtl/>
        </w:rPr>
        <w:t>تخضع</w:t>
      </w:r>
      <w:r w:rsidR="00CB6E5B" w:rsidRPr="009E5DE6">
        <w:rPr>
          <w:u w:val="single"/>
          <w:rtl/>
        </w:rPr>
        <w:t xml:space="preserve"> لمبدأ الحقوق المكتسبة</w:t>
      </w:r>
    </w:p>
    <w:p w:rsidR="009D67E7" w:rsidRDefault="00157CC8" w:rsidP="009A195F">
      <w:pPr>
        <w:pStyle w:val="NumberedParaAR"/>
      </w:pPr>
      <w:proofErr w:type="gramStart"/>
      <w:r>
        <w:rPr>
          <w:rFonts w:hint="cs"/>
          <w:rtl/>
        </w:rPr>
        <w:t>من</w:t>
      </w:r>
      <w:proofErr w:type="gramEnd"/>
      <w:r>
        <w:rPr>
          <w:rFonts w:hint="cs"/>
          <w:rtl/>
        </w:rPr>
        <w:t xml:space="preserve"> المسلم به</w:t>
      </w:r>
      <w:r w:rsidR="007E42AF">
        <w:rPr>
          <w:rFonts w:hint="cs"/>
          <w:rtl/>
        </w:rPr>
        <w:t xml:space="preserve"> أن المنظمات الدولية </w:t>
      </w:r>
      <w:r w:rsidR="00BD13BD">
        <w:rPr>
          <w:rFonts w:hint="cs"/>
          <w:rtl/>
        </w:rPr>
        <w:t xml:space="preserve">مخولة </w:t>
      </w:r>
      <w:r w:rsidR="00AF6CBF">
        <w:rPr>
          <w:rFonts w:hint="cs"/>
          <w:rtl/>
        </w:rPr>
        <w:t>بصلاحية</w:t>
      </w:r>
      <w:r w:rsidR="00BD13BD">
        <w:rPr>
          <w:rFonts w:hint="cs"/>
          <w:rtl/>
        </w:rPr>
        <w:t xml:space="preserve"> تنظيمية </w:t>
      </w:r>
      <w:r w:rsidR="00273641">
        <w:rPr>
          <w:rFonts w:hint="cs"/>
          <w:u w:val="single"/>
          <w:rtl/>
        </w:rPr>
        <w:t>أساسية</w:t>
      </w:r>
      <w:r w:rsidR="00BD13BD">
        <w:rPr>
          <w:rFonts w:hint="cs"/>
          <w:rtl/>
        </w:rPr>
        <w:t xml:space="preserve"> تسمح بتعديل</w:t>
      </w:r>
      <w:r w:rsidR="00E437F6">
        <w:rPr>
          <w:rFonts w:hint="cs"/>
          <w:rtl/>
        </w:rPr>
        <w:t xml:space="preserve"> أحكام التوظيف وشروطه المقدمة إلى الموظفين</w:t>
      </w:r>
      <w:r>
        <w:rPr>
          <w:rFonts w:hint="cs"/>
          <w:rtl/>
        </w:rPr>
        <w:t>،</w:t>
      </w:r>
      <w:r w:rsidR="00BD13BD">
        <w:rPr>
          <w:rFonts w:hint="cs"/>
          <w:rtl/>
        </w:rPr>
        <w:t xml:space="preserve"> غير أن هذه </w:t>
      </w:r>
      <w:r w:rsidR="00AF6CBF">
        <w:rPr>
          <w:rFonts w:hint="cs"/>
          <w:rtl/>
        </w:rPr>
        <w:t>الصلاحية</w:t>
      </w:r>
      <w:r w:rsidR="00BD13BD">
        <w:rPr>
          <w:rFonts w:hint="cs"/>
          <w:rtl/>
        </w:rPr>
        <w:t xml:space="preserve"> محدودة. فبشكل عام، يجوز تعديل </w:t>
      </w:r>
      <w:proofErr w:type="gramStart"/>
      <w:r w:rsidR="00BD13BD">
        <w:rPr>
          <w:rFonts w:hint="cs"/>
          <w:rtl/>
        </w:rPr>
        <w:t>شروط</w:t>
      </w:r>
      <w:proofErr w:type="gramEnd"/>
      <w:r w:rsidR="00BD13BD">
        <w:rPr>
          <w:rFonts w:hint="cs"/>
          <w:rtl/>
        </w:rPr>
        <w:t xml:space="preserve"> العمل ولكن بأثر </w:t>
      </w:r>
      <w:r w:rsidR="00C32E9D" w:rsidRPr="0079361E">
        <w:rPr>
          <w:rFonts w:hint="cs"/>
          <w:rtl/>
        </w:rPr>
        <w:t>مستقبلي</w:t>
      </w:r>
      <w:r w:rsidR="00C32E9D">
        <w:rPr>
          <w:rFonts w:hint="cs"/>
          <w:rtl/>
        </w:rPr>
        <w:t xml:space="preserve"> </w:t>
      </w:r>
      <w:r w:rsidR="0079361E">
        <w:rPr>
          <w:rFonts w:hint="cs"/>
          <w:rtl/>
        </w:rPr>
        <w:t>فقط وليس</w:t>
      </w:r>
      <w:r w:rsidR="00BD13BD">
        <w:rPr>
          <w:rFonts w:hint="cs"/>
          <w:rtl/>
        </w:rPr>
        <w:t xml:space="preserve"> بأثر رجعي</w:t>
      </w:r>
      <w:r w:rsidR="00C32E9D">
        <w:rPr>
          <w:rFonts w:hint="cs"/>
          <w:rtl/>
        </w:rPr>
        <w:t xml:space="preserve">. </w:t>
      </w:r>
      <w:proofErr w:type="gramStart"/>
      <w:r w:rsidR="000E5A3D">
        <w:rPr>
          <w:rFonts w:hint="cs"/>
          <w:rtl/>
        </w:rPr>
        <w:t>كما</w:t>
      </w:r>
      <w:proofErr w:type="gramEnd"/>
      <w:r w:rsidR="000E5A3D">
        <w:rPr>
          <w:rFonts w:hint="cs"/>
          <w:rtl/>
        </w:rPr>
        <w:t xml:space="preserve"> أن </w:t>
      </w:r>
      <w:r w:rsidR="009A195F">
        <w:rPr>
          <w:rFonts w:hint="cs"/>
          <w:rtl/>
        </w:rPr>
        <w:t>المستحقات</w:t>
      </w:r>
      <w:r w:rsidR="00E8118B">
        <w:rPr>
          <w:rFonts w:hint="cs"/>
          <w:rtl/>
        </w:rPr>
        <w:t xml:space="preserve"> </w:t>
      </w:r>
      <w:r w:rsidR="0079361E">
        <w:rPr>
          <w:rFonts w:hint="cs"/>
          <w:rtl/>
        </w:rPr>
        <w:t>المعني</w:t>
      </w:r>
      <w:r w:rsidR="00AF6CBF">
        <w:rPr>
          <w:rFonts w:hint="cs"/>
          <w:rtl/>
        </w:rPr>
        <w:t>ة</w:t>
      </w:r>
      <w:r w:rsidR="005239B2">
        <w:rPr>
          <w:rFonts w:hint="cs"/>
          <w:rtl/>
        </w:rPr>
        <w:t xml:space="preserve"> لا ينبغي أن </w:t>
      </w:r>
      <w:r w:rsidR="009A195F">
        <w:rPr>
          <w:rFonts w:hint="cs"/>
          <w:rtl/>
        </w:rPr>
        <w:t>ت</w:t>
      </w:r>
      <w:r w:rsidR="003A5417">
        <w:rPr>
          <w:rFonts w:hint="cs"/>
          <w:rtl/>
        </w:rPr>
        <w:t xml:space="preserve">كون </w:t>
      </w:r>
      <w:r w:rsidR="005239B2">
        <w:rPr>
          <w:rFonts w:hint="cs"/>
          <w:rtl/>
        </w:rPr>
        <w:t xml:space="preserve">جزءا من </w:t>
      </w:r>
      <w:r w:rsidR="00025CA8">
        <w:rPr>
          <w:rFonts w:hint="cs"/>
          <w:rtl/>
        </w:rPr>
        <w:t>مجموعة "الحقوق المكتسبة" الخاصة بالموظف، التي</w:t>
      </w:r>
      <w:r w:rsidR="00AA769A">
        <w:rPr>
          <w:rFonts w:hint="cs"/>
          <w:rtl/>
        </w:rPr>
        <w:t xml:space="preserve"> تعتبر مصونة </w:t>
      </w:r>
      <w:r w:rsidR="00025CA8">
        <w:rPr>
          <w:rFonts w:hint="cs"/>
          <w:rtl/>
        </w:rPr>
        <w:t xml:space="preserve">ومن ثم لا يمكن سحبها دون موافقته. </w:t>
      </w:r>
      <w:r w:rsidR="0029795C">
        <w:rPr>
          <w:rFonts w:hint="cs"/>
          <w:rtl/>
        </w:rPr>
        <w:t xml:space="preserve">وحكمت </w:t>
      </w:r>
      <w:r w:rsidR="0029795C" w:rsidRPr="00E27BC7">
        <w:rPr>
          <w:rtl/>
        </w:rPr>
        <w:t>المحكمة الإدارية التابعة لمنظمة العمل الدولية</w:t>
      </w:r>
      <w:r w:rsidR="0029795C" w:rsidRPr="00E27BC7">
        <w:rPr>
          <w:rFonts w:hint="cs"/>
          <w:rtl/>
        </w:rPr>
        <w:t xml:space="preserve"> (المحكمة) صراحة </w:t>
      </w:r>
      <w:r w:rsidR="00025CA8">
        <w:rPr>
          <w:rFonts w:hint="cs"/>
          <w:rtl/>
        </w:rPr>
        <w:t xml:space="preserve">في قضية </w:t>
      </w:r>
      <w:r w:rsidR="009A195F">
        <w:rPr>
          <w:rFonts w:hint="cs"/>
          <w:rtl/>
        </w:rPr>
        <w:t>كانت</w:t>
      </w:r>
      <w:r w:rsidR="0029795C">
        <w:rPr>
          <w:rFonts w:hint="cs"/>
          <w:rtl/>
        </w:rPr>
        <w:t xml:space="preserve"> </w:t>
      </w:r>
      <w:r w:rsidR="00025CA8">
        <w:rPr>
          <w:rFonts w:hint="cs"/>
          <w:rtl/>
        </w:rPr>
        <w:t xml:space="preserve">الويبو </w:t>
      </w:r>
      <w:r w:rsidR="009A195F">
        <w:rPr>
          <w:rFonts w:hint="cs"/>
          <w:rtl/>
        </w:rPr>
        <w:t>فيها</w:t>
      </w:r>
      <w:r w:rsidR="00025CA8">
        <w:rPr>
          <w:rFonts w:hint="cs"/>
          <w:rtl/>
        </w:rPr>
        <w:t xml:space="preserve"> </w:t>
      </w:r>
      <w:r w:rsidR="009A195F">
        <w:rPr>
          <w:rFonts w:hint="cs"/>
          <w:rtl/>
        </w:rPr>
        <w:t xml:space="preserve">الطرفَ </w:t>
      </w:r>
      <w:r w:rsidR="00D82966">
        <w:rPr>
          <w:rFonts w:hint="cs"/>
          <w:rtl/>
        </w:rPr>
        <w:t xml:space="preserve">المدعى </w:t>
      </w:r>
      <w:r w:rsidR="009A195F">
        <w:rPr>
          <w:rFonts w:hint="cs"/>
          <w:rtl/>
        </w:rPr>
        <w:t>عليه</w:t>
      </w:r>
      <w:r w:rsidR="00025CA8">
        <w:rPr>
          <w:rFonts w:hint="cs"/>
          <w:rtl/>
        </w:rPr>
        <w:t xml:space="preserve"> </w:t>
      </w:r>
      <w:r w:rsidR="00312865" w:rsidRPr="00E27BC7">
        <w:rPr>
          <w:rFonts w:hint="cs"/>
          <w:rtl/>
        </w:rPr>
        <w:t xml:space="preserve">"أن المنظمة عليها أن </w:t>
      </w:r>
      <w:r w:rsidR="008F3622" w:rsidRPr="00E27BC7">
        <w:rPr>
          <w:rFonts w:hint="cs"/>
          <w:rtl/>
        </w:rPr>
        <w:t>تنفذ</w:t>
      </w:r>
      <w:r w:rsidR="00312865" w:rsidRPr="00E27BC7">
        <w:rPr>
          <w:rFonts w:hint="cs"/>
          <w:rtl/>
        </w:rPr>
        <w:t xml:space="preserve"> الحقوق المكتسبة وتفي بالوعود الملزمة</w:t>
      </w:r>
      <w:r w:rsidR="00312865">
        <w:rPr>
          <w:rFonts w:hint="cs"/>
          <w:rtl/>
        </w:rPr>
        <w:t>، ولكن في</w:t>
      </w:r>
      <w:r w:rsidR="00E84D14">
        <w:rPr>
          <w:rFonts w:hint="cs"/>
          <w:rtl/>
        </w:rPr>
        <w:t xml:space="preserve"> </w:t>
      </w:r>
      <w:r w:rsidR="00312865">
        <w:rPr>
          <w:rFonts w:hint="cs"/>
          <w:rtl/>
        </w:rPr>
        <w:t>وسعها أن ت</w:t>
      </w:r>
      <w:r w:rsidR="001D3885">
        <w:rPr>
          <w:rFonts w:hint="cs"/>
          <w:rtl/>
        </w:rPr>
        <w:t>ُ</w:t>
      </w:r>
      <w:r w:rsidR="00312865">
        <w:rPr>
          <w:rFonts w:hint="cs"/>
          <w:rtl/>
        </w:rPr>
        <w:t xml:space="preserve">عدل </w:t>
      </w:r>
      <w:r w:rsidR="001404C1" w:rsidRPr="000A1B6C">
        <w:rPr>
          <w:rFonts w:hint="cs"/>
          <w:rtl/>
        </w:rPr>
        <w:t>نظام</w:t>
      </w:r>
      <w:r w:rsidR="00312865">
        <w:rPr>
          <w:rFonts w:hint="cs"/>
          <w:rtl/>
        </w:rPr>
        <w:t xml:space="preserve"> الموظفين</w:t>
      </w:r>
      <w:r w:rsidR="0010333D">
        <w:rPr>
          <w:rFonts w:hint="cs"/>
          <w:rtl/>
        </w:rPr>
        <w:t xml:space="preserve"> </w:t>
      </w:r>
      <w:r w:rsidR="00312865">
        <w:rPr>
          <w:rtl/>
        </w:rPr>
        <w:t>[</w:t>
      </w:r>
      <w:r w:rsidR="00312865">
        <w:rPr>
          <w:rFonts w:hint="cs"/>
          <w:rtl/>
        </w:rPr>
        <w:t>...</w:t>
      </w:r>
      <w:r w:rsidR="00312865" w:rsidRPr="00A34822">
        <w:rPr>
          <w:rtl/>
        </w:rPr>
        <w:t>]</w:t>
      </w:r>
      <w:r w:rsidR="0029795C">
        <w:rPr>
          <w:rFonts w:hint="cs"/>
          <w:rtl/>
        </w:rPr>
        <w:t>"</w:t>
      </w:r>
      <w:r w:rsidR="00E84D14">
        <w:rPr>
          <w:rFonts w:hint="cs"/>
          <w:rtl/>
        </w:rPr>
        <w:t>.</w:t>
      </w:r>
      <w:r w:rsidR="00312865">
        <w:rPr>
          <w:rStyle w:val="FootnoteReference"/>
          <w:rtl/>
        </w:rPr>
        <w:footnoteReference w:id="3"/>
      </w:r>
    </w:p>
    <w:p w:rsidR="00E84D14" w:rsidRDefault="000A1B6C" w:rsidP="009A195F">
      <w:pPr>
        <w:pStyle w:val="NumberedParaAR"/>
        <w:keepNext/>
      </w:pPr>
      <w:r>
        <w:rPr>
          <w:rFonts w:hint="cs"/>
          <w:rtl/>
        </w:rPr>
        <w:lastRenderedPageBreak/>
        <w:t>و</w:t>
      </w:r>
      <w:r w:rsidR="001404C1">
        <w:rPr>
          <w:rFonts w:hint="cs"/>
          <w:rtl/>
        </w:rPr>
        <w:t xml:space="preserve">تنص المادة 1.12(أ) </w:t>
      </w:r>
      <w:r>
        <w:rPr>
          <w:rFonts w:hint="cs"/>
          <w:rtl/>
        </w:rPr>
        <w:t>(</w:t>
      </w:r>
      <w:r w:rsidR="00776503">
        <w:rPr>
          <w:rFonts w:hint="cs"/>
          <w:rtl/>
        </w:rPr>
        <w:t>بشأن</w:t>
      </w:r>
      <w:r>
        <w:rPr>
          <w:rFonts w:hint="cs"/>
          <w:rtl/>
        </w:rPr>
        <w:t xml:space="preserve"> </w:t>
      </w:r>
      <w:r w:rsidR="00CA7E1D">
        <w:rPr>
          <w:rFonts w:hint="cs"/>
          <w:rtl/>
        </w:rPr>
        <w:t xml:space="preserve">تعديل </w:t>
      </w:r>
      <w:r w:rsidR="00FA494D">
        <w:rPr>
          <w:rFonts w:hint="cs"/>
          <w:rtl/>
        </w:rPr>
        <w:t>المواد</w:t>
      </w:r>
      <w:r w:rsidR="00CA7E1D">
        <w:rPr>
          <w:rFonts w:hint="cs"/>
          <w:rtl/>
        </w:rPr>
        <w:t xml:space="preserve">) </w:t>
      </w:r>
      <w:proofErr w:type="gramStart"/>
      <w:r w:rsidR="000A1373">
        <w:rPr>
          <w:rFonts w:hint="cs"/>
          <w:rtl/>
        </w:rPr>
        <w:t>والمادة</w:t>
      </w:r>
      <w:proofErr w:type="gramEnd"/>
      <w:r w:rsidR="000A1373">
        <w:rPr>
          <w:rFonts w:hint="cs"/>
          <w:rtl/>
        </w:rPr>
        <w:t> 2.12(أ) (</w:t>
      </w:r>
      <w:r w:rsidR="00776503">
        <w:rPr>
          <w:rFonts w:hint="cs"/>
          <w:rtl/>
        </w:rPr>
        <w:t>بشأن</w:t>
      </w:r>
      <w:r w:rsidR="00845FCA">
        <w:rPr>
          <w:rFonts w:hint="cs"/>
          <w:rtl/>
        </w:rPr>
        <w:t xml:space="preserve"> تعديل </w:t>
      </w:r>
      <w:r w:rsidR="00FA494D">
        <w:rPr>
          <w:rFonts w:hint="cs"/>
          <w:rtl/>
        </w:rPr>
        <w:t>القواعد</w:t>
      </w:r>
      <w:r w:rsidR="00845FCA">
        <w:rPr>
          <w:rFonts w:hint="cs"/>
          <w:rtl/>
        </w:rPr>
        <w:t xml:space="preserve">) </w:t>
      </w:r>
      <w:r w:rsidR="00691DB9" w:rsidRPr="00691DB9">
        <w:rPr>
          <w:rFonts w:hint="cs"/>
          <w:u w:val="single"/>
          <w:rtl/>
        </w:rPr>
        <w:t>صراحة</w:t>
      </w:r>
      <w:r w:rsidR="00845FCA">
        <w:rPr>
          <w:rFonts w:hint="cs"/>
          <w:rtl/>
        </w:rPr>
        <w:t xml:space="preserve"> على </w:t>
      </w:r>
      <w:r w:rsidR="009A195F">
        <w:rPr>
          <w:rFonts w:hint="cs"/>
          <w:rtl/>
        </w:rPr>
        <w:t>صلاحية</w:t>
      </w:r>
      <w:r w:rsidR="00845FCA">
        <w:rPr>
          <w:rFonts w:hint="cs"/>
          <w:rtl/>
        </w:rPr>
        <w:t xml:space="preserve"> </w:t>
      </w:r>
      <w:r w:rsidR="008B53EE">
        <w:rPr>
          <w:rFonts w:hint="cs"/>
          <w:rtl/>
        </w:rPr>
        <w:t>الويبو لتعديل نظام الموظفين ولائحته</w:t>
      </w:r>
      <w:r w:rsidR="004A6BA5">
        <w:rPr>
          <w:rFonts w:hint="cs"/>
          <w:rtl/>
        </w:rPr>
        <w:t xml:space="preserve">. </w:t>
      </w:r>
      <w:proofErr w:type="gramStart"/>
      <w:r w:rsidR="004A6BA5">
        <w:rPr>
          <w:rFonts w:hint="cs"/>
          <w:rtl/>
        </w:rPr>
        <w:t>وبما</w:t>
      </w:r>
      <w:proofErr w:type="gramEnd"/>
      <w:r w:rsidR="004A6BA5">
        <w:rPr>
          <w:rFonts w:hint="cs"/>
          <w:rtl/>
        </w:rPr>
        <w:t xml:space="preserve"> أن حق تلقي منحة التعليم </w:t>
      </w:r>
      <w:r w:rsidR="00FE0B83">
        <w:rPr>
          <w:rFonts w:hint="cs"/>
          <w:rtl/>
        </w:rPr>
        <w:t>يرد</w:t>
      </w:r>
      <w:r w:rsidR="004A6BA5">
        <w:rPr>
          <w:rFonts w:hint="cs"/>
          <w:rtl/>
        </w:rPr>
        <w:t xml:space="preserve"> في </w:t>
      </w:r>
      <w:r w:rsidR="006178D9">
        <w:rPr>
          <w:rFonts w:hint="cs"/>
          <w:rtl/>
        </w:rPr>
        <w:t>مادة</w:t>
      </w:r>
      <w:r w:rsidR="004A6BA5">
        <w:rPr>
          <w:rFonts w:hint="cs"/>
          <w:rtl/>
        </w:rPr>
        <w:t xml:space="preserve"> وليس في </w:t>
      </w:r>
      <w:r w:rsidR="006178D9">
        <w:rPr>
          <w:rFonts w:hint="cs"/>
          <w:rtl/>
        </w:rPr>
        <w:t>قاعدة</w:t>
      </w:r>
      <w:r w:rsidR="001E0465">
        <w:rPr>
          <w:rFonts w:hint="cs"/>
          <w:rtl/>
        </w:rPr>
        <w:t xml:space="preserve">، تنطبق </w:t>
      </w:r>
      <w:r w:rsidR="00231E34">
        <w:rPr>
          <w:rFonts w:hint="cs"/>
          <w:rtl/>
        </w:rPr>
        <w:t xml:space="preserve">الفقرة (ب) من المادة 1.12 التي </w:t>
      </w:r>
      <w:r w:rsidR="001E0465">
        <w:rPr>
          <w:rFonts w:hint="cs"/>
          <w:rtl/>
        </w:rPr>
        <w:t xml:space="preserve">تنص </w:t>
      </w:r>
      <w:proofErr w:type="gramStart"/>
      <w:r w:rsidR="001E0465">
        <w:rPr>
          <w:rFonts w:hint="cs"/>
          <w:rtl/>
        </w:rPr>
        <w:t>على</w:t>
      </w:r>
      <w:proofErr w:type="gramEnd"/>
      <w:r w:rsidR="001E0465">
        <w:rPr>
          <w:rFonts w:hint="cs"/>
          <w:rtl/>
        </w:rPr>
        <w:t xml:space="preserve"> ما يلي:</w:t>
      </w:r>
    </w:p>
    <w:p w:rsidR="001E0465" w:rsidRDefault="00534C71" w:rsidP="00505C6E">
      <w:pPr>
        <w:pStyle w:val="NumberedParaAR"/>
        <w:numPr>
          <w:ilvl w:val="0"/>
          <w:numId w:val="0"/>
        </w:numPr>
        <w:ind w:left="566"/>
        <w:rPr>
          <w:rtl/>
        </w:rPr>
      </w:pPr>
      <w:r>
        <w:rPr>
          <w:rFonts w:hint="cs"/>
          <w:rtl/>
        </w:rPr>
        <w:t>"</w:t>
      </w:r>
      <w:proofErr w:type="gramStart"/>
      <w:r w:rsidRPr="00534C71">
        <w:rPr>
          <w:rtl/>
        </w:rPr>
        <w:t>لا</w:t>
      </w:r>
      <w:proofErr w:type="gramEnd"/>
      <w:r w:rsidRPr="00534C71">
        <w:rPr>
          <w:rtl/>
        </w:rPr>
        <w:t xml:space="preserve"> تُخل التعديلات بحقوق الموظفين المكتسبة وبأي شرط من شروط الخدمة المُحدَّدة في كتاب التعيين أو عقد الموظف. ولا يؤثر أي تعديل في أن تُطبَّق على الموظف أحكام نظام الموظفين السارية حتى تاريخ نفاذ التعديل؛ ولا يكون للتعديلات أثر رجعي إلا إذا كان ذلك من شأنه تحسين شروط تعيين الموظفين</w:t>
      </w:r>
      <w:r>
        <w:rPr>
          <w:rFonts w:hint="cs"/>
          <w:rtl/>
        </w:rPr>
        <w:t>"</w:t>
      </w:r>
      <w:r w:rsidRPr="00534C71">
        <w:rPr>
          <w:rtl/>
        </w:rPr>
        <w:t>.</w:t>
      </w:r>
    </w:p>
    <w:p w:rsidR="00534C71" w:rsidRDefault="00534C71" w:rsidP="00B5666D">
      <w:pPr>
        <w:pStyle w:val="NumberedParaAR"/>
      </w:pPr>
      <w:proofErr w:type="gramStart"/>
      <w:r>
        <w:rPr>
          <w:rFonts w:hint="cs"/>
          <w:rtl/>
        </w:rPr>
        <w:t>ويوضح</w:t>
      </w:r>
      <w:proofErr w:type="gramEnd"/>
      <w:r>
        <w:rPr>
          <w:rFonts w:hint="cs"/>
          <w:rtl/>
        </w:rPr>
        <w:t xml:space="preserve"> النص السابق </w:t>
      </w:r>
      <w:r w:rsidR="00B5666D">
        <w:rPr>
          <w:rFonts w:hint="cs"/>
          <w:rtl/>
        </w:rPr>
        <w:t xml:space="preserve">جواز تعديل </w:t>
      </w:r>
      <w:r>
        <w:rPr>
          <w:rFonts w:hint="cs"/>
          <w:rtl/>
        </w:rPr>
        <w:t xml:space="preserve">أحكام </w:t>
      </w:r>
      <w:r w:rsidR="00840C3B">
        <w:rPr>
          <w:rFonts w:hint="cs"/>
          <w:rtl/>
        </w:rPr>
        <w:t xml:space="preserve">نظام الموظفين ولكن بأثر مستقبلي فقط ما لم يستفد الموظفون من التعديل (وفي هذه الحالة يجوز تعديله </w:t>
      </w:r>
      <w:r w:rsidR="00505C6E">
        <w:rPr>
          <w:rFonts w:hint="cs"/>
          <w:rtl/>
        </w:rPr>
        <w:t>أيضا</w:t>
      </w:r>
      <w:r w:rsidR="00840C3B">
        <w:rPr>
          <w:rFonts w:hint="cs"/>
          <w:rtl/>
        </w:rPr>
        <w:t xml:space="preserve"> بأثر رجعي). </w:t>
      </w:r>
      <w:proofErr w:type="gramStart"/>
      <w:r w:rsidR="00840C3B">
        <w:rPr>
          <w:rFonts w:hint="cs"/>
          <w:rtl/>
        </w:rPr>
        <w:t>كما</w:t>
      </w:r>
      <w:proofErr w:type="gramEnd"/>
      <w:r w:rsidR="00840C3B">
        <w:rPr>
          <w:rFonts w:hint="cs"/>
          <w:rtl/>
        </w:rPr>
        <w:t xml:space="preserve"> أن التعديلات لا يمكن أن </w:t>
      </w:r>
      <w:r w:rsidR="00505C6E">
        <w:rPr>
          <w:rFonts w:hint="cs"/>
          <w:rtl/>
        </w:rPr>
        <w:t>تتعدى على</w:t>
      </w:r>
      <w:r w:rsidR="00920EBA">
        <w:rPr>
          <w:rFonts w:hint="cs"/>
          <w:rtl/>
        </w:rPr>
        <w:t xml:space="preserve"> "الحقوق المكتسبة" للموظفين أو أن تغير </w:t>
      </w:r>
      <w:r w:rsidR="00505C6E">
        <w:rPr>
          <w:rFonts w:hint="cs"/>
          <w:rtl/>
        </w:rPr>
        <w:t xml:space="preserve">في </w:t>
      </w:r>
      <w:r w:rsidR="00920EBA">
        <w:rPr>
          <w:rFonts w:hint="cs"/>
          <w:rtl/>
        </w:rPr>
        <w:t xml:space="preserve">ظروف </w:t>
      </w:r>
      <w:r w:rsidR="00987C93">
        <w:rPr>
          <w:rFonts w:hint="cs"/>
          <w:rtl/>
        </w:rPr>
        <w:t>العمل</w:t>
      </w:r>
      <w:r w:rsidR="000D2FC8">
        <w:rPr>
          <w:rFonts w:hint="cs"/>
          <w:rtl/>
        </w:rPr>
        <w:t xml:space="preserve"> كما ينص على ذلك </w:t>
      </w:r>
      <w:r w:rsidR="00987C93">
        <w:rPr>
          <w:rFonts w:hint="cs"/>
          <w:rtl/>
        </w:rPr>
        <w:t>عقد</w:t>
      </w:r>
      <w:r w:rsidR="000D2FC8">
        <w:rPr>
          <w:rFonts w:hint="cs"/>
          <w:rtl/>
        </w:rPr>
        <w:t xml:space="preserve"> التوظيف.</w:t>
      </w:r>
      <w:r w:rsidR="00AD5495">
        <w:rPr>
          <w:rStyle w:val="FootnoteReference"/>
          <w:rtl/>
        </w:rPr>
        <w:footnoteReference w:id="4"/>
      </w:r>
    </w:p>
    <w:p w:rsidR="001F391B" w:rsidRDefault="007D2363" w:rsidP="009A195F">
      <w:pPr>
        <w:pStyle w:val="NumberedParaAR"/>
      </w:pPr>
      <w:r>
        <w:rPr>
          <w:rFonts w:hint="cs"/>
          <w:rtl/>
        </w:rPr>
        <w:t>و</w:t>
      </w:r>
      <w:r w:rsidR="005E2510">
        <w:rPr>
          <w:rFonts w:hint="cs"/>
          <w:rtl/>
        </w:rPr>
        <w:t xml:space="preserve">بما أن </w:t>
      </w:r>
      <w:r w:rsidR="001F391B">
        <w:rPr>
          <w:rFonts w:hint="cs"/>
          <w:rtl/>
        </w:rPr>
        <w:t xml:space="preserve">الويبو </w:t>
      </w:r>
      <w:r w:rsidR="005E2510">
        <w:rPr>
          <w:rFonts w:hint="cs"/>
          <w:rtl/>
        </w:rPr>
        <w:t>تخضع</w:t>
      </w:r>
      <w:r w:rsidR="005F2E16" w:rsidRPr="00E9222D">
        <w:rPr>
          <w:rFonts w:hint="cs"/>
          <w:rtl/>
        </w:rPr>
        <w:t xml:space="preserve"> </w:t>
      </w:r>
      <w:r w:rsidR="008562B8" w:rsidRPr="00E9222D">
        <w:rPr>
          <w:rFonts w:hint="cs"/>
          <w:rtl/>
        </w:rPr>
        <w:t>ل</w:t>
      </w:r>
      <w:r w:rsidR="005F2E16" w:rsidRPr="00E9222D">
        <w:rPr>
          <w:rFonts w:hint="cs"/>
          <w:rtl/>
        </w:rPr>
        <w:t>اختصاص المحكمة</w:t>
      </w:r>
      <w:r w:rsidR="00992511">
        <w:rPr>
          <w:rFonts w:hint="cs"/>
          <w:rtl/>
        </w:rPr>
        <w:t xml:space="preserve">، جرى تحليل </w:t>
      </w:r>
      <w:r w:rsidR="009A195F">
        <w:rPr>
          <w:rFonts w:hint="cs"/>
          <w:rtl/>
        </w:rPr>
        <w:t>السوابق القضائية</w:t>
      </w:r>
      <w:r w:rsidR="00992511">
        <w:rPr>
          <w:rFonts w:hint="cs"/>
          <w:rtl/>
        </w:rPr>
        <w:t xml:space="preserve"> للتأكد </w:t>
      </w:r>
      <w:r w:rsidR="009A195F">
        <w:rPr>
          <w:rFonts w:hint="cs"/>
          <w:rtl/>
        </w:rPr>
        <w:t>من أن</w:t>
      </w:r>
      <w:r w:rsidR="00DD7CC4">
        <w:rPr>
          <w:rFonts w:hint="cs"/>
          <w:rtl/>
        </w:rPr>
        <w:t xml:space="preserve"> إلغاء </w:t>
      </w:r>
      <w:r w:rsidR="00D04C96">
        <w:rPr>
          <w:rFonts w:hint="cs"/>
          <w:rtl/>
        </w:rPr>
        <w:t xml:space="preserve">منحة التعليم </w:t>
      </w:r>
      <w:r w:rsidR="009A195F">
        <w:rPr>
          <w:rFonts w:hint="cs"/>
          <w:rtl/>
        </w:rPr>
        <w:t xml:space="preserve">يعد </w:t>
      </w:r>
      <w:r w:rsidR="00992511">
        <w:rPr>
          <w:rFonts w:hint="cs"/>
          <w:rtl/>
        </w:rPr>
        <w:t>إخلالا بمبدأ الحقوق المكتسبة.</w:t>
      </w:r>
    </w:p>
    <w:p w:rsidR="00992511" w:rsidRPr="009E5DE6" w:rsidRDefault="00992511" w:rsidP="009E5DE6">
      <w:pPr>
        <w:pStyle w:val="Heading2AR"/>
        <w:spacing w:after="240" w:line="360" w:lineRule="exact"/>
        <w:ind w:left="1134" w:hanging="567"/>
        <w:rPr>
          <w:rtl/>
        </w:rPr>
      </w:pPr>
      <w:proofErr w:type="gramStart"/>
      <w:r w:rsidRPr="009E5DE6">
        <w:rPr>
          <w:rFonts w:hint="eastAsia"/>
          <w:u w:val="single"/>
          <w:rtl/>
        </w:rPr>
        <w:t>معنى</w:t>
      </w:r>
      <w:proofErr w:type="gramEnd"/>
      <w:r w:rsidRPr="009E5DE6">
        <w:rPr>
          <w:u w:val="single"/>
          <w:rtl/>
        </w:rPr>
        <w:t xml:space="preserve"> </w:t>
      </w:r>
      <w:r w:rsidR="003C7EE1" w:rsidRPr="009E5DE6">
        <w:rPr>
          <w:rFonts w:hint="eastAsia"/>
          <w:u w:val="single"/>
          <w:rtl/>
        </w:rPr>
        <w:t>المحقوق</w:t>
      </w:r>
      <w:r w:rsidR="003C7EE1" w:rsidRPr="009E5DE6">
        <w:rPr>
          <w:u w:val="single"/>
          <w:rtl/>
        </w:rPr>
        <w:t xml:space="preserve"> </w:t>
      </w:r>
      <w:r w:rsidR="003C7EE1" w:rsidRPr="009E5DE6">
        <w:rPr>
          <w:rFonts w:hint="eastAsia"/>
          <w:u w:val="single"/>
          <w:rtl/>
        </w:rPr>
        <w:t>المكتسبة</w:t>
      </w:r>
    </w:p>
    <w:p w:rsidR="002975FD" w:rsidRDefault="00686057" w:rsidP="00967231">
      <w:pPr>
        <w:pStyle w:val="NumberedParaAR"/>
      </w:pPr>
      <w:r w:rsidRPr="00DA0B38">
        <w:rPr>
          <w:rFonts w:hint="cs"/>
          <w:rtl/>
        </w:rPr>
        <w:t>وفقا</w:t>
      </w:r>
      <w:r w:rsidR="00E2510B" w:rsidRPr="00DA0B38">
        <w:rPr>
          <w:rFonts w:hint="cs"/>
          <w:rtl/>
        </w:rPr>
        <w:t xml:space="preserve"> </w:t>
      </w:r>
      <w:r w:rsidR="00E9222D" w:rsidRPr="00DA0B38">
        <w:rPr>
          <w:rFonts w:hint="cs"/>
          <w:rtl/>
        </w:rPr>
        <w:t>لما صدر عن المحكمة من أحكام</w:t>
      </w:r>
      <w:r w:rsidRPr="00DA0B38">
        <w:rPr>
          <w:rFonts w:hint="cs"/>
          <w:rtl/>
        </w:rPr>
        <w:t xml:space="preserve"> </w:t>
      </w:r>
      <w:r w:rsidR="00E9222D" w:rsidRPr="00DA0B38">
        <w:rPr>
          <w:rFonts w:hint="cs"/>
          <w:rtl/>
        </w:rPr>
        <w:t>متسقة تتعلق بالحق المكتسب فإن</w:t>
      </w:r>
      <w:r w:rsidR="00E9222D">
        <w:rPr>
          <w:rFonts w:hint="cs"/>
          <w:rtl/>
        </w:rPr>
        <w:t xml:space="preserve"> الحق </w:t>
      </w:r>
      <w:r w:rsidR="001D47EF">
        <w:rPr>
          <w:rFonts w:hint="cs"/>
          <w:rtl/>
        </w:rPr>
        <w:t>"</w:t>
      </w:r>
      <w:r w:rsidR="0014137A">
        <w:rPr>
          <w:rFonts w:hint="cs"/>
          <w:rtl/>
        </w:rPr>
        <w:t>ي</w:t>
      </w:r>
      <w:r w:rsidR="00E945B5">
        <w:rPr>
          <w:rFonts w:hint="cs"/>
          <w:rtl/>
        </w:rPr>
        <w:t>ُ</w:t>
      </w:r>
      <w:r w:rsidR="0014137A">
        <w:rPr>
          <w:rFonts w:hint="cs"/>
          <w:rtl/>
        </w:rPr>
        <w:t xml:space="preserve">كتسب </w:t>
      </w:r>
      <w:r w:rsidR="00FB27B8">
        <w:rPr>
          <w:rFonts w:hint="cs"/>
          <w:rtl/>
        </w:rPr>
        <w:t xml:space="preserve">عندما يجوز لشخص يتمتع بهذا الحق أن يطلب </w:t>
      </w:r>
      <w:r w:rsidR="00E945B5">
        <w:rPr>
          <w:rFonts w:hint="cs"/>
          <w:rtl/>
        </w:rPr>
        <w:t>احترام</w:t>
      </w:r>
      <w:r w:rsidR="0014137A">
        <w:rPr>
          <w:rFonts w:hint="cs"/>
          <w:rtl/>
        </w:rPr>
        <w:t xml:space="preserve"> </w:t>
      </w:r>
      <w:r w:rsidR="00FB27B8">
        <w:rPr>
          <w:rFonts w:hint="cs"/>
          <w:rtl/>
        </w:rPr>
        <w:t xml:space="preserve">هذا الحق </w:t>
      </w:r>
      <w:r w:rsidR="0014137A">
        <w:rPr>
          <w:rFonts w:hint="cs"/>
          <w:rtl/>
        </w:rPr>
        <w:t>بصرف النظر عن أي تعديل</w:t>
      </w:r>
      <w:r w:rsidR="00FB27B8">
        <w:rPr>
          <w:rFonts w:hint="cs"/>
          <w:rtl/>
        </w:rPr>
        <w:t xml:space="preserve"> على </w:t>
      </w:r>
      <w:r w:rsidR="00553CD5">
        <w:rPr>
          <w:rFonts w:hint="cs"/>
          <w:rtl/>
        </w:rPr>
        <w:t>القواعد</w:t>
      </w:r>
      <w:r w:rsidR="005A1959">
        <w:rPr>
          <w:rFonts w:hint="cs"/>
          <w:rtl/>
        </w:rPr>
        <w:t xml:space="preserve"> </w:t>
      </w:r>
      <w:r w:rsidR="0014137A">
        <w:rPr>
          <w:rFonts w:hint="cs"/>
          <w:rtl/>
        </w:rPr>
        <w:t>نظرا</w:t>
      </w:r>
      <w:r w:rsidR="005A1959">
        <w:rPr>
          <w:rFonts w:hint="cs"/>
          <w:rtl/>
        </w:rPr>
        <w:t xml:space="preserve"> </w:t>
      </w:r>
      <w:r w:rsidR="0014137A">
        <w:rPr>
          <w:rFonts w:hint="cs"/>
          <w:rtl/>
        </w:rPr>
        <w:t>ل</w:t>
      </w:r>
      <w:r w:rsidR="005A1959">
        <w:rPr>
          <w:rFonts w:hint="cs"/>
          <w:rtl/>
        </w:rPr>
        <w:t>أهمي</w:t>
      </w:r>
      <w:r w:rsidR="0095257A">
        <w:rPr>
          <w:rFonts w:hint="cs"/>
          <w:rtl/>
        </w:rPr>
        <w:t xml:space="preserve">ته </w:t>
      </w:r>
      <w:r w:rsidR="005A1959">
        <w:rPr>
          <w:rFonts w:hint="cs"/>
          <w:rtl/>
        </w:rPr>
        <w:t xml:space="preserve">القصوى </w:t>
      </w:r>
      <w:r w:rsidR="0014137A">
        <w:rPr>
          <w:rFonts w:hint="cs"/>
          <w:rtl/>
        </w:rPr>
        <w:t>في</w:t>
      </w:r>
      <w:r w:rsidR="005A1959">
        <w:rPr>
          <w:rFonts w:hint="cs"/>
          <w:rtl/>
        </w:rPr>
        <w:t xml:space="preserve"> ميزان الحقوق والواجبات الذي يحدد علاقة </w:t>
      </w:r>
      <w:r w:rsidR="0014137A">
        <w:rPr>
          <w:rFonts w:hint="cs"/>
          <w:rtl/>
        </w:rPr>
        <w:t>التوظيف</w:t>
      </w:r>
      <w:r w:rsidR="00097FE4">
        <w:rPr>
          <w:rFonts w:hint="cs"/>
          <w:rtl/>
        </w:rPr>
        <w:t>"</w:t>
      </w:r>
      <w:r w:rsidR="005A1959">
        <w:rPr>
          <w:rFonts w:hint="cs"/>
          <w:rtl/>
        </w:rPr>
        <w:t>.</w:t>
      </w:r>
      <w:r w:rsidR="00097FE4">
        <w:rPr>
          <w:rStyle w:val="FootnoteReference"/>
          <w:rtl/>
        </w:rPr>
        <w:footnoteReference w:id="5"/>
      </w:r>
      <w:r w:rsidR="00031166">
        <w:rPr>
          <w:rFonts w:hint="cs"/>
          <w:rtl/>
        </w:rPr>
        <w:t xml:space="preserve"> </w:t>
      </w:r>
      <w:proofErr w:type="gramStart"/>
      <w:r w:rsidR="00031166">
        <w:rPr>
          <w:rFonts w:hint="cs"/>
          <w:rtl/>
        </w:rPr>
        <w:t>ويجوز</w:t>
      </w:r>
      <w:proofErr w:type="gramEnd"/>
      <w:r w:rsidR="00031166">
        <w:rPr>
          <w:rFonts w:hint="cs"/>
          <w:rtl/>
        </w:rPr>
        <w:t xml:space="preserve"> أن يكون الحق المكتسب هو الحق المحدد في عقد تعيين الموظف والذي </w:t>
      </w:r>
      <w:r w:rsidR="00967231">
        <w:rPr>
          <w:rFonts w:hint="cs"/>
          <w:rtl/>
        </w:rPr>
        <w:t>يعتبره</w:t>
      </w:r>
      <w:r w:rsidR="00031166">
        <w:rPr>
          <w:rFonts w:hint="cs"/>
          <w:rtl/>
        </w:rPr>
        <w:t xml:space="preserve"> الطرفان </w:t>
      </w:r>
      <w:r w:rsidR="00967231">
        <w:rPr>
          <w:rFonts w:hint="cs"/>
          <w:rtl/>
        </w:rPr>
        <w:t>غير قابل للانتهاك</w:t>
      </w:r>
      <w:r w:rsidR="00031166">
        <w:rPr>
          <w:rFonts w:hint="cs"/>
          <w:rtl/>
        </w:rPr>
        <w:t xml:space="preserve">. </w:t>
      </w:r>
      <w:r w:rsidR="00423846">
        <w:rPr>
          <w:rFonts w:hint="cs"/>
          <w:rtl/>
        </w:rPr>
        <w:t>والأوج</w:t>
      </w:r>
      <w:r w:rsidR="00DD7CC4">
        <w:rPr>
          <w:rFonts w:hint="cs"/>
          <w:rtl/>
        </w:rPr>
        <w:t>َ</w:t>
      </w:r>
      <w:r w:rsidR="00423846">
        <w:rPr>
          <w:rFonts w:hint="cs"/>
          <w:rtl/>
        </w:rPr>
        <w:t>ه في هذه القضية أن الحق المكتسب قد يكون حقا منصوص</w:t>
      </w:r>
      <w:r w:rsidR="000D081D">
        <w:rPr>
          <w:rFonts w:hint="cs"/>
          <w:rtl/>
        </w:rPr>
        <w:t>ا</w:t>
      </w:r>
      <w:r w:rsidR="00423846">
        <w:rPr>
          <w:rFonts w:hint="cs"/>
          <w:rtl/>
        </w:rPr>
        <w:t xml:space="preserve"> عليه في </w:t>
      </w:r>
      <w:r w:rsidR="00E945B5">
        <w:rPr>
          <w:rFonts w:hint="cs"/>
          <w:rtl/>
        </w:rPr>
        <w:t>أحد الأحكام</w:t>
      </w:r>
      <w:r w:rsidR="00423846">
        <w:rPr>
          <w:rFonts w:hint="cs"/>
          <w:rtl/>
        </w:rPr>
        <w:t xml:space="preserve"> </w:t>
      </w:r>
      <w:r w:rsidR="00D74C66">
        <w:rPr>
          <w:rFonts w:hint="cs"/>
          <w:rtl/>
        </w:rPr>
        <w:t>الواردة في</w:t>
      </w:r>
      <w:r w:rsidR="00E945B5">
        <w:rPr>
          <w:rFonts w:hint="cs"/>
          <w:rtl/>
        </w:rPr>
        <w:t xml:space="preserve"> </w:t>
      </w:r>
      <w:r w:rsidR="00423846">
        <w:rPr>
          <w:rFonts w:hint="cs"/>
          <w:rtl/>
        </w:rPr>
        <w:t>نظام الموظف</w:t>
      </w:r>
      <w:r w:rsidR="00E945B5">
        <w:rPr>
          <w:rFonts w:hint="cs"/>
          <w:rtl/>
        </w:rPr>
        <w:t>ين أو لائحة الموظفين</w:t>
      </w:r>
      <w:r w:rsidR="00423846">
        <w:rPr>
          <w:rFonts w:hint="cs"/>
          <w:rtl/>
        </w:rPr>
        <w:t xml:space="preserve">، وله أهمية قصوى </w:t>
      </w:r>
      <w:r w:rsidR="00E945B5">
        <w:rPr>
          <w:rFonts w:hint="cs"/>
          <w:rtl/>
        </w:rPr>
        <w:t xml:space="preserve">في </w:t>
      </w:r>
      <w:r w:rsidR="00423846">
        <w:rPr>
          <w:rFonts w:hint="cs"/>
          <w:rtl/>
        </w:rPr>
        <w:t xml:space="preserve">قبول التعيين أو </w:t>
      </w:r>
      <w:r w:rsidR="0095257A">
        <w:rPr>
          <w:rFonts w:hint="cs"/>
          <w:rtl/>
        </w:rPr>
        <w:t>ا</w:t>
      </w:r>
      <w:r w:rsidR="00423846">
        <w:rPr>
          <w:rFonts w:hint="cs"/>
          <w:rtl/>
        </w:rPr>
        <w:t xml:space="preserve">لاستمرار في </w:t>
      </w:r>
      <w:r w:rsidR="00E945B5">
        <w:rPr>
          <w:rFonts w:hint="cs"/>
          <w:rtl/>
        </w:rPr>
        <w:t>العمل</w:t>
      </w:r>
      <w:r w:rsidR="00423846">
        <w:rPr>
          <w:rFonts w:hint="cs"/>
          <w:rtl/>
        </w:rPr>
        <w:t xml:space="preserve">. </w:t>
      </w:r>
      <w:r w:rsidR="000D081D">
        <w:rPr>
          <w:rFonts w:hint="cs"/>
          <w:rtl/>
        </w:rPr>
        <w:t>وب</w:t>
      </w:r>
      <w:r w:rsidR="00B54F36">
        <w:rPr>
          <w:rFonts w:hint="cs"/>
          <w:rtl/>
        </w:rPr>
        <w:t xml:space="preserve">كلمة </w:t>
      </w:r>
      <w:r w:rsidR="001D2780">
        <w:rPr>
          <w:rFonts w:hint="cs"/>
          <w:rtl/>
        </w:rPr>
        <w:t>أخرى،</w:t>
      </w:r>
      <w:r w:rsidR="00B21930">
        <w:rPr>
          <w:rFonts w:hint="cs"/>
          <w:rtl/>
        </w:rPr>
        <w:t xml:space="preserve"> لا بد أن </w:t>
      </w:r>
      <w:r w:rsidR="00D04C96">
        <w:rPr>
          <w:rFonts w:hint="cs"/>
          <w:rtl/>
        </w:rPr>
        <w:t>يؤثر</w:t>
      </w:r>
      <w:r w:rsidR="0065723C">
        <w:rPr>
          <w:rFonts w:hint="cs"/>
          <w:rtl/>
        </w:rPr>
        <w:t xml:space="preserve"> تعديل</w:t>
      </w:r>
      <w:r w:rsidR="00D04C96">
        <w:rPr>
          <w:rFonts w:hint="cs"/>
          <w:rtl/>
        </w:rPr>
        <w:t>ُ</w:t>
      </w:r>
      <w:r w:rsidR="0065723C">
        <w:rPr>
          <w:rFonts w:hint="cs"/>
          <w:rtl/>
        </w:rPr>
        <w:t xml:space="preserve"> </w:t>
      </w:r>
      <w:r w:rsidR="0095257A">
        <w:rPr>
          <w:rFonts w:hint="cs"/>
          <w:rtl/>
        </w:rPr>
        <w:t>شروط</w:t>
      </w:r>
      <w:r w:rsidR="0065723C">
        <w:rPr>
          <w:rFonts w:hint="cs"/>
          <w:rtl/>
        </w:rPr>
        <w:t xml:space="preserve"> العمل </w:t>
      </w:r>
      <w:r w:rsidR="00D04C96">
        <w:rPr>
          <w:rFonts w:hint="cs"/>
          <w:rtl/>
        </w:rPr>
        <w:t xml:space="preserve">في </w:t>
      </w:r>
      <w:r w:rsidR="0065723C">
        <w:rPr>
          <w:rFonts w:hint="cs"/>
          <w:rtl/>
        </w:rPr>
        <w:t xml:space="preserve">شرط أساسي أو </w:t>
      </w:r>
      <w:r w:rsidR="00D04C96">
        <w:rPr>
          <w:rFonts w:hint="cs"/>
          <w:rtl/>
        </w:rPr>
        <w:t>ضروري</w:t>
      </w:r>
      <w:r w:rsidR="0065723C">
        <w:rPr>
          <w:rFonts w:hint="cs"/>
          <w:rtl/>
        </w:rPr>
        <w:t xml:space="preserve"> من شروط </w:t>
      </w:r>
      <w:r w:rsidR="00D74C66">
        <w:rPr>
          <w:rFonts w:hint="cs"/>
          <w:rtl/>
        </w:rPr>
        <w:t>التوظيف</w:t>
      </w:r>
      <w:r w:rsidR="00967231" w:rsidRPr="00967231">
        <w:rPr>
          <w:rFonts w:hint="cs"/>
          <w:rtl/>
        </w:rPr>
        <w:t xml:space="preserve"> </w:t>
      </w:r>
      <w:r w:rsidR="00967231">
        <w:rPr>
          <w:rFonts w:hint="cs"/>
          <w:rtl/>
        </w:rPr>
        <w:t>كي يقع إخلال بالحق المكتسب</w:t>
      </w:r>
      <w:r w:rsidR="0065723C">
        <w:rPr>
          <w:rFonts w:hint="cs"/>
          <w:rtl/>
        </w:rPr>
        <w:t>.</w:t>
      </w:r>
      <w:r w:rsidR="0093557F">
        <w:rPr>
          <w:rStyle w:val="FootnoteReference"/>
          <w:rtl/>
        </w:rPr>
        <w:footnoteReference w:id="6"/>
      </w:r>
    </w:p>
    <w:p w:rsidR="00CF1436" w:rsidRPr="009E5DE6" w:rsidRDefault="000A226F" w:rsidP="009E5DE6">
      <w:pPr>
        <w:pStyle w:val="Heading3AR"/>
        <w:spacing w:after="240"/>
        <w:ind w:left="1134" w:hanging="567"/>
        <w:rPr>
          <w:i/>
        </w:rPr>
      </w:pPr>
      <w:r w:rsidRPr="009E5DE6">
        <w:rPr>
          <w:rFonts w:hint="eastAsia"/>
          <w:i/>
          <w:iCs/>
          <w:u w:val="none"/>
          <w:rtl/>
        </w:rPr>
        <w:t>تخفيض</w:t>
      </w:r>
      <w:r w:rsidR="00312688" w:rsidRPr="009E5DE6">
        <w:rPr>
          <w:i/>
          <w:iCs/>
          <w:u w:val="none"/>
          <w:rtl/>
        </w:rPr>
        <w:t xml:space="preserve"> </w:t>
      </w:r>
      <w:r w:rsidRPr="009E5DE6">
        <w:rPr>
          <w:rFonts w:hint="eastAsia"/>
          <w:i/>
          <w:iCs/>
          <w:u w:val="none"/>
          <w:rtl/>
        </w:rPr>
        <w:t>البدل</w:t>
      </w:r>
      <w:r w:rsidR="00312688" w:rsidRPr="009E5DE6">
        <w:rPr>
          <w:i/>
          <w:iCs/>
          <w:u w:val="none"/>
          <w:rtl/>
        </w:rPr>
        <w:t xml:space="preserve"> </w:t>
      </w:r>
      <w:proofErr w:type="gramStart"/>
      <w:r w:rsidRPr="009E5DE6">
        <w:rPr>
          <w:rFonts w:hint="eastAsia"/>
          <w:i/>
          <w:iCs/>
          <w:u w:val="none"/>
          <w:rtl/>
        </w:rPr>
        <w:t>مقارنة</w:t>
      </w:r>
      <w:proofErr w:type="gramEnd"/>
      <w:r w:rsidRPr="009E5DE6">
        <w:rPr>
          <w:i/>
          <w:iCs/>
          <w:u w:val="none"/>
          <w:rtl/>
        </w:rPr>
        <w:t xml:space="preserve"> </w:t>
      </w:r>
      <w:r w:rsidRPr="009E5DE6">
        <w:rPr>
          <w:rFonts w:hint="eastAsia"/>
          <w:i/>
          <w:iCs/>
          <w:u w:val="none"/>
          <w:rtl/>
        </w:rPr>
        <w:t>بإلغا</w:t>
      </w:r>
      <w:r w:rsidR="0002405A" w:rsidRPr="009E5DE6">
        <w:rPr>
          <w:rFonts w:hint="eastAsia"/>
          <w:i/>
          <w:iCs/>
          <w:u w:val="none"/>
          <w:rtl/>
        </w:rPr>
        <w:t>ء</w:t>
      </w:r>
      <w:r w:rsidR="0002405A" w:rsidRPr="009E5DE6">
        <w:rPr>
          <w:i/>
          <w:iCs/>
          <w:u w:val="none"/>
          <w:rtl/>
        </w:rPr>
        <w:t xml:space="preserve"> </w:t>
      </w:r>
      <w:r w:rsidR="0002405A" w:rsidRPr="009E5DE6">
        <w:rPr>
          <w:rFonts w:hint="eastAsia"/>
          <w:i/>
          <w:iCs/>
          <w:u w:val="none"/>
          <w:rtl/>
        </w:rPr>
        <w:t>البدل</w:t>
      </w:r>
    </w:p>
    <w:p w:rsidR="00312688" w:rsidRDefault="004B1645" w:rsidP="00967231">
      <w:pPr>
        <w:pStyle w:val="NumberedParaAR"/>
      </w:pPr>
      <w:proofErr w:type="gramStart"/>
      <w:r>
        <w:rPr>
          <w:rFonts w:hint="cs"/>
          <w:rtl/>
        </w:rPr>
        <w:t>تميز</w:t>
      </w:r>
      <w:proofErr w:type="gramEnd"/>
      <w:r>
        <w:rPr>
          <w:rFonts w:hint="cs"/>
          <w:rtl/>
        </w:rPr>
        <w:t xml:space="preserve"> المحكمة في </w:t>
      </w:r>
      <w:r w:rsidR="00967231">
        <w:rPr>
          <w:rFonts w:hint="cs"/>
          <w:rtl/>
        </w:rPr>
        <w:t>سوابقها</w:t>
      </w:r>
      <w:r>
        <w:rPr>
          <w:rFonts w:hint="cs"/>
          <w:rtl/>
        </w:rPr>
        <w:t xml:space="preserve"> بين </w:t>
      </w:r>
      <w:r w:rsidR="00264801">
        <w:rPr>
          <w:rFonts w:hint="cs"/>
          <w:rtl/>
        </w:rPr>
        <w:t>ت</w:t>
      </w:r>
      <w:r>
        <w:rPr>
          <w:rFonts w:hint="cs"/>
          <w:rtl/>
        </w:rPr>
        <w:t>خف</w:t>
      </w:r>
      <w:r w:rsidR="00264801">
        <w:rPr>
          <w:rFonts w:hint="cs"/>
          <w:rtl/>
        </w:rPr>
        <w:t>ي</w:t>
      </w:r>
      <w:r>
        <w:rPr>
          <w:rFonts w:hint="cs"/>
          <w:rtl/>
        </w:rPr>
        <w:t xml:space="preserve">ض </w:t>
      </w:r>
      <w:r w:rsidR="00967231">
        <w:rPr>
          <w:rFonts w:hint="cs"/>
          <w:rtl/>
        </w:rPr>
        <w:t>العلاوات</w:t>
      </w:r>
      <w:r w:rsidR="00050A58">
        <w:rPr>
          <w:rFonts w:hint="cs"/>
          <w:rtl/>
        </w:rPr>
        <w:t xml:space="preserve"> </w:t>
      </w:r>
      <w:r>
        <w:rPr>
          <w:rFonts w:hint="cs"/>
          <w:rtl/>
        </w:rPr>
        <w:t xml:space="preserve">أو </w:t>
      </w:r>
      <w:r w:rsidR="00967231">
        <w:rPr>
          <w:rFonts w:hint="cs"/>
          <w:rtl/>
        </w:rPr>
        <w:t>المستحقات القانونية</w:t>
      </w:r>
      <w:r>
        <w:rPr>
          <w:rFonts w:hint="cs"/>
          <w:rtl/>
        </w:rPr>
        <w:t xml:space="preserve"> من جهة، و</w:t>
      </w:r>
      <w:r w:rsidR="00050A58">
        <w:rPr>
          <w:rFonts w:hint="cs"/>
          <w:rtl/>
        </w:rPr>
        <w:t>إ</w:t>
      </w:r>
      <w:r>
        <w:rPr>
          <w:rFonts w:hint="cs"/>
          <w:rtl/>
        </w:rPr>
        <w:t>لغائه</w:t>
      </w:r>
      <w:r w:rsidR="00967231">
        <w:rPr>
          <w:rFonts w:hint="cs"/>
          <w:rtl/>
        </w:rPr>
        <w:t>ا</w:t>
      </w:r>
      <w:r>
        <w:rPr>
          <w:rFonts w:hint="cs"/>
          <w:rtl/>
        </w:rPr>
        <w:t xml:space="preserve"> </w:t>
      </w:r>
      <w:r w:rsidR="00586AC3" w:rsidRPr="00586AC3">
        <w:rPr>
          <w:rtl/>
        </w:rPr>
        <w:t xml:space="preserve">دفعة واحدة </w:t>
      </w:r>
      <w:r>
        <w:rPr>
          <w:rFonts w:hint="cs"/>
          <w:rtl/>
        </w:rPr>
        <w:t>م</w:t>
      </w:r>
      <w:r w:rsidR="00050A58">
        <w:rPr>
          <w:rFonts w:hint="cs"/>
          <w:rtl/>
        </w:rPr>
        <w:t>ن</w:t>
      </w:r>
      <w:r>
        <w:rPr>
          <w:rFonts w:hint="cs"/>
          <w:rtl/>
        </w:rPr>
        <w:t xml:space="preserve"> جهة أخرى. </w:t>
      </w:r>
      <w:r w:rsidR="00D04C96">
        <w:rPr>
          <w:rFonts w:hint="cs"/>
          <w:rtl/>
        </w:rPr>
        <w:t>و</w:t>
      </w:r>
      <w:r>
        <w:rPr>
          <w:rFonts w:hint="cs"/>
          <w:rtl/>
        </w:rPr>
        <w:t>ي</w:t>
      </w:r>
      <w:r w:rsidR="004C5270">
        <w:rPr>
          <w:rFonts w:hint="cs"/>
          <w:rtl/>
        </w:rPr>
        <w:t>ُ</w:t>
      </w:r>
      <w:r>
        <w:rPr>
          <w:rFonts w:hint="cs"/>
          <w:rtl/>
        </w:rPr>
        <w:t xml:space="preserve">سمح </w:t>
      </w:r>
      <w:r w:rsidR="004C5270">
        <w:rPr>
          <w:rFonts w:hint="cs"/>
          <w:rtl/>
        </w:rPr>
        <w:t>بتخفيض</w:t>
      </w:r>
      <w:r>
        <w:rPr>
          <w:rFonts w:hint="cs"/>
          <w:rtl/>
        </w:rPr>
        <w:t xml:space="preserve"> </w:t>
      </w:r>
      <w:r w:rsidR="000C6DDB">
        <w:rPr>
          <w:rFonts w:hint="cs"/>
          <w:rtl/>
        </w:rPr>
        <w:t>المزايا</w:t>
      </w:r>
      <w:r w:rsidR="00D04C96" w:rsidRPr="00D04C96">
        <w:rPr>
          <w:rFonts w:hint="cs"/>
          <w:rtl/>
        </w:rPr>
        <w:t xml:space="preserve"> </w:t>
      </w:r>
      <w:r w:rsidR="00D04C96">
        <w:rPr>
          <w:rFonts w:hint="cs"/>
          <w:rtl/>
        </w:rPr>
        <w:t>بشكل عام</w:t>
      </w:r>
      <w:r w:rsidR="000C6DDB">
        <w:rPr>
          <w:rFonts w:hint="cs"/>
          <w:rtl/>
        </w:rPr>
        <w:t>،</w:t>
      </w:r>
      <w:r>
        <w:rPr>
          <w:rFonts w:hint="cs"/>
          <w:rtl/>
        </w:rPr>
        <w:t xml:space="preserve"> </w:t>
      </w:r>
      <w:r w:rsidR="00967231">
        <w:rPr>
          <w:rFonts w:hint="cs"/>
          <w:rtl/>
        </w:rPr>
        <w:t>و</w:t>
      </w:r>
      <w:r w:rsidR="00D90551">
        <w:rPr>
          <w:rFonts w:hint="cs"/>
          <w:rtl/>
        </w:rPr>
        <w:t>لا ي</w:t>
      </w:r>
      <w:r w:rsidR="000C6DDB">
        <w:rPr>
          <w:rFonts w:hint="cs"/>
          <w:rtl/>
        </w:rPr>
        <w:t>ُ</w:t>
      </w:r>
      <w:r w:rsidR="00D90551">
        <w:rPr>
          <w:rFonts w:hint="cs"/>
          <w:rtl/>
        </w:rPr>
        <w:t>س</w:t>
      </w:r>
      <w:r w:rsidR="00A30506">
        <w:rPr>
          <w:rFonts w:hint="cs"/>
          <w:rtl/>
        </w:rPr>
        <w:t>مح بو</w:t>
      </w:r>
      <w:r w:rsidR="00FC3810">
        <w:rPr>
          <w:rFonts w:hint="cs"/>
          <w:rtl/>
        </w:rPr>
        <w:t xml:space="preserve">قف </w:t>
      </w:r>
      <w:r w:rsidR="0086659A">
        <w:rPr>
          <w:rFonts w:hint="cs"/>
          <w:rtl/>
        </w:rPr>
        <w:t>ميزة</w:t>
      </w:r>
      <w:r w:rsidR="000C6DDB">
        <w:rPr>
          <w:rFonts w:hint="cs"/>
          <w:rtl/>
        </w:rPr>
        <w:t xml:space="preserve"> محددة</w:t>
      </w:r>
      <w:r w:rsidR="00FC3810">
        <w:rPr>
          <w:rFonts w:hint="cs"/>
          <w:rtl/>
        </w:rPr>
        <w:t xml:space="preserve"> </w:t>
      </w:r>
      <w:r w:rsidR="000C6DDB">
        <w:rPr>
          <w:rFonts w:hint="cs"/>
          <w:rtl/>
        </w:rPr>
        <w:t xml:space="preserve">بالكامل، </w:t>
      </w:r>
      <w:r w:rsidR="00D04C96">
        <w:rPr>
          <w:rFonts w:hint="cs"/>
          <w:rtl/>
        </w:rPr>
        <w:t>لأن ذلك لا</w:t>
      </w:r>
      <w:r w:rsidR="00F7354F">
        <w:rPr>
          <w:rFonts w:hint="cs"/>
          <w:rtl/>
        </w:rPr>
        <w:t xml:space="preserve"> </w:t>
      </w:r>
      <w:r w:rsidR="00D04C96">
        <w:rPr>
          <w:rFonts w:hint="cs"/>
          <w:rtl/>
        </w:rPr>
        <w:t xml:space="preserve">يحترم </w:t>
      </w:r>
      <w:r w:rsidR="00FC3810">
        <w:rPr>
          <w:rFonts w:hint="cs"/>
          <w:rtl/>
        </w:rPr>
        <w:t>مبدأ الحق</w:t>
      </w:r>
      <w:r w:rsidR="00E60C01">
        <w:rPr>
          <w:rFonts w:hint="cs"/>
          <w:rtl/>
        </w:rPr>
        <w:t>وق</w:t>
      </w:r>
      <w:r w:rsidR="00FC3810">
        <w:rPr>
          <w:rFonts w:hint="cs"/>
          <w:rtl/>
        </w:rPr>
        <w:t xml:space="preserve"> </w:t>
      </w:r>
      <w:proofErr w:type="gramStart"/>
      <w:r w:rsidR="00FC3810">
        <w:rPr>
          <w:rFonts w:hint="cs"/>
          <w:rtl/>
        </w:rPr>
        <w:t>المكتسب</w:t>
      </w:r>
      <w:r w:rsidR="00E60C01">
        <w:rPr>
          <w:rFonts w:hint="cs"/>
          <w:rtl/>
        </w:rPr>
        <w:t>ة</w:t>
      </w:r>
      <w:r w:rsidR="00E60C01">
        <w:rPr>
          <w:rStyle w:val="FootnoteReference"/>
          <w:rtl/>
        </w:rPr>
        <w:footnoteReference w:id="7"/>
      </w:r>
      <w:r w:rsidR="00FC3810">
        <w:rPr>
          <w:rFonts w:hint="cs"/>
          <w:rtl/>
        </w:rPr>
        <w:t>.</w:t>
      </w:r>
      <w:proofErr w:type="gramEnd"/>
      <w:r w:rsidR="00FC3810">
        <w:rPr>
          <w:rFonts w:hint="cs"/>
          <w:rtl/>
        </w:rPr>
        <w:t xml:space="preserve"> </w:t>
      </w:r>
      <w:r w:rsidR="00967231">
        <w:rPr>
          <w:rFonts w:hint="cs"/>
          <w:rtl/>
        </w:rPr>
        <w:t>وقد</w:t>
      </w:r>
      <w:r w:rsidR="00FC3810">
        <w:rPr>
          <w:rFonts w:hint="cs"/>
          <w:rtl/>
        </w:rPr>
        <w:t xml:space="preserve"> </w:t>
      </w:r>
      <w:r w:rsidR="00967231">
        <w:rPr>
          <w:rFonts w:hint="cs"/>
          <w:rtl/>
        </w:rPr>
        <w:t xml:space="preserve">عبرت </w:t>
      </w:r>
      <w:proofErr w:type="gramStart"/>
      <w:r w:rsidR="00FC3810">
        <w:rPr>
          <w:rFonts w:hint="cs"/>
          <w:rtl/>
        </w:rPr>
        <w:t>المح</w:t>
      </w:r>
      <w:r w:rsidR="00F7354F">
        <w:rPr>
          <w:rFonts w:hint="cs"/>
          <w:rtl/>
        </w:rPr>
        <w:t>ك</w:t>
      </w:r>
      <w:r w:rsidR="00FC3810">
        <w:rPr>
          <w:rFonts w:hint="cs"/>
          <w:rtl/>
        </w:rPr>
        <w:t>مة</w:t>
      </w:r>
      <w:proofErr w:type="gramEnd"/>
      <w:r w:rsidR="00967231">
        <w:rPr>
          <w:rFonts w:hint="cs"/>
          <w:rtl/>
        </w:rPr>
        <w:t xml:space="preserve"> عن</w:t>
      </w:r>
      <w:r w:rsidR="00FC3810">
        <w:rPr>
          <w:rFonts w:hint="cs"/>
          <w:rtl/>
        </w:rPr>
        <w:t xml:space="preserve"> </w:t>
      </w:r>
      <w:r w:rsidR="00967231">
        <w:rPr>
          <w:rFonts w:hint="cs"/>
          <w:rtl/>
        </w:rPr>
        <w:t>ذلك</w:t>
      </w:r>
      <w:r w:rsidR="00FC3810">
        <w:rPr>
          <w:rFonts w:hint="cs"/>
          <w:rtl/>
        </w:rPr>
        <w:t xml:space="preserve"> على النحو التالي:</w:t>
      </w:r>
    </w:p>
    <w:p w:rsidR="006E389A" w:rsidRDefault="006E389A" w:rsidP="00E970F6">
      <w:pPr>
        <w:pStyle w:val="NumberedParaAR"/>
        <w:numPr>
          <w:ilvl w:val="0"/>
          <w:numId w:val="0"/>
        </w:numPr>
        <w:ind w:left="566"/>
        <w:rPr>
          <w:rtl/>
        </w:rPr>
      </w:pPr>
      <w:r>
        <w:rPr>
          <w:rFonts w:hint="cs"/>
          <w:rtl/>
        </w:rPr>
        <w:lastRenderedPageBreak/>
        <w:t>"</w:t>
      </w:r>
      <w:r w:rsidR="0076246D">
        <w:rPr>
          <w:rFonts w:hint="cs"/>
          <w:rtl/>
        </w:rPr>
        <w:t xml:space="preserve">لا شك في أن </w:t>
      </w:r>
      <w:r w:rsidR="00EF49FD">
        <w:rPr>
          <w:rFonts w:hint="cs"/>
          <w:rtl/>
        </w:rPr>
        <w:t>بدل</w:t>
      </w:r>
      <w:r w:rsidR="00BA3C4E">
        <w:rPr>
          <w:rFonts w:hint="cs"/>
          <w:rtl/>
        </w:rPr>
        <w:t xml:space="preserve"> </w:t>
      </w:r>
      <w:r w:rsidR="00EF49FD">
        <w:rPr>
          <w:rFonts w:hint="cs"/>
          <w:rtl/>
        </w:rPr>
        <w:t>مصاريف</w:t>
      </w:r>
      <w:r w:rsidR="00BA3C4E">
        <w:rPr>
          <w:rFonts w:hint="cs"/>
          <w:rtl/>
        </w:rPr>
        <w:t xml:space="preserve"> الاغتراب والتعليم </w:t>
      </w:r>
      <w:r w:rsidR="00EF49FD">
        <w:rPr>
          <w:rFonts w:hint="cs"/>
          <w:rtl/>
        </w:rPr>
        <w:t>والإجازة</w:t>
      </w:r>
      <w:r w:rsidR="00BA3C4E">
        <w:rPr>
          <w:rFonts w:hint="cs"/>
          <w:rtl/>
        </w:rPr>
        <w:t xml:space="preserve"> من المسائل التي تهم من سينضم إلى موظفي</w:t>
      </w:r>
      <w:r w:rsidR="00E970F6">
        <w:rPr>
          <w:rFonts w:hint="cs"/>
          <w:rtl/>
        </w:rPr>
        <w:t xml:space="preserve"> أية</w:t>
      </w:r>
      <w:r w:rsidR="00BA3C4E">
        <w:rPr>
          <w:rFonts w:hint="cs"/>
          <w:rtl/>
        </w:rPr>
        <w:t xml:space="preserve"> منظمة. والسؤال </w:t>
      </w:r>
      <w:r w:rsidR="00586AC3">
        <w:rPr>
          <w:rFonts w:hint="cs"/>
          <w:rtl/>
        </w:rPr>
        <w:t>هو</w:t>
      </w:r>
      <w:r w:rsidR="00BA3C4E">
        <w:rPr>
          <w:rFonts w:hint="cs"/>
          <w:rtl/>
        </w:rPr>
        <w:t xml:space="preserve"> هل </w:t>
      </w:r>
      <w:r w:rsidR="00FC2D5A">
        <w:rPr>
          <w:rFonts w:hint="cs"/>
          <w:rtl/>
        </w:rPr>
        <w:t>إلغاء هذا</w:t>
      </w:r>
      <w:r w:rsidR="00F03455">
        <w:rPr>
          <w:rFonts w:hint="cs"/>
          <w:rtl/>
        </w:rPr>
        <w:t xml:space="preserve"> </w:t>
      </w:r>
      <w:r w:rsidR="00FC2D5A">
        <w:rPr>
          <w:rFonts w:hint="cs"/>
          <w:rtl/>
        </w:rPr>
        <w:t>البدل</w:t>
      </w:r>
      <w:r w:rsidR="00F03455">
        <w:rPr>
          <w:rFonts w:hint="cs"/>
          <w:rtl/>
        </w:rPr>
        <w:t xml:space="preserve"> دفعة واحدة</w:t>
      </w:r>
      <w:r w:rsidR="00063761">
        <w:rPr>
          <w:rFonts w:hint="cs"/>
          <w:rtl/>
        </w:rPr>
        <w:t xml:space="preserve"> يعد </w:t>
      </w:r>
      <w:r w:rsidR="00FC2D5A">
        <w:rPr>
          <w:rFonts w:hint="cs"/>
          <w:rtl/>
        </w:rPr>
        <w:t xml:space="preserve">تعديا </w:t>
      </w:r>
      <w:proofErr w:type="gramStart"/>
      <w:r w:rsidR="00FC2D5A">
        <w:rPr>
          <w:rFonts w:hint="cs"/>
          <w:rtl/>
        </w:rPr>
        <w:t>على</w:t>
      </w:r>
      <w:proofErr w:type="gramEnd"/>
      <w:r w:rsidR="00063761">
        <w:rPr>
          <w:rFonts w:hint="cs"/>
          <w:rtl/>
        </w:rPr>
        <w:t xml:space="preserve"> حق مكتسب</w:t>
      </w:r>
      <w:r w:rsidR="00FC2D5A">
        <w:rPr>
          <w:rFonts w:hint="cs"/>
          <w:rtl/>
        </w:rPr>
        <w:t>.</w:t>
      </w:r>
      <w:r w:rsidR="00063761">
        <w:rPr>
          <w:rFonts w:hint="cs"/>
          <w:rtl/>
        </w:rPr>
        <w:t xml:space="preserve"> </w:t>
      </w:r>
      <w:r w:rsidR="000578C6">
        <w:rPr>
          <w:rFonts w:hint="cs"/>
          <w:rtl/>
        </w:rPr>
        <w:t>ولكن</w:t>
      </w:r>
      <w:r w:rsidR="00063761">
        <w:rPr>
          <w:rFonts w:hint="cs"/>
          <w:rtl/>
        </w:rPr>
        <w:t xml:space="preserve"> </w:t>
      </w:r>
      <w:r w:rsidR="000578C6">
        <w:rPr>
          <w:rFonts w:hint="cs"/>
          <w:rtl/>
        </w:rPr>
        <w:t xml:space="preserve">ما </w:t>
      </w:r>
      <w:proofErr w:type="gramStart"/>
      <w:r w:rsidR="000578C6">
        <w:rPr>
          <w:rFonts w:hint="cs"/>
          <w:rtl/>
        </w:rPr>
        <w:t>من</w:t>
      </w:r>
      <w:proofErr w:type="gramEnd"/>
      <w:r w:rsidR="000578C6">
        <w:rPr>
          <w:rFonts w:hint="cs"/>
          <w:rtl/>
        </w:rPr>
        <w:t xml:space="preserve"> </w:t>
      </w:r>
      <w:r w:rsidR="00063761">
        <w:rPr>
          <w:rFonts w:hint="cs"/>
          <w:rtl/>
        </w:rPr>
        <w:t xml:space="preserve">حق مكتسب </w:t>
      </w:r>
      <w:r w:rsidR="00FC2D5A">
        <w:rPr>
          <w:rFonts w:hint="cs"/>
          <w:rtl/>
        </w:rPr>
        <w:t>ينطبق على</w:t>
      </w:r>
      <w:r w:rsidR="00063761">
        <w:rPr>
          <w:rFonts w:hint="cs"/>
          <w:rtl/>
        </w:rPr>
        <w:t xml:space="preserve"> قيمة </w:t>
      </w:r>
      <w:r w:rsidR="00FC2D5A">
        <w:rPr>
          <w:rFonts w:hint="cs"/>
          <w:rtl/>
        </w:rPr>
        <w:t>هذا البدل وشروط دفعه</w:t>
      </w:r>
      <w:r w:rsidR="00063761">
        <w:rPr>
          <w:rFonts w:hint="cs"/>
          <w:rtl/>
        </w:rPr>
        <w:t xml:space="preserve">. </w:t>
      </w:r>
      <w:proofErr w:type="gramStart"/>
      <w:r w:rsidR="00063761">
        <w:rPr>
          <w:rFonts w:hint="cs"/>
          <w:rtl/>
        </w:rPr>
        <w:t>فعلى</w:t>
      </w:r>
      <w:proofErr w:type="gramEnd"/>
      <w:r w:rsidR="00063761">
        <w:rPr>
          <w:rFonts w:hint="cs"/>
          <w:rtl/>
        </w:rPr>
        <w:t xml:space="preserve"> الموظف أن </w:t>
      </w:r>
      <w:r w:rsidR="005466A7">
        <w:rPr>
          <w:rFonts w:hint="cs"/>
          <w:rtl/>
        </w:rPr>
        <w:t>يتوقع</w:t>
      </w:r>
      <w:r w:rsidR="00063761">
        <w:rPr>
          <w:rFonts w:hint="cs"/>
          <w:rtl/>
        </w:rPr>
        <w:t xml:space="preserve"> </w:t>
      </w:r>
      <w:r w:rsidR="000578C6">
        <w:rPr>
          <w:rFonts w:hint="cs"/>
          <w:rtl/>
        </w:rPr>
        <w:t>إدخال</w:t>
      </w:r>
      <w:r w:rsidR="005466A7">
        <w:rPr>
          <w:rFonts w:hint="cs"/>
          <w:rtl/>
        </w:rPr>
        <w:t xml:space="preserve"> </w:t>
      </w:r>
      <w:r w:rsidR="000578C6">
        <w:rPr>
          <w:rFonts w:hint="cs"/>
          <w:rtl/>
        </w:rPr>
        <w:t>ال</w:t>
      </w:r>
      <w:r w:rsidR="00063761">
        <w:rPr>
          <w:rFonts w:hint="cs"/>
          <w:rtl/>
        </w:rPr>
        <w:t>تعديلات</w:t>
      </w:r>
      <w:r w:rsidR="000578C6">
        <w:rPr>
          <w:rFonts w:hint="cs"/>
          <w:rtl/>
        </w:rPr>
        <w:t xml:space="preserve"> بسبب تغ</w:t>
      </w:r>
      <w:r w:rsidR="0031115F">
        <w:rPr>
          <w:rFonts w:hint="cs"/>
          <w:rtl/>
        </w:rPr>
        <w:t>ير الظروف مثل ارتفاع تكلفة المعيشة أو انخ</w:t>
      </w:r>
      <w:r w:rsidR="007778B7">
        <w:rPr>
          <w:rFonts w:hint="cs"/>
          <w:rtl/>
        </w:rPr>
        <w:t>فاضها</w:t>
      </w:r>
      <w:r w:rsidR="0031115F">
        <w:rPr>
          <w:rFonts w:hint="cs"/>
          <w:rtl/>
        </w:rPr>
        <w:t xml:space="preserve"> أو إصلاح </w:t>
      </w:r>
      <w:r w:rsidR="005466A7">
        <w:rPr>
          <w:rFonts w:hint="cs"/>
          <w:rtl/>
        </w:rPr>
        <w:t xml:space="preserve">هيكل </w:t>
      </w:r>
      <w:r w:rsidR="0031115F">
        <w:rPr>
          <w:rFonts w:hint="cs"/>
          <w:rtl/>
        </w:rPr>
        <w:t xml:space="preserve">المنظمة أو </w:t>
      </w:r>
      <w:r w:rsidR="00E970F6">
        <w:rPr>
          <w:rFonts w:hint="cs"/>
          <w:rtl/>
        </w:rPr>
        <w:t>لمجرد</w:t>
      </w:r>
      <w:r w:rsidR="005466A7">
        <w:rPr>
          <w:rFonts w:hint="cs"/>
          <w:rtl/>
        </w:rPr>
        <w:t xml:space="preserve"> ضائقة مالية تواجهها المنظمة</w:t>
      </w:r>
      <w:r w:rsidR="00C629FB">
        <w:rPr>
          <w:rFonts w:hint="cs"/>
          <w:rtl/>
        </w:rPr>
        <w:t>"</w:t>
      </w:r>
      <w:r w:rsidR="0031115F">
        <w:rPr>
          <w:rFonts w:hint="cs"/>
          <w:rtl/>
        </w:rPr>
        <w:t>.</w:t>
      </w:r>
      <w:r w:rsidR="00C629FB">
        <w:rPr>
          <w:rStyle w:val="FootnoteReference"/>
          <w:rtl/>
        </w:rPr>
        <w:footnoteReference w:id="8"/>
      </w:r>
    </w:p>
    <w:p w:rsidR="008C5739" w:rsidRPr="001A7118" w:rsidRDefault="00FF4769" w:rsidP="006C5C1C">
      <w:pPr>
        <w:pStyle w:val="Heading3AR"/>
        <w:spacing w:after="240"/>
        <w:ind w:left="1134" w:hanging="567"/>
        <w:rPr>
          <w:i/>
          <w:iCs/>
          <w:rtl/>
        </w:rPr>
      </w:pPr>
      <w:r w:rsidRPr="001A7118">
        <w:rPr>
          <w:rFonts w:hint="cs"/>
          <w:i/>
          <w:iCs/>
          <w:u w:val="none"/>
          <w:rtl/>
        </w:rPr>
        <w:t xml:space="preserve">الحق </w:t>
      </w:r>
      <w:proofErr w:type="gramStart"/>
      <w:r w:rsidRPr="001A7118">
        <w:rPr>
          <w:rFonts w:hint="cs"/>
          <w:i/>
          <w:iCs/>
          <w:u w:val="none"/>
          <w:rtl/>
        </w:rPr>
        <w:t>المكتسب</w:t>
      </w:r>
      <w:proofErr w:type="gramEnd"/>
      <w:r w:rsidRPr="001A7118">
        <w:rPr>
          <w:rFonts w:hint="cs"/>
          <w:i/>
          <w:iCs/>
          <w:u w:val="none"/>
          <w:rtl/>
        </w:rPr>
        <w:t xml:space="preserve"> </w:t>
      </w:r>
      <w:r w:rsidR="009051A7" w:rsidRPr="001A7118">
        <w:rPr>
          <w:rFonts w:hint="cs"/>
          <w:i/>
          <w:iCs/>
          <w:u w:val="none"/>
          <w:rtl/>
        </w:rPr>
        <w:t>للحصول على</w:t>
      </w:r>
      <w:r w:rsidRPr="001A7118">
        <w:rPr>
          <w:rFonts w:hint="cs"/>
          <w:i/>
          <w:iCs/>
          <w:u w:val="none"/>
          <w:rtl/>
        </w:rPr>
        <w:t xml:space="preserve"> بعض </w:t>
      </w:r>
      <w:r w:rsidR="006C5C1C">
        <w:rPr>
          <w:rFonts w:hint="cs"/>
          <w:i/>
          <w:iCs/>
          <w:u w:val="none"/>
          <w:rtl/>
        </w:rPr>
        <w:t>العلاوات</w:t>
      </w:r>
      <w:r w:rsidRPr="001A7118">
        <w:rPr>
          <w:rFonts w:hint="cs"/>
          <w:i/>
          <w:iCs/>
          <w:u w:val="none"/>
          <w:rtl/>
        </w:rPr>
        <w:t xml:space="preserve"> ومنها منحة التعليم</w:t>
      </w:r>
    </w:p>
    <w:p w:rsidR="001546DE" w:rsidRDefault="006C5C1C" w:rsidP="00B4274D">
      <w:pPr>
        <w:pStyle w:val="NumberedParaAR"/>
      </w:pPr>
      <w:r>
        <w:rPr>
          <w:rFonts w:hint="cs"/>
          <w:rtl/>
        </w:rPr>
        <w:t>أقرت المحكمة</w:t>
      </w:r>
      <w:r w:rsidR="00050A58">
        <w:rPr>
          <w:rFonts w:hint="cs"/>
          <w:rtl/>
        </w:rPr>
        <w:t xml:space="preserve"> "</w:t>
      </w:r>
      <w:r>
        <w:rPr>
          <w:rFonts w:hint="cs"/>
          <w:rtl/>
        </w:rPr>
        <w:t>العلاوات المعتادة</w:t>
      </w:r>
      <w:r w:rsidR="00B012F9" w:rsidRPr="00E00CDB">
        <w:rPr>
          <w:rFonts w:hint="cs"/>
          <w:rtl/>
        </w:rPr>
        <w:t xml:space="preserve"> </w:t>
      </w:r>
      <w:r w:rsidR="000510DA" w:rsidRPr="00E00CDB">
        <w:rPr>
          <w:rFonts w:hint="cs"/>
          <w:rtl/>
        </w:rPr>
        <w:t>مثل</w:t>
      </w:r>
      <w:r w:rsidR="009051A7" w:rsidRPr="00E00CDB">
        <w:rPr>
          <w:rFonts w:hint="cs"/>
          <w:rtl/>
        </w:rPr>
        <w:t xml:space="preserve"> بدل</w:t>
      </w:r>
      <w:r w:rsidR="00E92437">
        <w:rPr>
          <w:rFonts w:hint="cs"/>
          <w:rtl/>
        </w:rPr>
        <w:t xml:space="preserve"> </w:t>
      </w:r>
      <w:r>
        <w:rPr>
          <w:rFonts w:hint="cs"/>
          <w:rtl/>
        </w:rPr>
        <w:t>الإعالة</w:t>
      </w:r>
      <w:r w:rsidR="004026F9">
        <w:rPr>
          <w:rFonts w:hint="cs"/>
          <w:rtl/>
        </w:rPr>
        <w:t>"</w:t>
      </w:r>
      <w:r w:rsidR="004026F9">
        <w:rPr>
          <w:rStyle w:val="FootnoteReference"/>
          <w:rtl/>
        </w:rPr>
        <w:footnoteReference w:id="9"/>
      </w:r>
      <w:r w:rsidR="004026F9">
        <w:rPr>
          <w:rFonts w:hint="cs"/>
          <w:rtl/>
        </w:rPr>
        <w:t xml:space="preserve"> والحق في </w:t>
      </w:r>
      <w:r w:rsidR="00050A58">
        <w:rPr>
          <w:rFonts w:hint="cs"/>
          <w:rtl/>
        </w:rPr>
        <w:t xml:space="preserve">تقاضي </w:t>
      </w:r>
      <w:r w:rsidR="004026F9">
        <w:rPr>
          <w:rFonts w:hint="cs"/>
          <w:rtl/>
        </w:rPr>
        <w:t>المعاش التقاعدي</w:t>
      </w:r>
      <w:r w:rsidR="004026F9">
        <w:rPr>
          <w:rStyle w:val="FootnoteReference"/>
          <w:rtl/>
        </w:rPr>
        <w:footnoteReference w:id="10"/>
      </w:r>
      <w:r w:rsidR="000510DA">
        <w:rPr>
          <w:rFonts w:hint="cs"/>
          <w:rtl/>
        </w:rPr>
        <w:t xml:space="preserve"> </w:t>
      </w:r>
      <w:r w:rsidR="009F28DF">
        <w:rPr>
          <w:rFonts w:hint="cs"/>
          <w:rtl/>
        </w:rPr>
        <w:t xml:space="preserve">كشرط أساسي </w:t>
      </w:r>
      <w:r w:rsidR="00E055D8">
        <w:rPr>
          <w:rFonts w:hint="cs"/>
          <w:rtl/>
        </w:rPr>
        <w:t>وضروري</w:t>
      </w:r>
      <w:r w:rsidR="009F28DF">
        <w:rPr>
          <w:rFonts w:hint="cs"/>
          <w:rtl/>
        </w:rPr>
        <w:t xml:space="preserve"> من شروط التوظيف ومن </w:t>
      </w:r>
      <w:r w:rsidR="00470BF9">
        <w:rPr>
          <w:rFonts w:hint="cs"/>
          <w:rtl/>
        </w:rPr>
        <w:t>ثم أصبح</w:t>
      </w:r>
      <w:r w:rsidR="00B4274D">
        <w:rPr>
          <w:rFonts w:hint="cs"/>
          <w:rtl/>
        </w:rPr>
        <w:t>ا</w:t>
      </w:r>
      <w:r w:rsidR="00470BF9">
        <w:rPr>
          <w:rFonts w:hint="cs"/>
          <w:rtl/>
        </w:rPr>
        <w:t xml:space="preserve"> </w:t>
      </w:r>
      <w:r w:rsidR="000510DA">
        <w:rPr>
          <w:rFonts w:hint="cs"/>
          <w:rtl/>
        </w:rPr>
        <w:t>يصنف</w:t>
      </w:r>
      <w:r w:rsidR="00B4274D">
        <w:rPr>
          <w:rFonts w:hint="cs"/>
          <w:rtl/>
        </w:rPr>
        <w:t>ان</w:t>
      </w:r>
      <w:r w:rsidR="009F28DF">
        <w:rPr>
          <w:rFonts w:hint="cs"/>
          <w:rtl/>
        </w:rPr>
        <w:t xml:space="preserve"> </w:t>
      </w:r>
      <w:r w:rsidR="000510DA">
        <w:rPr>
          <w:rFonts w:hint="cs"/>
          <w:rtl/>
        </w:rPr>
        <w:t>ك</w:t>
      </w:r>
      <w:r w:rsidR="009F28DF">
        <w:rPr>
          <w:rFonts w:hint="cs"/>
          <w:rtl/>
        </w:rPr>
        <w:t xml:space="preserve">حق مكتسب. </w:t>
      </w:r>
      <w:proofErr w:type="gramStart"/>
      <w:r w:rsidR="00470BF9">
        <w:rPr>
          <w:rFonts w:hint="cs"/>
          <w:rtl/>
        </w:rPr>
        <w:t>و</w:t>
      </w:r>
      <w:r w:rsidR="009F28DF">
        <w:rPr>
          <w:rFonts w:hint="cs"/>
          <w:rtl/>
        </w:rPr>
        <w:t>أعربت</w:t>
      </w:r>
      <w:proofErr w:type="gramEnd"/>
      <w:r w:rsidR="009F28DF">
        <w:rPr>
          <w:rFonts w:hint="cs"/>
          <w:rtl/>
        </w:rPr>
        <w:t xml:space="preserve"> المحكمة صراحة</w:t>
      </w:r>
      <w:r w:rsidR="00E22BE4">
        <w:rPr>
          <w:rFonts w:hint="cs"/>
          <w:rtl/>
        </w:rPr>
        <w:t xml:space="preserve"> ع</w:t>
      </w:r>
      <w:r w:rsidR="0010333D">
        <w:rPr>
          <w:rFonts w:hint="cs"/>
          <w:rtl/>
          <w:lang w:val="fr-FR" w:bidi="ar-EG"/>
        </w:rPr>
        <w:t>ن</w:t>
      </w:r>
      <w:r w:rsidR="009F28DF">
        <w:rPr>
          <w:rFonts w:hint="cs"/>
          <w:rtl/>
        </w:rPr>
        <w:t xml:space="preserve"> </w:t>
      </w:r>
      <w:r w:rsidR="00D0367C">
        <w:rPr>
          <w:rFonts w:hint="cs"/>
          <w:rtl/>
        </w:rPr>
        <w:t xml:space="preserve">أن وقف </w:t>
      </w:r>
      <w:r w:rsidR="000510DA">
        <w:rPr>
          <w:rFonts w:hint="cs"/>
          <w:rtl/>
        </w:rPr>
        <w:t>سداد</w:t>
      </w:r>
      <w:r w:rsidR="00B4274D">
        <w:rPr>
          <w:rFonts w:hint="cs"/>
          <w:rtl/>
        </w:rPr>
        <w:t xml:space="preserve"> مستحقات</w:t>
      </w:r>
      <w:r w:rsidR="00D0367C">
        <w:rPr>
          <w:rFonts w:hint="cs"/>
          <w:rtl/>
        </w:rPr>
        <w:t xml:space="preserve"> </w:t>
      </w:r>
      <w:r w:rsidR="000510DA">
        <w:rPr>
          <w:rFonts w:hint="cs"/>
          <w:rtl/>
        </w:rPr>
        <w:t>مصاريف</w:t>
      </w:r>
      <w:r w:rsidR="00D0367C">
        <w:rPr>
          <w:rFonts w:hint="cs"/>
          <w:rtl/>
        </w:rPr>
        <w:t xml:space="preserve"> </w:t>
      </w:r>
      <w:r w:rsidR="000510DA">
        <w:rPr>
          <w:rFonts w:hint="cs"/>
          <w:rtl/>
        </w:rPr>
        <w:t>السفر في إجازة</w:t>
      </w:r>
      <w:r w:rsidR="00E75891">
        <w:rPr>
          <w:rFonts w:hint="cs"/>
          <w:rtl/>
        </w:rPr>
        <w:t xml:space="preserve"> زيارة الوطن </w:t>
      </w:r>
      <w:r w:rsidR="002E106E">
        <w:rPr>
          <w:rFonts w:hint="cs"/>
          <w:rtl/>
        </w:rPr>
        <w:t xml:space="preserve">يشكل </w:t>
      </w:r>
      <w:r w:rsidR="000510DA">
        <w:rPr>
          <w:rFonts w:hint="cs"/>
          <w:rtl/>
        </w:rPr>
        <w:t>تعديا على</w:t>
      </w:r>
      <w:r w:rsidR="002E106E">
        <w:rPr>
          <w:rFonts w:hint="cs"/>
          <w:rtl/>
        </w:rPr>
        <w:t xml:space="preserve"> حق مكتسب.</w:t>
      </w:r>
      <w:r w:rsidR="00595730">
        <w:rPr>
          <w:rStyle w:val="FootnoteReference"/>
          <w:rtl/>
        </w:rPr>
        <w:footnoteReference w:id="11"/>
      </w:r>
      <w:r w:rsidR="00D0367C">
        <w:rPr>
          <w:rFonts w:hint="cs"/>
          <w:rtl/>
        </w:rPr>
        <w:t xml:space="preserve"> </w:t>
      </w:r>
      <w:r w:rsidR="00BF2EBB">
        <w:rPr>
          <w:rFonts w:hint="cs"/>
          <w:rtl/>
        </w:rPr>
        <w:t>وبالمثل والأهم ل</w:t>
      </w:r>
      <w:r w:rsidR="00824201">
        <w:rPr>
          <w:rFonts w:hint="cs"/>
          <w:rtl/>
        </w:rPr>
        <w:t xml:space="preserve">أغراض </w:t>
      </w:r>
      <w:r w:rsidR="002D7F93">
        <w:rPr>
          <w:rFonts w:hint="cs"/>
          <w:rtl/>
        </w:rPr>
        <w:t>هذه الوثيقة</w:t>
      </w:r>
      <w:r w:rsidR="00B4274D">
        <w:rPr>
          <w:rFonts w:hint="cs"/>
          <w:rtl/>
        </w:rPr>
        <w:t>،</w:t>
      </w:r>
      <w:r w:rsidR="00824201">
        <w:rPr>
          <w:rFonts w:hint="cs"/>
          <w:rtl/>
        </w:rPr>
        <w:t xml:space="preserve"> </w:t>
      </w:r>
      <w:r w:rsidR="00B4274D">
        <w:rPr>
          <w:rFonts w:hint="cs"/>
          <w:rtl/>
        </w:rPr>
        <w:t>أصبح</w:t>
      </w:r>
      <w:r w:rsidR="00824201">
        <w:rPr>
          <w:rFonts w:hint="cs"/>
          <w:rtl/>
        </w:rPr>
        <w:t xml:space="preserve"> </w:t>
      </w:r>
      <w:proofErr w:type="gramStart"/>
      <w:r w:rsidR="00B4274D">
        <w:rPr>
          <w:rFonts w:hint="cs"/>
          <w:rtl/>
        </w:rPr>
        <w:t>حق</w:t>
      </w:r>
      <w:proofErr w:type="gramEnd"/>
      <w:r w:rsidR="00824201">
        <w:rPr>
          <w:rFonts w:hint="cs"/>
          <w:rtl/>
        </w:rPr>
        <w:t xml:space="preserve"> الموظفين </w:t>
      </w:r>
      <w:r w:rsidR="00B4274D">
        <w:rPr>
          <w:rFonts w:hint="cs"/>
          <w:rtl/>
        </w:rPr>
        <w:t xml:space="preserve">في </w:t>
      </w:r>
      <w:r w:rsidR="00824201">
        <w:rPr>
          <w:rFonts w:hint="cs"/>
          <w:rtl/>
        </w:rPr>
        <w:t xml:space="preserve">منحة التعليم </w:t>
      </w:r>
      <w:r w:rsidR="00B4274D">
        <w:rPr>
          <w:rFonts w:hint="cs"/>
          <w:rtl/>
        </w:rPr>
        <w:t>ي</w:t>
      </w:r>
      <w:r w:rsidR="00824201">
        <w:rPr>
          <w:rFonts w:hint="cs"/>
          <w:rtl/>
        </w:rPr>
        <w:t>صنف كحق مكتسب.</w:t>
      </w:r>
      <w:r w:rsidR="00B46160">
        <w:rPr>
          <w:rStyle w:val="FootnoteReference"/>
          <w:rtl/>
        </w:rPr>
        <w:footnoteReference w:id="12"/>
      </w:r>
      <w:r w:rsidR="00472CB4">
        <w:rPr>
          <w:rFonts w:hint="cs"/>
          <w:rtl/>
        </w:rPr>
        <w:t xml:space="preserve"> </w:t>
      </w:r>
      <w:r w:rsidR="00B4274D">
        <w:rPr>
          <w:rFonts w:hint="cs"/>
          <w:rtl/>
        </w:rPr>
        <w:t xml:space="preserve">لذا </w:t>
      </w:r>
      <w:r w:rsidR="00120D89">
        <w:rPr>
          <w:rFonts w:hint="cs"/>
          <w:rtl/>
        </w:rPr>
        <w:t xml:space="preserve">تعتبر </w:t>
      </w:r>
      <w:r w:rsidR="00B4274D">
        <w:rPr>
          <w:rFonts w:hint="cs"/>
          <w:rtl/>
        </w:rPr>
        <w:t>إزالة هذه المنحة</w:t>
      </w:r>
      <w:r w:rsidR="00472CB4">
        <w:rPr>
          <w:rFonts w:hint="cs"/>
          <w:rtl/>
        </w:rPr>
        <w:t xml:space="preserve"> </w:t>
      </w:r>
      <w:proofErr w:type="gramStart"/>
      <w:r w:rsidR="00120D89">
        <w:rPr>
          <w:rFonts w:hint="cs"/>
          <w:rtl/>
        </w:rPr>
        <w:t>تعديا</w:t>
      </w:r>
      <w:proofErr w:type="gramEnd"/>
      <w:r w:rsidR="00120D89">
        <w:rPr>
          <w:rFonts w:hint="cs"/>
          <w:rtl/>
        </w:rPr>
        <w:t xml:space="preserve"> على </w:t>
      </w:r>
      <w:r w:rsidR="00472CB4">
        <w:rPr>
          <w:rFonts w:hint="cs"/>
          <w:rtl/>
        </w:rPr>
        <w:t>مبدأ الحقوق المكتسبة و</w:t>
      </w:r>
      <w:r w:rsidR="00470BF9">
        <w:rPr>
          <w:rFonts w:hint="cs"/>
          <w:rtl/>
        </w:rPr>
        <w:t xml:space="preserve">من ثم </w:t>
      </w:r>
      <w:r w:rsidR="00B012F9">
        <w:rPr>
          <w:rFonts w:hint="cs"/>
          <w:rtl/>
        </w:rPr>
        <w:t>تعتبر</w:t>
      </w:r>
      <w:r w:rsidR="00120D89">
        <w:rPr>
          <w:rFonts w:hint="cs"/>
          <w:rtl/>
        </w:rPr>
        <w:t xml:space="preserve"> </w:t>
      </w:r>
      <w:r w:rsidR="00472CB4">
        <w:rPr>
          <w:rFonts w:hint="cs"/>
          <w:rtl/>
        </w:rPr>
        <w:t>غير قانوني</w:t>
      </w:r>
      <w:r w:rsidR="00BF2EBB">
        <w:rPr>
          <w:rFonts w:hint="cs"/>
          <w:rtl/>
        </w:rPr>
        <w:t>ة</w:t>
      </w:r>
      <w:r w:rsidR="00472CB4">
        <w:rPr>
          <w:rFonts w:hint="cs"/>
          <w:rtl/>
        </w:rPr>
        <w:t>.</w:t>
      </w:r>
    </w:p>
    <w:p w:rsidR="00472CB4" w:rsidRDefault="00E434E7" w:rsidP="009E5DE6">
      <w:pPr>
        <w:pStyle w:val="Heading1AR"/>
        <w:spacing w:after="240" w:line="360" w:lineRule="exact"/>
        <w:rPr>
          <w:rtl/>
        </w:rPr>
      </w:pPr>
      <w:r w:rsidRPr="00EA2E81">
        <w:rPr>
          <w:rFonts w:hint="cs"/>
          <w:rtl/>
        </w:rPr>
        <w:t>ث</w:t>
      </w:r>
      <w:r w:rsidR="00A85DA0" w:rsidRPr="00EA2E81">
        <w:rPr>
          <w:rFonts w:hint="cs"/>
          <w:rtl/>
        </w:rPr>
        <w:t>الثا.</w:t>
      </w:r>
      <w:r w:rsidR="00EA2E81">
        <w:rPr>
          <w:rFonts w:hint="cs"/>
          <w:rtl/>
        </w:rPr>
        <w:tab/>
        <w:t>وضع الموظفين الفرنسيين المقيمين</w:t>
      </w:r>
      <w:r w:rsidR="00A85DA0" w:rsidRPr="00EA2E81">
        <w:rPr>
          <w:rFonts w:hint="cs"/>
          <w:rtl/>
        </w:rPr>
        <w:t xml:space="preserve"> في فرنسا</w:t>
      </w:r>
    </w:p>
    <w:p w:rsidR="00E434E7" w:rsidRDefault="00B4274D" w:rsidP="00B4274D">
      <w:pPr>
        <w:pStyle w:val="NumberedParaAR"/>
      </w:pPr>
      <w:proofErr w:type="gramStart"/>
      <w:r>
        <w:rPr>
          <w:rFonts w:hint="cs"/>
          <w:rtl/>
        </w:rPr>
        <w:t>طلب</w:t>
      </w:r>
      <w:proofErr w:type="gramEnd"/>
      <w:r w:rsidR="00244D53">
        <w:rPr>
          <w:rFonts w:hint="cs"/>
          <w:rtl/>
        </w:rPr>
        <w:t xml:space="preserve"> بعض الموظفين الفرنسيين المقيمين في فرنسا المعينين قبل 1 يناير 2016 </w:t>
      </w:r>
      <w:r w:rsidR="0028294A">
        <w:rPr>
          <w:rFonts w:hint="cs"/>
          <w:rtl/>
        </w:rPr>
        <w:t xml:space="preserve">منحة </w:t>
      </w:r>
      <w:r w:rsidR="00EA2E81">
        <w:rPr>
          <w:rFonts w:hint="cs"/>
          <w:rtl/>
        </w:rPr>
        <w:t>ال</w:t>
      </w:r>
      <w:r w:rsidR="0028294A">
        <w:rPr>
          <w:rFonts w:hint="cs"/>
          <w:rtl/>
        </w:rPr>
        <w:t xml:space="preserve">تعليم وتلقوها. </w:t>
      </w:r>
      <w:r w:rsidR="00EA2E81">
        <w:rPr>
          <w:rFonts w:hint="cs"/>
          <w:rtl/>
        </w:rPr>
        <w:t>ودُفعت المنحة</w:t>
      </w:r>
      <w:r w:rsidR="0028294A">
        <w:rPr>
          <w:rFonts w:hint="cs"/>
          <w:rtl/>
        </w:rPr>
        <w:t xml:space="preserve"> </w:t>
      </w:r>
      <w:r w:rsidR="00EA2E81">
        <w:rPr>
          <w:rFonts w:hint="cs"/>
          <w:rtl/>
        </w:rPr>
        <w:t xml:space="preserve">على أساس </w:t>
      </w:r>
      <w:proofErr w:type="gramStart"/>
      <w:r w:rsidR="00EA2E81">
        <w:rPr>
          <w:rFonts w:hint="cs"/>
          <w:rtl/>
        </w:rPr>
        <w:t>أن</w:t>
      </w:r>
      <w:proofErr w:type="gramEnd"/>
      <w:r w:rsidR="0028294A">
        <w:rPr>
          <w:rFonts w:hint="cs"/>
          <w:rtl/>
        </w:rPr>
        <w:t xml:space="preserve"> </w:t>
      </w:r>
      <w:r w:rsidR="00EA2E81">
        <w:rPr>
          <w:rFonts w:hint="cs"/>
          <w:rtl/>
        </w:rPr>
        <w:t>ا</w:t>
      </w:r>
      <w:r w:rsidR="0028294A">
        <w:rPr>
          <w:rFonts w:hint="cs"/>
          <w:rtl/>
        </w:rPr>
        <w:t>لمادة</w:t>
      </w:r>
      <w:r w:rsidR="00EA2E81">
        <w:rPr>
          <w:rFonts w:hint="eastAsia"/>
          <w:rtl/>
        </w:rPr>
        <w:t xml:space="preserve"> 14.3(أ) </w:t>
      </w:r>
      <w:proofErr w:type="gramStart"/>
      <w:r w:rsidR="0012697E">
        <w:rPr>
          <w:rFonts w:hint="eastAsia"/>
          <w:rtl/>
        </w:rPr>
        <w:t>لم</w:t>
      </w:r>
      <w:proofErr w:type="gramEnd"/>
      <w:r w:rsidR="0012697E">
        <w:rPr>
          <w:rFonts w:hint="eastAsia"/>
          <w:rtl/>
        </w:rPr>
        <w:t xml:space="preserve"> </w:t>
      </w:r>
      <w:r>
        <w:rPr>
          <w:rFonts w:hint="cs"/>
          <w:rtl/>
        </w:rPr>
        <w:t>تقتضي</w:t>
      </w:r>
      <w:r w:rsidR="0012697E">
        <w:rPr>
          <w:rFonts w:hint="eastAsia"/>
          <w:rtl/>
        </w:rPr>
        <w:t xml:space="preserve"> </w:t>
      </w:r>
      <w:r w:rsidR="00D04C96">
        <w:rPr>
          <w:rFonts w:hint="cs"/>
          <w:rtl/>
        </w:rPr>
        <w:t>آ</w:t>
      </w:r>
      <w:r w:rsidR="00EA2E81">
        <w:rPr>
          <w:rFonts w:hint="eastAsia"/>
          <w:rtl/>
        </w:rPr>
        <w:t>نذاك</w:t>
      </w:r>
      <w:r w:rsidR="00EA2E81">
        <w:rPr>
          <w:rFonts w:hint="cs"/>
          <w:rtl/>
        </w:rPr>
        <w:t xml:space="preserve"> </w:t>
      </w:r>
      <w:r w:rsidR="00F51991">
        <w:rPr>
          <w:rFonts w:hint="cs"/>
          <w:rtl/>
        </w:rPr>
        <w:t>من الموظف أن يقيم</w:t>
      </w:r>
      <w:r w:rsidR="00175744">
        <w:rPr>
          <w:rFonts w:hint="cs"/>
          <w:rtl/>
        </w:rPr>
        <w:t xml:space="preserve"> خارج وطنه كشرط </w:t>
      </w:r>
      <w:r w:rsidR="00EA2E81">
        <w:rPr>
          <w:rFonts w:hint="cs"/>
          <w:rtl/>
        </w:rPr>
        <w:t xml:space="preserve">مسبق </w:t>
      </w:r>
      <w:r w:rsidR="00175744">
        <w:rPr>
          <w:rFonts w:hint="cs"/>
          <w:rtl/>
        </w:rPr>
        <w:t>لتلقي منحة التعليم. وصي</w:t>
      </w:r>
      <w:r w:rsidR="00D04C96">
        <w:rPr>
          <w:rFonts w:hint="cs"/>
          <w:rtl/>
        </w:rPr>
        <w:t>غ الحكم القانوني على هذا النحو آ</w:t>
      </w:r>
      <w:r w:rsidR="00175744">
        <w:rPr>
          <w:rFonts w:hint="cs"/>
          <w:rtl/>
        </w:rPr>
        <w:t>نذاك:</w:t>
      </w:r>
    </w:p>
    <w:p w:rsidR="00175744" w:rsidRPr="00E9222D" w:rsidRDefault="00A061D0" w:rsidP="001C6815">
      <w:pPr>
        <w:pStyle w:val="NumberedParaAR"/>
        <w:numPr>
          <w:ilvl w:val="0"/>
          <w:numId w:val="0"/>
        </w:numPr>
        <w:ind w:left="566"/>
      </w:pPr>
      <w:r>
        <w:rPr>
          <w:rFonts w:hint="cs"/>
          <w:rtl/>
        </w:rPr>
        <w:t>"</w:t>
      </w:r>
      <w:r w:rsidRPr="00A061D0">
        <w:rPr>
          <w:rtl/>
        </w:rPr>
        <w:t xml:space="preserve">أي </w:t>
      </w:r>
      <w:proofErr w:type="gramStart"/>
      <w:r w:rsidRPr="00A061D0">
        <w:rPr>
          <w:rtl/>
        </w:rPr>
        <w:t>موظف</w:t>
      </w:r>
      <w:proofErr w:type="gramEnd"/>
      <w:r w:rsidRPr="00A061D0">
        <w:rPr>
          <w:rtl/>
        </w:rPr>
        <w:t xml:space="preserve"> معين تعييناً دولياً </w:t>
      </w:r>
      <w:r>
        <w:rPr>
          <w:rtl/>
        </w:rPr>
        <w:t>[</w:t>
      </w:r>
      <w:r>
        <w:rPr>
          <w:rFonts w:hint="cs"/>
          <w:rtl/>
        </w:rPr>
        <w:t>...</w:t>
      </w:r>
      <w:r>
        <w:rPr>
          <w:rtl/>
        </w:rPr>
        <w:t>]</w:t>
      </w:r>
      <w:r>
        <w:rPr>
          <w:rFonts w:hint="cs"/>
          <w:rtl/>
        </w:rPr>
        <w:t xml:space="preserve"> </w:t>
      </w:r>
      <w:r w:rsidRPr="00E9222D">
        <w:rPr>
          <w:rtl/>
        </w:rPr>
        <w:t xml:space="preserve">ولا يقيم أو يعمل </w:t>
      </w:r>
      <w:proofErr w:type="gramStart"/>
      <w:r w:rsidRPr="00E9222D">
        <w:rPr>
          <w:rtl/>
        </w:rPr>
        <w:t>في</w:t>
      </w:r>
      <w:proofErr w:type="gramEnd"/>
      <w:r w:rsidRPr="00E9222D">
        <w:rPr>
          <w:rtl/>
        </w:rPr>
        <w:t xml:space="preserve"> وطنه، يحق له[...] </w:t>
      </w:r>
      <w:proofErr w:type="gramStart"/>
      <w:r w:rsidRPr="00E9222D">
        <w:rPr>
          <w:rtl/>
        </w:rPr>
        <w:t>أن</w:t>
      </w:r>
      <w:proofErr w:type="gramEnd"/>
      <w:r w:rsidRPr="00E9222D">
        <w:rPr>
          <w:rtl/>
        </w:rPr>
        <w:t xml:space="preserve"> يحصل على منحة تعليم عن كل طفل منتظم في الدراسة في مدرسة أو جامعة أو مؤسسة مشابهة [</w:t>
      </w:r>
      <w:r w:rsidRPr="00E9222D">
        <w:rPr>
          <w:rFonts w:hint="cs"/>
          <w:rtl/>
        </w:rPr>
        <w:t>...</w:t>
      </w:r>
      <w:r w:rsidRPr="00E9222D">
        <w:rPr>
          <w:rtl/>
        </w:rPr>
        <w:t>]</w:t>
      </w:r>
      <w:r w:rsidR="00433CD3" w:rsidRPr="00E9222D">
        <w:rPr>
          <w:rFonts w:hint="cs"/>
          <w:rtl/>
        </w:rPr>
        <w:t>"</w:t>
      </w:r>
      <w:r w:rsidRPr="00E9222D">
        <w:rPr>
          <w:rtl/>
        </w:rPr>
        <w:t>.</w:t>
      </w:r>
    </w:p>
    <w:p w:rsidR="00175744" w:rsidRDefault="00A061D0" w:rsidP="00260A2A">
      <w:pPr>
        <w:pStyle w:val="NumberedParaAR"/>
      </w:pPr>
      <w:r w:rsidRPr="00E9222D">
        <w:rPr>
          <w:rFonts w:hint="cs"/>
          <w:rtl/>
        </w:rPr>
        <w:t xml:space="preserve">ومن الملاحظ </w:t>
      </w:r>
      <w:r w:rsidR="00367E26" w:rsidRPr="00E9222D">
        <w:rPr>
          <w:rFonts w:hint="cs"/>
          <w:rtl/>
        </w:rPr>
        <w:t>مع ذلك أن مصطلح "</w:t>
      </w:r>
      <w:r w:rsidR="003D21D9" w:rsidRPr="00E9222D">
        <w:rPr>
          <w:rFonts w:hint="cs"/>
          <w:rtl/>
        </w:rPr>
        <w:t>مركز</w:t>
      </w:r>
      <w:r w:rsidR="00ED5C7E" w:rsidRPr="00E9222D">
        <w:rPr>
          <w:rFonts w:hint="cs"/>
          <w:rtl/>
        </w:rPr>
        <w:t xml:space="preserve"> </w:t>
      </w:r>
      <w:r w:rsidR="003D21D9" w:rsidRPr="00E9222D">
        <w:rPr>
          <w:rFonts w:hint="cs"/>
          <w:rtl/>
        </w:rPr>
        <w:t>العمل</w:t>
      </w:r>
      <w:r w:rsidR="00367E26" w:rsidRPr="00E9222D">
        <w:rPr>
          <w:rFonts w:hint="cs"/>
          <w:rtl/>
        </w:rPr>
        <w:t xml:space="preserve">" الوارد </w:t>
      </w:r>
      <w:r w:rsidR="00E9222D" w:rsidRPr="00E9222D">
        <w:rPr>
          <w:rFonts w:hint="cs"/>
          <w:rtl/>
        </w:rPr>
        <w:t xml:space="preserve">ضمنيا </w:t>
      </w:r>
      <w:r w:rsidR="00367E26" w:rsidRPr="00E9222D">
        <w:rPr>
          <w:rFonts w:hint="cs"/>
          <w:rtl/>
        </w:rPr>
        <w:t xml:space="preserve">في الحكم المذكور أعلاه </w:t>
      </w:r>
      <w:r w:rsidR="00023D15" w:rsidRPr="00E9222D">
        <w:rPr>
          <w:rFonts w:hint="cs"/>
          <w:rtl/>
        </w:rPr>
        <w:t>عرّفه</w:t>
      </w:r>
      <w:r w:rsidR="00023D15">
        <w:rPr>
          <w:rFonts w:hint="cs"/>
          <w:rtl/>
        </w:rPr>
        <w:t xml:space="preserve"> الإطار القانوني للويبو على </w:t>
      </w:r>
      <w:r w:rsidR="00066133">
        <w:rPr>
          <w:rFonts w:hint="cs"/>
          <w:rtl/>
        </w:rPr>
        <w:t xml:space="preserve">نحو محدد. </w:t>
      </w:r>
      <w:r w:rsidR="00023D15">
        <w:rPr>
          <w:rFonts w:hint="cs"/>
          <w:rtl/>
        </w:rPr>
        <w:t xml:space="preserve">وحتى </w:t>
      </w:r>
      <w:r w:rsidR="00066133">
        <w:rPr>
          <w:rFonts w:hint="cs"/>
          <w:rtl/>
        </w:rPr>
        <w:t xml:space="preserve">نهاية </w:t>
      </w:r>
      <w:r w:rsidR="00E56DD5">
        <w:rPr>
          <w:rFonts w:hint="cs"/>
          <w:rtl/>
        </w:rPr>
        <w:t xml:space="preserve">2012 </w:t>
      </w:r>
      <w:r w:rsidR="00D82966">
        <w:rPr>
          <w:rFonts w:hint="cs"/>
          <w:rtl/>
        </w:rPr>
        <w:t xml:space="preserve">يضمن </w:t>
      </w:r>
      <w:r w:rsidR="00E56DD5">
        <w:rPr>
          <w:rFonts w:hint="cs"/>
          <w:rtl/>
        </w:rPr>
        <w:t xml:space="preserve">نظام </w:t>
      </w:r>
      <w:proofErr w:type="gramStart"/>
      <w:r w:rsidR="00E56DD5">
        <w:rPr>
          <w:rFonts w:hint="cs"/>
          <w:rtl/>
        </w:rPr>
        <w:t>الموظفين</w:t>
      </w:r>
      <w:proofErr w:type="gramEnd"/>
      <w:r w:rsidR="00E56DD5">
        <w:rPr>
          <w:rFonts w:hint="cs"/>
          <w:rtl/>
        </w:rPr>
        <w:t xml:space="preserve"> ولائحته الحكم التالي:</w:t>
      </w:r>
    </w:p>
    <w:p w:rsidR="00433CD3" w:rsidRDefault="00433CD3" w:rsidP="001C6815">
      <w:pPr>
        <w:pStyle w:val="NumberedParaAR"/>
        <w:numPr>
          <w:ilvl w:val="0"/>
          <w:numId w:val="0"/>
        </w:numPr>
        <w:ind w:left="566"/>
        <w:rPr>
          <w:rtl/>
        </w:rPr>
      </w:pPr>
      <w:r>
        <w:rPr>
          <w:rFonts w:hint="cs"/>
          <w:rtl/>
        </w:rPr>
        <w:t>"</w:t>
      </w:r>
      <w:proofErr w:type="gramStart"/>
      <w:r w:rsidRPr="00433CD3">
        <w:rPr>
          <w:rtl/>
        </w:rPr>
        <w:t>عندما</w:t>
      </w:r>
      <w:proofErr w:type="gramEnd"/>
      <w:r w:rsidRPr="00433CD3">
        <w:rPr>
          <w:rtl/>
        </w:rPr>
        <w:t xml:space="preserve"> يكون مكان الانتداب هو جنيف، يُقصد بعبارة "مركز العمل" المنطقة التي </w:t>
      </w:r>
      <w:r w:rsidR="00023D15">
        <w:rPr>
          <w:rFonts w:hint="cs"/>
          <w:rtl/>
        </w:rPr>
        <w:t xml:space="preserve">تبعد عن جنيف </w:t>
      </w:r>
      <w:r w:rsidR="00F83671">
        <w:rPr>
          <w:rFonts w:hint="cs"/>
          <w:rtl/>
        </w:rPr>
        <w:t>بمسافة</w:t>
      </w:r>
      <w:r w:rsidR="00023D15">
        <w:rPr>
          <w:rFonts w:hint="cs"/>
          <w:rtl/>
        </w:rPr>
        <w:t xml:space="preserve"> </w:t>
      </w:r>
      <w:r w:rsidR="00E57645">
        <w:rPr>
          <w:rFonts w:hint="cs"/>
          <w:rtl/>
        </w:rPr>
        <w:t xml:space="preserve">قطر </w:t>
      </w:r>
      <w:r w:rsidR="00023D15">
        <w:rPr>
          <w:rFonts w:hint="cs"/>
          <w:rtl/>
        </w:rPr>
        <w:t>طوله</w:t>
      </w:r>
      <w:r w:rsidR="00E57645">
        <w:rPr>
          <w:rFonts w:hint="cs"/>
          <w:rtl/>
        </w:rPr>
        <w:t xml:space="preserve"> 25 كيلومترا".</w:t>
      </w:r>
    </w:p>
    <w:p w:rsidR="00ED5C7E" w:rsidRDefault="00E57645" w:rsidP="00122377">
      <w:pPr>
        <w:pStyle w:val="NumberedParaAR"/>
        <w:numPr>
          <w:ilvl w:val="0"/>
          <w:numId w:val="0"/>
        </w:numPr>
        <w:rPr>
          <w:rtl/>
        </w:rPr>
      </w:pPr>
      <w:proofErr w:type="gramStart"/>
      <w:r>
        <w:rPr>
          <w:rFonts w:hint="cs"/>
          <w:rtl/>
        </w:rPr>
        <w:t>واعتبارا</w:t>
      </w:r>
      <w:proofErr w:type="gramEnd"/>
      <w:r>
        <w:rPr>
          <w:rFonts w:hint="cs"/>
          <w:rtl/>
        </w:rPr>
        <w:t xml:space="preserve"> من 1 يناير 2013، تغيرت عبارة "</w:t>
      </w:r>
      <w:r w:rsidR="00122377">
        <w:rPr>
          <w:rFonts w:hint="cs"/>
          <w:rtl/>
        </w:rPr>
        <w:t>إشعاع</w:t>
      </w:r>
      <w:r>
        <w:rPr>
          <w:rFonts w:hint="cs"/>
          <w:rtl/>
        </w:rPr>
        <w:t xml:space="preserve"> </w:t>
      </w:r>
      <w:r w:rsidR="00F83671">
        <w:rPr>
          <w:rFonts w:hint="cs"/>
          <w:rtl/>
        </w:rPr>
        <w:t>طوله</w:t>
      </w:r>
      <w:r>
        <w:rPr>
          <w:rFonts w:hint="cs"/>
          <w:rtl/>
        </w:rPr>
        <w:t xml:space="preserve"> 25 كيلومترا" </w:t>
      </w:r>
      <w:r w:rsidR="00E9222D">
        <w:rPr>
          <w:rFonts w:hint="cs"/>
          <w:rtl/>
        </w:rPr>
        <w:t>وأصبحت</w:t>
      </w:r>
      <w:r>
        <w:rPr>
          <w:rFonts w:hint="cs"/>
          <w:rtl/>
        </w:rPr>
        <w:t xml:space="preserve"> "</w:t>
      </w:r>
      <w:r w:rsidR="006E2312" w:rsidRPr="006E2312">
        <w:rPr>
          <w:rtl/>
        </w:rPr>
        <w:t xml:space="preserve">التي تبعد </w:t>
      </w:r>
      <w:r w:rsidR="006E2312" w:rsidRPr="00B97FA8">
        <w:rPr>
          <w:rtl/>
        </w:rPr>
        <w:t>مسافة معقولة عن</w:t>
      </w:r>
      <w:r w:rsidR="006E2312" w:rsidRPr="006E2312">
        <w:rPr>
          <w:rtl/>
        </w:rPr>
        <w:t xml:space="preserve"> جنيف</w:t>
      </w:r>
      <w:r w:rsidR="006E2312">
        <w:rPr>
          <w:rFonts w:hint="cs"/>
          <w:rtl/>
        </w:rPr>
        <w:t>"</w:t>
      </w:r>
      <w:r w:rsidR="007B0A3C">
        <w:rPr>
          <w:rFonts w:hint="cs"/>
          <w:rtl/>
        </w:rPr>
        <w:t>.</w:t>
      </w:r>
    </w:p>
    <w:p w:rsidR="007B0A3C" w:rsidRDefault="007B0A3C" w:rsidP="00122377">
      <w:pPr>
        <w:pStyle w:val="NumberedParaAR"/>
      </w:pPr>
      <w:r>
        <w:rPr>
          <w:rFonts w:hint="cs"/>
          <w:rtl/>
        </w:rPr>
        <w:t xml:space="preserve">ونظرا </w:t>
      </w:r>
      <w:r w:rsidR="00C863BE">
        <w:rPr>
          <w:rFonts w:hint="cs"/>
          <w:rtl/>
        </w:rPr>
        <w:t>لقرب المسافة بين فرنسا وجنيف،</w:t>
      </w:r>
      <w:r w:rsidR="00F83671">
        <w:rPr>
          <w:rFonts w:hint="cs"/>
          <w:rtl/>
        </w:rPr>
        <w:t xml:space="preserve"> </w:t>
      </w:r>
      <w:r w:rsidR="00122377">
        <w:rPr>
          <w:rFonts w:hint="cs"/>
          <w:rtl/>
        </w:rPr>
        <w:t>وتطبيقا</w:t>
      </w:r>
      <w:r w:rsidR="00EA1751">
        <w:rPr>
          <w:rFonts w:hint="cs"/>
          <w:rtl/>
        </w:rPr>
        <w:t xml:space="preserve"> ل</w:t>
      </w:r>
      <w:r w:rsidR="00C863BE">
        <w:rPr>
          <w:rFonts w:hint="cs"/>
          <w:rtl/>
        </w:rPr>
        <w:t xml:space="preserve">لتعاريف </w:t>
      </w:r>
      <w:r w:rsidR="00F83671">
        <w:rPr>
          <w:rFonts w:hint="cs"/>
          <w:rtl/>
        </w:rPr>
        <w:t xml:space="preserve">السابقة </w:t>
      </w:r>
      <w:r w:rsidR="00122377">
        <w:rPr>
          <w:rFonts w:hint="cs"/>
          <w:rtl/>
        </w:rPr>
        <w:t>يعتبر</w:t>
      </w:r>
      <w:r w:rsidR="00EA1751">
        <w:rPr>
          <w:rFonts w:hint="cs"/>
          <w:rtl/>
        </w:rPr>
        <w:t xml:space="preserve"> </w:t>
      </w:r>
      <w:r w:rsidR="00F83671">
        <w:rPr>
          <w:rFonts w:hint="cs"/>
          <w:rtl/>
        </w:rPr>
        <w:t>مركز عمل جنيف</w:t>
      </w:r>
      <w:r w:rsidR="00C863BE">
        <w:rPr>
          <w:rFonts w:hint="cs"/>
          <w:rtl/>
        </w:rPr>
        <w:t xml:space="preserve"> داخل </w:t>
      </w:r>
      <w:r w:rsidR="00F83671">
        <w:rPr>
          <w:rFonts w:hint="cs"/>
          <w:rtl/>
        </w:rPr>
        <w:t xml:space="preserve">حدود </w:t>
      </w:r>
      <w:r w:rsidR="00C863BE">
        <w:rPr>
          <w:rFonts w:hint="cs"/>
          <w:rtl/>
        </w:rPr>
        <w:t xml:space="preserve">الأراضي </w:t>
      </w:r>
      <w:r w:rsidR="00F83671">
        <w:rPr>
          <w:rFonts w:hint="cs"/>
          <w:rtl/>
        </w:rPr>
        <w:t xml:space="preserve">الفرنسية </w:t>
      </w:r>
      <w:r w:rsidR="00C863BE">
        <w:rPr>
          <w:rFonts w:hint="cs"/>
          <w:rtl/>
        </w:rPr>
        <w:t xml:space="preserve">المجاورة. </w:t>
      </w:r>
      <w:proofErr w:type="gramStart"/>
      <w:r w:rsidR="005925EE">
        <w:rPr>
          <w:rFonts w:hint="cs"/>
          <w:rtl/>
        </w:rPr>
        <w:t>وبما</w:t>
      </w:r>
      <w:proofErr w:type="gramEnd"/>
      <w:r w:rsidR="005925EE">
        <w:rPr>
          <w:rFonts w:hint="cs"/>
          <w:rtl/>
        </w:rPr>
        <w:t xml:space="preserve"> أن منطقة مركز العمل تتخطى</w:t>
      </w:r>
      <w:r w:rsidR="006D739E">
        <w:rPr>
          <w:rFonts w:hint="cs"/>
          <w:rtl/>
        </w:rPr>
        <w:t xml:space="preserve"> الحدود </w:t>
      </w:r>
      <w:r w:rsidR="005925EE">
        <w:rPr>
          <w:rFonts w:hint="cs"/>
          <w:rtl/>
        </w:rPr>
        <w:t>وتصل</w:t>
      </w:r>
      <w:r w:rsidR="00EA1751">
        <w:rPr>
          <w:rFonts w:hint="cs"/>
          <w:rtl/>
        </w:rPr>
        <w:t xml:space="preserve"> إلى</w:t>
      </w:r>
      <w:r w:rsidR="006D739E">
        <w:rPr>
          <w:rFonts w:hint="cs"/>
          <w:rtl/>
        </w:rPr>
        <w:t xml:space="preserve"> فرنسا، </w:t>
      </w:r>
      <w:r w:rsidR="005A260D">
        <w:rPr>
          <w:rFonts w:hint="cs"/>
          <w:rtl/>
        </w:rPr>
        <w:t>لا يحصل</w:t>
      </w:r>
      <w:r w:rsidR="006D739E">
        <w:rPr>
          <w:rFonts w:hint="cs"/>
          <w:rtl/>
        </w:rPr>
        <w:t xml:space="preserve"> </w:t>
      </w:r>
      <w:r w:rsidR="005A260D">
        <w:rPr>
          <w:rFonts w:hint="cs"/>
          <w:rtl/>
        </w:rPr>
        <w:t>الموظفون الفرنسيون المقيمون في وطنهم على منحة التعليم طبقا</w:t>
      </w:r>
      <w:r w:rsidR="006D739E">
        <w:rPr>
          <w:rFonts w:hint="cs"/>
          <w:rtl/>
        </w:rPr>
        <w:t xml:space="preserve"> </w:t>
      </w:r>
      <w:r w:rsidR="005A260D">
        <w:rPr>
          <w:rFonts w:hint="cs"/>
          <w:rtl/>
        </w:rPr>
        <w:t>ل</w:t>
      </w:r>
      <w:r w:rsidR="006D739E">
        <w:rPr>
          <w:rFonts w:hint="cs"/>
          <w:rtl/>
        </w:rPr>
        <w:t>نظام الموظفين ولائحته</w:t>
      </w:r>
      <w:r w:rsidR="00FF71A8">
        <w:rPr>
          <w:rFonts w:hint="cs"/>
          <w:rtl/>
        </w:rPr>
        <w:t xml:space="preserve">. </w:t>
      </w:r>
      <w:r w:rsidR="00F97E5E">
        <w:rPr>
          <w:rFonts w:hint="cs"/>
          <w:rtl/>
        </w:rPr>
        <w:t>ومع ذلك د</w:t>
      </w:r>
      <w:r w:rsidR="005A260D">
        <w:rPr>
          <w:rFonts w:hint="cs"/>
          <w:rtl/>
        </w:rPr>
        <w:t>ُ</w:t>
      </w:r>
      <w:r w:rsidR="00F97E5E">
        <w:rPr>
          <w:rFonts w:hint="cs"/>
          <w:rtl/>
        </w:rPr>
        <w:t xml:space="preserve">فعت منحة التعليم إلى هذه الفئة من الموظفين </w:t>
      </w:r>
      <w:proofErr w:type="gramStart"/>
      <w:r w:rsidR="00F97E5E">
        <w:rPr>
          <w:rFonts w:hint="cs"/>
          <w:rtl/>
        </w:rPr>
        <w:t>عملا</w:t>
      </w:r>
      <w:proofErr w:type="gramEnd"/>
      <w:r w:rsidR="00F97E5E">
        <w:rPr>
          <w:rFonts w:hint="cs"/>
          <w:rtl/>
        </w:rPr>
        <w:t xml:space="preserve"> </w:t>
      </w:r>
      <w:r w:rsidR="0089564C">
        <w:rPr>
          <w:rFonts w:hint="cs"/>
          <w:rtl/>
        </w:rPr>
        <w:t xml:space="preserve">بممارسة متسقة </w:t>
      </w:r>
      <w:r w:rsidR="00122377">
        <w:rPr>
          <w:rFonts w:hint="cs"/>
          <w:rtl/>
        </w:rPr>
        <w:t>ودارجة</w:t>
      </w:r>
      <w:r w:rsidR="0089564C">
        <w:rPr>
          <w:rFonts w:hint="cs"/>
          <w:rtl/>
        </w:rPr>
        <w:t>.</w:t>
      </w:r>
    </w:p>
    <w:p w:rsidR="004B5FFC" w:rsidRDefault="005925EE" w:rsidP="00122377">
      <w:pPr>
        <w:pStyle w:val="NumberedParaAR"/>
      </w:pPr>
      <w:r>
        <w:rPr>
          <w:rFonts w:hint="cs"/>
          <w:rtl/>
        </w:rPr>
        <w:t xml:space="preserve">والسؤال هو </w:t>
      </w:r>
      <w:r w:rsidR="004B5FFC">
        <w:rPr>
          <w:rFonts w:hint="cs"/>
          <w:rtl/>
        </w:rPr>
        <w:t xml:space="preserve">هل </w:t>
      </w:r>
      <w:r w:rsidR="00F436B8">
        <w:rPr>
          <w:rFonts w:hint="cs"/>
          <w:rtl/>
        </w:rPr>
        <w:t xml:space="preserve">أنشأت </w:t>
      </w:r>
      <w:r w:rsidR="004B5FFC">
        <w:rPr>
          <w:rFonts w:hint="cs"/>
          <w:rtl/>
        </w:rPr>
        <w:t xml:space="preserve">الممارسة </w:t>
      </w:r>
      <w:r w:rsidR="00122377">
        <w:rPr>
          <w:rFonts w:hint="cs"/>
          <w:rtl/>
        </w:rPr>
        <w:t>الدارجة</w:t>
      </w:r>
      <w:r w:rsidR="004B5FFC">
        <w:rPr>
          <w:rFonts w:hint="cs"/>
          <w:rtl/>
        </w:rPr>
        <w:t xml:space="preserve"> </w:t>
      </w:r>
      <w:r w:rsidR="00122377">
        <w:rPr>
          <w:rFonts w:hint="cs"/>
          <w:rtl/>
        </w:rPr>
        <w:t>ب</w:t>
      </w:r>
      <w:r w:rsidR="004B5FFC">
        <w:rPr>
          <w:rFonts w:hint="cs"/>
          <w:rtl/>
        </w:rPr>
        <w:t xml:space="preserve">دفع منحة </w:t>
      </w:r>
      <w:r>
        <w:rPr>
          <w:rFonts w:hint="cs"/>
          <w:rtl/>
        </w:rPr>
        <w:t xml:space="preserve">التعليم </w:t>
      </w:r>
      <w:r w:rsidR="00122377">
        <w:rPr>
          <w:rFonts w:hint="cs"/>
          <w:rtl/>
        </w:rPr>
        <w:t>ل</w:t>
      </w:r>
      <w:r>
        <w:rPr>
          <w:rFonts w:hint="cs"/>
          <w:rtl/>
        </w:rPr>
        <w:t>لموظف</w:t>
      </w:r>
      <w:r w:rsidR="004B5FFC">
        <w:rPr>
          <w:rFonts w:hint="cs"/>
          <w:rtl/>
        </w:rPr>
        <w:t>ي</w:t>
      </w:r>
      <w:r>
        <w:rPr>
          <w:rFonts w:hint="cs"/>
          <w:rtl/>
        </w:rPr>
        <w:t>ن</w:t>
      </w:r>
      <w:r w:rsidR="004B5FFC">
        <w:rPr>
          <w:rFonts w:hint="cs"/>
          <w:rtl/>
        </w:rPr>
        <w:t xml:space="preserve"> الفرنسيين المقيمين في فرنسا </w:t>
      </w:r>
      <w:r w:rsidR="00F436B8">
        <w:rPr>
          <w:rFonts w:hint="cs"/>
          <w:rtl/>
        </w:rPr>
        <w:t xml:space="preserve">أي </w:t>
      </w:r>
      <w:r w:rsidR="004B5FFC">
        <w:rPr>
          <w:rFonts w:hint="cs"/>
          <w:rtl/>
        </w:rPr>
        <w:t xml:space="preserve">التزام قانوني على الويبو </w:t>
      </w:r>
      <w:r w:rsidR="00F436B8">
        <w:rPr>
          <w:rFonts w:hint="cs"/>
          <w:rtl/>
        </w:rPr>
        <w:t>لمواصلة</w:t>
      </w:r>
      <w:r w:rsidR="004B5FFC">
        <w:rPr>
          <w:rFonts w:hint="cs"/>
          <w:rtl/>
        </w:rPr>
        <w:t xml:space="preserve"> هذه الممارسة. </w:t>
      </w:r>
      <w:proofErr w:type="gramStart"/>
      <w:r w:rsidR="004B5FFC">
        <w:rPr>
          <w:rFonts w:hint="cs"/>
          <w:rtl/>
        </w:rPr>
        <w:t>وكما</w:t>
      </w:r>
      <w:proofErr w:type="gramEnd"/>
      <w:r w:rsidR="004B5FFC">
        <w:rPr>
          <w:rFonts w:hint="cs"/>
          <w:rtl/>
        </w:rPr>
        <w:t xml:space="preserve"> هو </w:t>
      </w:r>
      <w:r w:rsidR="00687F25">
        <w:rPr>
          <w:rFonts w:hint="cs"/>
          <w:rtl/>
        </w:rPr>
        <w:t>موضح</w:t>
      </w:r>
      <w:r w:rsidR="004B5FFC">
        <w:rPr>
          <w:rFonts w:hint="cs"/>
          <w:rtl/>
        </w:rPr>
        <w:t xml:space="preserve"> أدناه، الإجابة </w:t>
      </w:r>
      <w:r>
        <w:rPr>
          <w:rFonts w:hint="cs"/>
          <w:rtl/>
        </w:rPr>
        <w:t>المختصرة</w:t>
      </w:r>
      <w:r w:rsidR="004B5FFC">
        <w:rPr>
          <w:rFonts w:hint="cs"/>
          <w:rtl/>
        </w:rPr>
        <w:t xml:space="preserve"> على هذا السؤال هي "لا".</w:t>
      </w:r>
    </w:p>
    <w:p w:rsidR="004B5FFC" w:rsidRPr="00E434E7" w:rsidRDefault="00D4135D" w:rsidP="00326340">
      <w:pPr>
        <w:pStyle w:val="Heading1AR"/>
        <w:spacing w:after="240" w:line="360" w:lineRule="exact"/>
        <w:rPr>
          <w:rtl/>
        </w:rPr>
      </w:pPr>
      <w:r>
        <w:rPr>
          <w:rFonts w:hint="cs"/>
          <w:rtl/>
        </w:rPr>
        <w:lastRenderedPageBreak/>
        <w:t>رابعا.</w:t>
      </w:r>
      <w:r>
        <w:rPr>
          <w:rFonts w:hint="cs"/>
          <w:rtl/>
        </w:rPr>
        <w:tab/>
      </w:r>
      <w:r w:rsidR="005925EE">
        <w:rPr>
          <w:rFonts w:hint="cs"/>
          <w:rtl/>
        </w:rPr>
        <w:t>الأثر القانوني</w:t>
      </w:r>
      <w:r>
        <w:rPr>
          <w:rFonts w:hint="cs"/>
          <w:rtl/>
        </w:rPr>
        <w:t xml:space="preserve"> </w:t>
      </w:r>
      <w:r w:rsidR="004612B7">
        <w:rPr>
          <w:rFonts w:hint="cs"/>
          <w:rtl/>
        </w:rPr>
        <w:t>المترتب على ا</w:t>
      </w:r>
      <w:r w:rsidR="00951B2A">
        <w:rPr>
          <w:rFonts w:hint="cs"/>
          <w:rtl/>
        </w:rPr>
        <w:t>لممارسة</w:t>
      </w:r>
      <w:r>
        <w:rPr>
          <w:rFonts w:hint="cs"/>
          <w:rtl/>
        </w:rPr>
        <w:t xml:space="preserve"> </w:t>
      </w:r>
      <w:r w:rsidR="00326340">
        <w:rPr>
          <w:rFonts w:hint="cs"/>
          <w:rtl/>
        </w:rPr>
        <w:t>الدارجة</w:t>
      </w:r>
    </w:p>
    <w:p w:rsidR="00AC779C" w:rsidRDefault="0006157D" w:rsidP="00326340">
      <w:pPr>
        <w:pStyle w:val="NumberedParaAR"/>
      </w:pPr>
      <w:proofErr w:type="gramStart"/>
      <w:r>
        <w:rPr>
          <w:rFonts w:hint="cs"/>
          <w:rtl/>
        </w:rPr>
        <w:t>في</w:t>
      </w:r>
      <w:proofErr w:type="gramEnd"/>
      <w:r>
        <w:rPr>
          <w:rFonts w:hint="cs"/>
          <w:rtl/>
        </w:rPr>
        <w:t xml:space="preserve"> بعض الظروف، </w:t>
      </w:r>
      <w:r w:rsidR="00FC01F0">
        <w:rPr>
          <w:rFonts w:hint="cs"/>
          <w:rtl/>
        </w:rPr>
        <w:t xml:space="preserve">يمكن اعتبار </w:t>
      </w:r>
      <w:r w:rsidR="00642CE8">
        <w:rPr>
          <w:rFonts w:hint="cs"/>
          <w:rtl/>
        </w:rPr>
        <w:t>ال</w:t>
      </w:r>
      <w:r w:rsidR="00FC01F0">
        <w:rPr>
          <w:rFonts w:hint="cs"/>
          <w:rtl/>
        </w:rPr>
        <w:t xml:space="preserve">ممارسة </w:t>
      </w:r>
      <w:r w:rsidR="00642CE8">
        <w:rPr>
          <w:rFonts w:hint="cs"/>
          <w:rtl/>
        </w:rPr>
        <w:t>ال</w:t>
      </w:r>
      <w:r w:rsidR="00FC01F0">
        <w:rPr>
          <w:rFonts w:hint="cs"/>
          <w:rtl/>
        </w:rPr>
        <w:t>إدارية مصدر</w:t>
      </w:r>
      <w:r w:rsidR="00642CE8">
        <w:rPr>
          <w:rFonts w:hint="cs"/>
          <w:rtl/>
        </w:rPr>
        <w:t>ا</w:t>
      </w:r>
      <w:r w:rsidR="00FC01F0">
        <w:rPr>
          <w:rFonts w:hint="cs"/>
          <w:rtl/>
        </w:rPr>
        <w:t xml:space="preserve"> للقانون، شريطة أن تكون الممارسة "1" متسقة؛ "2"و</w:t>
      </w:r>
      <w:r w:rsidR="00521FB8">
        <w:rPr>
          <w:rFonts w:hint="cs"/>
          <w:rtl/>
        </w:rPr>
        <w:t>تطبقها المنظمة لأنها على ق</w:t>
      </w:r>
      <w:r w:rsidR="00642CE8">
        <w:rPr>
          <w:rFonts w:hint="cs"/>
          <w:rtl/>
        </w:rPr>
        <w:t>ناعة ب</w:t>
      </w:r>
      <w:r w:rsidR="00C90724">
        <w:rPr>
          <w:rFonts w:hint="cs"/>
          <w:rtl/>
        </w:rPr>
        <w:t>أن الممارسة</w:t>
      </w:r>
      <w:r w:rsidR="00642CE8">
        <w:rPr>
          <w:rFonts w:hint="cs"/>
          <w:rtl/>
        </w:rPr>
        <w:t xml:space="preserve"> </w:t>
      </w:r>
      <w:r w:rsidR="00326340">
        <w:rPr>
          <w:rFonts w:hint="cs"/>
          <w:rtl/>
        </w:rPr>
        <w:t>هي من باب</w:t>
      </w:r>
      <w:r w:rsidR="00642CE8">
        <w:rPr>
          <w:rFonts w:hint="cs"/>
          <w:rtl/>
        </w:rPr>
        <w:t xml:space="preserve"> </w:t>
      </w:r>
      <w:r w:rsidR="00326340">
        <w:rPr>
          <w:rFonts w:hint="cs"/>
          <w:rtl/>
        </w:rPr>
        <w:t>الواجبات</w:t>
      </w:r>
      <w:r w:rsidR="00642CE8">
        <w:rPr>
          <w:rFonts w:hint="cs"/>
          <w:rtl/>
        </w:rPr>
        <w:t xml:space="preserve"> </w:t>
      </w:r>
      <w:r w:rsidR="00326340">
        <w:rPr>
          <w:rFonts w:hint="cs"/>
          <w:rtl/>
        </w:rPr>
        <w:t>القانونية</w:t>
      </w:r>
      <w:r w:rsidR="00642CE8">
        <w:rPr>
          <w:rFonts w:hint="cs"/>
          <w:rtl/>
        </w:rPr>
        <w:t xml:space="preserve">؛ "3"ولا </w:t>
      </w:r>
      <w:r w:rsidR="00342A48">
        <w:rPr>
          <w:rFonts w:hint="cs"/>
          <w:rtl/>
        </w:rPr>
        <w:t>تتعدى على قانون مكتوب</w:t>
      </w:r>
      <w:r w:rsidR="0067258B">
        <w:rPr>
          <w:rFonts w:hint="cs"/>
          <w:rtl/>
        </w:rPr>
        <w:t xml:space="preserve">. </w:t>
      </w:r>
      <w:proofErr w:type="gramStart"/>
      <w:r w:rsidR="00342A48">
        <w:rPr>
          <w:rFonts w:hint="cs"/>
          <w:rtl/>
        </w:rPr>
        <w:t>وإضافة</w:t>
      </w:r>
      <w:proofErr w:type="gramEnd"/>
      <w:r w:rsidR="00342A48">
        <w:rPr>
          <w:rFonts w:hint="cs"/>
          <w:rtl/>
        </w:rPr>
        <w:t xml:space="preserve"> إلى ذلك،</w:t>
      </w:r>
      <w:r w:rsidR="0067258B">
        <w:rPr>
          <w:rFonts w:hint="cs"/>
          <w:rtl/>
        </w:rPr>
        <w:t xml:space="preserve"> </w:t>
      </w:r>
      <w:r w:rsidR="00342A48">
        <w:rPr>
          <w:rFonts w:hint="cs"/>
          <w:rtl/>
        </w:rPr>
        <w:t xml:space="preserve">لم تستبعد </w:t>
      </w:r>
      <w:r w:rsidR="0067258B">
        <w:rPr>
          <w:rFonts w:hint="cs"/>
          <w:rtl/>
        </w:rPr>
        <w:t xml:space="preserve">المحكمة </w:t>
      </w:r>
      <w:r w:rsidR="00E55676">
        <w:rPr>
          <w:rFonts w:hint="cs"/>
          <w:rtl/>
        </w:rPr>
        <w:t>إمكانية أن تصبح الممارسة مصدرا لحق مكتسب في بعض الحالات المحدودة.</w:t>
      </w:r>
      <w:r w:rsidR="00094D4A">
        <w:rPr>
          <w:rStyle w:val="FootnoteReference"/>
          <w:rtl/>
        </w:rPr>
        <w:footnoteReference w:id="13"/>
      </w:r>
    </w:p>
    <w:p w:rsidR="00752A1C" w:rsidRDefault="00752A1C" w:rsidP="00326340">
      <w:pPr>
        <w:pStyle w:val="NumberedParaAR"/>
      </w:pPr>
      <w:r>
        <w:rPr>
          <w:rFonts w:hint="cs"/>
          <w:rtl/>
        </w:rPr>
        <w:t xml:space="preserve">وفي الحالة </w:t>
      </w:r>
      <w:r w:rsidR="00411B38">
        <w:rPr>
          <w:rFonts w:hint="cs"/>
          <w:rtl/>
        </w:rPr>
        <w:t>قيد النظر</w:t>
      </w:r>
      <w:r>
        <w:rPr>
          <w:rFonts w:hint="cs"/>
          <w:rtl/>
        </w:rPr>
        <w:t xml:space="preserve">، </w:t>
      </w:r>
      <w:r w:rsidR="00D07DF1">
        <w:rPr>
          <w:rFonts w:hint="cs"/>
          <w:rtl/>
        </w:rPr>
        <w:t xml:space="preserve">الشرط "3" </w:t>
      </w:r>
      <w:r w:rsidR="00411B38">
        <w:rPr>
          <w:rFonts w:hint="cs"/>
          <w:rtl/>
        </w:rPr>
        <w:t xml:space="preserve">غير </w:t>
      </w:r>
      <w:r w:rsidR="00B97FA8" w:rsidRPr="00B97FA8">
        <w:rPr>
          <w:rFonts w:hint="cs"/>
          <w:rtl/>
        </w:rPr>
        <w:t>مستوف</w:t>
      </w:r>
      <w:r w:rsidR="00D07DF1">
        <w:rPr>
          <w:rFonts w:hint="cs"/>
          <w:rtl/>
        </w:rPr>
        <w:t xml:space="preserve"> لأن أحكام نظام الموظفين ولائحته لا </w:t>
      </w:r>
      <w:r w:rsidR="00411B38">
        <w:rPr>
          <w:rFonts w:hint="cs"/>
          <w:rtl/>
        </w:rPr>
        <w:t>تأذن</w:t>
      </w:r>
      <w:r w:rsidR="00D07DF1">
        <w:rPr>
          <w:rFonts w:hint="cs"/>
          <w:rtl/>
        </w:rPr>
        <w:t xml:space="preserve"> بالممارسة </w:t>
      </w:r>
      <w:r w:rsidR="00326340">
        <w:rPr>
          <w:rFonts w:hint="cs"/>
          <w:rtl/>
        </w:rPr>
        <w:t>الدارجة</w:t>
      </w:r>
      <w:r w:rsidR="00D07DF1">
        <w:rPr>
          <w:rFonts w:hint="cs"/>
          <w:rtl/>
        </w:rPr>
        <w:t xml:space="preserve"> </w:t>
      </w:r>
      <w:r w:rsidR="00687F25">
        <w:rPr>
          <w:rFonts w:hint="cs"/>
          <w:rtl/>
        </w:rPr>
        <w:t xml:space="preserve">المتمثلة في </w:t>
      </w:r>
      <w:r w:rsidR="00D07DF1">
        <w:rPr>
          <w:rFonts w:hint="cs"/>
          <w:rtl/>
        </w:rPr>
        <w:t xml:space="preserve">دفع منحة </w:t>
      </w:r>
      <w:r w:rsidR="00411B38">
        <w:rPr>
          <w:rFonts w:hint="cs"/>
          <w:rtl/>
        </w:rPr>
        <w:t>ال</w:t>
      </w:r>
      <w:r w:rsidR="00D07DF1">
        <w:rPr>
          <w:rFonts w:hint="cs"/>
          <w:rtl/>
        </w:rPr>
        <w:t xml:space="preserve">تعليم للموظفين الفرنسيين المقيمين في فرنسا، </w:t>
      </w:r>
      <w:r w:rsidR="00411B38">
        <w:rPr>
          <w:rFonts w:hint="cs"/>
          <w:rtl/>
        </w:rPr>
        <w:t>بسبب</w:t>
      </w:r>
      <w:r w:rsidR="00D07DF1">
        <w:rPr>
          <w:rFonts w:hint="cs"/>
          <w:rtl/>
        </w:rPr>
        <w:t xml:space="preserve"> تعريف </w:t>
      </w:r>
      <w:r w:rsidR="00411B38">
        <w:rPr>
          <w:rFonts w:hint="cs"/>
          <w:rtl/>
        </w:rPr>
        <w:t>عبارة</w:t>
      </w:r>
      <w:r w:rsidR="00232C03">
        <w:rPr>
          <w:rFonts w:hint="cs"/>
          <w:rtl/>
        </w:rPr>
        <w:t xml:space="preserve"> </w:t>
      </w:r>
      <w:r w:rsidR="00B3515B">
        <w:rPr>
          <w:rFonts w:hint="cs"/>
          <w:rtl/>
        </w:rPr>
        <w:t>"مركز العمل" في جنيف</w:t>
      </w:r>
      <w:r w:rsidR="00D07DF1">
        <w:rPr>
          <w:rFonts w:hint="cs"/>
          <w:rtl/>
        </w:rPr>
        <w:t xml:space="preserve"> كما هو موضح أعلاه. </w:t>
      </w:r>
      <w:r w:rsidR="00711D0E">
        <w:rPr>
          <w:rFonts w:hint="cs"/>
          <w:rtl/>
        </w:rPr>
        <w:t xml:space="preserve">وأوضحت المحكمة </w:t>
      </w:r>
      <w:r w:rsidR="00B3515B">
        <w:rPr>
          <w:rFonts w:hint="cs"/>
          <w:rtl/>
        </w:rPr>
        <w:t xml:space="preserve">في </w:t>
      </w:r>
      <w:r w:rsidR="00411B38">
        <w:rPr>
          <w:rFonts w:hint="cs"/>
          <w:rtl/>
        </w:rPr>
        <w:t>سوابق</w:t>
      </w:r>
      <w:r w:rsidR="001C6D71">
        <w:rPr>
          <w:rFonts w:hint="cs"/>
          <w:rtl/>
        </w:rPr>
        <w:t xml:space="preserve"> </w:t>
      </w:r>
      <w:r w:rsidR="00411B38">
        <w:rPr>
          <w:rFonts w:hint="cs"/>
          <w:rtl/>
        </w:rPr>
        <w:t xml:space="preserve">قضائية </w:t>
      </w:r>
      <w:r w:rsidR="00B3515B">
        <w:rPr>
          <w:rFonts w:hint="cs"/>
          <w:rtl/>
        </w:rPr>
        <w:t xml:space="preserve">كثيرة </w:t>
      </w:r>
      <w:r w:rsidR="00AE3E14">
        <w:rPr>
          <w:rFonts w:hint="cs"/>
          <w:rtl/>
        </w:rPr>
        <w:t xml:space="preserve">أن الممارسة إن لم تتسق </w:t>
      </w:r>
      <w:r w:rsidR="001C6D71">
        <w:rPr>
          <w:rFonts w:hint="cs"/>
          <w:rtl/>
        </w:rPr>
        <w:t xml:space="preserve">مع نظام الموظفين و/أو لائحته </w:t>
      </w:r>
      <w:r w:rsidR="00611278">
        <w:rPr>
          <w:rFonts w:hint="cs"/>
          <w:rtl/>
        </w:rPr>
        <w:t xml:space="preserve">فلا </w:t>
      </w:r>
      <w:r w:rsidR="009B2135">
        <w:rPr>
          <w:rFonts w:hint="cs"/>
          <w:rtl/>
        </w:rPr>
        <w:t>حجة قانونية</w:t>
      </w:r>
      <w:r w:rsidR="00611278">
        <w:rPr>
          <w:rFonts w:hint="cs"/>
          <w:rtl/>
        </w:rPr>
        <w:t xml:space="preserve"> لها</w:t>
      </w:r>
      <w:r w:rsidR="00D945F2">
        <w:rPr>
          <w:rStyle w:val="FootnoteReference"/>
          <w:rtl/>
        </w:rPr>
        <w:footnoteReference w:id="14"/>
      </w:r>
      <w:r w:rsidR="00C3659B">
        <w:rPr>
          <w:rFonts w:hint="cs"/>
          <w:rtl/>
        </w:rPr>
        <w:t xml:space="preserve"> ولا </w:t>
      </w:r>
      <w:r w:rsidR="00B3515B">
        <w:rPr>
          <w:rFonts w:hint="cs"/>
          <w:rtl/>
        </w:rPr>
        <w:t>هي تنشئ</w:t>
      </w:r>
      <w:r w:rsidR="00C3659B">
        <w:rPr>
          <w:rFonts w:hint="cs"/>
          <w:rtl/>
        </w:rPr>
        <w:t xml:space="preserve"> حق</w:t>
      </w:r>
      <w:r w:rsidR="00B3515B">
        <w:rPr>
          <w:rFonts w:hint="cs"/>
          <w:rtl/>
        </w:rPr>
        <w:t>ا</w:t>
      </w:r>
      <w:r w:rsidR="00C3659B">
        <w:rPr>
          <w:rFonts w:hint="cs"/>
          <w:rtl/>
        </w:rPr>
        <w:t xml:space="preserve"> مكتسب</w:t>
      </w:r>
      <w:r w:rsidR="00B3515B">
        <w:rPr>
          <w:rFonts w:hint="cs"/>
          <w:rtl/>
        </w:rPr>
        <w:t>ا</w:t>
      </w:r>
      <w:r w:rsidR="009708A9">
        <w:rPr>
          <w:rStyle w:val="FootnoteReference"/>
          <w:rtl/>
        </w:rPr>
        <w:footnoteReference w:id="15"/>
      </w:r>
      <w:r w:rsidR="00B3515B">
        <w:rPr>
          <w:rFonts w:hint="cs"/>
          <w:rtl/>
        </w:rPr>
        <w:t xml:space="preserve"> وأن ال</w:t>
      </w:r>
      <w:r w:rsidR="00C3659B">
        <w:rPr>
          <w:rFonts w:hint="cs"/>
          <w:rtl/>
        </w:rPr>
        <w:t xml:space="preserve">منظمة </w:t>
      </w:r>
      <w:r w:rsidR="00B3515B">
        <w:rPr>
          <w:rFonts w:hint="cs"/>
          <w:rtl/>
        </w:rPr>
        <w:t>يحق لها أن تعدل</w:t>
      </w:r>
      <w:r w:rsidR="00C3659B">
        <w:rPr>
          <w:rFonts w:hint="cs"/>
          <w:rtl/>
        </w:rPr>
        <w:t xml:space="preserve"> الوضع ليستقيم مع الإطار القانوني</w:t>
      </w:r>
      <w:r w:rsidR="00C3659B">
        <w:rPr>
          <w:rStyle w:val="FootnoteReference"/>
          <w:rtl/>
        </w:rPr>
        <w:footnoteReference w:id="16"/>
      </w:r>
      <w:r w:rsidR="00C3659B">
        <w:rPr>
          <w:rFonts w:hint="cs"/>
          <w:rtl/>
        </w:rPr>
        <w:t>.</w:t>
      </w:r>
    </w:p>
    <w:p w:rsidR="00A80A6B" w:rsidRDefault="00A80A6B" w:rsidP="00326340">
      <w:pPr>
        <w:pStyle w:val="NumberedParaAR"/>
      </w:pPr>
      <w:r>
        <w:rPr>
          <w:rFonts w:hint="cs"/>
          <w:rtl/>
        </w:rPr>
        <w:t xml:space="preserve">وبناء على ما سبق، </w:t>
      </w:r>
      <w:r w:rsidR="00B3515B">
        <w:rPr>
          <w:rFonts w:hint="cs"/>
          <w:rtl/>
        </w:rPr>
        <w:t xml:space="preserve">لا </w:t>
      </w:r>
      <w:r>
        <w:rPr>
          <w:rFonts w:hint="cs"/>
          <w:rtl/>
        </w:rPr>
        <w:t>إلزام قانوني</w:t>
      </w:r>
      <w:r w:rsidR="00326340">
        <w:rPr>
          <w:rFonts w:hint="cs"/>
          <w:rtl/>
        </w:rPr>
        <w:t>ا</w:t>
      </w:r>
      <w:r>
        <w:rPr>
          <w:rFonts w:hint="cs"/>
          <w:rtl/>
        </w:rPr>
        <w:t xml:space="preserve"> على الويبو </w:t>
      </w:r>
      <w:r w:rsidR="00B3515B">
        <w:rPr>
          <w:rFonts w:hint="cs"/>
          <w:rtl/>
        </w:rPr>
        <w:t>ل</w:t>
      </w:r>
      <w:r>
        <w:rPr>
          <w:rFonts w:hint="cs"/>
          <w:rtl/>
        </w:rPr>
        <w:t xml:space="preserve">تواصل ممارسة دفع منحة التعليم </w:t>
      </w:r>
      <w:r w:rsidR="00326340">
        <w:rPr>
          <w:rFonts w:hint="cs"/>
          <w:rtl/>
        </w:rPr>
        <w:t>ل</w:t>
      </w:r>
      <w:r>
        <w:rPr>
          <w:rFonts w:hint="cs"/>
          <w:rtl/>
        </w:rPr>
        <w:t>لموظفين الفرنسيين المقيمين في فرنسا. ولم تحصل هذه الفئة من ال</w:t>
      </w:r>
      <w:r w:rsidR="00B3515B">
        <w:rPr>
          <w:rFonts w:hint="cs"/>
          <w:rtl/>
        </w:rPr>
        <w:t>م</w:t>
      </w:r>
      <w:r>
        <w:rPr>
          <w:rFonts w:hint="cs"/>
          <w:rtl/>
        </w:rPr>
        <w:t xml:space="preserve">وظفين </w:t>
      </w:r>
      <w:r w:rsidR="00C3618D">
        <w:rPr>
          <w:rFonts w:hint="cs"/>
          <w:rtl/>
        </w:rPr>
        <w:t>على حق الاحتفاظ بمنحة التعليم</w:t>
      </w:r>
      <w:r w:rsidR="00B3515B" w:rsidRPr="00B3515B">
        <w:rPr>
          <w:rFonts w:hint="cs"/>
          <w:rtl/>
        </w:rPr>
        <w:t xml:space="preserve"> </w:t>
      </w:r>
      <w:r w:rsidR="00B3515B">
        <w:rPr>
          <w:rFonts w:hint="cs"/>
          <w:rtl/>
        </w:rPr>
        <w:t>أبدا</w:t>
      </w:r>
      <w:r w:rsidR="00C3618D">
        <w:rPr>
          <w:rFonts w:hint="cs"/>
          <w:rtl/>
        </w:rPr>
        <w:t xml:space="preserve">، </w:t>
      </w:r>
      <w:r w:rsidR="00B3515B">
        <w:rPr>
          <w:rFonts w:hint="cs"/>
          <w:rtl/>
        </w:rPr>
        <w:t>لا بسبب</w:t>
      </w:r>
      <w:r w:rsidR="00C3618D">
        <w:rPr>
          <w:rFonts w:hint="cs"/>
          <w:rtl/>
        </w:rPr>
        <w:t xml:space="preserve"> أن منحة التعليم لا تندرج في فئة </w:t>
      </w:r>
      <w:r w:rsidR="00326340">
        <w:rPr>
          <w:rFonts w:hint="cs"/>
          <w:rtl/>
        </w:rPr>
        <w:t>العلاوات</w:t>
      </w:r>
      <w:r w:rsidR="00C3618D">
        <w:rPr>
          <w:rFonts w:hint="cs"/>
          <w:rtl/>
        </w:rPr>
        <w:t xml:space="preserve"> التي </w:t>
      </w:r>
      <w:r w:rsidR="00B3515B">
        <w:rPr>
          <w:rFonts w:hint="cs"/>
          <w:rtl/>
        </w:rPr>
        <w:t>كثيرا ما تنشئ</w:t>
      </w:r>
      <w:r w:rsidR="00C3618D">
        <w:rPr>
          <w:rFonts w:hint="cs"/>
          <w:rtl/>
        </w:rPr>
        <w:t xml:space="preserve"> حق</w:t>
      </w:r>
      <w:r w:rsidR="00B3515B">
        <w:rPr>
          <w:rFonts w:hint="cs"/>
          <w:rtl/>
        </w:rPr>
        <w:t>ا</w:t>
      </w:r>
      <w:r w:rsidR="00C3618D">
        <w:rPr>
          <w:rFonts w:hint="cs"/>
          <w:rtl/>
        </w:rPr>
        <w:t xml:space="preserve"> مكتسب</w:t>
      </w:r>
      <w:r w:rsidR="00B3515B">
        <w:rPr>
          <w:rFonts w:hint="cs"/>
          <w:rtl/>
        </w:rPr>
        <w:t>ا</w:t>
      </w:r>
      <w:r w:rsidR="00C3618D">
        <w:rPr>
          <w:rFonts w:hint="cs"/>
          <w:rtl/>
        </w:rPr>
        <w:t xml:space="preserve">، بل لأنه </w:t>
      </w:r>
      <w:r w:rsidR="00B3515B">
        <w:rPr>
          <w:rFonts w:hint="cs"/>
          <w:rtl/>
        </w:rPr>
        <w:t>لا يحق لهم الحصول على</w:t>
      </w:r>
      <w:r w:rsidR="00C3618D">
        <w:rPr>
          <w:rFonts w:hint="cs"/>
          <w:rtl/>
        </w:rPr>
        <w:t xml:space="preserve"> منحة التعليم </w:t>
      </w:r>
      <w:r w:rsidR="007B2F39">
        <w:rPr>
          <w:rFonts w:hint="cs"/>
          <w:rtl/>
        </w:rPr>
        <w:t xml:space="preserve">بشكل قانوني </w:t>
      </w:r>
      <w:r w:rsidR="00C3618D">
        <w:rPr>
          <w:rFonts w:hint="cs"/>
          <w:rtl/>
        </w:rPr>
        <w:t xml:space="preserve">من الأساس، ولم </w:t>
      </w:r>
      <w:r w:rsidR="00A539DC">
        <w:rPr>
          <w:rFonts w:hint="cs"/>
          <w:rtl/>
        </w:rPr>
        <w:t xml:space="preserve">يستند الدفع إلا على ممارسة </w:t>
      </w:r>
      <w:r w:rsidR="00326340">
        <w:rPr>
          <w:rFonts w:hint="cs"/>
          <w:rtl/>
        </w:rPr>
        <w:t>دارجة</w:t>
      </w:r>
      <w:r w:rsidR="00A539DC">
        <w:rPr>
          <w:rFonts w:hint="cs"/>
          <w:rtl/>
        </w:rPr>
        <w:t>.</w:t>
      </w:r>
    </w:p>
    <w:p w:rsidR="00A539DC" w:rsidRDefault="00F62901" w:rsidP="00326340">
      <w:pPr>
        <w:pStyle w:val="NumberedParaAR"/>
      </w:pPr>
      <w:r>
        <w:rPr>
          <w:rFonts w:hint="cs"/>
          <w:rtl/>
        </w:rPr>
        <w:t xml:space="preserve">ويعتبر من المناسب في تلك الحالات </w:t>
      </w:r>
      <w:proofErr w:type="gramStart"/>
      <w:r>
        <w:rPr>
          <w:rFonts w:hint="cs"/>
          <w:rtl/>
        </w:rPr>
        <w:t>حذف</w:t>
      </w:r>
      <w:proofErr w:type="gramEnd"/>
      <w:r>
        <w:rPr>
          <w:rFonts w:hint="cs"/>
          <w:rtl/>
        </w:rPr>
        <w:t xml:space="preserve"> المادة 14.3(و) </w:t>
      </w:r>
      <w:proofErr w:type="gramStart"/>
      <w:r>
        <w:rPr>
          <w:rFonts w:hint="cs"/>
          <w:rtl/>
        </w:rPr>
        <w:t>من</w:t>
      </w:r>
      <w:proofErr w:type="gramEnd"/>
      <w:r>
        <w:rPr>
          <w:rFonts w:hint="cs"/>
          <w:rtl/>
        </w:rPr>
        <w:t xml:space="preserve"> نظام الموظفين</w:t>
      </w:r>
      <w:r w:rsidR="00A61620">
        <w:rPr>
          <w:rFonts w:hint="cs"/>
          <w:rtl/>
        </w:rPr>
        <w:t xml:space="preserve"> </w:t>
      </w:r>
      <w:r>
        <w:rPr>
          <w:rFonts w:hint="cs"/>
          <w:rtl/>
        </w:rPr>
        <w:t>ولائحته على أن يكون</w:t>
      </w:r>
      <w:r w:rsidR="00326340">
        <w:rPr>
          <w:rFonts w:hint="cs"/>
          <w:rtl/>
        </w:rPr>
        <w:t xml:space="preserve"> الحذف</w:t>
      </w:r>
      <w:r>
        <w:rPr>
          <w:rFonts w:hint="cs"/>
          <w:rtl/>
        </w:rPr>
        <w:t xml:space="preserve"> نافذا </w:t>
      </w:r>
      <w:r w:rsidR="00326340">
        <w:rPr>
          <w:rFonts w:hint="cs"/>
          <w:rtl/>
        </w:rPr>
        <w:t>اعتبارا من</w:t>
      </w:r>
      <w:r w:rsidR="001C6815">
        <w:rPr>
          <w:rFonts w:hint="eastAsia"/>
          <w:rtl/>
        </w:rPr>
        <w:t> </w:t>
      </w:r>
      <w:r>
        <w:rPr>
          <w:rFonts w:hint="cs"/>
          <w:rtl/>
        </w:rPr>
        <w:t>1 يناير 2017.</w:t>
      </w:r>
    </w:p>
    <w:p w:rsidR="00A61620" w:rsidRPr="009E5DE6" w:rsidRDefault="00A61620" w:rsidP="009E5DE6">
      <w:pPr>
        <w:pStyle w:val="Heading2AR"/>
        <w:spacing w:after="240" w:line="360" w:lineRule="exact"/>
        <w:ind w:left="1134" w:hanging="567"/>
        <w:rPr>
          <w:rtl/>
        </w:rPr>
      </w:pPr>
      <w:r w:rsidRPr="009E5DE6">
        <w:rPr>
          <w:rFonts w:hint="eastAsia"/>
          <w:u w:val="single"/>
          <w:rtl/>
        </w:rPr>
        <w:t>وقف</w:t>
      </w:r>
      <w:r w:rsidRPr="009E5DE6">
        <w:rPr>
          <w:u w:val="single"/>
          <w:rtl/>
        </w:rPr>
        <w:t xml:space="preserve"> الممارسة </w:t>
      </w:r>
      <w:r w:rsidR="0050145C" w:rsidRPr="009E5DE6">
        <w:rPr>
          <w:rFonts w:hint="eastAsia"/>
          <w:u w:val="single"/>
          <w:rtl/>
        </w:rPr>
        <w:t>بشكل</w:t>
      </w:r>
      <w:r w:rsidR="0050145C" w:rsidRPr="009E5DE6">
        <w:rPr>
          <w:u w:val="single"/>
          <w:rtl/>
        </w:rPr>
        <w:t xml:space="preserve"> </w:t>
      </w:r>
      <w:r w:rsidR="0050145C" w:rsidRPr="009E5DE6">
        <w:rPr>
          <w:rFonts w:hint="eastAsia"/>
          <w:u w:val="single"/>
          <w:rtl/>
        </w:rPr>
        <w:t>قانوني</w:t>
      </w:r>
    </w:p>
    <w:p w:rsidR="00561C47" w:rsidRDefault="007E7A88" w:rsidP="000D081D">
      <w:pPr>
        <w:pStyle w:val="NumberedParaAR"/>
      </w:pPr>
      <w:proofErr w:type="gramStart"/>
      <w:r>
        <w:rPr>
          <w:rFonts w:hint="cs"/>
          <w:rtl/>
        </w:rPr>
        <w:t>صحيح</w:t>
      </w:r>
      <w:proofErr w:type="gramEnd"/>
      <w:r>
        <w:rPr>
          <w:rFonts w:hint="cs"/>
          <w:rtl/>
        </w:rPr>
        <w:t xml:space="preserve"> أن الممارسة يجوز وقفها </w:t>
      </w:r>
      <w:r w:rsidR="00E919C6">
        <w:rPr>
          <w:rFonts w:hint="cs"/>
          <w:rtl/>
        </w:rPr>
        <w:t>بشكل قانوني</w:t>
      </w:r>
      <w:r>
        <w:rPr>
          <w:rFonts w:hint="cs"/>
          <w:rtl/>
        </w:rPr>
        <w:t>، ولكن</w:t>
      </w:r>
      <w:r w:rsidR="000D081D">
        <w:rPr>
          <w:rFonts w:hint="cs"/>
          <w:rtl/>
        </w:rPr>
        <w:t>ّ</w:t>
      </w:r>
      <w:r>
        <w:rPr>
          <w:rFonts w:hint="cs"/>
          <w:rtl/>
        </w:rPr>
        <w:t xml:space="preserve"> </w:t>
      </w:r>
      <w:r w:rsidR="000D081D">
        <w:rPr>
          <w:rFonts w:hint="cs"/>
          <w:rtl/>
        </w:rPr>
        <w:t xml:space="preserve">المحكمة </w:t>
      </w:r>
      <w:r w:rsidRPr="009E5DE6">
        <w:rPr>
          <w:rFonts w:hint="eastAsia"/>
          <w:rtl/>
        </w:rPr>
        <w:t>أوضحت</w:t>
      </w:r>
      <w:r w:rsidRPr="009E5DE6">
        <w:rPr>
          <w:rtl/>
        </w:rPr>
        <w:t xml:space="preserve"> </w:t>
      </w:r>
      <w:r>
        <w:rPr>
          <w:rFonts w:hint="cs"/>
          <w:rtl/>
        </w:rPr>
        <w:t>أنه لا ينبغي تطبيق التغي</w:t>
      </w:r>
      <w:r w:rsidR="00FC29EA">
        <w:rPr>
          <w:rFonts w:hint="cs"/>
          <w:rtl/>
        </w:rPr>
        <w:t>ي</w:t>
      </w:r>
      <w:r>
        <w:rPr>
          <w:rFonts w:hint="cs"/>
          <w:rtl/>
        </w:rPr>
        <w:t>ر بأثر رجعي ويجب لفت انتباه الموظفين إليه.</w:t>
      </w:r>
      <w:r w:rsidR="008154A7">
        <w:rPr>
          <w:rStyle w:val="FootnoteReference"/>
          <w:rtl/>
        </w:rPr>
        <w:footnoteReference w:id="17"/>
      </w:r>
      <w:r w:rsidR="00FC29EA">
        <w:rPr>
          <w:rFonts w:hint="cs"/>
          <w:rtl/>
        </w:rPr>
        <w:t xml:space="preserve"> </w:t>
      </w:r>
      <w:r w:rsidR="00687F25">
        <w:rPr>
          <w:rFonts w:hint="cs"/>
          <w:rtl/>
        </w:rPr>
        <w:t>وتستند</w:t>
      </w:r>
      <w:r w:rsidR="00985CF5">
        <w:rPr>
          <w:rFonts w:hint="cs"/>
          <w:rtl/>
        </w:rPr>
        <w:t xml:space="preserve"> تلك الشروط </w:t>
      </w:r>
      <w:r w:rsidR="00FC29EA">
        <w:rPr>
          <w:rFonts w:hint="cs"/>
          <w:rtl/>
        </w:rPr>
        <w:t>المسبقة</w:t>
      </w:r>
      <w:r w:rsidR="00985CF5">
        <w:rPr>
          <w:rFonts w:hint="cs"/>
          <w:rtl/>
        </w:rPr>
        <w:t xml:space="preserve"> </w:t>
      </w:r>
      <w:r w:rsidR="008D2209">
        <w:rPr>
          <w:rFonts w:hint="cs"/>
          <w:rtl/>
        </w:rPr>
        <w:t>للتخلي عن</w:t>
      </w:r>
      <w:r w:rsidR="00985CF5">
        <w:rPr>
          <w:rFonts w:hint="cs"/>
          <w:rtl/>
        </w:rPr>
        <w:t xml:space="preserve"> الممارسة </w:t>
      </w:r>
      <w:r w:rsidR="005D0820">
        <w:rPr>
          <w:rFonts w:hint="cs"/>
          <w:rtl/>
        </w:rPr>
        <w:t>بشكل قانوني</w:t>
      </w:r>
      <w:r w:rsidR="00985CF5">
        <w:rPr>
          <w:rFonts w:hint="cs"/>
          <w:rtl/>
        </w:rPr>
        <w:t xml:space="preserve"> </w:t>
      </w:r>
      <w:r w:rsidR="00687F25">
        <w:rPr>
          <w:rFonts w:hint="cs"/>
          <w:rtl/>
        </w:rPr>
        <w:t xml:space="preserve">إلى </w:t>
      </w:r>
      <w:r w:rsidR="00985CF5">
        <w:rPr>
          <w:rFonts w:hint="cs"/>
          <w:rtl/>
        </w:rPr>
        <w:t>مبادئ حسن النية والمعاملة المنصفة</w:t>
      </w:r>
      <w:r w:rsidR="0065159F">
        <w:rPr>
          <w:rFonts w:hint="cs"/>
          <w:rtl/>
        </w:rPr>
        <w:t xml:space="preserve"> لضمان أن يتخذ الموظفون قراراتهم واختياراتهم وهم على دراية كاملة.</w:t>
      </w:r>
      <w:r w:rsidR="00C35346">
        <w:rPr>
          <w:rStyle w:val="FootnoteReference"/>
          <w:rtl/>
        </w:rPr>
        <w:footnoteReference w:id="18"/>
      </w:r>
    </w:p>
    <w:p w:rsidR="004B07FB" w:rsidRDefault="00964302" w:rsidP="0097447C">
      <w:pPr>
        <w:pStyle w:val="NumberedParaAR"/>
      </w:pPr>
      <w:proofErr w:type="gramStart"/>
      <w:r>
        <w:rPr>
          <w:rFonts w:hint="cs"/>
          <w:rtl/>
        </w:rPr>
        <w:t>أما</w:t>
      </w:r>
      <w:proofErr w:type="gramEnd"/>
      <w:r>
        <w:rPr>
          <w:rFonts w:hint="cs"/>
          <w:rtl/>
        </w:rPr>
        <w:t xml:space="preserve"> شرط الإخطار، فلا بد من التنويه </w:t>
      </w:r>
      <w:r w:rsidR="005B650C">
        <w:rPr>
          <w:rFonts w:hint="cs"/>
          <w:rtl/>
        </w:rPr>
        <w:t>ب</w:t>
      </w:r>
      <w:r>
        <w:rPr>
          <w:rFonts w:hint="cs"/>
          <w:rtl/>
        </w:rPr>
        <w:t xml:space="preserve">حكم حديث نسبيا وفيه سنحت </w:t>
      </w:r>
      <w:r w:rsidR="00687F25">
        <w:rPr>
          <w:rFonts w:hint="cs"/>
          <w:rtl/>
        </w:rPr>
        <w:t>الفرصة أمام ا</w:t>
      </w:r>
      <w:r>
        <w:rPr>
          <w:rFonts w:hint="cs"/>
          <w:rtl/>
        </w:rPr>
        <w:t>لمح</w:t>
      </w:r>
      <w:r w:rsidR="005B650C">
        <w:rPr>
          <w:rFonts w:hint="cs"/>
          <w:rtl/>
        </w:rPr>
        <w:t>ك</w:t>
      </w:r>
      <w:r>
        <w:rPr>
          <w:rFonts w:hint="cs"/>
          <w:rtl/>
        </w:rPr>
        <w:t xml:space="preserve">مة </w:t>
      </w:r>
      <w:r w:rsidR="007B32D3">
        <w:rPr>
          <w:rFonts w:hint="cs"/>
          <w:rtl/>
        </w:rPr>
        <w:t>ل</w:t>
      </w:r>
      <w:r w:rsidR="005B650C">
        <w:rPr>
          <w:rFonts w:hint="cs"/>
          <w:rtl/>
        </w:rPr>
        <w:t>لبت في</w:t>
      </w:r>
      <w:r>
        <w:rPr>
          <w:rFonts w:hint="cs"/>
          <w:rtl/>
        </w:rPr>
        <w:t xml:space="preserve"> </w:t>
      </w:r>
      <w:r w:rsidR="005B650C">
        <w:rPr>
          <w:rFonts w:hint="cs"/>
          <w:rtl/>
        </w:rPr>
        <w:t>صلاحية</w:t>
      </w:r>
      <w:r>
        <w:rPr>
          <w:rFonts w:hint="cs"/>
          <w:rtl/>
        </w:rPr>
        <w:t xml:space="preserve"> قرار </w:t>
      </w:r>
      <w:r w:rsidR="00793193">
        <w:rPr>
          <w:rFonts w:hint="cs"/>
          <w:rtl/>
        </w:rPr>
        <w:t>إحدى المنظمات</w:t>
      </w:r>
      <w:r w:rsidR="007B32D3">
        <w:rPr>
          <w:rFonts w:hint="cs"/>
          <w:rtl/>
        </w:rPr>
        <w:t xml:space="preserve"> ل</w:t>
      </w:r>
      <w:r>
        <w:rPr>
          <w:rFonts w:hint="cs"/>
          <w:rtl/>
        </w:rPr>
        <w:t xml:space="preserve">وقف دفع بدل </w:t>
      </w:r>
      <w:r w:rsidR="00555602">
        <w:rPr>
          <w:rFonts w:hint="cs"/>
          <w:rtl/>
        </w:rPr>
        <w:t>ال</w:t>
      </w:r>
      <w:r>
        <w:rPr>
          <w:rFonts w:hint="cs"/>
          <w:rtl/>
        </w:rPr>
        <w:t xml:space="preserve">تعليم لمزدوجي الجنسية على أساس </w:t>
      </w:r>
      <w:r w:rsidR="00555602">
        <w:rPr>
          <w:rFonts w:hint="cs"/>
          <w:rtl/>
        </w:rPr>
        <w:t>أنهم حصلوا عليها سابقا</w:t>
      </w:r>
      <w:r>
        <w:rPr>
          <w:rFonts w:hint="cs"/>
          <w:rtl/>
        </w:rPr>
        <w:t xml:space="preserve"> من باب الخطأ </w:t>
      </w:r>
      <w:r w:rsidR="0097447C">
        <w:rPr>
          <w:rFonts w:hint="cs"/>
          <w:rtl/>
        </w:rPr>
        <w:t>أصلا</w:t>
      </w:r>
      <w:r>
        <w:rPr>
          <w:rFonts w:hint="cs"/>
          <w:rtl/>
        </w:rPr>
        <w:t xml:space="preserve">. </w:t>
      </w:r>
      <w:proofErr w:type="gramStart"/>
      <w:r>
        <w:rPr>
          <w:rFonts w:hint="cs"/>
          <w:rtl/>
        </w:rPr>
        <w:t>وأخطرت</w:t>
      </w:r>
      <w:proofErr w:type="gramEnd"/>
      <w:r w:rsidR="00555602">
        <w:rPr>
          <w:rFonts w:hint="cs"/>
          <w:rtl/>
        </w:rPr>
        <w:t xml:space="preserve"> هذه</w:t>
      </w:r>
      <w:r>
        <w:rPr>
          <w:rFonts w:hint="cs"/>
          <w:rtl/>
        </w:rPr>
        <w:t xml:space="preserve"> المنظمة </w:t>
      </w:r>
      <w:r w:rsidR="00BB365B">
        <w:rPr>
          <w:rFonts w:hint="cs"/>
          <w:rtl/>
        </w:rPr>
        <w:t>المدعي بأنه لن يع</w:t>
      </w:r>
      <w:r w:rsidR="0097447C">
        <w:rPr>
          <w:rFonts w:hint="cs"/>
          <w:rtl/>
        </w:rPr>
        <w:t>و</w:t>
      </w:r>
      <w:r w:rsidR="00BB365B">
        <w:rPr>
          <w:rFonts w:hint="cs"/>
          <w:rtl/>
        </w:rPr>
        <w:t xml:space="preserve">د من حقه </w:t>
      </w:r>
      <w:r w:rsidR="00555602">
        <w:rPr>
          <w:rFonts w:hint="cs"/>
          <w:rtl/>
        </w:rPr>
        <w:t>الحصول</w:t>
      </w:r>
      <w:r w:rsidR="00BB365B">
        <w:rPr>
          <w:rFonts w:hint="cs"/>
          <w:rtl/>
        </w:rPr>
        <w:t xml:space="preserve"> </w:t>
      </w:r>
      <w:r w:rsidR="00555602">
        <w:rPr>
          <w:rFonts w:hint="cs"/>
          <w:rtl/>
        </w:rPr>
        <w:t xml:space="preserve">على </w:t>
      </w:r>
      <w:r w:rsidR="00BB365B">
        <w:rPr>
          <w:rFonts w:hint="cs"/>
          <w:rtl/>
        </w:rPr>
        <w:t>بدل التعليم في السنة الدراسية التالية، لأن البدل د</w:t>
      </w:r>
      <w:r w:rsidR="00294852">
        <w:rPr>
          <w:rFonts w:hint="cs"/>
          <w:rtl/>
        </w:rPr>
        <w:t>ُ</w:t>
      </w:r>
      <w:r w:rsidR="00BB365B">
        <w:rPr>
          <w:rFonts w:hint="cs"/>
          <w:rtl/>
        </w:rPr>
        <w:t xml:space="preserve">فع من باب الخطأ في السابق. </w:t>
      </w:r>
      <w:proofErr w:type="gramStart"/>
      <w:r w:rsidR="00294852" w:rsidRPr="00B97FA8">
        <w:rPr>
          <w:rFonts w:hint="cs"/>
          <w:rtl/>
        </w:rPr>
        <w:t>وأ</w:t>
      </w:r>
      <w:r w:rsidR="00C41B95" w:rsidRPr="00B97FA8">
        <w:rPr>
          <w:rFonts w:hint="cs"/>
          <w:rtl/>
        </w:rPr>
        <w:t>ود</w:t>
      </w:r>
      <w:r w:rsidR="00294852" w:rsidRPr="00B97FA8">
        <w:rPr>
          <w:rFonts w:hint="cs"/>
          <w:rtl/>
        </w:rPr>
        <w:t>ع</w:t>
      </w:r>
      <w:proofErr w:type="gramEnd"/>
      <w:r w:rsidR="00BB365B" w:rsidRPr="00B97FA8">
        <w:rPr>
          <w:rFonts w:hint="cs"/>
          <w:rtl/>
        </w:rPr>
        <w:t xml:space="preserve"> المدعي </w:t>
      </w:r>
      <w:r w:rsidR="00294852" w:rsidRPr="00B97FA8">
        <w:rPr>
          <w:rFonts w:hint="cs"/>
          <w:rtl/>
        </w:rPr>
        <w:t>طعنا داخليا</w:t>
      </w:r>
      <w:r w:rsidR="00294852">
        <w:rPr>
          <w:rFonts w:hint="cs"/>
          <w:rtl/>
        </w:rPr>
        <w:t xml:space="preserve"> وبناء عليه</w:t>
      </w:r>
      <w:r w:rsidR="00BB365B">
        <w:rPr>
          <w:rFonts w:hint="cs"/>
          <w:rtl/>
        </w:rPr>
        <w:t xml:space="preserve"> اتخذ قرار جديد بمنح البدل حتى نهاية المرحلة الدراسية لطفله المعال.</w:t>
      </w:r>
      <w:r w:rsidR="00207646">
        <w:rPr>
          <w:rStyle w:val="FootnoteReference"/>
          <w:rtl/>
        </w:rPr>
        <w:footnoteReference w:id="19"/>
      </w:r>
      <w:r w:rsidR="000E7CDB">
        <w:rPr>
          <w:rFonts w:hint="cs"/>
          <w:rtl/>
        </w:rPr>
        <w:t xml:space="preserve"> </w:t>
      </w:r>
      <w:proofErr w:type="gramStart"/>
      <w:r w:rsidR="000E7CDB">
        <w:rPr>
          <w:rFonts w:hint="cs"/>
          <w:rtl/>
        </w:rPr>
        <w:t>وتأكيدا</w:t>
      </w:r>
      <w:proofErr w:type="gramEnd"/>
      <w:r w:rsidR="000E7CDB">
        <w:rPr>
          <w:rFonts w:hint="cs"/>
          <w:rtl/>
        </w:rPr>
        <w:t xml:space="preserve"> على </w:t>
      </w:r>
      <w:r w:rsidR="00181C33">
        <w:rPr>
          <w:rFonts w:hint="cs"/>
          <w:rtl/>
        </w:rPr>
        <w:t>مشروعية</w:t>
      </w:r>
      <w:r w:rsidR="00294852">
        <w:rPr>
          <w:rFonts w:hint="cs"/>
          <w:rtl/>
        </w:rPr>
        <w:t xml:space="preserve"> </w:t>
      </w:r>
      <w:r w:rsidR="000E7CDB">
        <w:rPr>
          <w:rFonts w:hint="cs"/>
          <w:rtl/>
        </w:rPr>
        <w:t>قرار وقف دفع بدل التعليم، أوضحت ال</w:t>
      </w:r>
      <w:r w:rsidR="00D82966">
        <w:rPr>
          <w:rFonts w:hint="cs"/>
          <w:rtl/>
        </w:rPr>
        <w:t>م</w:t>
      </w:r>
      <w:r w:rsidR="000E7CDB">
        <w:rPr>
          <w:rFonts w:hint="cs"/>
          <w:rtl/>
        </w:rPr>
        <w:t xml:space="preserve">حكمة أنه </w:t>
      </w:r>
      <w:r w:rsidR="00294852">
        <w:rPr>
          <w:rFonts w:hint="cs"/>
          <w:rtl/>
        </w:rPr>
        <w:t>ما من</w:t>
      </w:r>
      <w:r w:rsidR="000E7CDB">
        <w:rPr>
          <w:rFonts w:hint="cs"/>
          <w:rtl/>
        </w:rPr>
        <w:t xml:space="preserve"> </w:t>
      </w:r>
      <w:r w:rsidR="00294852">
        <w:rPr>
          <w:rFonts w:hint="cs"/>
          <w:rtl/>
        </w:rPr>
        <w:t xml:space="preserve">تعدٍ </w:t>
      </w:r>
      <w:r w:rsidR="00BD697A">
        <w:rPr>
          <w:rFonts w:hint="cs"/>
          <w:rtl/>
        </w:rPr>
        <w:t xml:space="preserve">قد وقع </w:t>
      </w:r>
      <w:r w:rsidR="00294852">
        <w:rPr>
          <w:rFonts w:hint="cs"/>
          <w:rtl/>
        </w:rPr>
        <w:t xml:space="preserve">على </w:t>
      </w:r>
      <w:r w:rsidR="000E7CDB">
        <w:rPr>
          <w:rFonts w:hint="cs"/>
          <w:rtl/>
        </w:rPr>
        <w:t xml:space="preserve">حق مكتسب </w:t>
      </w:r>
      <w:r w:rsidR="00BD697A">
        <w:rPr>
          <w:rFonts w:hint="cs"/>
          <w:rtl/>
        </w:rPr>
        <w:t xml:space="preserve">وما من </w:t>
      </w:r>
      <w:r w:rsidR="000E7CDB">
        <w:rPr>
          <w:rFonts w:hint="cs"/>
          <w:rtl/>
        </w:rPr>
        <w:t xml:space="preserve">توقع مشروع </w:t>
      </w:r>
      <w:r w:rsidR="00294852">
        <w:rPr>
          <w:rFonts w:hint="cs"/>
          <w:rtl/>
        </w:rPr>
        <w:t>ل</w:t>
      </w:r>
      <w:r w:rsidR="000E7CDB">
        <w:rPr>
          <w:rFonts w:hint="cs"/>
          <w:rtl/>
        </w:rPr>
        <w:t>استمرار الحال كما كان عليه. وإضافة إلى ذلك، أحاطت المحكمة علما مع المو</w:t>
      </w:r>
      <w:r w:rsidR="00294852">
        <w:rPr>
          <w:rFonts w:hint="cs"/>
          <w:rtl/>
        </w:rPr>
        <w:t>ا</w:t>
      </w:r>
      <w:r w:rsidR="000E7CDB">
        <w:rPr>
          <w:rFonts w:hint="cs"/>
          <w:rtl/>
        </w:rPr>
        <w:t xml:space="preserve">فقة </w:t>
      </w:r>
      <w:r w:rsidR="00BD697A">
        <w:rPr>
          <w:rFonts w:hint="cs"/>
          <w:rtl/>
        </w:rPr>
        <w:t>ب</w:t>
      </w:r>
      <w:r w:rsidR="000E7CDB">
        <w:rPr>
          <w:rFonts w:hint="cs"/>
          <w:rtl/>
        </w:rPr>
        <w:t xml:space="preserve">أن المنظمة المعنية لم توقف دفع البدل </w:t>
      </w:r>
      <w:proofErr w:type="gramStart"/>
      <w:r w:rsidR="000E7CDB">
        <w:rPr>
          <w:rFonts w:hint="cs"/>
          <w:rtl/>
        </w:rPr>
        <w:t>فورا</w:t>
      </w:r>
      <w:r w:rsidR="000E7CDB">
        <w:rPr>
          <w:rStyle w:val="FootnoteReference"/>
          <w:rtl/>
        </w:rPr>
        <w:footnoteReference w:id="20"/>
      </w:r>
      <w:r w:rsidR="00BD697A">
        <w:rPr>
          <w:rFonts w:hint="cs"/>
          <w:rtl/>
        </w:rPr>
        <w:t xml:space="preserve"> بل</w:t>
      </w:r>
      <w:proofErr w:type="gramEnd"/>
      <w:r w:rsidR="00BD697A">
        <w:rPr>
          <w:rFonts w:hint="cs"/>
          <w:rtl/>
        </w:rPr>
        <w:t xml:space="preserve"> انتظرت حتى ا</w:t>
      </w:r>
      <w:r w:rsidR="00104928">
        <w:rPr>
          <w:rFonts w:hint="cs"/>
          <w:rtl/>
        </w:rPr>
        <w:t xml:space="preserve">ستكمل الطفل المرحلة </w:t>
      </w:r>
      <w:r w:rsidR="00BD697A">
        <w:rPr>
          <w:rFonts w:hint="cs"/>
          <w:rtl/>
        </w:rPr>
        <w:t>التعليمية</w:t>
      </w:r>
      <w:r w:rsidR="00104928">
        <w:rPr>
          <w:rFonts w:hint="cs"/>
          <w:rtl/>
        </w:rPr>
        <w:t>.</w:t>
      </w:r>
    </w:p>
    <w:p w:rsidR="00104928" w:rsidRPr="000D081D" w:rsidRDefault="00D77802" w:rsidP="009E5DE6">
      <w:pPr>
        <w:pStyle w:val="Heading1AR"/>
        <w:spacing w:after="240" w:line="360" w:lineRule="exact"/>
        <w:ind w:left="850" w:hanging="850"/>
        <w:rPr>
          <w:rtl/>
        </w:rPr>
      </w:pPr>
      <w:r w:rsidRPr="00260A2A">
        <w:rPr>
          <w:rFonts w:hint="cs"/>
          <w:rtl/>
        </w:rPr>
        <w:lastRenderedPageBreak/>
        <w:t>خامسا.</w:t>
      </w:r>
      <w:r w:rsidRPr="00260A2A">
        <w:rPr>
          <w:rFonts w:hint="cs"/>
          <w:rtl/>
        </w:rPr>
        <w:tab/>
      </w:r>
      <w:proofErr w:type="gramStart"/>
      <w:r w:rsidR="00C63736" w:rsidRPr="00260A2A">
        <w:rPr>
          <w:rFonts w:hint="cs"/>
          <w:rtl/>
        </w:rPr>
        <w:t>التدابير</w:t>
      </w:r>
      <w:proofErr w:type="gramEnd"/>
      <w:r w:rsidRPr="00260A2A">
        <w:rPr>
          <w:rFonts w:hint="cs"/>
          <w:rtl/>
        </w:rPr>
        <w:t xml:space="preserve"> الانتقالية</w:t>
      </w:r>
    </w:p>
    <w:p w:rsidR="00973880" w:rsidRDefault="00973880" w:rsidP="0097447C">
      <w:pPr>
        <w:pStyle w:val="NumberedParaAR"/>
      </w:pPr>
      <w:r>
        <w:rPr>
          <w:rFonts w:hint="cs"/>
          <w:rtl/>
        </w:rPr>
        <w:t xml:space="preserve">لا شك في أن مقاربة المنظمة المعنية الموضحة في الفقرة السابقة لا تشوبها شائبة (وأكدت المحكمة على ذلك) </w:t>
      </w:r>
      <w:r w:rsidR="00BD697A">
        <w:rPr>
          <w:rFonts w:hint="cs"/>
          <w:rtl/>
        </w:rPr>
        <w:t>علما</w:t>
      </w:r>
      <w:r>
        <w:rPr>
          <w:rFonts w:hint="cs"/>
          <w:rtl/>
        </w:rPr>
        <w:t xml:space="preserve"> </w:t>
      </w:r>
      <w:r w:rsidR="00BD697A">
        <w:rPr>
          <w:rFonts w:hint="cs"/>
          <w:rtl/>
        </w:rPr>
        <w:t>بأن</w:t>
      </w:r>
      <w:r>
        <w:rPr>
          <w:rFonts w:hint="cs"/>
          <w:rtl/>
        </w:rPr>
        <w:t xml:space="preserve"> قرار </w:t>
      </w:r>
      <w:r w:rsidR="00BD697A">
        <w:rPr>
          <w:rFonts w:hint="cs"/>
          <w:rtl/>
        </w:rPr>
        <w:t>تسجيل</w:t>
      </w:r>
      <w:r>
        <w:rPr>
          <w:rFonts w:hint="cs"/>
          <w:rtl/>
        </w:rPr>
        <w:t xml:space="preserve"> الطفل </w:t>
      </w:r>
      <w:r w:rsidR="00BD697A">
        <w:rPr>
          <w:rFonts w:hint="cs"/>
          <w:rtl/>
        </w:rPr>
        <w:t xml:space="preserve">في </w:t>
      </w:r>
      <w:r w:rsidR="007B32D3">
        <w:rPr>
          <w:rFonts w:hint="cs"/>
          <w:rtl/>
        </w:rPr>
        <w:t>مؤسسة تعل</w:t>
      </w:r>
      <w:r>
        <w:rPr>
          <w:rFonts w:hint="cs"/>
          <w:rtl/>
        </w:rPr>
        <w:t>ي</w:t>
      </w:r>
      <w:r w:rsidR="007B32D3">
        <w:rPr>
          <w:rFonts w:hint="cs"/>
          <w:rtl/>
        </w:rPr>
        <w:t>م</w:t>
      </w:r>
      <w:r>
        <w:rPr>
          <w:rFonts w:hint="cs"/>
          <w:rtl/>
        </w:rPr>
        <w:t>ية محددة يمثل بوجه عام التزاما</w:t>
      </w:r>
      <w:r w:rsidR="00B97FA8">
        <w:rPr>
          <w:rFonts w:hint="cs"/>
          <w:rtl/>
        </w:rPr>
        <w:t xml:space="preserve"> على</w:t>
      </w:r>
      <w:r>
        <w:rPr>
          <w:rFonts w:hint="cs"/>
          <w:rtl/>
        </w:rPr>
        <w:t xml:space="preserve"> </w:t>
      </w:r>
      <w:r w:rsidR="00B97FA8">
        <w:rPr>
          <w:rFonts w:hint="cs"/>
          <w:rtl/>
        </w:rPr>
        <w:t xml:space="preserve">المدى البعيد </w:t>
      </w:r>
      <w:r>
        <w:rPr>
          <w:rFonts w:hint="cs"/>
          <w:rtl/>
        </w:rPr>
        <w:t xml:space="preserve">(أي أنه </w:t>
      </w:r>
      <w:r w:rsidR="00BD697A">
        <w:rPr>
          <w:rFonts w:hint="cs"/>
          <w:rtl/>
        </w:rPr>
        <w:t xml:space="preserve">يزيد </w:t>
      </w:r>
      <w:r w:rsidR="0097447C">
        <w:rPr>
          <w:rFonts w:hint="cs"/>
          <w:rtl/>
        </w:rPr>
        <w:t>عن</w:t>
      </w:r>
      <w:r>
        <w:rPr>
          <w:rFonts w:hint="cs"/>
          <w:rtl/>
        </w:rPr>
        <w:t xml:space="preserve"> سنة دراسية واحدة مثلا)، </w:t>
      </w:r>
      <w:r w:rsidR="005975E5">
        <w:rPr>
          <w:rFonts w:hint="cs"/>
          <w:rtl/>
        </w:rPr>
        <w:t>و</w:t>
      </w:r>
      <w:r w:rsidR="00BD697A">
        <w:rPr>
          <w:rFonts w:hint="cs"/>
          <w:rtl/>
        </w:rPr>
        <w:t>من المتوقع</w:t>
      </w:r>
      <w:r>
        <w:rPr>
          <w:rFonts w:hint="cs"/>
          <w:rtl/>
        </w:rPr>
        <w:t xml:space="preserve"> أن يستكمل الطفل مرحلته الدراسية في المؤسسة </w:t>
      </w:r>
      <w:r w:rsidR="00BD697A">
        <w:rPr>
          <w:rFonts w:hint="cs"/>
          <w:rtl/>
        </w:rPr>
        <w:t xml:space="preserve">نفسها </w:t>
      </w:r>
      <w:r>
        <w:rPr>
          <w:rFonts w:hint="cs"/>
          <w:rtl/>
        </w:rPr>
        <w:t xml:space="preserve">(سواء كانت ابتدائية أو ثانوية أو ما بعد </w:t>
      </w:r>
      <w:r w:rsidR="00BD697A">
        <w:rPr>
          <w:rFonts w:hint="cs"/>
          <w:rtl/>
        </w:rPr>
        <w:t xml:space="preserve">المرحلة </w:t>
      </w:r>
      <w:r>
        <w:rPr>
          <w:rFonts w:hint="cs"/>
          <w:rtl/>
        </w:rPr>
        <w:t>الثانوي</w:t>
      </w:r>
      <w:r w:rsidR="00BD697A">
        <w:rPr>
          <w:rFonts w:hint="cs"/>
          <w:rtl/>
        </w:rPr>
        <w:t>ة</w:t>
      </w:r>
      <w:r>
        <w:rPr>
          <w:rFonts w:hint="cs"/>
          <w:rtl/>
        </w:rPr>
        <w:t xml:space="preserve">). ولو علم الموظفون أن دفع منحة التعليم سيتوقف قبل أن ينتهي طفلهم من </w:t>
      </w:r>
      <w:r w:rsidR="00D82966">
        <w:rPr>
          <w:rFonts w:hint="cs"/>
          <w:rtl/>
        </w:rPr>
        <w:t xml:space="preserve">إحدى </w:t>
      </w:r>
      <w:r w:rsidR="00BD697A">
        <w:rPr>
          <w:rFonts w:hint="cs"/>
          <w:rtl/>
        </w:rPr>
        <w:t>المراحل ال</w:t>
      </w:r>
      <w:r>
        <w:rPr>
          <w:rFonts w:hint="cs"/>
          <w:rtl/>
        </w:rPr>
        <w:t xml:space="preserve">دراسية لربما اختلف اختيارهم في وقت </w:t>
      </w:r>
      <w:r w:rsidR="00BD697A">
        <w:rPr>
          <w:rFonts w:hint="cs"/>
          <w:rtl/>
        </w:rPr>
        <w:t>تسجيل</w:t>
      </w:r>
      <w:r>
        <w:rPr>
          <w:rFonts w:hint="cs"/>
          <w:rtl/>
        </w:rPr>
        <w:t xml:space="preserve"> طفلهم</w:t>
      </w:r>
      <w:r w:rsidR="00BD697A">
        <w:rPr>
          <w:rFonts w:hint="cs"/>
          <w:rtl/>
        </w:rPr>
        <w:t xml:space="preserve"> في المؤسسة</w:t>
      </w:r>
      <w:r>
        <w:rPr>
          <w:rFonts w:hint="cs"/>
          <w:rtl/>
        </w:rPr>
        <w:t>.</w:t>
      </w:r>
    </w:p>
    <w:p w:rsidR="00973880" w:rsidRDefault="00973880" w:rsidP="00FB0FDC">
      <w:pPr>
        <w:pStyle w:val="NumberedParaAR"/>
      </w:pPr>
      <w:proofErr w:type="gramStart"/>
      <w:r>
        <w:rPr>
          <w:rFonts w:hint="cs"/>
          <w:rtl/>
        </w:rPr>
        <w:t>لذا</w:t>
      </w:r>
      <w:proofErr w:type="gramEnd"/>
      <w:r>
        <w:rPr>
          <w:rFonts w:hint="cs"/>
          <w:rtl/>
        </w:rPr>
        <w:t xml:space="preserve"> يبدو من المناسب إضافة هذا التدبير الانتقالي في نظام الموظفين ولائحته ليدخل حيز النفاذ في</w:t>
      </w:r>
      <w:r w:rsidR="00FE17B0">
        <w:rPr>
          <w:rFonts w:hint="eastAsia"/>
          <w:rtl/>
        </w:rPr>
        <w:t> </w:t>
      </w:r>
      <w:r>
        <w:rPr>
          <w:rFonts w:hint="cs"/>
          <w:rtl/>
        </w:rPr>
        <w:t>1 يناير 2017</w:t>
      </w:r>
      <w:r w:rsidR="00FE17B0">
        <w:rPr>
          <w:rFonts w:hint="eastAsia"/>
          <w:rtl/>
        </w:rPr>
        <w:t> </w:t>
      </w:r>
      <w:r>
        <w:rPr>
          <w:rFonts w:hint="cs"/>
          <w:rtl/>
        </w:rPr>
        <w:t xml:space="preserve">(وتحديدا في المادة 5.12 وهي الجزء الذي </w:t>
      </w:r>
      <w:r w:rsidR="005975E5">
        <w:rPr>
          <w:rFonts w:hint="cs"/>
          <w:rtl/>
        </w:rPr>
        <w:t>يتناول</w:t>
      </w:r>
      <w:r>
        <w:rPr>
          <w:rFonts w:hint="cs"/>
          <w:rtl/>
        </w:rPr>
        <w:t xml:space="preserve"> التدابير الانتقالية):</w:t>
      </w:r>
    </w:p>
    <w:p w:rsidR="00973880" w:rsidRDefault="00973880" w:rsidP="00A30034">
      <w:pPr>
        <w:pStyle w:val="NumberedParaAR"/>
        <w:numPr>
          <w:ilvl w:val="0"/>
          <w:numId w:val="0"/>
        </w:numPr>
        <w:ind w:left="566"/>
        <w:rPr>
          <w:rtl/>
        </w:rPr>
      </w:pPr>
      <w:r>
        <w:rPr>
          <w:rFonts w:hint="cs"/>
          <w:rtl/>
        </w:rPr>
        <w:t xml:space="preserve">"بصرف النظر عن المادة 14.3(أ)، </w:t>
      </w:r>
      <w:r w:rsidR="00BF087C">
        <w:rPr>
          <w:rFonts w:hint="cs"/>
          <w:rtl/>
        </w:rPr>
        <w:t>فإن الموظفي</w:t>
      </w:r>
      <w:r>
        <w:rPr>
          <w:rFonts w:hint="cs"/>
          <w:rtl/>
        </w:rPr>
        <w:t xml:space="preserve">ن </w:t>
      </w:r>
      <w:r w:rsidR="00BF087C">
        <w:rPr>
          <w:rFonts w:hint="cs"/>
          <w:rtl/>
        </w:rPr>
        <w:t>المعينين تعيينا</w:t>
      </w:r>
      <w:r>
        <w:rPr>
          <w:rFonts w:hint="cs"/>
          <w:rtl/>
        </w:rPr>
        <w:t xml:space="preserve"> محدد </w:t>
      </w:r>
      <w:r w:rsidR="00BF087C">
        <w:rPr>
          <w:rFonts w:hint="cs"/>
          <w:rtl/>
        </w:rPr>
        <w:t>المدة</w:t>
      </w:r>
      <w:r>
        <w:rPr>
          <w:rFonts w:hint="cs"/>
          <w:rtl/>
        </w:rPr>
        <w:t xml:space="preserve"> أو مستمرا أو دائما</w:t>
      </w:r>
      <w:r w:rsidR="00BF087C">
        <w:rPr>
          <w:rFonts w:hint="cs"/>
          <w:rtl/>
        </w:rPr>
        <w:t xml:space="preserve"> لدى المكتب الدولي قبل</w:t>
      </w:r>
      <w:r w:rsidR="00BF087C" w:rsidRPr="00973880">
        <w:rPr>
          <w:rtl/>
        </w:rPr>
        <w:t xml:space="preserve"> 1</w:t>
      </w:r>
      <w:r w:rsidR="00BF087C">
        <w:rPr>
          <w:rFonts w:hint="cs"/>
          <w:rtl/>
        </w:rPr>
        <w:t> </w:t>
      </w:r>
      <w:r w:rsidR="00BF087C" w:rsidRPr="00973880">
        <w:rPr>
          <w:rtl/>
        </w:rPr>
        <w:t>يناير</w:t>
      </w:r>
      <w:r w:rsidR="00BF087C">
        <w:rPr>
          <w:rFonts w:hint="cs"/>
          <w:rtl/>
        </w:rPr>
        <w:t> </w:t>
      </w:r>
      <w:r w:rsidR="00BF087C" w:rsidRPr="00973880">
        <w:rPr>
          <w:rtl/>
        </w:rPr>
        <w:t>2016</w:t>
      </w:r>
      <w:r w:rsidR="00BF087C" w:rsidRPr="00BF087C">
        <w:rPr>
          <w:rtl/>
        </w:rPr>
        <w:t xml:space="preserve"> </w:t>
      </w:r>
      <w:r w:rsidR="00BF087C" w:rsidRPr="00973880">
        <w:rPr>
          <w:rtl/>
        </w:rPr>
        <w:t xml:space="preserve">وكانوا في ذلك </w:t>
      </w:r>
      <w:r w:rsidR="00BF087C" w:rsidRPr="0065185A">
        <w:rPr>
          <w:rtl/>
        </w:rPr>
        <w:t xml:space="preserve">الوقت يقيمون ولكن لا يعملون في وطنهم </w:t>
      </w:r>
      <w:r w:rsidR="00BF087C" w:rsidRPr="0065185A">
        <w:rPr>
          <w:rFonts w:hint="cs"/>
          <w:rtl/>
        </w:rPr>
        <w:t xml:space="preserve">ويتلقون منحة </w:t>
      </w:r>
      <w:r w:rsidR="00105373">
        <w:rPr>
          <w:rFonts w:hint="cs"/>
          <w:rtl/>
        </w:rPr>
        <w:t>ال</w:t>
      </w:r>
      <w:r w:rsidR="00BF087C" w:rsidRPr="0065185A">
        <w:rPr>
          <w:rFonts w:hint="cs"/>
          <w:rtl/>
        </w:rPr>
        <w:t>تعليم ل</w:t>
      </w:r>
      <w:r w:rsidR="005975E5" w:rsidRPr="0065185A">
        <w:rPr>
          <w:rFonts w:hint="cs"/>
          <w:rtl/>
        </w:rPr>
        <w:t>تغطية ا</w:t>
      </w:r>
      <w:r w:rsidR="00BF087C" w:rsidRPr="0065185A">
        <w:rPr>
          <w:rFonts w:hint="cs"/>
          <w:rtl/>
        </w:rPr>
        <w:t xml:space="preserve">لمصروفات </w:t>
      </w:r>
      <w:r w:rsidR="000D1011" w:rsidRPr="0065185A">
        <w:rPr>
          <w:rFonts w:hint="cs"/>
          <w:rtl/>
        </w:rPr>
        <w:t>المتكبدة حتى 31 ديسمبر 2</w:t>
      </w:r>
      <w:r w:rsidR="00407D5F" w:rsidRPr="0065185A">
        <w:rPr>
          <w:rFonts w:hint="cs"/>
          <w:rtl/>
        </w:rPr>
        <w:t>016</w:t>
      </w:r>
      <w:r w:rsidR="005975E5" w:rsidRPr="0065185A">
        <w:rPr>
          <w:rFonts w:hint="cs"/>
          <w:rtl/>
        </w:rPr>
        <w:t xml:space="preserve"> </w:t>
      </w:r>
      <w:r w:rsidR="0065185A" w:rsidRPr="0065185A">
        <w:rPr>
          <w:rFonts w:hint="cs"/>
          <w:rtl/>
        </w:rPr>
        <w:t>بما يشمل</w:t>
      </w:r>
      <w:r w:rsidR="005975E5" w:rsidRPr="0065185A">
        <w:rPr>
          <w:rFonts w:hint="cs"/>
          <w:rtl/>
        </w:rPr>
        <w:t xml:space="preserve"> هذا التاريخ</w:t>
      </w:r>
      <w:r w:rsidR="00CA57C2">
        <w:rPr>
          <w:rFonts w:hint="cs"/>
          <w:rtl/>
        </w:rPr>
        <w:t xml:space="preserve">، </w:t>
      </w:r>
      <w:r w:rsidR="00BF087C" w:rsidRPr="00973880">
        <w:rPr>
          <w:rtl/>
        </w:rPr>
        <w:t>يحتفظون ب</w:t>
      </w:r>
      <w:r w:rsidR="00CA57C2">
        <w:rPr>
          <w:rFonts w:hint="cs"/>
          <w:rtl/>
        </w:rPr>
        <w:t>ال</w:t>
      </w:r>
      <w:r w:rsidR="00BF087C" w:rsidRPr="00973880">
        <w:rPr>
          <w:rtl/>
        </w:rPr>
        <w:t xml:space="preserve">حق </w:t>
      </w:r>
      <w:r w:rsidR="00CA57C2">
        <w:rPr>
          <w:rFonts w:hint="cs"/>
          <w:rtl/>
        </w:rPr>
        <w:t xml:space="preserve">في </w:t>
      </w:r>
      <w:r w:rsidR="00390FE9">
        <w:rPr>
          <w:rFonts w:hint="cs"/>
          <w:rtl/>
        </w:rPr>
        <w:t>تلقي</w:t>
      </w:r>
      <w:r w:rsidR="00BF087C" w:rsidRPr="00973880">
        <w:rPr>
          <w:rtl/>
        </w:rPr>
        <w:t xml:space="preserve"> منحة </w:t>
      </w:r>
      <w:r w:rsidR="00407D5F">
        <w:rPr>
          <w:rFonts w:hint="cs"/>
          <w:rtl/>
        </w:rPr>
        <w:t>التعليم</w:t>
      </w:r>
      <w:r w:rsidR="00BF087C" w:rsidRPr="00973880">
        <w:rPr>
          <w:rtl/>
        </w:rPr>
        <w:t xml:space="preserve"> </w:t>
      </w:r>
      <w:r w:rsidR="00CA57C2">
        <w:rPr>
          <w:rFonts w:hint="cs"/>
          <w:rtl/>
        </w:rPr>
        <w:t>حتى</w:t>
      </w:r>
      <w:r w:rsidR="00390FE9">
        <w:rPr>
          <w:rFonts w:hint="cs"/>
          <w:rtl/>
        </w:rPr>
        <w:t xml:space="preserve"> </w:t>
      </w:r>
      <w:r w:rsidR="00140D34">
        <w:rPr>
          <w:rFonts w:hint="cs"/>
          <w:rtl/>
        </w:rPr>
        <w:t>يستكمل الطفل المرحلة الدراسية</w:t>
      </w:r>
      <w:r w:rsidR="00012432">
        <w:rPr>
          <w:rFonts w:hint="cs"/>
          <w:rtl/>
        </w:rPr>
        <w:t xml:space="preserve"> في المؤسسة ال</w:t>
      </w:r>
      <w:r w:rsidR="00C84F8E">
        <w:rPr>
          <w:rFonts w:hint="cs"/>
          <w:rtl/>
        </w:rPr>
        <w:t xml:space="preserve">تعليمية </w:t>
      </w:r>
      <w:r w:rsidR="00105373">
        <w:rPr>
          <w:rFonts w:hint="cs"/>
          <w:rtl/>
        </w:rPr>
        <w:t>ال</w:t>
      </w:r>
      <w:r w:rsidR="00FE17B0">
        <w:rPr>
          <w:rFonts w:hint="cs"/>
          <w:rtl/>
        </w:rPr>
        <w:t>ت</w:t>
      </w:r>
      <w:r w:rsidR="00105373">
        <w:rPr>
          <w:rFonts w:hint="cs"/>
          <w:rtl/>
        </w:rPr>
        <w:t>ي التحق بها</w:t>
      </w:r>
      <w:r w:rsidR="00C84F8E">
        <w:rPr>
          <w:rFonts w:hint="cs"/>
          <w:rtl/>
        </w:rPr>
        <w:t xml:space="preserve"> </w:t>
      </w:r>
      <w:r w:rsidR="00105373">
        <w:rPr>
          <w:rFonts w:hint="cs"/>
          <w:rtl/>
        </w:rPr>
        <w:t>حتى</w:t>
      </w:r>
      <w:r w:rsidR="00C84F8E">
        <w:rPr>
          <w:rFonts w:hint="cs"/>
          <w:rtl/>
        </w:rPr>
        <w:t xml:space="preserve"> 31</w:t>
      </w:r>
      <w:r w:rsidR="00390FE9">
        <w:rPr>
          <w:rFonts w:hint="eastAsia"/>
          <w:rtl/>
        </w:rPr>
        <w:t> </w:t>
      </w:r>
      <w:r w:rsidR="00C84F8E">
        <w:rPr>
          <w:rFonts w:hint="cs"/>
          <w:rtl/>
        </w:rPr>
        <w:t>ديسمبر </w:t>
      </w:r>
      <w:r w:rsidR="00390FE9">
        <w:rPr>
          <w:rFonts w:hint="cs"/>
          <w:rtl/>
        </w:rPr>
        <w:t>2016</w:t>
      </w:r>
      <w:r w:rsidR="00C84F8E">
        <w:rPr>
          <w:rFonts w:hint="cs"/>
          <w:rtl/>
        </w:rPr>
        <w:t xml:space="preserve">، </w:t>
      </w:r>
      <w:r w:rsidR="00BF087C" w:rsidRPr="00973880">
        <w:rPr>
          <w:rtl/>
        </w:rPr>
        <w:t xml:space="preserve">مع </w:t>
      </w:r>
      <w:r w:rsidR="00C84F8E">
        <w:rPr>
          <w:rtl/>
        </w:rPr>
        <w:t>عدم الإخلال بشروط الأهلية الأخر</w:t>
      </w:r>
      <w:r w:rsidR="00C84F8E">
        <w:rPr>
          <w:rFonts w:hint="cs"/>
          <w:rtl/>
        </w:rPr>
        <w:t xml:space="preserve">ى. </w:t>
      </w:r>
      <w:proofErr w:type="gramStart"/>
      <w:r w:rsidR="00C84F8E">
        <w:rPr>
          <w:rFonts w:hint="cs"/>
          <w:rtl/>
        </w:rPr>
        <w:t>ولأغراض</w:t>
      </w:r>
      <w:proofErr w:type="gramEnd"/>
      <w:r w:rsidR="00C84F8E">
        <w:rPr>
          <w:rFonts w:hint="cs"/>
          <w:rtl/>
        </w:rPr>
        <w:t xml:space="preserve"> </w:t>
      </w:r>
      <w:r w:rsidR="00D82966">
        <w:rPr>
          <w:rFonts w:hint="cs"/>
          <w:rtl/>
        </w:rPr>
        <w:t xml:space="preserve">هذا </w:t>
      </w:r>
      <w:r w:rsidR="00C84F8E">
        <w:rPr>
          <w:rFonts w:hint="cs"/>
          <w:rtl/>
        </w:rPr>
        <w:t xml:space="preserve">الحكم، </w:t>
      </w:r>
      <w:r w:rsidR="00A30034">
        <w:rPr>
          <w:rFonts w:hint="cs"/>
          <w:rtl/>
        </w:rPr>
        <w:t>يقصد</w:t>
      </w:r>
      <w:r w:rsidR="00C84F8E">
        <w:rPr>
          <w:rFonts w:hint="cs"/>
          <w:rtl/>
        </w:rPr>
        <w:t xml:space="preserve"> بعبار</w:t>
      </w:r>
      <w:r w:rsidR="00AB53C2">
        <w:rPr>
          <w:rFonts w:hint="cs"/>
          <w:rtl/>
        </w:rPr>
        <w:t>ة</w:t>
      </w:r>
      <w:r w:rsidR="00C84F8E">
        <w:rPr>
          <w:rFonts w:hint="cs"/>
          <w:rtl/>
        </w:rPr>
        <w:t xml:space="preserve"> "المرحلة التعليمية" مرحلة التعليم الابتدائي أو الثانوي أو</w:t>
      </w:r>
      <w:r w:rsidR="00105373">
        <w:rPr>
          <w:rFonts w:hint="cs"/>
          <w:rtl/>
        </w:rPr>
        <w:t xml:space="preserve"> التعليم</w:t>
      </w:r>
      <w:r w:rsidR="00C84F8E">
        <w:rPr>
          <w:rFonts w:hint="cs"/>
          <w:rtl/>
        </w:rPr>
        <w:t xml:space="preserve"> ما بعد</w:t>
      </w:r>
      <w:r w:rsidR="00390FE9">
        <w:rPr>
          <w:rFonts w:hint="cs"/>
          <w:rtl/>
        </w:rPr>
        <w:t xml:space="preserve"> المرحلة</w:t>
      </w:r>
      <w:r w:rsidR="00C84F8E">
        <w:rPr>
          <w:rFonts w:hint="cs"/>
          <w:rtl/>
        </w:rPr>
        <w:t xml:space="preserve"> الثانوي</w:t>
      </w:r>
      <w:r w:rsidR="00390FE9">
        <w:rPr>
          <w:rFonts w:hint="cs"/>
          <w:rtl/>
        </w:rPr>
        <w:t>ة</w:t>
      </w:r>
      <w:r w:rsidR="00C84F8E">
        <w:rPr>
          <w:rFonts w:hint="cs"/>
          <w:rtl/>
        </w:rPr>
        <w:t>"</w:t>
      </w:r>
      <w:r w:rsidR="00BF087C" w:rsidRPr="00973880">
        <w:rPr>
          <w:rtl/>
        </w:rPr>
        <w:t>.</w:t>
      </w:r>
    </w:p>
    <w:p w:rsidR="00BF087C" w:rsidRDefault="00170B7A" w:rsidP="00A30034">
      <w:pPr>
        <w:pStyle w:val="NumberedParaAR"/>
      </w:pPr>
      <w:r>
        <w:rPr>
          <w:rFonts w:hint="cs"/>
          <w:rtl/>
        </w:rPr>
        <w:t xml:space="preserve">وهذا التدبير الانتقالي </w:t>
      </w:r>
      <w:r w:rsidR="007B32D3">
        <w:rPr>
          <w:rFonts w:hint="cs"/>
          <w:rtl/>
        </w:rPr>
        <w:t>محدود زمنيا</w:t>
      </w:r>
      <w:r w:rsidR="00C31FD2">
        <w:rPr>
          <w:rFonts w:hint="cs"/>
          <w:rtl/>
        </w:rPr>
        <w:t xml:space="preserve">. </w:t>
      </w:r>
      <w:r w:rsidR="00EA615F">
        <w:rPr>
          <w:rFonts w:hint="cs"/>
          <w:rtl/>
        </w:rPr>
        <w:t xml:space="preserve">ويستغرق </w:t>
      </w:r>
      <w:r w:rsidR="00C31FD2">
        <w:rPr>
          <w:rFonts w:hint="cs"/>
          <w:rtl/>
        </w:rPr>
        <w:t xml:space="preserve">التعليم الابتدائي أو </w:t>
      </w:r>
      <w:proofErr w:type="gramStart"/>
      <w:r w:rsidR="00C31FD2">
        <w:rPr>
          <w:rFonts w:hint="cs"/>
          <w:rtl/>
        </w:rPr>
        <w:t>الثانوي</w:t>
      </w:r>
      <w:proofErr w:type="gramEnd"/>
      <w:r w:rsidR="00C31FD2">
        <w:rPr>
          <w:rFonts w:hint="cs"/>
          <w:rtl/>
        </w:rPr>
        <w:t xml:space="preserve"> </w:t>
      </w:r>
      <w:r w:rsidR="00D82D40">
        <w:rPr>
          <w:rFonts w:hint="cs"/>
          <w:rtl/>
        </w:rPr>
        <w:t>ست</w:t>
      </w:r>
      <w:r w:rsidR="00AB53C2">
        <w:rPr>
          <w:rFonts w:hint="eastAsia"/>
          <w:rtl/>
        </w:rPr>
        <w:t> </w:t>
      </w:r>
      <w:r w:rsidR="00C31FD2">
        <w:rPr>
          <w:rFonts w:hint="cs"/>
          <w:rtl/>
        </w:rPr>
        <w:t>سنوات</w:t>
      </w:r>
      <w:r w:rsidR="00D82D40" w:rsidRPr="00D82D40">
        <w:rPr>
          <w:rFonts w:hint="cs"/>
          <w:rtl/>
        </w:rPr>
        <w:t xml:space="preserve"> </w:t>
      </w:r>
      <w:r w:rsidR="00D82D40">
        <w:rPr>
          <w:rFonts w:hint="cs"/>
          <w:rtl/>
        </w:rPr>
        <w:t>عامة</w:t>
      </w:r>
      <w:r w:rsidR="00C31FD2">
        <w:rPr>
          <w:rFonts w:hint="cs"/>
          <w:rtl/>
        </w:rPr>
        <w:t xml:space="preserve">. </w:t>
      </w:r>
      <w:proofErr w:type="gramStart"/>
      <w:r w:rsidR="00A30034">
        <w:rPr>
          <w:rFonts w:hint="cs"/>
          <w:rtl/>
        </w:rPr>
        <w:t>و</w:t>
      </w:r>
      <w:r w:rsidR="001A6382">
        <w:rPr>
          <w:rFonts w:hint="cs"/>
          <w:rtl/>
        </w:rPr>
        <w:t>لا</w:t>
      </w:r>
      <w:proofErr w:type="gramEnd"/>
      <w:r w:rsidR="001A6382">
        <w:rPr>
          <w:rFonts w:hint="cs"/>
          <w:rtl/>
        </w:rPr>
        <w:t xml:space="preserve"> يجوز دفع منحة التعليم</w:t>
      </w:r>
      <w:r w:rsidR="00CB3B0C">
        <w:rPr>
          <w:rFonts w:hint="cs"/>
          <w:rtl/>
        </w:rPr>
        <w:t xml:space="preserve"> بعد السنة الرابعة </w:t>
      </w:r>
      <w:r w:rsidR="00EF255A">
        <w:rPr>
          <w:rFonts w:hint="cs"/>
          <w:rtl/>
        </w:rPr>
        <w:t xml:space="preserve">في </w:t>
      </w:r>
      <w:r w:rsidR="00EA615F">
        <w:rPr>
          <w:rFonts w:hint="cs"/>
          <w:rtl/>
        </w:rPr>
        <w:t xml:space="preserve">التعليم </w:t>
      </w:r>
      <w:r w:rsidR="00EF255A">
        <w:rPr>
          <w:rFonts w:hint="cs"/>
          <w:rtl/>
        </w:rPr>
        <w:t xml:space="preserve">ما </w:t>
      </w:r>
      <w:r w:rsidR="00CB3B0C">
        <w:rPr>
          <w:rFonts w:hint="cs"/>
          <w:rtl/>
        </w:rPr>
        <w:t xml:space="preserve">بعد </w:t>
      </w:r>
      <w:r w:rsidR="00D82D40">
        <w:rPr>
          <w:rFonts w:hint="cs"/>
          <w:rtl/>
        </w:rPr>
        <w:t>ال</w:t>
      </w:r>
      <w:r w:rsidR="00AB53C2">
        <w:rPr>
          <w:rFonts w:hint="cs"/>
          <w:rtl/>
        </w:rPr>
        <w:t xml:space="preserve">مرحلة </w:t>
      </w:r>
      <w:r w:rsidR="00CB3B0C">
        <w:rPr>
          <w:rFonts w:hint="cs"/>
          <w:rtl/>
        </w:rPr>
        <w:t>الثانوي</w:t>
      </w:r>
      <w:r w:rsidR="009A5242">
        <w:rPr>
          <w:rFonts w:hint="cs"/>
          <w:rtl/>
        </w:rPr>
        <w:t>ة</w:t>
      </w:r>
      <w:r w:rsidR="00CB3B0C">
        <w:rPr>
          <w:rFonts w:hint="cs"/>
          <w:rtl/>
        </w:rPr>
        <w:t xml:space="preserve">. </w:t>
      </w:r>
      <w:proofErr w:type="gramStart"/>
      <w:r w:rsidR="00CB3B0C">
        <w:rPr>
          <w:rFonts w:hint="cs"/>
          <w:rtl/>
        </w:rPr>
        <w:t>لذا</w:t>
      </w:r>
      <w:proofErr w:type="gramEnd"/>
      <w:r w:rsidR="00CB3B0C">
        <w:rPr>
          <w:rFonts w:hint="cs"/>
          <w:rtl/>
        </w:rPr>
        <w:t>،</w:t>
      </w:r>
      <w:r w:rsidR="000E6275">
        <w:rPr>
          <w:rFonts w:hint="cs"/>
          <w:rtl/>
        </w:rPr>
        <w:t xml:space="preserve"> ستبلغ</w:t>
      </w:r>
      <w:r w:rsidR="00CB3B0C">
        <w:rPr>
          <w:rFonts w:hint="cs"/>
          <w:rtl/>
        </w:rPr>
        <w:t xml:space="preserve"> </w:t>
      </w:r>
      <w:r w:rsidR="000E6275">
        <w:rPr>
          <w:rFonts w:hint="cs"/>
          <w:rtl/>
        </w:rPr>
        <w:t>أقصى مدة للاحتفاظ ب</w:t>
      </w:r>
      <w:r w:rsidR="00CB3B0C">
        <w:rPr>
          <w:rFonts w:hint="cs"/>
          <w:rtl/>
        </w:rPr>
        <w:t xml:space="preserve">التدبير الانتقالي حوالي خمس سنوات للطفل </w:t>
      </w:r>
      <w:r w:rsidR="00EA615F">
        <w:rPr>
          <w:rFonts w:hint="cs"/>
          <w:rtl/>
        </w:rPr>
        <w:t xml:space="preserve">المسجل </w:t>
      </w:r>
      <w:r w:rsidR="00CB3B0C">
        <w:rPr>
          <w:rFonts w:hint="cs"/>
          <w:rtl/>
        </w:rPr>
        <w:t>في التعليم الابتدائي أو الثانوي (</w:t>
      </w:r>
      <w:r w:rsidR="000F1FDD">
        <w:rPr>
          <w:rFonts w:hint="cs"/>
          <w:rtl/>
        </w:rPr>
        <w:t xml:space="preserve">مع افتراض </w:t>
      </w:r>
      <w:r w:rsidR="000E6275">
        <w:rPr>
          <w:rFonts w:hint="cs"/>
          <w:rtl/>
        </w:rPr>
        <w:t>تقدم</w:t>
      </w:r>
      <w:r w:rsidR="000F1FDD">
        <w:rPr>
          <w:rFonts w:hint="cs"/>
          <w:rtl/>
        </w:rPr>
        <w:t xml:space="preserve"> الطفل </w:t>
      </w:r>
      <w:r w:rsidR="00EA615F">
        <w:rPr>
          <w:rFonts w:hint="cs"/>
          <w:rtl/>
        </w:rPr>
        <w:t>بشكل</w:t>
      </w:r>
      <w:r w:rsidR="000F1FDD">
        <w:rPr>
          <w:rFonts w:hint="cs"/>
          <w:rtl/>
        </w:rPr>
        <w:t xml:space="preserve"> طبيعي في النظام </w:t>
      </w:r>
      <w:r w:rsidR="00EA615F">
        <w:rPr>
          <w:rFonts w:hint="cs"/>
          <w:rtl/>
        </w:rPr>
        <w:t>التعليمي</w:t>
      </w:r>
      <w:r w:rsidR="000F1FDD">
        <w:rPr>
          <w:rFonts w:hint="cs"/>
          <w:rtl/>
        </w:rPr>
        <w:t xml:space="preserve">) ولا </w:t>
      </w:r>
      <w:r w:rsidR="00F47351">
        <w:rPr>
          <w:rFonts w:hint="cs"/>
          <w:rtl/>
        </w:rPr>
        <w:t>ت</w:t>
      </w:r>
      <w:r w:rsidR="000F1FDD">
        <w:rPr>
          <w:rFonts w:hint="cs"/>
          <w:rtl/>
        </w:rPr>
        <w:t xml:space="preserve">تجاوز ثلاث سنوات للطفل </w:t>
      </w:r>
      <w:r w:rsidR="00F47351">
        <w:rPr>
          <w:rFonts w:hint="cs"/>
          <w:rtl/>
        </w:rPr>
        <w:t xml:space="preserve">المسجل </w:t>
      </w:r>
      <w:r w:rsidR="000F1FDD">
        <w:rPr>
          <w:rFonts w:hint="cs"/>
          <w:rtl/>
        </w:rPr>
        <w:t xml:space="preserve">في التعليم ما بعد </w:t>
      </w:r>
      <w:r w:rsidR="00EA615F">
        <w:rPr>
          <w:rFonts w:hint="cs"/>
          <w:rtl/>
        </w:rPr>
        <w:t xml:space="preserve">المرحلة </w:t>
      </w:r>
      <w:r w:rsidR="000F1FDD">
        <w:rPr>
          <w:rFonts w:hint="cs"/>
          <w:rtl/>
        </w:rPr>
        <w:t>الثانوي</w:t>
      </w:r>
      <w:r w:rsidR="00EA615F">
        <w:rPr>
          <w:rFonts w:hint="cs"/>
          <w:rtl/>
        </w:rPr>
        <w:t>ة</w:t>
      </w:r>
      <w:r w:rsidR="000F1FDD">
        <w:rPr>
          <w:rFonts w:hint="cs"/>
          <w:rtl/>
        </w:rPr>
        <w:t xml:space="preserve">. </w:t>
      </w:r>
      <w:proofErr w:type="gramStart"/>
      <w:r w:rsidR="000F1FDD">
        <w:rPr>
          <w:rFonts w:hint="cs"/>
          <w:rtl/>
        </w:rPr>
        <w:t>وذلك</w:t>
      </w:r>
      <w:proofErr w:type="gramEnd"/>
      <w:r w:rsidR="000F1FDD">
        <w:rPr>
          <w:rFonts w:hint="cs"/>
          <w:rtl/>
        </w:rPr>
        <w:t xml:space="preserve"> لأن</w:t>
      </w:r>
      <w:r w:rsidR="007B32D3">
        <w:rPr>
          <w:rFonts w:hint="cs"/>
          <w:rtl/>
        </w:rPr>
        <w:t>ه لا بد أن يكون الموظفو</w:t>
      </w:r>
      <w:r w:rsidR="000F1FDD">
        <w:rPr>
          <w:rFonts w:hint="cs"/>
          <w:rtl/>
        </w:rPr>
        <w:t xml:space="preserve">ن قد </w:t>
      </w:r>
      <w:r w:rsidR="0081083E">
        <w:rPr>
          <w:rFonts w:hint="cs"/>
          <w:rtl/>
        </w:rPr>
        <w:t xml:space="preserve">سجلوا </w:t>
      </w:r>
      <w:r w:rsidR="000D081D">
        <w:rPr>
          <w:rFonts w:hint="cs"/>
          <w:rtl/>
        </w:rPr>
        <w:t>أ</w:t>
      </w:r>
      <w:r w:rsidR="0081083E">
        <w:rPr>
          <w:rFonts w:hint="cs"/>
          <w:rtl/>
        </w:rPr>
        <w:t>طف</w:t>
      </w:r>
      <w:r w:rsidR="000D081D">
        <w:rPr>
          <w:rFonts w:hint="cs"/>
          <w:rtl/>
        </w:rPr>
        <w:t>ا</w:t>
      </w:r>
      <w:r w:rsidR="0081083E">
        <w:rPr>
          <w:rFonts w:hint="cs"/>
          <w:rtl/>
        </w:rPr>
        <w:t>لهم ف</w:t>
      </w:r>
      <w:r w:rsidR="00F47351">
        <w:rPr>
          <w:rFonts w:hint="cs"/>
          <w:rtl/>
        </w:rPr>
        <w:t>ي</w:t>
      </w:r>
      <w:r w:rsidR="000F1FDD">
        <w:rPr>
          <w:rFonts w:hint="cs"/>
          <w:rtl/>
        </w:rPr>
        <w:t xml:space="preserve"> المؤسسة التعليمية المعنية لكي </w:t>
      </w:r>
      <w:r w:rsidR="00F47351">
        <w:rPr>
          <w:rFonts w:hint="cs"/>
          <w:rtl/>
        </w:rPr>
        <w:t>ينطبق عليهم</w:t>
      </w:r>
      <w:r w:rsidR="000F1FDD">
        <w:rPr>
          <w:rFonts w:hint="cs"/>
          <w:rtl/>
        </w:rPr>
        <w:t xml:space="preserve"> التدبير الانتقالي. </w:t>
      </w:r>
      <w:proofErr w:type="gramStart"/>
      <w:r w:rsidR="000F1FDD">
        <w:rPr>
          <w:rFonts w:hint="cs"/>
          <w:rtl/>
        </w:rPr>
        <w:t>وص</w:t>
      </w:r>
      <w:r w:rsidR="00F47351">
        <w:rPr>
          <w:rFonts w:hint="cs"/>
          <w:rtl/>
        </w:rPr>
        <w:t>ُ</w:t>
      </w:r>
      <w:r w:rsidR="000F1FDD">
        <w:rPr>
          <w:rFonts w:hint="cs"/>
          <w:rtl/>
        </w:rPr>
        <w:t>مم</w:t>
      </w:r>
      <w:proofErr w:type="gramEnd"/>
      <w:r w:rsidR="000F1FDD">
        <w:rPr>
          <w:rFonts w:hint="cs"/>
          <w:rtl/>
        </w:rPr>
        <w:t xml:space="preserve"> هذا التدبير </w:t>
      </w:r>
      <w:r w:rsidR="00F47351">
        <w:rPr>
          <w:rFonts w:hint="cs"/>
          <w:rtl/>
        </w:rPr>
        <w:t>أساسا</w:t>
      </w:r>
      <w:r w:rsidR="000F1FDD">
        <w:rPr>
          <w:rFonts w:hint="cs"/>
          <w:rtl/>
        </w:rPr>
        <w:t xml:space="preserve"> ليأخذ في الاعتبار مبادئ حسن النية والمعاملة المنصفة التي تنتهجها المحكمة.</w:t>
      </w:r>
    </w:p>
    <w:p w:rsidR="000F1FDD" w:rsidRPr="00260A2A" w:rsidRDefault="00CB3A52" w:rsidP="009E5DE6">
      <w:pPr>
        <w:pStyle w:val="Heading1AR"/>
        <w:spacing w:after="240" w:line="360" w:lineRule="exact"/>
        <w:ind w:left="850" w:hanging="850"/>
        <w:rPr>
          <w:rtl/>
        </w:rPr>
      </w:pPr>
      <w:r w:rsidRPr="00260A2A">
        <w:rPr>
          <w:rFonts w:hint="cs"/>
          <w:rtl/>
        </w:rPr>
        <w:t>سادسا.</w:t>
      </w:r>
      <w:r w:rsidRPr="00260A2A">
        <w:rPr>
          <w:rFonts w:hint="cs"/>
          <w:rtl/>
        </w:rPr>
        <w:tab/>
      </w:r>
      <w:proofErr w:type="gramStart"/>
      <w:r w:rsidR="00312610" w:rsidRPr="00260A2A">
        <w:rPr>
          <w:rFonts w:hint="cs"/>
          <w:rtl/>
        </w:rPr>
        <w:t>الأثر</w:t>
      </w:r>
      <w:proofErr w:type="gramEnd"/>
      <w:r w:rsidR="00312610" w:rsidRPr="00260A2A">
        <w:rPr>
          <w:rFonts w:hint="cs"/>
          <w:rtl/>
        </w:rPr>
        <w:t xml:space="preserve"> المالي</w:t>
      </w:r>
    </w:p>
    <w:p w:rsidR="00CB3A52" w:rsidRDefault="002E1584" w:rsidP="00870053">
      <w:pPr>
        <w:pStyle w:val="NumberedParaAR"/>
      </w:pPr>
      <w:r>
        <w:rPr>
          <w:rFonts w:hint="cs"/>
          <w:rtl/>
        </w:rPr>
        <w:t>لتحديد الأثر المالي</w:t>
      </w:r>
      <w:r w:rsidR="00BC57AD">
        <w:rPr>
          <w:rFonts w:hint="cs"/>
          <w:rtl/>
        </w:rPr>
        <w:t xml:space="preserve"> الناجم عن</w:t>
      </w:r>
      <w:r>
        <w:rPr>
          <w:rFonts w:hint="cs"/>
          <w:rtl/>
        </w:rPr>
        <w:t xml:space="preserve"> </w:t>
      </w:r>
      <w:r w:rsidR="00C95BEE">
        <w:rPr>
          <w:rFonts w:hint="cs"/>
          <w:rtl/>
        </w:rPr>
        <w:t>ا</w:t>
      </w:r>
      <w:r>
        <w:rPr>
          <w:rFonts w:hint="cs"/>
          <w:rtl/>
        </w:rPr>
        <w:t xml:space="preserve">لتدبير الانتقالي المقترح، حصل </w:t>
      </w:r>
      <w:r w:rsidR="00817298" w:rsidRPr="00817298">
        <w:rPr>
          <w:rtl/>
        </w:rPr>
        <w:t>مكتب المستشار القانوني</w:t>
      </w:r>
      <w:r w:rsidR="00817298" w:rsidRPr="00817298">
        <w:rPr>
          <w:rFonts w:hint="cs"/>
          <w:rtl/>
        </w:rPr>
        <w:t xml:space="preserve"> </w:t>
      </w:r>
      <w:r>
        <w:rPr>
          <w:rFonts w:hint="cs"/>
          <w:rtl/>
        </w:rPr>
        <w:t xml:space="preserve">(المكتب) على معلومات وبيانات وجيهة </w:t>
      </w:r>
      <w:r w:rsidR="001D7BE9">
        <w:rPr>
          <w:rFonts w:hint="cs"/>
          <w:rtl/>
        </w:rPr>
        <w:t xml:space="preserve">من إدارة الموارد البشرية (الإدراة) بشأن </w:t>
      </w:r>
      <w:r w:rsidR="008F0844">
        <w:rPr>
          <w:rFonts w:hint="cs"/>
          <w:rtl/>
        </w:rPr>
        <w:t>الفئة</w:t>
      </w:r>
      <w:r w:rsidR="001D7BE9">
        <w:rPr>
          <w:rFonts w:hint="cs"/>
          <w:rtl/>
        </w:rPr>
        <w:t xml:space="preserve"> </w:t>
      </w:r>
      <w:r w:rsidR="008F0844">
        <w:rPr>
          <w:rFonts w:hint="cs"/>
          <w:rtl/>
        </w:rPr>
        <w:t xml:space="preserve">المستهدفة من </w:t>
      </w:r>
      <w:r w:rsidR="001D7BE9">
        <w:rPr>
          <w:rFonts w:hint="cs"/>
          <w:rtl/>
        </w:rPr>
        <w:t xml:space="preserve">الموظفين الفرنسيين </w:t>
      </w:r>
      <w:r w:rsidR="008F0844">
        <w:rPr>
          <w:rFonts w:hint="cs"/>
          <w:rtl/>
        </w:rPr>
        <w:t>المقيمين في فرنسا</w:t>
      </w:r>
      <w:r w:rsidR="001D7BE9">
        <w:rPr>
          <w:rFonts w:hint="cs"/>
          <w:rtl/>
        </w:rPr>
        <w:t xml:space="preserve">. </w:t>
      </w:r>
      <w:proofErr w:type="gramStart"/>
      <w:r w:rsidR="001D7BE9">
        <w:rPr>
          <w:rFonts w:hint="cs"/>
          <w:rtl/>
        </w:rPr>
        <w:t>ثم</w:t>
      </w:r>
      <w:proofErr w:type="gramEnd"/>
      <w:r w:rsidR="001D7BE9">
        <w:rPr>
          <w:rFonts w:hint="cs"/>
          <w:rtl/>
        </w:rPr>
        <w:t xml:space="preserve"> طلب المكتب من الإدارة ومن شعبة</w:t>
      </w:r>
      <w:r w:rsidR="008F0844">
        <w:rPr>
          <w:rFonts w:hint="cs"/>
          <w:rtl/>
        </w:rPr>
        <w:t xml:space="preserve"> الشؤون</w:t>
      </w:r>
      <w:r w:rsidR="001D7BE9">
        <w:rPr>
          <w:rFonts w:hint="cs"/>
          <w:rtl/>
        </w:rPr>
        <w:t xml:space="preserve"> المالية أن تحسب</w:t>
      </w:r>
      <w:r w:rsidR="008F0844">
        <w:rPr>
          <w:rFonts w:hint="cs"/>
          <w:rtl/>
        </w:rPr>
        <w:t>ا</w:t>
      </w:r>
      <w:r w:rsidR="001D7BE9">
        <w:rPr>
          <w:rFonts w:hint="cs"/>
          <w:rtl/>
        </w:rPr>
        <w:t xml:space="preserve"> </w:t>
      </w:r>
      <w:r w:rsidR="008F0844">
        <w:rPr>
          <w:rFonts w:hint="cs"/>
          <w:rtl/>
        </w:rPr>
        <w:t>التكلفة</w:t>
      </w:r>
      <w:r w:rsidR="001D7BE9">
        <w:rPr>
          <w:rFonts w:hint="cs"/>
          <w:rtl/>
        </w:rPr>
        <w:t xml:space="preserve"> المالية </w:t>
      </w:r>
      <w:r w:rsidR="00A23C08">
        <w:rPr>
          <w:rFonts w:hint="cs"/>
          <w:rtl/>
        </w:rPr>
        <w:t>الناجمة عن التدبير</w:t>
      </w:r>
      <w:r w:rsidR="001D7BE9">
        <w:rPr>
          <w:rFonts w:hint="cs"/>
          <w:rtl/>
        </w:rPr>
        <w:t xml:space="preserve"> الانتقالي المقترح على أساس مجموعة من المعايير قدمها المكتب.</w:t>
      </w:r>
    </w:p>
    <w:p w:rsidR="002F34F0" w:rsidRDefault="00C85071" w:rsidP="00A30034">
      <w:pPr>
        <w:pStyle w:val="NumberedParaAR"/>
      </w:pPr>
      <w:r>
        <w:rPr>
          <w:rFonts w:hint="cs"/>
          <w:rtl/>
        </w:rPr>
        <w:t>وكانت نقطة انطلاق</w:t>
      </w:r>
      <w:r w:rsidR="00196116">
        <w:rPr>
          <w:rFonts w:hint="cs"/>
          <w:rtl/>
        </w:rPr>
        <w:t xml:space="preserve"> التحليل المالي </w:t>
      </w:r>
      <w:r>
        <w:rPr>
          <w:rFonts w:hint="cs"/>
          <w:rtl/>
        </w:rPr>
        <w:t xml:space="preserve">هي </w:t>
      </w:r>
      <w:r w:rsidR="00196116">
        <w:rPr>
          <w:rFonts w:hint="cs"/>
          <w:rtl/>
        </w:rPr>
        <w:t xml:space="preserve">السنة الدراسية 2017/2018 التي تبدأ عادة في سبتمر 2017. </w:t>
      </w:r>
      <w:proofErr w:type="gramStart"/>
      <w:r>
        <w:rPr>
          <w:rFonts w:hint="cs"/>
          <w:rtl/>
        </w:rPr>
        <w:t>و</w:t>
      </w:r>
      <w:r w:rsidR="00B85F9D">
        <w:rPr>
          <w:rFonts w:hint="cs"/>
          <w:rtl/>
        </w:rPr>
        <w:t>ذلك</w:t>
      </w:r>
      <w:proofErr w:type="gramEnd"/>
      <w:r w:rsidR="00B85F9D">
        <w:rPr>
          <w:rFonts w:hint="cs"/>
          <w:rtl/>
        </w:rPr>
        <w:t xml:space="preserve"> لأن أي تعديل </w:t>
      </w:r>
      <w:r w:rsidR="00A23C08">
        <w:rPr>
          <w:rFonts w:hint="cs"/>
          <w:rtl/>
        </w:rPr>
        <w:t xml:space="preserve">يُدخل </w:t>
      </w:r>
      <w:r w:rsidR="00B85F9D">
        <w:rPr>
          <w:rFonts w:hint="cs"/>
          <w:rtl/>
        </w:rPr>
        <w:t xml:space="preserve">على نظام الموظفين ولائحته لن يدخل حيز النفاذ </w:t>
      </w:r>
      <w:r w:rsidR="00A23C08">
        <w:rPr>
          <w:rFonts w:hint="cs"/>
          <w:rtl/>
        </w:rPr>
        <w:t>إلا بعد</w:t>
      </w:r>
      <w:r w:rsidR="00B85F9D">
        <w:rPr>
          <w:rFonts w:hint="cs"/>
          <w:rtl/>
        </w:rPr>
        <w:t xml:space="preserve"> الدورة الثالثة والسبعين للجنة التنسيق </w:t>
      </w:r>
      <w:r>
        <w:rPr>
          <w:rFonts w:hint="cs"/>
          <w:rtl/>
        </w:rPr>
        <w:t>التي ستنعقد</w:t>
      </w:r>
      <w:r w:rsidR="00A23C08">
        <w:rPr>
          <w:rFonts w:hint="cs"/>
          <w:rtl/>
        </w:rPr>
        <w:t xml:space="preserve"> </w:t>
      </w:r>
      <w:r w:rsidR="00B85F9D">
        <w:rPr>
          <w:rFonts w:hint="cs"/>
          <w:rtl/>
        </w:rPr>
        <w:t xml:space="preserve">في أكتوبر 2016، وسيكون الوقت قد </w:t>
      </w:r>
      <w:r w:rsidR="007B32D3">
        <w:rPr>
          <w:rFonts w:hint="cs"/>
          <w:rtl/>
        </w:rPr>
        <w:t>فات</w:t>
      </w:r>
      <w:r w:rsidR="00B85F9D">
        <w:rPr>
          <w:rFonts w:hint="cs"/>
          <w:rtl/>
        </w:rPr>
        <w:t xml:space="preserve"> </w:t>
      </w:r>
      <w:r w:rsidR="00656611">
        <w:rPr>
          <w:rFonts w:hint="cs"/>
          <w:rtl/>
        </w:rPr>
        <w:t>لإحداث أثر</w:t>
      </w:r>
      <w:r w:rsidR="00B85F9D">
        <w:rPr>
          <w:rFonts w:hint="cs"/>
          <w:rtl/>
        </w:rPr>
        <w:t xml:space="preserve"> على السنة الدراسية 2016/2017 لأن الموظفين الفرنس</w:t>
      </w:r>
      <w:r w:rsidR="00D82966">
        <w:rPr>
          <w:rFonts w:hint="cs"/>
          <w:rtl/>
        </w:rPr>
        <w:t>ي</w:t>
      </w:r>
      <w:r w:rsidR="00A30034">
        <w:rPr>
          <w:rFonts w:hint="cs"/>
          <w:rtl/>
        </w:rPr>
        <w:t>ين المعنيين سيكونون</w:t>
      </w:r>
      <w:r w:rsidR="00B85F9D">
        <w:rPr>
          <w:rFonts w:hint="cs"/>
          <w:rtl/>
        </w:rPr>
        <w:t xml:space="preserve"> قد </w:t>
      </w:r>
      <w:r w:rsidR="00F978D8">
        <w:rPr>
          <w:rFonts w:hint="cs"/>
          <w:rtl/>
        </w:rPr>
        <w:t xml:space="preserve">سجلوا </w:t>
      </w:r>
      <w:r w:rsidR="00A30034">
        <w:rPr>
          <w:rFonts w:hint="cs"/>
          <w:rtl/>
        </w:rPr>
        <w:t>أطفالهم</w:t>
      </w:r>
      <w:r w:rsidR="00B85F9D">
        <w:rPr>
          <w:rFonts w:hint="cs"/>
          <w:rtl/>
        </w:rPr>
        <w:t>.</w:t>
      </w:r>
    </w:p>
    <w:p w:rsidR="00B85F9D" w:rsidRDefault="00725823" w:rsidP="00A30034">
      <w:pPr>
        <w:pStyle w:val="NumberedParaAR"/>
      </w:pPr>
      <w:proofErr w:type="gramStart"/>
      <w:r>
        <w:rPr>
          <w:rFonts w:hint="cs"/>
          <w:rtl/>
        </w:rPr>
        <w:t>وبنهاية</w:t>
      </w:r>
      <w:proofErr w:type="gramEnd"/>
      <w:r>
        <w:rPr>
          <w:rFonts w:hint="cs"/>
          <w:rtl/>
        </w:rPr>
        <w:t xml:space="preserve"> يونيو 2016، بلغ عدد الموظفين الفرنسيين المقيمين في فرنسا الذي</w:t>
      </w:r>
      <w:r w:rsidR="00A30034">
        <w:rPr>
          <w:rFonts w:hint="cs"/>
          <w:rtl/>
        </w:rPr>
        <w:t>ن</w:t>
      </w:r>
      <w:r>
        <w:rPr>
          <w:rFonts w:hint="cs"/>
          <w:rtl/>
        </w:rPr>
        <w:t xml:space="preserve"> قدموا مطالبات بشأن </w:t>
      </w:r>
      <w:r w:rsidR="00B9154D">
        <w:rPr>
          <w:rFonts w:hint="cs"/>
          <w:rtl/>
        </w:rPr>
        <w:t>خطة منح</w:t>
      </w:r>
      <w:r w:rsidR="00656611">
        <w:rPr>
          <w:rFonts w:hint="cs"/>
          <w:rtl/>
        </w:rPr>
        <w:t>ة</w:t>
      </w:r>
      <w:r w:rsidR="00B9154D">
        <w:rPr>
          <w:rFonts w:hint="cs"/>
          <w:rtl/>
        </w:rPr>
        <w:t xml:space="preserve"> التعليم واحد وثلاثين موظفا (31). وكانوا يقيمون في فرنسا قبل 1 يناير 2016 ومن ثم </w:t>
      </w:r>
      <w:r w:rsidR="00B9154D" w:rsidRPr="00DA0B38">
        <w:rPr>
          <w:rFonts w:hint="cs"/>
          <w:rtl/>
        </w:rPr>
        <w:t xml:space="preserve">يستفدون من حكم </w:t>
      </w:r>
      <w:r w:rsidR="00DA0B38" w:rsidRPr="00DA0B38">
        <w:rPr>
          <w:rFonts w:hint="cs"/>
          <w:rtl/>
        </w:rPr>
        <w:t>الضمان</w:t>
      </w:r>
      <w:r w:rsidR="00D07090" w:rsidRPr="00DA0B38">
        <w:rPr>
          <w:rFonts w:hint="cs"/>
          <w:rtl/>
        </w:rPr>
        <w:t xml:space="preserve"> الوارد في</w:t>
      </w:r>
      <w:r w:rsidR="00D07090">
        <w:rPr>
          <w:rFonts w:hint="cs"/>
          <w:rtl/>
        </w:rPr>
        <w:t xml:space="preserve"> المادة 14.3(و).</w:t>
      </w:r>
    </w:p>
    <w:p w:rsidR="00D07090" w:rsidRDefault="00656611" w:rsidP="00654937">
      <w:pPr>
        <w:pStyle w:val="NumberedParaAR"/>
      </w:pPr>
      <w:proofErr w:type="gramStart"/>
      <w:r>
        <w:rPr>
          <w:rFonts w:hint="cs"/>
          <w:rtl/>
        </w:rPr>
        <w:lastRenderedPageBreak/>
        <w:t>و</w:t>
      </w:r>
      <w:r w:rsidR="00CD2EE7">
        <w:rPr>
          <w:rFonts w:hint="cs"/>
          <w:rtl/>
        </w:rPr>
        <w:t>لا</w:t>
      </w:r>
      <w:proofErr w:type="gramEnd"/>
      <w:r w:rsidR="00CD2EE7">
        <w:rPr>
          <w:rFonts w:hint="cs"/>
          <w:rtl/>
        </w:rPr>
        <w:t xml:space="preserve"> بد أن </w:t>
      </w:r>
      <w:r>
        <w:rPr>
          <w:rFonts w:hint="cs"/>
          <w:rtl/>
        </w:rPr>
        <w:t>تُحسب</w:t>
      </w:r>
      <w:r w:rsidR="006A6462">
        <w:rPr>
          <w:rFonts w:hint="cs"/>
          <w:rtl/>
        </w:rPr>
        <w:t xml:space="preserve"> التكلفة المالية للتدبير الانتقالي المقترح </w:t>
      </w:r>
      <w:r>
        <w:rPr>
          <w:rFonts w:hint="cs"/>
          <w:rtl/>
        </w:rPr>
        <w:t xml:space="preserve">على أساس </w:t>
      </w:r>
      <w:r w:rsidR="006A6462">
        <w:rPr>
          <w:rFonts w:hint="cs"/>
          <w:rtl/>
        </w:rPr>
        <w:t xml:space="preserve">عدد من الافتراضات منها أن مجموع الموظفين الفرنسيين </w:t>
      </w:r>
      <w:r>
        <w:rPr>
          <w:rFonts w:hint="cs"/>
          <w:rtl/>
        </w:rPr>
        <w:t>البالغ</w:t>
      </w:r>
      <w:r w:rsidR="006A6462">
        <w:rPr>
          <w:rFonts w:hint="cs"/>
          <w:rtl/>
        </w:rPr>
        <w:t xml:space="preserve"> عددهم 31 موظفا لن يتغير. </w:t>
      </w:r>
      <w:proofErr w:type="gramStart"/>
      <w:r w:rsidR="006A6462">
        <w:rPr>
          <w:rFonts w:hint="cs"/>
          <w:rtl/>
        </w:rPr>
        <w:t>ولكن</w:t>
      </w:r>
      <w:proofErr w:type="gramEnd"/>
      <w:r w:rsidR="006A6462">
        <w:rPr>
          <w:rFonts w:hint="cs"/>
          <w:rtl/>
        </w:rPr>
        <w:t xml:space="preserve"> قد يرتفع العدد إن قد</w:t>
      </w:r>
      <w:r w:rsidR="008708FD">
        <w:rPr>
          <w:rFonts w:hint="cs"/>
          <w:rtl/>
        </w:rPr>
        <w:t>ّ</w:t>
      </w:r>
      <w:r w:rsidR="006A6462">
        <w:rPr>
          <w:rFonts w:hint="cs"/>
          <w:rtl/>
        </w:rPr>
        <w:t xml:space="preserve">م موظف فرنسي </w:t>
      </w:r>
      <w:r>
        <w:rPr>
          <w:rFonts w:hint="cs"/>
          <w:rtl/>
        </w:rPr>
        <w:t>ي</w:t>
      </w:r>
      <w:r w:rsidR="006A6462">
        <w:rPr>
          <w:rFonts w:hint="cs"/>
          <w:rtl/>
        </w:rPr>
        <w:t xml:space="preserve">قيم في فرنسا قبل 1 يناير 2016 </w:t>
      </w:r>
      <w:r>
        <w:rPr>
          <w:rFonts w:hint="cs"/>
          <w:rtl/>
        </w:rPr>
        <w:t>مطالبة</w:t>
      </w:r>
      <w:r w:rsidR="006A6462">
        <w:rPr>
          <w:rFonts w:hint="cs"/>
          <w:rtl/>
        </w:rPr>
        <w:t xml:space="preserve"> للمرة الأولى </w:t>
      </w:r>
      <w:r w:rsidR="00CD2EE7">
        <w:rPr>
          <w:rFonts w:hint="cs"/>
          <w:rtl/>
        </w:rPr>
        <w:t>بناء على</w:t>
      </w:r>
      <w:r w:rsidR="006A6462">
        <w:rPr>
          <w:rFonts w:hint="cs"/>
          <w:rtl/>
        </w:rPr>
        <w:t xml:space="preserve"> خطة منحة التعليم </w:t>
      </w:r>
      <w:r>
        <w:rPr>
          <w:rFonts w:hint="cs"/>
          <w:rtl/>
        </w:rPr>
        <w:t>ل</w:t>
      </w:r>
      <w:r w:rsidR="006A6462">
        <w:rPr>
          <w:rFonts w:hint="cs"/>
          <w:rtl/>
        </w:rPr>
        <w:t xml:space="preserve">لسنة الدراسية التي تبدأ في سبتمبر 2016. ولأغراض دراسة الأثر المالي </w:t>
      </w:r>
      <w:r w:rsidR="00903AD4">
        <w:rPr>
          <w:rFonts w:hint="cs"/>
          <w:rtl/>
        </w:rPr>
        <w:t>يفترض أن</w:t>
      </w:r>
      <w:r w:rsidR="006A6462">
        <w:rPr>
          <w:rFonts w:hint="cs"/>
          <w:rtl/>
        </w:rPr>
        <w:t xml:space="preserve"> </w:t>
      </w:r>
      <w:r w:rsidR="00903AD4">
        <w:rPr>
          <w:rFonts w:hint="cs"/>
          <w:rtl/>
        </w:rPr>
        <w:t>ال</w:t>
      </w:r>
      <w:r w:rsidR="006A6462">
        <w:rPr>
          <w:rFonts w:hint="cs"/>
          <w:rtl/>
        </w:rPr>
        <w:t>موظف</w:t>
      </w:r>
      <w:r w:rsidR="00903AD4">
        <w:rPr>
          <w:rFonts w:hint="cs"/>
          <w:rtl/>
        </w:rPr>
        <w:t>ين</w:t>
      </w:r>
      <w:r w:rsidR="006A6462">
        <w:rPr>
          <w:rFonts w:hint="cs"/>
          <w:rtl/>
        </w:rPr>
        <w:t xml:space="preserve"> </w:t>
      </w:r>
      <w:r w:rsidR="00903AD4">
        <w:rPr>
          <w:rFonts w:hint="cs"/>
          <w:rtl/>
        </w:rPr>
        <w:t>ال</w:t>
      </w:r>
      <w:r w:rsidR="006A6462">
        <w:rPr>
          <w:rFonts w:hint="cs"/>
          <w:rtl/>
        </w:rPr>
        <w:t>فرنسي</w:t>
      </w:r>
      <w:r w:rsidR="00903AD4">
        <w:rPr>
          <w:rFonts w:hint="cs"/>
          <w:rtl/>
        </w:rPr>
        <w:t xml:space="preserve">ين البالغ عددهم 31 موظفا </w:t>
      </w:r>
      <w:r w:rsidR="00CD2EE7">
        <w:rPr>
          <w:rFonts w:hint="cs"/>
          <w:rtl/>
        </w:rPr>
        <w:t>ما</w:t>
      </w:r>
      <w:r w:rsidR="008708FD">
        <w:rPr>
          <w:rFonts w:hint="eastAsia"/>
          <w:rtl/>
        </w:rPr>
        <w:t> </w:t>
      </w:r>
      <w:proofErr w:type="gramStart"/>
      <w:r w:rsidR="00CD2EE7">
        <w:rPr>
          <w:rFonts w:hint="cs"/>
          <w:rtl/>
        </w:rPr>
        <w:t>زالوا</w:t>
      </w:r>
      <w:proofErr w:type="gramEnd"/>
      <w:r>
        <w:rPr>
          <w:rFonts w:hint="cs"/>
          <w:rtl/>
        </w:rPr>
        <w:t xml:space="preserve"> </w:t>
      </w:r>
      <w:r w:rsidR="00CD2EE7">
        <w:rPr>
          <w:rFonts w:hint="cs"/>
          <w:rtl/>
        </w:rPr>
        <w:t>كالتالي</w:t>
      </w:r>
      <w:r w:rsidR="00903AD4">
        <w:rPr>
          <w:rFonts w:hint="cs"/>
          <w:rtl/>
        </w:rPr>
        <w:t>:</w:t>
      </w:r>
    </w:p>
    <w:p w:rsidR="006A6462" w:rsidRDefault="00656611" w:rsidP="008708FD">
      <w:pPr>
        <w:pStyle w:val="NumberedParaAR"/>
        <w:numPr>
          <w:ilvl w:val="0"/>
          <w:numId w:val="21"/>
        </w:numPr>
        <w:spacing w:after="0"/>
        <w:ind w:left="1134" w:hanging="567"/>
      </w:pPr>
      <w:r>
        <w:rPr>
          <w:rFonts w:hint="cs"/>
          <w:rtl/>
        </w:rPr>
        <w:t>موظف</w:t>
      </w:r>
      <w:r w:rsidR="00A64D68">
        <w:rPr>
          <w:rFonts w:hint="cs"/>
          <w:rtl/>
        </w:rPr>
        <w:t>و</w:t>
      </w:r>
      <w:r>
        <w:rPr>
          <w:rFonts w:hint="cs"/>
          <w:rtl/>
        </w:rPr>
        <w:t>ن</w:t>
      </w:r>
      <w:r w:rsidR="00891994">
        <w:rPr>
          <w:rFonts w:hint="cs"/>
          <w:rtl/>
        </w:rPr>
        <w:t xml:space="preserve"> في الويبو؛</w:t>
      </w:r>
    </w:p>
    <w:p w:rsidR="006F1D75" w:rsidRDefault="00656611" w:rsidP="008708FD">
      <w:pPr>
        <w:pStyle w:val="NumberedParaAR"/>
        <w:numPr>
          <w:ilvl w:val="0"/>
          <w:numId w:val="21"/>
        </w:numPr>
        <w:spacing w:after="0"/>
        <w:ind w:left="1134" w:hanging="567"/>
        <w:rPr>
          <w:rtl/>
        </w:rPr>
      </w:pPr>
      <w:proofErr w:type="gramStart"/>
      <w:r>
        <w:rPr>
          <w:rFonts w:hint="cs"/>
          <w:rtl/>
        </w:rPr>
        <w:t>مقيم</w:t>
      </w:r>
      <w:r w:rsidR="00A64D68">
        <w:rPr>
          <w:rFonts w:hint="cs"/>
          <w:rtl/>
        </w:rPr>
        <w:t>و</w:t>
      </w:r>
      <w:r>
        <w:rPr>
          <w:rFonts w:hint="cs"/>
          <w:rtl/>
        </w:rPr>
        <w:t>ن</w:t>
      </w:r>
      <w:proofErr w:type="gramEnd"/>
      <w:r w:rsidR="00903AD4">
        <w:rPr>
          <w:rFonts w:hint="cs"/>
          <w:rtl/>
        </w:rPr>
        <w:t xml:space="preserve"> في فرنسا ولن ينتقلوا إلى سويسرا، لأنه في تلك الحالة سيحق لهم </w:t>
      </w:r>
      <w:r>
        <w:rPr>
          <w:rFonts w:hint="cs"/>
          <w:rtl/>
        </w:rPr>
        <w:t xml:space="preserve">الحصول على </w:t>
      </w:r>
      <w:r w:rsidR="00903AD4">
        <w:rPr>
          <w:rFonts w:hint="cs"/>
          <w:rtl/>
        </w:rPr>
        <w:t xml:space="preserve">منحة التعليم وفقا للمادة 14.3(أ) وليس </w:t>
      </w:r>
      <w:r>
        <w:rPr>
          <w:rFonts w:hint="cs"/>
          <w:rtl/>
        </w:rPr>
        <w:t>بناء على</w:t>
      </w:r>
      <w:r w:rsidR="00903AD4">
        <w:rPr>
          <w:rFonts w:hint="cs"/>
          <w:rtl/>
        </w:rPr>
        <w:t xml:space="preserve"> التدبير الانتقالي؛</w:t>
      </w:r>
    </w:p>
    <w:p w:rsidR="00D750A3" w:rsidRDefault="006C012A" w:rsidP="008708FD">
      <w:pPr>
        <w:pStyle w:val="NumberedParaAR"/>
        <w:numPr>
          <w:ilvl w:val="0"/>
          <w:numId w:val="21"/>
        </w:numPr>
        <w:spacing w:after="0"/>
        <w:ind w:left="1134" w:hanging="567"/>
        <w:rPr>
          <w:rtl/>
        </w:rPr>
      </w:pPr>
      <w:r>
        <w:rPr>
          <w:rFonts w:hint="cs"/>
          <w:rtl/>
        </w:rPr>
        <w:t>يتكبدون المصاريف المس</w:t>
      </w:r>
      <w:r w:rsidR="0081083E">
        <w:rPr>
          <w:rFonts w:hint="cs"/>
          <w:rtl/>
        </w:rPr>
        <w:t>م</w:t>
      </w:r>
      <w:r>
        <w:rPr>
          <w:rFonts w:hint="cs"/>
          <w:rtl/>
        </w:rPr>
        <w:t xml:space="preserve">وح بها </w:t>
      </w:r>
      <w:r w:rsidR="00656611">
        <w:rPr>
          <w:rFonts w:hint="cs"/>
          <w:rtl/>
        </w:rPr>
        <w:t>بناء على</w:t>
      </w:r>
      <w:r w:rsidR="00D750A3">
        <w:rPr>
          <w:rFonts w:hint="cs"/>
          <w:rtl/>
        </w:rPr>
        <w:t xml:space="preserve"> خطة منحة التعليم للسنة الدراسية التي تبدأ في سبتمبر 2016؛</w:t>
      </w:r>
    </w:p>
    <w:p w:rsidR="006F1D75" w:rsidRDefault="00B012F9" w:rsidP="008708FD">
      <w:pPr>
        <w:pStyle w:val="NumberedParaAR"/>
        <w:numPr>
          <w:ilvl w:val="0"/>
          <w:numId w:val="21"/>
        </w:numPr>
        <w:spacing w:after="0"/>
        <w:ind w:left="1134" w:hanging="567"/>
      </w:pPr>
      <w:r>
        <w:rPr>
          <w:rFonts w:hint="cs"/>
          <w:rtl/>
        </w:rPr>
        <w:t>يسجلون</w:t>
      </w:r>
      <w:r w:rsidR="006F1D75">
        <w:rPr>
          <w:rFonts w:hint="cs"/>
          <w:rtl/>
        </w:rPr>
        <w:t xml:space="preserve"> أطفالهم </w:t>
      </w:r>
      <w:proofErr w:type="gramStart"/>
      <w:r w:rsidR="006F1D75">
        <w:rPr>
          <w:rFonts w:hint="cs"/>
          <w:rtl/>
        </w:rPr>
        <w:t>في</w:t>
      </w:r>
      <w:proofErr w:type="gramEnd"/>
      <w:r w:rsidR="006F1D75">
        <w:rPr>
          <w:rFonts w:hint="cs"/>
          <w:rtl/>
        </w:rPr>
        <w:t xml:space="preserve"> نفس المؤسسة التعليمية </w:t>
      </w:r>
      <w:r>
        <w:rPr>
          <w:rFonts w:hint="cs"/>
          <w:rtl/>
        </w:rPr>
        <w:t>التي يتواجدون</w:t>
      </w:r>
      <w:r w:rsidR="00656611">
        <w:rPr>
          <w:rFonts w:hint="cs"/>
          <w:rtl/>
        </w:rPr>
        <w:t xml:space="preserve"> </w:t>
      </w:r>
      <w:r w:rsidR="0081083E">
        <w:rPr>
          <w:rFonts w:hint="cs"/>
          <w:rtl/>
        </w:rPr>
        <w:t>فيها</w:t>
      </w:r>
      <w:r w:rsidR="00656611">
        <w:rPr>
          <w:rFonts w:hint="cs"/>
          <w:rtl/>
        </w:rPr>
        <w:t xml:space="preserve"> حاليا</w:t>
      </w:r>
      <w:r w:rsidR="006F1D75">
        <w:rPr>
          <w:rFonts w:hint="cs"/>
          <w:rtl/>
        </w:rPr>
        <w:t>؛</w:t>
      </w:r>
    </w:p>
    <w:p w:rsidR="006F1D75" w:rsidRDefault="006F1D75" w:rsidP="009E5DE6">
      <w:pPr>
        <w:pStyle w:val="NumberedParaAR"/>
        <w:numPr>
          <w:ilvl w:val="0"/>
          <w:numId w:val="21"/>
        </w:numPr>
        <w:ind w:left="1134" w:hanging="567"/>
      </w:pPr>
      <w:r>
        <w:rPr>
          <w:rFonts w:hint="cs"/>
          <w:rtl/>
        </w:rPr>
        <w:t xml:space="preserve">يسددون </w:t>
      </w:r>
      <w:proofErr w:type="gramStart"/>
      <w:r>
        <w:rPr>
          <w:rFonts w:hint="cs"/>
          <w:rtl/>
        </w:rPr>
        <w:t>نفس</w:t>
      </w:r>
      <w:proofErr w:type="gramEnd"/>
      <w:r>
        <w:rPr>
          <w:rFonts w:hint="cs"/>
          <w:rtl/>
        </w:rPr>
        <w:t xml:space="preserve"> قيمة </w:t>
      </w:r>
      <w:r w:rsidR="00B012F9">
        <w:rPr>
          <w:rFonts w:hint="cs"/>
          <w:rtl/>
        </w:rPr>
        <w:t>رسوم</w:t>
      </w:r>
      <w:r>
        <w:rPr>
          <w:rFonts w:hint="cs"/>
          <w:rtl/>
        </w:rPr>
        <w:t xml:space="preserve"> المؤسسات التعليمية المعنية حسب نفس نوع</w:t>
      </w:r>
      <w:r w:rsidR="006F6AD1">
        <w:rPr>
          <w:rFonts w:hint="cs"/>
          <w:rtl/>
        </w:rPr>
        <w:t xml:space="preserve"> </w:t>
      </w:r>
      <w:r>
        <w:rPr>
          <w:rFonts w:hint="cs"/>
          <w:rtl/>
        </w:rPr>
        <w:t>(أنواع) المصاريف.</w:t>
      </w:r>
    </w:p>
    <w:p w:rsidR="006F1D75" w:rsidRDefault="00CD2EE7" w:rsidP="00260A2A">
      <w:pPr>
        <w:pStyle w:val="NumberedParaAR"/>
      </w:pPr>
      <w:r>
        <w:rPr>
          <w:rFonts w:hint="cs"/>
          <w:rtl/>
        </w:rPr>
        <w:t>و</w:t>
      </w:r>
      <w:r w:rsidR="006F1D75">
        <w:rPr>
          <w:rFonts w:hint="cs"/>
          <w:rtl/>
        </w:rPr>
        <w:t xml:space="preserve">إضافة إلى ذلك، لا بد من إضافة التغييرات </w:t>
      </w:r>
      <w:r w:rsidR="00B012F9">
        <w:rPr>
          <w:rFonts w:hint="cs"/>
          <w:rtl/>
        </w:rPr>
        <w:t>الناجمة عن</w:t>
      </w:r>
      <w:r w:rsidR="006F1D75">
        <w:rPr>
          <w:rFonts w:hint="cs"/>
          <w:rtl/>
        </w:rPr>
        <w:t xml:space="preserve"> </w:t>
      </w:r>
      <w:r w:rsidR="00B012F9">
        <w:rPr>
          <w:rFonts w:hint="cs"/>
          <w:rtl/>
        </w:rPr>
        <w:t>تطبيق</w:t>
      </w:r>
      <w:r w:rsidR="006F1D75">
        <w:rPr>
          <w:rFonts w:hint="cs"/>
          <w:rtl/>
        </w:rPr>
        <w:t xml:space="preserve"> إصلاح مجموعة </w:t>
      </w:r>
      <w:r w:rsidR="00B012F9">
        <w:rPr>
          <w:rFonts w:hint="cs"/>
          <w:rtl/>
        </w:rPr>
        <w:t>عناصر الأجر</w:t>
      </w:r>
      <w:r w:rsidR="006F1D75">
        <w:rPr>
          <w:rFonts w:hint="cs"/>
          <w:rtl/>
        </w:rPr>
        <w:t xml:space="preserve"> في </w:t>
      </w:r>
      <w:r w:rsidR="00B012F9" w:rsidRPr="00B012F9">
        <w:rPr>
          <w:rtl/>
        </w:rPr>
        <w:t>نظام الأمم المتحدة الموحد</w:t>
      </w:r>
      <w:r w:rsidR="006F1D75">
        <w:rPr>
          <w:rFonts w:hint="cs"/>
          <w:rtl/>
        </w:rPr>
        <w:t xml:space="preserve"> الذي سيدخل </w:t>
      </w:r>
      <w:r w:rsidR="00D82966">
        <w:rPr>
          <w:rFonts w:hint="cs"/>
          <w:rtl/>
        </w:rPr>
        <w:t xml:space="preserve">حيز </w:t>
      </w:r>
      <w:r w:rsidR="006F1D75">
        <w:rPr>
          <w:rFonts w:hint="cs"/>
          <w:rtl/>
        </w:rPr>
        <w:t>النفاذ في السنة الدراسية الجارية في 1 يناير 2018</w:t>
      </w:r>
      <w:r w:rsidR="00D37CD3">
        <w:rPr>
          <w:rFonts w:hint="cs"/>
          <w:rtl/>
        </w:rPr>
        <w:t xml:space="preserve"> </w:t>
      </w:r>
      <w:r w:rsidR="00B012F9">
        <w:rPr>
          <w:rFonts w:hint="cs"/>
          <w:rtl/>
        </w:rPr>
        <w:t xml:space="preserve">إلى حساب خطة منحة التعليم </w:t>
      </w:r>
      <w:r w:rsidR="00D37CD3">
        <w:rPr>
          <w:rFonts w:hint="cs"/>
          <w:rtl/>
        </w:rPr>
        <w:t>(مثلا السنة الدراسية</w:t>
      </w:r>
      <w:r w:rsidR="00D37CD3">
        <w:rPr>
          <w:rFonts w:hint="eastAsia"/>
          <w:rtl/>
        </w:rPr>
        <w:t> </w:t>
      </w:r>
      <w:r w:rsidR="00D37CD3">
        <w:rPr>
          <w:rFonts w:hint="cs"/>
          <w:rtl/>
        </w:rPr>
        <w:t>2017/2018 للمدارس الواقعة في ن</w:t>
      </w:r>
      <w:r w:rsidR="003D130E">
        <w:rPr>
          <w:rFonts w:hint="cs"/>
          <w:rtl/>
        </w:rPr>
        <w:t>ص</w:t>
      </w:r>
      <w:r w:rsidR="00D82966">
        <w:rPr>
          <w:rFonts w:hint="cs"/>
          <w:rtl/>
        </w:rPr>
        <w:t>ف</w:t>
      </w:r>
      <w:r w:rsidR="003D130E">
        <w:rPr>
          <w:rFonts w:hint="cs"/>
          <w:rtl/>
        </w:rPr>
        <w:t xml:space="preserve"> الكرة الأرضية الشمالي).</w:t>
      </w:r>
      <w:r w:rsidR="00D37CD3">
        <w:rPr>
          <w:rFonts w:hint="cs"/>
          <w:rtl/>
        </w:rPr>
        <w:t xml:space="preserve"> </w:t>
      </w:r>
      <w:proofErr w:type="gramStart"/>
      <w:r w:rsidR="003D130E">
        <w:rPr>
          <w:rFonts w:hint="cs"/>
          <w:rtl/>
        </w:rPr>
        <w:t>والتغيير</w:t>
      </w:r>
      <w:proofErr w:type="gramEnd"/>
      <w:r w:rsidR="003D130E">
        <w:rPr>
          <w:rFonts w:hint="cs"/>
          <w:rtl/>
        </w:rPr>
        <w:t xml:space="preserve"> الأهم</w:t>
      </w:r>
      <w:r w:rsidR="00466A2E">
        <w:rPr>
          <w:rFonts w:hint="cs"/>
          <w:rtl/>
        </w:rPr>
        <w:t xml:space="preserve"> </w:t>
      </w:r>
      <w:r w:rsidR="003D130E">
        <w:rPr>
          <w:rFonts w:hint="cs"/>
          <w:rtl/>
        </w:rPr>
        <w:t xml:space="preserve">بالنسبة </w:t>
      </w:r>
      <w:r w:rsidR="00466A2E">
        <w:rPr>
          <w:rFonts w:hint="cs"/>
          <w:rtl/>
        </w:rPr>
        <w:t xml:space="preserve">للموظفين </w:t>
      </w:r>
      <w:r w:rsidR="003D130E">
        <w:rPr>
          <w:rFonts w:hint="cs"/>
          <w:rtl/>
        </w:rPr>
        <w:t xml:space="preserve">العاملين </w:t>
      </w:r>
      <w:r w:rsidR="00466A2E">
        <w:rPr>
          <w:rFonts w:hint="cs"/>
          <w:rtl/>
        </w:rPr>
        <w:t xml:space="preserve">في أماكن العمل </w:t>
      </w:r>
      <w:r w:rsidR="00466A2E" w:rsidRPr="00DA0B38">
        <w:rPr>
          <w:rFonts w:hint="cs"/>
          <w:rtl/>
        </w:rPr>
        <w:t>من الفئة "</w:t>
      </w:r>
      <w:r w:rsidR="00DA0B38" w:rsidRPr="00DA0B38">
        <w:rPr>
          <w:rFonts w:hint="cs"/>
          <w:rtl/>
        </w:rPr>
        <w:t>حاء</w:t>
      </w:r>
      <w:r w:rsidR="00466A2E" w:rsidRPr="00DA0B38">
        <w:rPr>
          <w:rFonts w:hint="cs"/>
          <w:rtl/>
        </w:rPr>
        <w:t>" (مثل</w:t>
      </w:r>
      <w:r w:rsidR="00466A2E">
        <w:rPr>
          <w:rFonts w:hint="cs"/>
          <w:rtl/>
        </w:rPr>
        <w:t xml:space="preserve"> جنيف) </w:t>
      </w:r>
      <w:r w:rsidR="003D130E">
        <w:rPr>
          <w:rFonts w:hint="cs"/>
          <w:rtl/>
        </w:rPr>
        <w:t xml:space="preserve">بشكل عام </w:t>
      </w:r>
      <w:r w:rsidR="00466A2E">
        <w:rPr>
          <w:rFonts w:hint="cs"/>
          <w:rtl/>
        </w:rPr>
        <w:t xml:space="preserve">هو </w:t>
      </w:r>
      <w:r w:rsidR="003D130E">
        <w:rPr>
          <w:rFonts w:hint="cs"/>
          <w:rtl/>
        </w:rPr>
        <w:t xml:space="preserve">استبعاد </w:t>
      </w:r>
      <w:r w:rsidR="00466A2E">
        <w:rPr>
          <w:rFonts w:hint="cs"/>
          <w:rtl/>
        </w:rPr>
        <w:t xml:space="preserve">المصاريف المتعلقة </w:t>
      </w:r>
      <w:r w:rsidR="003D130E">
        <w:rPr>
          <w:rFonts w:hint="cs"/>
          <w:rtl/>
        </w:rPr>
        <w:t>بالمبيت</w:t>
      </w:r>
      <w:r w:rsidR="00466A2E">
        <w:rPr>
          <w:rFonts w:hint="cs"/>
          <w:rtl/>
        </w:rPr>
        <w:t xml:space="preserve"> </w:t>
      </w:r>
      <w:r w:rsidR="003D130E">
        <w:rPr>
          <w:rFonts w:hint="cs"/>
          <w:rtl/>
        </w:rPr>
        <w:t>و</w:t>
      </w:r>
      <w:r w:rsidR="003D130E" w:rsidRPr="003D130E">
        <w:rPr>
          <w:rtl/>
        </w:rPr>
        <w:t>سفر منحة التعليم</w:t>
      </w:r>
      <w:r w:rsidR="003D130E" w:rsidRPr="003D130E">
        <w:rPr>
          <w:rFonts w:hint="cs"/>
          <w:rtl/>
        </w:rPr>
        <w:t xml:space="preserve"> </w:t>
      </w:r>
      <w:r w:rsidR="00466A2E">
        <w:rPr>
          <w:rFonts w:hint="cs"/>
          <w:rtl/>
        </w:rPr>
        <w:t xml:space="preserve">من المصروفات المسموح بها في الخطة المراجعة. </w:t>
      </w:r>
      <w:r w:rsidR="00383770">
        <w:rPr>
          <w:rFonts w:hint="cs"/>
          <w:rtl/>
        </w:rPr>
        <w:t xml:space="preserve">وينطبق </w:t>
      </w:r>
      <w:r w:rsidR="00466A2E">
        <w:rPr>
          <w:rFonts w:hint="cs"/>
          <w:rtl/>
        </w:rPr>
        <w:t>الأمر نفسه على بعض</w:t>
      </w:r>
      <w:r w:rsidR="003D130E">
        <w:rPr>
          <w:rFonts w:hint="cs"/>
          <w:rtl/>
        </w:rPr>
        <w:t xml:space="preserve"> </w:t>
      </w:r>
      <w:r w:rsidR="00466A2E">
        <w:rPr>
          <w:rFonts w:hint="cs"/>
          <w:rtl/>
        </w:rPr>
        <w:t xml:space="preserve">المصروفات الأخرى منها تكلفة الوجبات </w:t>
      </w:r>
      <w:proofErr w:type="gramStart"/>
      <w:r w:rsidR="00466A2E">
        <w:rPr>
          <w:rFonts w:hint="cs"/>
          <w:rtl/>
        </w:rPr>
        <w:t>والنقل</w:t>
      </w:r>
      <w:proofErr w:type="gramEnd"/>
      <w:r w:rsidR="00466A2E">
        <w:rPr>
          <w:rFonts w:hint="cs"/>
          <w:rtl/>
        </w:rPr>
        <w:t xml:space="preserve"> والكتب والأدوات المدرسية.</w:t>
      </w:r>
    </w:p>
    <w:p w:rsidR="00466A2E" w:rsidRDefault="00661A55" w:rsidP="00654937">
      <w:pPr>
        <w:pStyle w:val="NumberedParaAR"/>
      </w:pPr>
      <w:r>
        <w:rPr>
          <w:rFonts w:hint="cs"/>
          <w:rtl/>
        </w:rPr>
        <w:t xml:space="preserve">ولا يأخذ هذا التحليل المالي في الاعتبار </w:t>
      </w:r>
      <w:r w:rsidR="003D130E">
        <w:rPr>
          <w:rFonts w:hint="cs"/>
          <w:rtl/>
        </w:rPr>
        <w:t>ال</w:t>
      </w:r>
      <w:r>
        <w:rPr>
          <w:rFonts w:hint="cs"/>
          <w:rtl/>
        </w:rPr>
        <w:t xml:space="preserve">تدابير </w:t>
      </w:r>
      <w:r w:rsidR="003D130E">
        <w:rPr>
          <w:rFonts w:hint="cs"/>
          <w:rtl/>
        </w:rPr>
        <w:t>ال</w:t>
      </w:r>
      <w:r>
        <w:rPr>
          <w:rFonts w:hint="cs"/>
          <w:rtl/>
        </w:rPr>
        <w:t>انتقالي</w:t>
      </w:r>
      <w:r w:rsidR="003D130E">
        <w:rPr>
          <w:rFonts w:hint="cs"/>
          <w:rtl/>
        </w:rPr>
        <w:t>ة</w:t>
      </w:r>
      <w:r>
        <w:rPr>
          <w:rFonts w:hint="cs"/>
          <w:rtl/>
        </w:rPr>
        <w:t xml:space="preserve"> </w:t>
      </w:r>
      <w:r w:rsidR="003D130E">
        <w:rPr>
          <w:rFonts w:hint="cs"/>
          <w:rtl/>
        </w:rPr>
        <w:t>ال</w:t>
      </w:r>
      <w:r>
        <w:rPr>
          <w:rFonts w:hint="cs"/>
          <w:rtl/>
        </w:rPr>
        <w:t xml:space="preserve">خاصة </w:t>
      </w:r>
      <w:r w:rsidR="003D130E">
        <w:rPr>
          <w:rFonts w:hint="cs"/>
          <w:rtl/>
        </w:rPr>
        <w:t>بالويبو</w:t>
      </w:r>
      <w:r>
        <w:rPr>
          <w:rFonts w:hint="cs"/>
          <w:rtl/>
        </w:rPr>
        <w:t xml:space="preserve"> </w:t>
      </w:r>
      <w:r w:rsidR="003D130E">
        <w:rPr>
          <w:rFonts w:hint="cs"/>
          <w:rtl/>
        </w:rPr>
        <w:t>التي قد</w:t>
      </w:r>
      <w:r>
        <w:rPr>
          <w:rFonts w:hint="cs"/>
          <w:rtl/>
        </w:rPr>
        <w:t xml:space="preserve"> تقترح </w:t>
      </w:r>
      <w:r w:rsidR="003D130E">
        <w:rPr>
          <w:rFonts w:hint="cs"/>
          <w:rtl/>
        </w:rPr>
        <w:t xml:space="preserve">بشأن </w:t>
      </w:r>
      <w:r>
        <w:rPr>
          <w:rFonts w:hint="cs"/>
          <w:rtl/>
        </w:rPr>
        <w:t xml:space="preserve">تنفيذ </w:t>
      </w:r>
      <w:r w:rsidR="003D130E">
        <w:rPr>
          <w:rFonts w:hint="cs"/>
          <w:rtl/>
        </w:rPr>
        <w:t>ال</w:t>
      </w:r>
      <w:r>
        <w:rPr>
          <w:rFonts w:hint="cs"/>
          <w:rtl/>
        </w:rPr>
        <w:t xml:space="preserve">خطة </w:t>
      </w:r>
      <w:r w:rsidR="003D130E">
        <w:rPr>
          <w:rFonts w:hint="cs"/>
          <w:rtl/>
        </w:rPr>
        <w:t>الجديدة ل</w:t>
      </w:r>
      <w:r>
        <w:rPr>
          <w:rFonts w:hint="cs"/>
          <w:rtl/>
        </w:rPr>
        <w:t>منح</w:t>
      </w:r>
      <w:r w:rsidR="003D130E">
        <w:rPr>
          <w:rFonts w:hint="cs"/>
          <w:rtl/>
        </w:rPr>
        <w:t>ة</w:t>
      </w:r>
      <w:r>
        <w:rPr>
          <w:rFonts w:hint="cs"/>
          <w:rtl/>
        </w:rPr>
        <w:t xml:space="preserve"> التعليم. </w:t>
      </w:r>
      <w:r w:rsidR="003D130E">
        <w:rPr>
          <w:rFonts w:hint="cs"/>
          <w:rtl/>
        </w:rPr>
        <w:t>وستنطبق</w:t>
      </w:r>
      <w:r>
        <w:rPr>
          <w:rFonts w:hint="cs"/>
          <w:rtl/>
        </w:rPr>
        <w:t xml:space="preserve"> أي</w:t>
      </w:r>
      <w:r w:rsidR="008708FD">
        <w:rPr>
          <w:rFonts w:hint="cs"/>
          <w:rtl/>
        </w:rPr>
        <w:t>ة</w:t>
      </w:r>
      <w:r>
        <w:rPr>
          <w:rFonts w:hint="cs"/>
          <w:rtl/>
        </w:rPr>
        <w:t xml:space="preserve"> تدابير انتقالية إن اعتمدت على جميع الموظفين بوجه عام وليس على الموظفين الفرنسيين المقيمين في فرنسا</w:t>
      </w:r>
      <w:r w:rsidR="003D130E">
        <w:rPr>
          <w:rFonts w:hint="cs"/>
          <w:rtl/>
        </w:rPr>
        <w:t xml:space="preserve"> </w:t>
      </w:r>
      <w:r w:rsidR="00383770">
        <w:rPr>
          <w:rFonts w:hint="cs"/>
          <w:rtl/>
        </w:rPr>
        <w:t>فقط</w:t>
      </w:r>
      <w:r>
        <w:rPr>
          <w:rFonts w:hint="cs"/>
          <w:rtl/>
        </w:rPr>
        <w:t>.</w:t>
      </w:r>
    </w:p>
    <w:p w:rsidR="00661A55" w:rsidRDefault="00860896" w:rsidP="0064580A">
      <w:pPr>
        <w:pStyle w:val="NumberedParaAR"/>
      </w:pPr>
      <w:proofErr w:type="gramStart"/>
      <w:r>
        <w:rPr>
          <w:rFonts w:hint="cs"/>
          <w:rtl/>
        </w:rPr>
        <w:t>وفي</w:t>
      </w:r>
      <w:proofErr w:type="gramEnd"/>
      <w:r w:rsidR="0048626F">
        <w:rPr>
          <w:rFonts w:hint="cs"/>
          <w:rtl/>
        </w:rPr>
        <w:t xml:space="preserve"> ضوء ما </w:t>
      </w:r>
      <w:r w:rsidR="003D130E">
        <w:rPr>
          <w:rFonts w:hint="cs"/>
          <w:rtl/>
        </w:rPr>
        <w:t>سبق</w:t>
      </w:r>
      <w:r w:rsidR="0048626F">
        <w:rPr>
          <w:rFonts w:hint="cs"/>
          <w:rtl/>
        </w:rPr>
        <w:t xml:space="preserve">، </w:t>
      </w:r>
      <w:r>
        <w:rPr>
          <w:rFonts w:hint="cs"/>
          <w:rtl/>
        </w:rPr>
        <w:t>ي</w:t>
      </w:r>
      <w:r w:rsidR="005141ED">
        <w:rPr>
          <w:rFonts w:hint="cs"/>
          <w:rtl/>
        </w:rPr>
        <w:t>ُ</w:t>
      </w:r>
      <w:r>
        <w:rPr>
          <w:rFonts w:hint="cs"/>
          <w:rtl/>
        </w:rPr>
        <w:t>عتقد أن التدابير الانتقالية المقترحة ستنطبق على</w:t>
      </w:r>
      <w:r w:rsidR="0048626F">
        <w:rPr>
          <w:rFonts w:hint="cs"/>
          <w:rtl/>
        </w:rPr>
        <w:t xml:space="preserve"> 24 موظف</w:t>
      </w:r>
      <w:r>
        <w:rPr>
          <w:rFonts w:hint="cs"/>
          <w:rtl/>
        </w:rPr>
        <w:t>ا</w:t>
      </w:r>
      <w:r w:rsidR="0048626F">
        <w:rPr>
          <w:rFonts w:hint="cs"/>
          <w:rtl/>
        </w:rPr>
        <w:t xml:space="preserve"> فرنسي</w:t>
      </w:r>
      <w:r>
        <w:rPr>
          <w:rFonts w:hint="cs"/>
          <w:rtl/>
        </w:rPr>
        <w:t>ا</w:t>
      </w:r>
      <w:r w:rsidR="0048626F">
        <w:rPr>
          <w:rFonts w:hint="cs"/>
          <w:rtl/>
        </w:rPr>
        <w:t xml:space="preserve"> فقط من أصل 31. </w:t>
      </w:r>
      <w:proofErr w:type="gramStart"/>
      <w:r w:rsidR="0048626F">
        <w:rPr>
          <w:rFonts w:hint="cs"/>
          <w:rtl/>
        </w:rPr>
        <w:t>وذلك</w:t>
      </w:r>
      <w:proofErr w:type="gramEnd"/>
      <w:r w:rsidR="0048626F">
        <w:rPr>
          <w:rFonts w:hint="cs"/>
          <w:rtl/>
        </w:rPr>
        <w:t xml:space="preserve"> لأن أطفال سبعة موظفين </w:t>
      </w:r>
      <w:r w:rsidR="005141ED">
        <w:rPr>
          <w:rFonts w:hint="cs"/>
          <w:rtl/>
        </w:rPr>
        <w:t xml:space="preserve">منهم </w:t>
      </w:r>
      <w:r>
        <w:rPr>
          <w:rFonts w:hint="cs"/>
          <w:rtl/>
        </w:rPr>
        <w:t>سيكونو</w:t>
      </w:r>
      <w:r w:rsidR="0064580A">
        <w:rPr>
          <w:rFonts w:hint="cs"/>
          <w:rtl/>
        </w:rPr>
        <w:t>ن</w:t>
      </w:r>
      <w:r>
        <w:rPr>
          <w:rFonts w:hint="cs"/>
          <w:rtl/>
        </w:rPr>
        <w:t xml:space="preserve"> </w:t>
      </w:r>
      <w:r w:rsidR="00371D7F">
        <w:rPr>
          <w:rFonts w:hint="cs"/>
          <w:rtl/>
        </w:rPr>
        <w:t xml:space="preserve">إما قد </w:t>
      </w:r>
      <w:r w:rsidR="0048626F">
        <w:rPr>
          <w:rFonts w:hint="cs"/>
          <w:rtl/>
        </w:rPr>
        <w:t>انتهوا من المرحل</w:t>
      </w:r>
      <w:r>
        <w:rPr>
          <w:rFonts w:hint="cs"/>
          <w:rtl/>
        </w:rPr>
        <w:t>ة التعليمية بحلول سبتمبر 2017</w:t>
      </w:r>
      <w:r w:rsidR="0048626F">
        <w:rPr>
          <w:rFonts w:hint="cs"/>
          <w:rtl/>
        </w:rPr>
        <w:t xml:space="preserve"> أو </w:t>
      </w:r>
      <w:r>
        <w:rPr>
          <w:rFonts w:hint="cs"/>
          <w:rtl/>
        </w:rPr>
        <w:t>لن تع</w:t>
      </w:r>
      <w:r w:rsidR="0064580A">
        <w:rPr>
          <w:rFonts w:hint="cs"/>
          <w:rtl/>
        </w:rPr>
        <w:t>و</w:t>
      </w:r>
      <w:r>
        <w:rPr>
          <w:rFonts w:hint="cs"/>
          <w:rtl/>
        </w:rPr>
        <w:t>د المصروفات المطالب ب</w:t>
      </w:r>
      <w:r w:rsidR="0048626F">
        <w:rPr>
          <w:rFonts w:hint="cs"/>
          <w:rtl/>
        </w:rPr>
        <w:t xml:space="preserve">ها لتعليمهم تندرج في </w:t>
      </w:r>
      <w:r>
        <w:rPr>
          <w:rFonts w:hint="cs"/>
          <w:rtl/>
        </w:rPr>
        <w:t>ال</w:t>
      </w:r>
      <w:r w:rsidR="0048626F">
        <w:rPr>
          <w:rFonts w:hint="cs"/>
          <w:rtl/>
        </w:rPr>
        <w:t xml:space="preserve">خطة </w:t>
      </w:r>
      <w:r>
        <w:rPr>
          <w:rFonts w:hint="cs"/>
          <w:rtl/>
        </w:rPr>
        <w:t>الجديدة ل</w:t>
      </w:r>
      <w:r w:rsidR="0048626F">
        <w:rPr>
          <w:rFonts w:hint="cs"/>
          <w:rtl/>
        </w:rPr>
        <w:t>منح</w:t>
      </w:r>
      <w:r>
        <w:rPr>
          <w:rFonts w:hint="cs"/>
          <w:rtl/>
        </w:rPr>
        <w:t>ة</w:t>
      </w:r>
      <w:r w:rsidR="0048626F">
        <w:rPr>
          <w:rFonts w:hint="cs"/>
          <w:rtl/>
        </w:rPr>
        <w:t xml:space="preserve"> التعليم.</w:t>
      </w:r>
    </w:p>
    <w:p w:rsidR="0048626F" w:rsidRDefault="00371D7F" w:rsidP="006F6AD1">
      <w:pPr>
        <w:pStyle w:val="NumberedParaAR"/>
      </w:pPr>
      <w:r>
        <w:rPr>
          <w:rFonts w:hint="cs"/>
          <w:rtl/>
        </w:rPr>
        <w:t>وبناء على</w:t>
      </w:r>
      <w:r w:rsidR="00704AF0">
        <w:rPr>
          <w:rFonts w:hint="cs"/>
          <w:rtl/>
        </w:rPr>
        <w:t xml:space="preserve"> </w:t>
      </w:r>
      <w:r>
        <w:rPr>
          <w:rFonts w:hint="cs"/>
          <w:rtl/>
        </w:rPr>
        <w:t>ا</w:t>
      </w:r>
      <w:r w:rsidR="00704AF0">
        <w:rPr>
          <w:rFonts w:hint="cs"/>
          <w:rtl/>
        </w:rPr>
        <w:t>لافتراضات السابقة، ونظرا للتغييرات في خطة منح</w:t>
      </w:r>
      <w:r>
        <w:rPr>
          <w:rFonts w:hint="cs"/>
          <w:rtl/>
        </w:rPr>
        <w:t>ة</w:t>
      </w:r>
      <w:r w:rsidR="00704AF0">
        <w:rPr>
          <w:rFonts w:hint="cs"/>
          <w:rtl/>
        </w:rPr>
        <w:t xml:space="preserve"> </w:t>
      </w:r>
      <w:r>
        <w:rPr>
          <w:rFonts w:hint="cs"/>
          <w:rtl/>
        </w:rPr>
        <w:t xml:space="preserve">التعليم </w:t>
      </w:r>
      <w:r w:rsidR="00704AF0">
        <w:rPr>
          <w:rFonts w:hint="cs"/>
          <w:rtl/>
        </w:rPr>
        <w:t>اعتبارا من</w:t>
      </w:r>
      <w:r>
        <w:rPr>
          <w:rFonts w:hint="cs"/>
          <w:rtl/>
        </w:rPr>
        <w:t xml:space="preserve"> السنة الدراسية</w:t>
      </w:r>
      <w:r w:rsidR="00704AF0">
        <w:rPr>
          <w:rFonts w:hint="cs"/>
          <w:rtl/>
        </w:rPr>
        <w:t xml:space="preserve"> 2017/2018، تقدر التكلفة المالية الإجمالية والقصوى في الويبو </w:t>
      </w:r>
      <w:r>
        <w:rPr>
          <w:rFonts w:hint="cs"/>
          <w:rtl/>
        </w:rPr>
        <w:t>لاعتماد</w:t>
      </w:r>
      <w:r w:rsidR="00704AF0">
        <w:rPr>
          <w:rFonts w:hint="cs"/>
          <w:rtl/>
        </w:rPr>
        <w:t xml:space="preserve"> التدابير الانتقالي</w:t>
      </w:r>
      <w:r>
        <w:rPr>
          <w:rFonts w:hint="cs"/>
          <w:rtl/>
        </w:rPr>
        <w:t>ة</w:t>
      </w:r>
      <w:r w:rsidR="00704AF0">
        <w:rPr>
          <w:rFonts w:hint="cs"/>
          <w:rtl/>
        </w:rPr>
        <w:t xml:space="preserve"> المقترحة بالنسبة للموظفين الفرنسيين وعددهم</w:t>
      </w:r>
      <w:r w:rsidR="007C0E4C">
        <w:rPr>
          <w:rFonts w:hint="eastAsia"/>
          <w:rtl/>
        </w:rPr>
        <w:t> </w:t>
      </w:r>
      <w:r w:rsidR="00704AF0">
        <w:rPr>
          <w:rFonts w:hint="cs"/>
          <w:rtl/>
        </w:rPr>
        <w:t>24</w:t>
      </w:r>
      <w:r w:rsidR="007C0E4C">
        <w:rPr>
          <w:rFonts w:hint="eastAsia"/>
          <w:rtl/>
        </w:rPr>
        <w:t> </w:t>
      </w:r>
      <w:r w:rsidR="00704AF0">
        <w:rPr>
          <w:rFonts w:hint="cs"/>
          <w:rtl/>
        </w:rPr>
        <w:t xml:space="preserve">موظفا بمبلغ </w:t>
      </w:r>
      <w:r w:rsidR="006F6AD1">
        <w:rPr>
          <w:rFonts w:hint="cs"/>
          <w:rtl/>
        </w:rPr>
        <w:t>680 327</w:t>
      </w:r>
      <w:r w:rsidR="00704AF0">
        <w:rPr>
          <w:rFonts w:hint="cs"/>
          <w:rtl/>
        </w:rPr>
        <w:t xml:space="preserve"> فرنكا سويسريا لفترة خمس سنوات (انظر المرفق).</w:t>
      </w:r>
    </w:p>
    <w:p w:rsidR="00704AF0" w:rsidRDefault="00371D7F" w:rsidP="0064580A">
      <w:pPr>
        <w:pStyle w:val="NumberedParaAR"/>
      </w:pPr>
      <w:r>
        <w:rPr>
          <w:rFonts w:hint="cs"/>
          <w:rtl/>
        </w:rPr>
        <w:t>و</w:t>
      </w:r>
      <w:r w:rsidR="00307A48">
        <w:rPr>
          <w:rFonts w:hint="cs"/>
          <w:rtl/>
        </w:rPr>
        <w:t>هذ</w:t>
      </w:r>
      <w:r w:rsidR="002E76C9">
        <w:rPr>
          <w:rFonts w:hint="cs"/>
          <w:rtl/>
        </w:rPr>
        <w:t xml:space="preserve">ا المبلغ </w:t>
      </w:r>
      <w:r w:rsidR="007F2A20">
        <w:rPr>
          <w:rFonts w:hint="cs"/>
          <w:rtl/>
        </w:rPr>
        <w:t>أقل تكلفة</w:t>
      </w:r>
      <w:r w:rsidR="00307A48">
        <w:rPr>
          <w:rFonts w:hint="cs"/>
          <w:rtl/>
        </w:rPr>
        <w:t xml:space="preserve"> </w:t>
      </w:r>
      <w:r>
        <w:rPr>
          <w:rFonts w:hint="cs"/>
          <w:rtl/>
        </w:rPr>
        <w:t xml:space="preserve">بكثير </w:t>
      </w:r>
      <w:r w:rsidR="000D081D">
        <w:rPr>
          <w:rFonts w:hint="cs"/>
          <w:rtl/>
        </w:rPr>
        <w:t xml:space="preserve">من </w:t>
      </w:r>
      <w:r w:rsidR="00307A48">
        <w:rPr>
          <w:rFonts w:hint="cs"/>
          <w:rtl/>
        </w:rPr>
        <w:t xml:space="preserve">تكلفة </w:t>
      </w:r>
      <w:r>
        <w:rPr>
          <w:rFonts w:hint="cs"/>
          <w:rtl/>
        </w:rPr>
        <w:t>الاحتفاظ</w:t>
      </w:r>
      <w:r w:rsidR="00307A48">
        <w:rPr>
          <w:rFonts w:hint="cs"/>
          <w:rtl/>
        </w:rPr>
        <w:t xml:space="preserve"> </w:t>
      </w:r>
      <w:r>
        <w:rPr>
          <w:rFonts w:hint="cs"/>
          <w:rtl/>
        </w:rPr>
        <w:t>ب</w:t>
      </w:r>
      <w:r w:rsidR="00307A48">
        <w:rPr>
          <w:rFonts w:hint="cs"/>
          <w:rtl/>
        </w:rPr>
        <w:t>المادة</w:t>
      </w:r>
      <w:r w:rsidR="006F6AD1">
        <w:rPr>
          <w:rFonts w:hint="cs"/>
          <w:rtl/>
        </w:rPr>
        <w:t xml:space="preserve"> </w:t>
      </w:r>
      <w:r w:rsidR="00307A48">
        <w:rPr>
          <w:rFonts w:hint="cs"/>
          <w:rtl/>
        </w:rPr>
        <w:t xml:space="preserve">14.3(و). </w:t>
      </w:r>
      <w:r w:rsidR="007F2A20">
        <w:rPr>
          <w:rFonts w:hint="cs"/>
          <w:rtl/>
        </w:rPr>
        <w:t>وإن</w:t>
      </w:r>
      <w:r w:rsidR="00192363">
        <w:rPr>
          <w:rFonts w:hint="cs"/>
          <w:rtl/>
        </w:rPr>
        <w:t xml:space="preserve"> لم </w:t>
      </w:r>
      <w:r>
        <w:rPr>
          <w:rFonts w:hint="cs"/>
          <w:rtl/>
        </w:rPr>
        <w:t>ي</w:t>
      </w:r>
      <w:r w:rsidR="00192363">
        <w:rPr>
          <w:rFonts w:hint="cs"/>
          <w:rtl/>
        </w:rPr>
        <w:t>عتمد</w:t>
      </w:r>
      <w:r w:rsidR="0041523C">
        <w:rPr>
          <w:rFonts w:hint="cs"/>
          <w:rtl/>
        </w:rPr>
        <w:t xml:space="preserve"> </w:t>
      </w:r>
      <w:r>
        <w:rPr>
          <w:rFonts w:hint="cs"/>
          <w:rtl/>
        </w:rPr>
        <w:t>التدبير الانتقالي</w:t>
      </w:r>
      <w:r w:rsidR="0041523C">
        <w:rPr>
          <w:rFonts w:hint="cs"/>
          <w:rtl/>
        </w:rPr>
        <w:t xml:space="preserve">، </w:t>
      </w:r>
      <w:r w:rsidR="00CC6BA8">
        <w:rPr>
          <w:rFonts w:hint="cs"/>
          <w:rtl/>
        </w:rPr>
        <w:t>ف</w:t>
      </w:r>
      <w:r w:rsidR="0041523C">
        <w:rPr>
          <w:rFonts w:hint="cs"/>
          <w:rtl/>
        </w:rPr>
        <w:t xml:space="preserve">من المتوقع أن تواجه الويبو </w:t>
      </w:r>
      <w:r w:rsidR="00A92F62">
        <w:rPr>
          <w:rFonts w:hint="cs"/>
          <w:rtl/>
        </w:rPr>
        <w:t>منازعات من</w:t>
      </w:r>
      <w:r w:rsidR="007F2A20">
        <w:rPr>
          <w:rFonts w:hint="cs"/>
          <w:rtl/>
        </w:rPr>
        <w:t xml:space="preserve"> جانب</w:t>
      </w:r>
      <w:r w:rsidR="00A92F62">
        <w:rPr>
          <w:rFonts w:hint="cs"/>
          <w:rtl/>
        </w:rPr>
        <w:t xml:space="preserve"> الموظفين المعنيين، </w:t>
      </w:r>
      <w:r>
        <w:rPr>
          <w:rFonts w:hint="cs"/>
          <w:rtl/>
        </w:rPr>
        <w:t xml:space="preserve">ومن </w:t>
      </w:r>
      <w:r w:rsidR="007D4453">
        <w:rPr>
          <w:rFonts w:hint="cs"/>
          <w:rtl/>
        </w:rPr>
        <w:t>الأرجح</w:t>
      </w:r>
      <w:r>
        <w:rPr>
          <w:rFonts w:hint="cs"/>
          <w:rtl/>
        </w:rPr>
        <w:t xml:space="preserve"> أن تتجاوز </w:t>
      </w:r>
      <w:r w:rsidR="002E76C9">
        <w:rPr>
          <w:rFonts w:hint="cs"/>
          <w:rtl/>
        </w:rPr>
        <w:t>تكلفة</w:t>
      </w:r>
      <w:r w:rsidR="007F2A20">
        <w:rPr>
          <w:rFonts w:hint="cs"/>
          <w:rtl/>
        </w:rPr>
        <w:t xml:space="preserve"> المنازعات</w:t>
      </w:r>
      <w:r>
        <w:rPr>
          <w:rFonts w:hint="cs"/>
          <w:rtl/>
        </w:rPr>
        <w:t xml:space="preserve"> </w:t>
      </w:r>
      <w:r w:rsidR="00A92F62">
        <w:rPr>
          <w:rFonts w:hint="cs"/>
          <w:rtl/>
        </w:rPr>
        <w:t>التكلفة</w:t>
      </w:r>
      <w:r w:rsidR="007F2A20">
        <w:rPr>
          <w:rFonts w:hint="cs"/>
          <w:rtl/>
        </w:rPr>
        <w:t>َ</w:t>
      </w:r>
      <w:r w:rsidR="00A92F62">
        <w:rPr>
          <w:rFonts w:hint="cs"/>
          <w:rtl/>
        </w:rPr>
        <w:t xml:space="preserve"> الإجمالية القصوى </w:t>
      </w:r>
      <w:r w:rsidR="007F2A20">
        <w:rPr>
          <w:rFonts w:hint="cs"/>
          <w:rtl/>
        </w:rPr>
        <w:t xml:space="preserve">المقدرة </w:t>
      </w:r>
      <w:r w:rsidR="0064580A">
        <w:rPr>
          <w:rFonts w:hint="cs"/>
          <w:rtl/>
        </w:rPr>
        <w:t>نتيجة</w:t>
      </w:r>
      <w:r w:rsidR="00A92F62">
        <w:rPr>
          <w:rFonts w:hint="cs"/>
          <w:rtl/>
        </w:rPr>
        <w:t xml:space="preserve"> اعتماد التدبير الانتقالي.</w:t>
      </w:r>
    </w:p>
    <w:p w:rsidR="006C44C2" w:rsidRPr="00CB3A52" w:rsidRDefault="006C44C2" w:rsidP="006C44C2">
      <w:pPr>
        <w:pStyle w:val="EndofDocumentAR"/>
      </w:pPr>
      <w:r>
        <w:rPr>
          <w:rtl/>
        </w:rPr>
        <w:t>[</w:t>
      </w:r>
      <w:r>
        <w:rPr>
          <w:rFonts w:hint="cs"/>
          <w:rtl/>
        </w:rPr>
        <w:t xml:space="preserve">يلي ذلك </w:t>
      </w:r>
      <w:proofErr w:type="gramStart"/>
      <w:r>
        <w:rPr>
          <w:rFonts w:hint="cs"/>
          <w:rtl/>
        </w:rPr>
        <w:t>المرفق</w:t>
      </w:r>
      <w:proofErr w:type="gramEnd"/>
      <w:r>
        <w:rPr>
          <w:rtl/>
        </w:rPr>
        <w:t>]</w:t>
      </w:r>
    </w:p>
    <w:sectPr w:rsidR="006C44C2" w:rsidRPr="00CB3A52"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948" w:rsidRDefault="00FD7948">
      <w:r>
        <w:separator/>
      </w:r>
    </w:p>
  </w:endnote>
  <w:endnote w:type="continuationSeparator" w:id="0">
    <w:p w:rsidR="00FD7948" w:rsidRDefault="00FD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948" w:rsidRDefault="00FD7948" w:rsidP="009622BF">
      <w:pPr>
        <w:bidi/>
      </w:pPr>
      <w:bookmarkStart w:id="0" w:name="OLE_LINK1"/>
      <w:bookmarkStart w:id="1" w:name="OLE_LINK2"/>
      <w:r>
        <w:separator/>
      </w:r>
      <w:bookmarkEnd w:id="0"/>
      <w:bookmarkEnd w:id="1"/>
    </w:p>
  </w:footnote>
  <w:footnote w:type="continuationSeparator" w:id="0">
    <w:p w:rsidR="00FD7948" w:rsidRDefault="00FD7948" w:rsidP="009622BF">
      <w:pPr>
        <w:bidi/>
      </w:pPr>
      <w:r>
        <w:separator/>
      </w:r>
    </w:p>
  </w:footnote>
  <w:footnote w:id="1">
    <w:p w:rsidR="00FD7948" w:rsidRDefault="00FD7948" w:rsidP="00BA4B32">
      <w:pPr>
        <w:pStyle w:val="FootnoteText"/>
      </w:pPr>
      <w:r>
        <w:rPr>
          <w:rStyle w:val="FootnoteReference"/>
        </w:rPr>
        <w:footnoteRef/>
      </w:r>
      <w:r>
        <w:rPr>
          <w:rtl/>
        </w:rPr>
        <w:t xml:space="preserve"> </w:t>
      </w:r>
      <w:r>
        <w:rPr>
          <w:rFonts w:hint="cs"/>
          <w:rtl/>
        </w:rPr>
        <w:t xml:space="preserve">انظر </w:t>
      </w:r>
      <w:proofErr w:type="gramStart"/>
      <w:r>
        <w:rPr>
          <w:rFonts w:hint="cs"/>
          <w:rtl/>
        </w:rPr>
        <w:t>الفقرتين</w:t>
      </w:r>
      <w:proofErr w:type="gramEnd"/>
      <w:r>
        <w:rPr>
          <w:rFonts w:hint="cs"/>
          <w:rtl/>
        </w:rPr>
        <w:t> 5 و 6 من الوثيقة</w:t>
      </w:r>
      <w:r>
        <w:rPr>
          <w:rFonts w:hint="eastAsia"/>
          <w:rtl/>
        </w:rPr>
        <w:t> </w:t>
      </w:r>
      <w:r w:rsidRPr="00BD247E">
        <w:t>WO/CC/71/4 Rev</w:t>
      </w:r>
      <w:r>
        <w:rPr>
          <w:rFonts w:hint="cs"/>
          <w:rtl/>
        </w:rPr>
        <w:t>.</w:t>
      </w:r>
    </w:p>
  </w:footnote>
  <w:footnote w:id="2">
    <w:p w:rsidR="00FD7948" w:rsidRDefault="00FD7948" w:rsidP="0078353D">
      <w:pPr>
        <w:pStyle w:val="FootnoteText"/>
      </w:pPr>
      <w:r>
        <w:rPr>
          <w:rStyle w:val="FootnoteReference"/>
        </w:rPr>
        <w:footnoteRef/>
      </w:r>
      <w:r>
        <w:rPr>
          <w:rtl/>
        </w:rPr>
        <w:t xml:space="preserve"> </w:t>
      </w:r>
      <w:r>
        <w:rPr>
          <w:rFonts w:hint="cs"/>
          <w:rtl/>
        </w:rPr>
        <w:t xml:space="preserve">انظر </w:t>
      </w:r>
      <w:proofErr w:type="gramStart"/>
      <w:r>
        <w:rPr>
          <w:rFonts w:hint="cs"/>
          <w:rtl/>
        </w:rPr>
        <w:t>الفقرة</w:t>
      </w:r>
      <w:proofErr w:type="gramEnd"/>
      <w:r>
        <w:rPr>
          <w:rFonts w:hint="cs"/>
          <w:rtl/>
        </w:rPr>
        <w:t> 95"1"(ب) من الوثيقة</w:t>
      </w:r>
      <w:r>
        <w:rPr>
          <w:rFonts w:hint="eastAsia"/>
          <w:rtl/>
        </w:rPr>
        <w:t> </w:t>
      </w:r>
      <w:r w:rsidRPr="004C0245">
        <w:t>WO/CC/71/7</w:t>
      </w:r>
      <w:r>
        <w:rPr>
          <w:rFonts w:hint="cs"/>
          <w:rtl/>
        </w:rPr>
        <w:t>.</w:t>
      </w:r>
    </w:p>
  </w:footnote>
  <w:footnote w:id="3">
    <w:p w:rsidR="00FD7948" w:rsidRDefault="00FD7948" w:rsidP="000D08C0">
      <w:pPr>
        <w:pStyle w:val="FootnoteText"/>
      </w:pPr>
      <w:r w:rsidRPr="008562B8">
        <w:rPr>
          <w:rStyle w:val="FootnoteReference"/>
        </w:rPr>
        <w:footnoteRef/>
      </w:r>
      <w:r w:rsidRPr="008562B8">
        <w:rPr>
          <w:rtl/>
        </w:rPr>
        <w:t xml:space="preserve"> </w:t>
      </w:r>
      <w:r w:rsidRPr="008562B8">
        <w:rPr>
          <w:rFonts w:hint="cs"/>
          <w:rtl/>
        </w:rPr>
        <w:t xml:space="preserve">انظر الحيثية 7(ج) في </w:t>
      </w:r>
      <w:r w:rsidR="000E5A3D">
        <w:rPr>
          <w:rFonts w:hint="cs"/>
          <w:rtl/>
        </w:rPr>
        <w:t xml:space="preserve">الحكم </w:t>
      </w:r>
      <w:proofErr w:type="gramStart"/>
      <w:r w:rsidR="000E5A3D">
        <w:rPr>
          <w:rFonts w:hint="cs"/>
          <w:rtl/>
        </w:rPr>
        <w:t>رقم</w:t>
      </w:r>
      <w:proofErr w:type="gramEnd"/>
      <w:r w:rsidR="000E5A3D">
        <w:rPr>
          <w:rFonts w:hint="cs"/>
          <w:rtl/>
        </w:rPr>
        <w:t> 1641 لعام 1997.</w:t>
      </w:r>
    </w:p>
  </w:footnote>
  <w:footnote w:id="4">
    <w:p w:rsidR="00FD7948" w:rsidRDefault="00FD7948" w:rsidP="008E2852">
      <w:pPr>
        <w:pStyle w:val="FootnoteText"/>
      </w:pPr>
      <w:r>
        <w:rPr>
          <w:rStyle w:val="FootnoteReference"/>
        </w:rPr>
        <w:footnoteRef/>
      </w:r>
      <w:r>
        <w:rPr>
          <w:rtl/>
        </w:rPr>
        <w:t xml:space="preserve"> </w:t>
      </w:r>
      <w:proofErr w:type="gramStart"/>
      <w:r>
        <w:rPr>
          <w:rFonts w:hint="cs"/>
          <w:rtl/>
        </w:rPr>
        <w:t>مبدأ</w:t>
      </w:r>
      <w:proofErr w:type="gramEnd"/>
      <w:r>
        <w:rPr>
          <w:rFonts w:hint="cs"/>
          <w:rtl/>
        </w:rPr>
        <w:t xml:space="preserve"> الحقوق المكتسبة </w:t>
      </w:r>
      <w:r w:rsidR="00F63FDC">
        <w:rPr>
          <w:rFonts w:hint="cs"/>
          <w:rtl/>
        </w:rPr>
        <w:t>والقاعدة</w:t>
      </w:r>
      <w:r w:rsidR="00983FE1">
        <w:rPr>
          <w:rFonts w:hint="cs"/>
          <w:rtl/>
        </w:rPr>
        <w:t xml:space="preserve"> </w:t>
      </w:r>
      <w:r w:rsidR="008E2852">
        <w:rPr>
          <w:rFonts w:hint="cs"/>
          <w:rtl/>
        </w:rPr>
        <w:t>المناهضة</w:t>
      </w:r>
      <w:r w:rsidR="00983FE1">
        <w:rPr>
          <w:rFonts w:hint="cs"/>
          <w:rtl/>
        </w:rPr>
        <w:t xml:space="preserve"> </w:t>
      </w:r>
      <w:r w:rsidR="008E2852">
        <w:rPr>
          <w:rFonts w:hint="cs"/>
          <w:rtl/>
        </w:rPr>
        <w:t>ل</w:t>
      </w:r>
      <w:r w:rsidR="00983FE1">
        <w:rPr>
          <w:rFonts w:hint="cs"/>
          <w:rtl/>
        </w:rPr>
        <w:t xml:space="preserve">لأثر </w:t>
      </w:r>
      <w:r>
        <w:rPr>
          <w:rFonts w:hint="cs"/>
          <w:rtl/>
        </w:rPr>
        <w:t xml:space="preserve">الرجعي </w:t>
      </w:r>
      <w:r w:rsidR="00983FE1">
        <w:rPr>
          <w:rFonts w:hint="cs"/>
          <w:rtl/>
        </w:rPr>
        <w:t xml:space="preserve">هما </w:t>
      </w:r>
      <w:r>
        <w:rPr>
          <w:rFonts w:hint="cs"/>
          <w:rtl/>
        </w:rPr>
        <w:t>من المبادئ العامة في القانون (انظر مثلا الحيثية</w:t>
      </w:r>
      <w:r>
        <w:rPr>
          <w:rFonts w:hint="eastAsia"/>
          <w:rtl/>
        </w:rPr>
        <w:t> 9</w:t>
      </w:r>
      <w:r>
        <w:rPr>
          <w:rFonts w:hint="cs"/>
          <w:rtl/>
        </w:rPr>
        <w:t xml:space="preserve"> في الحكم رقم 429 لعام</w:t>
      </w:r>
      <w:r w:rsidR="004B59EA">
        <w:rPr>
          <w:rFonts w:hint="eastAsia"/>
          <w:rtl/>
        </w:rPr>
        <w:t> </w:t>
      </w:r>
      <w:r>
        <w:rPr>
          <w:rFonts w:hint="cs"/>
          <w:rtl/>
        </w:rPr>
        <w:t>1980 والحيثية</w:t>
      </w:r>
      <w:r>
        <w:rPr>
          <w:rFonts w:hint="eastAsia"/>
          <w:rtl/>
        </w:rPr>
        <w:t> 5</w:t>
      </w:r>
      <w:r>
        <w:rPr>
          <w:rFonts w:hint="cs"/>
          <w:rtl/>
        </w:rPr>
        <w:t xml:space="preserve"> ف</w:t>
      </w:r>
      <w:r w:rsidR="00983FE1">
        <w:rPr>
          <w:rFonts w:hint="cs"/>
          <w:rtl/>
        </w:rPr>
        <w:t xml:space="preserve">ي الحكم رقم 51 </w:t>
      </w:r>
      <w:r w:rsidR="004B59EA">
        <w:rPr>
          <w:rFonts w:hint="cs"/>
          <w:rtl/>
        </w:rPr>
        <w:t>لعام 1960</w:t>
      </w:r>
      <w:r w:rsidR="00983FE1">
        <w:rPr>
          <w:rFonts w:hint="cs"/>
          <w:rtl/>
        </w:rPr>
        <w:t>). لذا ينطبق هذان</w:t>
      </w:r>
      <w:r>
        <w:rPr>
          <w:rFonts w:hint="cs"/>
          <w:rtl/>
        </w:rPr>
        <w:t xml:space="preserve"> الم</w:t>
      </w:r>
      <w:r w:rsidR="00983FE1">
        <w:rPr>
          <w:rFonts w:hint="cs"/>
          <w:rtl/>
        </w:rPr>
        <w:t>بدءان</w:t>
      </w:r>
      <w:r>
        <w:rPr>
          <w:rFonts w:hint="cs"/>
          <w:rtl/>
        </w:rPr>
        <w:t xml:space="preserve"> حتى </w:t>
      </w:r>
      <w:r w:rsidR="00A257C3">
        <w:rPr>
          <w:rFonts w:hint="cs"/>
          <w:rtl/>
        </w:rPr>
        <w:t>عند</w:t>
      </w:r>
      <w:r>
        <w:rPr>
          <w:rFonts w:hint="cs"/>
          <w:rtl/>
        </w:rPr>
        <w:t xml:space="preserve"> غياب تنويه صريح </w:t>
      </w:r>
      <w:proofErr w:type="gramStart"/>
      <w:r w:rsidR="00A257C3">
        <w:rPr>
          <w:rFonts w:hint="cs"/>
          <w:rtl/>
        </w:rPr>
        <w:t>عنهما</w:t>
      </w:r>
      <w:proofErr w:type="gramEnd"/>
      <w:r w:rsidR="00A257C3">
        <w:rPr>
          <w:rFonts w:hint="cs"/>
          <w:rtl/>
        </w:rPr>
        <w:t xml:space="preserve"> </w:t>
      </w:r>
      <w:r>
        <w:rPr>
          <w:rFonts w:hint="cs"/>
          <w:rtl/>
        </w:rPr>
        <w:t>في نظام الموظفين ولائحته.</w:t>
      </w:r>
    </w:p>
  </w:footnote>
  <w:footnote w:id="5">
    <w:p w:rsidR="00FD7948" w:rsidRDefault="00FD7948" w:rsidP="0025226E">
      <w:pPr>
        <w:pStyle w:val="FootnoteText"/>
      </w:pPr>
      <w:r>
        <w:rPr>
          <w:rStyle w:val="FootnoteReference"/>
        </w:rPr>
        <w:footnoteRef/>
      </w:r>
      <w:r>
        <w:rPr>
          <w:rtl/>
        </w:rPr>
        <w:t xml:space="preserve"> </w:t>
      </w:r>
      <w:proofErr w:type="gramStart"/>
      <w:r>
        <w:rPr>
          <w:rFonts w:hint="cs"/>
          <w:rtl/>
        </w:rPr>
        <w:t>انظر</w:t>
      </w:r>
      <w:proofErr w:type="gramEnd"/>
      <w:r>
        <w:rPr>
          <w:rFonts w:hint="cs"/>
          <w:rtl/>
        </w:rPr>
        <w:t xml:space="preserve"> الحيثية</w:t>
      </w:r>
      <w:r>
        <w:rPr>
          <w:rFonts w:hint="eastAsia"/>
          <w:rtl/>
        </w:rPr>
        <w:t> 13</w:t>
      </w:r>
      <w:r>
        <w:rPr>
          <w:rFonts w:hint="cs"/>
          <w:rtl/>
        </w:rPr>
        <w:t xml:space="preserve"> في الحكم رقم 1446 </w:t>
      </w:r>
      <w:r w:rsidR="004B59EA">
        <w:rPr>
          <w:rFonts w:hint="cs"/>
          <w:rtl/>
        </w:rPr>
        <w:t>لعام</w:t>
      </w:r>
      <w:r w:rsidR="004B59EA">
        <w:rPr>
          <w:rFonts w:hint="eastAsia"/>
          <w:rtl/>
        </w:rPr>
        <w:t> </w:t>
      </w:r>
      <w:r>
        <w:rPr>
          <w:rFonts w:hint="cs"/>
          <w:rtl/>
        </w:rPr>
        <w:t xml:space="preserve">1995 التي تشير ضمن جملة من الأمور إلى الإعلانات </w:t>
      </w:r>
      <w:r w:rsidR="006130E5">
        <w:rPr>
          <w:rFonts w:hint="cs"/>
          <w:rtl/>
        </w:rPr>
        <w:t>التقليدية عن</w:t>
      </w:r>
      <w:r>
        <w:rPr>
          <w:rFonts w:hint="cs"/>
          <w:rtl/>
        </w:rPr>
        <w:t xml:space="preserve"> </w:t>
      </w:r>
      <w:r w:rsidR="006130E5">
        <w:rPr>
          <w:rFonts w:hint="cs"/>
          <w:rtl/>
        </w:rPr>
        <w:t>ا</w:t>
      </w:r>
      <w:r>
        <w:rPr>
          <w:rFonts w:hint="cs"/>
          <w:rtl/>
        </w:rPr>
        <w:t xml:space="preserve">لمبدأ </w:t>
      </w:r>
      <w:r w:rsidR="00420397">
        <w:rPr>
          <w:rFonts w:hint="cs"/>
          <w:rtl/>
        </w:rPr>
        <w:t xml:space="preserve">الواردة </w:t>
      </w:r>
      <w:r>
        <w:rPr>
          <w:rFonts w:hint="cs"/>
          <w:rtl/>
        </w:rPr>
        <w:t>في الحكم رقم 61</w:t>
      </w:r>
      <w:r w:rsidR="000D08C0">
        <w:rPr>
          <w:rFonts w:hint="eastAsia"/>
          <w:rtl/>
        </w:rPr>
        <w:t> </w:t>
      </w:r>
      <w:r>
        <w:rPr>
          <w:rFonts w:hint="cs"/>
          <w:rtl/>
        </w:rPr>
        <w:t xml:space="preserve"> لعام</w:t>
      </w:r>
      <w:r w:rsidR="0025226E">
        <w:rPr>
          <w:rFonts w:hint="eastAsia"/>
          <w:rtl/>
        </w:rPr>
        <w:t> </w:t>
      </w:r>
      <w:r>
        <w:rPr>
          <w:rFonts w:hint="cs"/>
          <w:rtl/>
        </w:rPr>
        <w:t>1962</w:t>
      </w:r>
      <w:r w:rsidR="000D08C0">
        <w:rPr>
          <w:rFonts w:hint="eastAsia"/>
          <w:rtl/>
        </w:rPr>
        <w:t> </w:t>
      </w:r>
      <w:r>
        <w:rPr>
          <w:rFonts w:hint="cs"/>
          <w:rtl/>
        </w:rPr>
        <w:t xml:space="preserve"> والحكم 832 لعام</w:t>
      </w:r>
      <w:r w:rsidR="0025226E">
        <w:rPr>
          <w:rFonts w:hint="eastAsia"/>
          <w:rtl/>
        </w:rPr>
        <w:t> </w:t>
      </w:r>
      <w:r>
        <w:rPr>
          <w:rFonts w:hint="cs"/>
          <w:rtl/>
        </w:rPr>
        <w:t>1987.</w:t>
      </w:r>
    </w:p>
  </w:footnote>
  <w:footnote w:id="6">
    <w:p w:rsidR="00FD7948" w:rsidRDefault="00FD7948" w:rsidP="0025226E">
      <w:pPr>
        <w:pStyle w:val="FootnoteText"/>
      </w:pPr>
      <w:r>
        <w:rPr>
          <w:rStyle w:val="FootnoteReference"/>
        </w:rPr>
        <w:footnoteRef/>
      </w:r>
      <w:r>
        <w:rPr>
          <w:rtl/>
        </w:rPr>
        <w:t xml:space="preserve"> </w:t>
      </w:r>
      <w:r w:rsidRPr="0093557F">
        <w:rPr>
          <w:rtl/>
        </w:rPr>
        <w:t xml:space="preserve">انظر </w:t>
      </w:r>
      <w:r>
        <w:rPr>
          <w:rtl/>
        </w:rPr>
        <w:t>الحيثي</w:t>
      </w:r>
      <w:r>
        <w:rPr>
          <w:rFonts w:hint="cs"/>
          <w:rtl/>
        </w:rPr>
        <w:t>تين</w:t>
      </w:r>
      <w:r w:rsidR="0010333D">
        <w:rPr>
          <w:rFonts w:hint="cs"/>
          <w:rtl/>
        </w:rPr>
        <w:t xml:space="preserve"> </w:t>
      </w:r>
      <w:r>
        <w:rPr>
          <w:rFonts w:hint="cs"/>
          <w:rtl/>
        </w:rPr>
        <w:t>6 و7 في الحكمين</w:t>
      </w:r>
      <w:r w:rsidR="006130E5">
        <w:rPr>
          <w:rtl/>
        </w:rPr>
        <w:t xml:space="preserve"> رقم</w:t>
      </w:r>
      <w:r w:rsidR="006130E5">
        <w:rPr>
          <w:rFonts w:hint="cs"/>
          <w:rtl/>
        </w:rPr>
        <w:t> </w:t>
      </w:r>
      <w:r>
        <w:rPr>
          <w:rtl/>
        </w:rPr>
        <w:t>365 و</w:t>
      </w:r>
      <w:r w:rsidRPr="0093557F">
        <w:rPr>
          <w:rtl/>
        </w:rPr>
        <w:t>366 لعام</w:t>
      </w:r>
      <w:r w:rsidR="0025226E">
        <w:rPr>
          <w:rFonts w:hint="cs"/>
          <w:rtl/>
        </w:rPr>
        <w:t> </w:t>
      </w:r>
      <w:r w:rsidR="006130E5" w:rsidRPr="0093557F">
        <w:rPr>
          <w:rtl/>
        </w:rPr>
        <w:t>1978</w:t>
      </w:r>
      <w:r w:rsidR="006130E5">
        <w:rPr>
          <w:rFonts w:hint="cs"/>
          <w:rtl/>
        </w:rPr>
        <w:t xml:space="preserve"> على التوالي</w:t>
      </w:r>
      <w:r>
        <w:rPr>
          <w:rtl/>
        </w:rPr>
        <w:t xml:space="preserve">. </w:t>
      </w:r>
      <w:proofErr w:type="gramStart"/>
      <w:r>
        <w:rPr>
          <w:rtl/>
        </w:rPr>
        <w:t>وانظر</w:t>
      </w:r>
      <w:proofErr w:type="gramEnd"/>
      <w:r>
        <w:rPr>
          <w:rtl/>
        </w:rPr>
        <w:t xml:space="preserve"> أيضا </w:t>
      </w:r>
      <w:r>
        <w:rPr>
          <w:rFonts w:hint="cs"/>
          <w:rtl/>
        </w:rPr>
        <w:t xml:space="preserve">مثلا الحيثية 7 في </w:t>
      </w:r>
      <w:r>
        <w:rPr>
          <w:rtl/>
        </w:rPr>
        <w:t>الحكم</w:t>
      </w:r>
      <w:r>
        <w:rPr>
          <w:rFonts w:hint="cs"/>
          <w:rtl/>
        </w:rPr>
        <w:t xml:space="preserve"> رقم 368 لعام</w:t>
      </w:r>
      <w:r w:rsidR="0025226E">
        <w:rPr>
          <w:rFonts w:hint="eastAsia"/>
          <w:rtl/>
        </w:rPr>
        <w:t> </w:t>
      </w:r>
      <w:r>
        <w:rPr>
          <w:rFonts w:hint="cs"/>
          <w:rtl/>
        </w:rPr>
        <w:t>1979 و</w:t>
      </w:r>
      <w:r>
        <w:rPr>
          <w:rFonts w:hint="eastAsia"/>
          <w:rtl/>
        </w:rPr>
        <w:t>الحيثية 4</w:t>
      </w:r>
      <w:r>
        <w:rPr>
          <w:rFonts w:hint="cs"/>
          <w:rtl/>
        </w:rPr>
        <w:t xml:space="preserve"> في الحكم رقم</w:t>
      </w:r>
      <w:r>
        <w:rPr>
          <w:rFonts w:hint="eastAsia"/>
          <w:rtl/>
        </w:rPr>
        <w:t xml:space="preserve"> 371 لعام 1979 </w:t>
      </w:r>
      <w:r>
        <w:rPr>
          <w:rFonts w:hint="cs"/>
          <w:rtl/>
        </w:rPr>
        <w:t>و</w:t>
      </w:r>
      <w:r>
        <w:rPr>
          <w:rFonts w:hint="eastAsia"/>
          <w:rtl/>
        </w:rPr>
        <w:t>الحيثية </w:t>
      </w:r>
      <w:r>
        <w:rPr>
          <w:rFonts w:hint="cs"/>
          <w:rtl/>
        </w:rPr>
        <w:t xml:space="preserve">5 في </w:t>
      </w:r>
      <w:r>
        <w:rPr>
          <w:rFonts w:hint="eastAsia"/>
          <w:rtl/>
        </w:rPr>
        <w:t xml:space="preserve">الحكم رقم 666 </w:t>
      </w:r>
      <w:r w:rsidR="0025226E">
        <w:rPr>
          <w:rFonts w:hint="cs"/>
          <w:rtl/>
        </w:rPr>
        <w:t>لعام</w:t>
      </w:r>
      <w:r w:rsidR="0025226E">
        <w:rPr>
          <w:rFonts w:hint="eastAsia"/>
          <w:rtl/>
        </w:rPr>
        <w:t> </w:t>
      </w:r>
      <w:r w:rsidR="00BF3303">
        <w:rPr>
          <w:rFonts w:hint="cs"/>
          <w:rtl/>
        </w:rPr>
        <w:t>1985 والحيثية</w:t>
      </w:r>
      <w:r w:rsidR="00BF3303">
        <w:rPr>
          <w:rFonts w:hint="eastAsia"/>
          <w:rtl/>
        </w:rPr>
        <w:t> </w:t>
      </w:r>
      <w:r>
        <w:rPr>
          <w:rFonts w:hint="cs"/>
          <w:rtl/>
        </w:rPr>
        <w:t>13 في الحكم رقم 832 لعام</w:t>
      </w:r>
      <w:r w:rsidR="0025226E">
        <w:rPr>
          <w:rFonts w:hint="eastAsia"/>
          <w:rtl/>
        </w:rPr>
        <w:t> </w:t>
      </w:r>
      <w:r>
        <w:rPr>
          <w:rFonts w:hint="cs"/>
          <w:rtl/>
        </w:rPr>
        <w:t>1987 (ال</w:t>
      </w:r>
      <w:r w:rsidR="00BF3303">
        <w:rPr>
          <w:rFonts w:hint="cs"/>
          <w:rtl/>
        </w:rPr>
        <w:t>مقتبسة مع الموافقة في الحيثية</w:t>
      </w:r>
      <w:r w:rsidR="00BF3303">
        <w:rPr>
          <w:rFonts w:hint="eastAsia"/>
          <w:rtl/>
        </w:rPr>
        <w:t> 12</w:t>
      </w:r>
      <w:r>
        <w:rPr>
          <w:rFonts w:hint="cs"/>
          <w:rtl/>
        </w:rPr>
        <w:t xml:space="preserve"> في الحكم رقم 2089 لعام</w:t>
      </w:r>
      <w:r w:rsidR="0025226E">
        <w:rPr>
          <w:rFonts w:hint="eastAsia"/>
          <w:rtl/>
        </w:rPr>
        <w:t> </w:t>
      </w:r>
      <w:r>
        <w:rPr>
          <w:rFonts w:hint="cs"/>
          <w:rtl/>
        </w:rPr>
        <w:t>2002</w:t>
      </w:r>
      <w:r w:rsidR="00BF3303">
        <w:rPr>
          <w:rFonts w:hint="cs"/>
          <w:rtl/>
        </w:rPr>
        <w:t>)</w:t>
      </w:r>
      <w:r>
        <w:rPr>
          <w:rFonts w:hint="cs"/>
          <w:rtl/>
        </w:rPr>
        <w:t xml:space="preserve"> و</w:t>
      </w:r>
      <w:r>
        <w:rPr>
          <w:rFonts w:hint="eastAsia"/>
          <w:rtl/>
        </w:rPr>
        <w:t>الحيثية 16</w:t>
      </w:r>
      <w:r>
        <w:rPr>
          <w:rFonts w:hint="cs"/>
          <w:rtl/>
        </w:rPr>
        <w:t xml:space="preserve"> في الحكم رقم</w:t>
      </w:r>
      <w:r>
        <w:rPr>
          <w:rFonts w:hint="eastAsia"/>
          <w:rtl/>
        </w:rPr>
        <w:t> 3074 لعام</w:t>
      </w:r>
      <w:r w:rsidR="0025226E">
        <w:rPr>
          <w:rFonts w:hint="cs"/>
          <w:rtl/>
        </w:rPr>
        <w:t> </w:t>
      </w:r>
      <w:r>
        <w:rPr>
          <w:rFonts w:hint="eastAsia"/>
          <w:rtl/>
        </w:rPr>
        <w:t xml:space="preserve">2012. </w:t>
      </w:r>
      <w:proofErr w:type="gramStart"/>
      <w:r>
        <w:rPr>
          <w:rFonts w:hint="cs"/>
          <w:rtl/>
        </w:rPr>
        <w:t>وقد</w:t>
      </w:r>
      <w:proofErr w:type="gramEnd"/>
      <w:r>
        <w:rPr>
          <w:rFonts w:hint="cs"/>
          <w:rtl/>
        </w:rPr>
        <w:t xml:space="preserve"> يبدو للوهلة الأولى أن الفرق بين الش</w:t>
      </w:r>
      <w:r w:rsidR="00BF3303">
        <w:rPr>
          <w:rFonts w:hint="cs"/>
          <w:rtl/>
        </w:rPr>
        <w:t>روط التعاقدية والقانونية في الع</w:t>
      </w:r>
      <w:r>
        <w:rPr>
          <w:rFonts w:hint="cs"/>
          <w:rtl/>
        </w:rPr>
        <w:t>مل</w:t>
      </w:r>
      <w:r w:rsidR="00420397">
        <w:rPr>
          <w:rFonts w:hint="cs"/>
          <w:rtl/>
        </w:rPr>
        <w:t xml:space="preserve"> يعتبر سطحيا</w:t>
      </w:r>
      <w:r>
        <w:rPr>
          <w:rFonts w:hint="cs"/>
          <w:rtl/>
        </w:rPr>
        <w:t xml:space="preserve"> </w:t>
      </w:r>
      <w:r w:rsidR="00BF3303">
        <w:rPr>
          <w:rFonts w:hint="cs"/>
          <w:rtl/>
        </w:rPr>
        <w:t>لأنه</w:t>
      </w:r>
      <w:r>
        <w:rPr>
          <w:rFonts w:hint="cs"/>
          <w:rtl/>
        </w:rPr>
        <w:t xml:space="preserve"> </w:t>
      </w:r>
      <w:r w:rsidR="00BF3303">
        <w:rPr>
          <w:rFonts w:hint="cs"/>
          <w:rtl/>
        </w:rPr>
        <w:t xml:space="preserve">من المعتاد أن يتضمن </w:t>
      </w:r>
      <w:r>
        <w:rPr>
          <w:rFonts w:hint="cs"/>
          <w:rtl/>
        </w:rPr>
        <w:t xml:space="preserve">خطاب تعيين الموظف أو عقد عمله (ولكن ليس دائما) أحكام نظام الموظفين </w:t>
      </w:r>
      <w:r w:rsidR="00BF3303">
        <w:rPr>
          <w:rFonts w:hint="cs"/>
          <w:rtl/>
        </w:rPr>
        <w:t>و</w:t>
      </w:r>
      <w:r>
        <w:rPr>
          <w:rFonts w:hint="cs"/>
          <w:rtl/>
        </w:rPr>
        <w:t xml:space="preserve">لائحته كمرجع. </w:t>
      </w:r>
      <w:proofErr w:type="gramStart"/>
      <w:r>
        <w:rPr>
          <w:rFonts w:hint="cs"/>
          <w:rtl/>
        </w:rPr>
        <w:t>ومع</w:t>
      </w:r>
      <w:proofErr w:type="gramEnd"/>
      <w:r>
        <w:rPr>
          <w:rFonts w:hint="cs"/>
          <w:rtl/>
        </w:rPr>
        <w:t xml:space="preserve"> ذلك يتضح من </w:t>
      </w:r>
      <w:r w:rsidR="00BF3303">
        <w:rPr>
          <w:rFonts w:hint="cs"/>
          <w:rtl/>
        </w:rPr>
        <w:t>الأحكام الصادرة</w:t>
      </w:r>
      <w:r>
        <w:rPr>
          <w:rFonts w:hint="cs"/>
          <w:rtl/>
        </w:rPr>
        <w:t xml:space="preserve"> </w:t>
      </w:r>
      <w:r w:rsidR="00BF3303">
        <w:rPr>
          <w:rFonts w:hint="cs"/>
          <w:rtl/>
        </w:rPr>
        <w:t>عن ا</w:t>
      </w:r>
      <w:r>
        <w:rPr>
          <w:rFonts w:hint="cs"/>
          <w:rtl/>
        </w:rPr>
        <w:t xml:space="preserve">لمحكمة أن الأحكام المبينة </w:t>
      </w:r>
      <w:r w:rsidR="00932893">
        <w:rPr>
          <w:rFonts w:hint="cs"/>
          <w:rtl/>
        </w:rPr>
        <w:t xml:space="preserve">تحديدا </w:t>
      </w:r>
      <w:r>
        <w:rPr>
          <w:rFonts w:hint="cs"/>
          <w:rtl/>
        </w:rPr>
        <w:t xml:space="preserve">في العقد الفردي للموظف هي </w:t>
      </w:r>
      <w:r w:rsidR="00932893">
        <w:rPr>
          <w:rFonts w:hint="cs"/>
          <w:rtl/>
        </w:rPr>
        <w:t>فقط</w:t>
      </w:r>
      <w:r w:rsidR="00420397">
        <w:rPr>
          <w:rFonts w:hint="cs"/>
          <w:rtl/>
        </w:rPr>
        <w:t xml:space="preserve"> الأحكام</w:t>
      </w:r>
      <w:r>
        <w:rPr>
          <w:rFonts w:hint="cs"/>
          <w:rtl/>
        </w:rPr>
        <w:t xml:space="preserve"> </w:t>
      </w:r>
      <w:r w:rsidR="00BF3303">
        <w:rPr>
          <w:rFonts w:hint="cs"/>
          <w:rtl/>
        </w:rPr>
        <w:t>المصونة</w:t>
      </w:r>
      <w:r>
        <w:rPr>
          <w:rFonts w:hint="cs"/>
          <w:rtl/>
        </w:rPr>
        <w:t xml:space="preserve"> بشكل عام. </w:t>
      </w:r>
      <w:proofErr w:type="gramStart"/>
      <w:r>
        <w:rPr>
          <w:rFonts w:hint="cs"/>
          <w:rtl/>
        </w:rPr>
        <w:t>وعندما</w:t>
      </w:r>
      <w:proofErr w:type="gramEnd"/>
      <w:r>
        <w:rPr>
          <w:rFonts w:hint="cs"/>
          <w:rtl/>
        </w:rPr>
        <w:t xml:space="preserve"> تضيف المنظمة نظام الموظفي</w:t>
      </w:r>
      <w:r w:rsidR="00932893">
        <w:rPr>
          <w:rFonts w:hint="cs"/>
          <w:rtl/>
        </w:rPr>
        <w:t>ن</w:t>
      </w:r>
      <w:r>
        <w:rPr>
          <w:rFonts w:hint="cs"/>
          <w:rtl/>
        </w:rPr>
        <w:t xml:space="preserve"> ولائحته كمرجع في شروط التعيين، فإن هذا لا يعني في حد ذاته أنه </w:t>
      </w:r>
      <w:r w:rsidR="00932893">
        <w:rPr>
          <w:rFonts w:hint="cs"/>
          <w:rtl/>
        </w:rPr>
        <w:t>لا يجوز تعدي</w:t>
      </w:r>
      <w:r w:rsidR="00420397">
        <w:rPr>
          <w:rFonts w:hint="cs"/>
          <w:rtl/>
        </w:rPr>
        <w:t>ل</w:t>
      </w:r>
      <w:r w:rsidR="00932893">
        <w:rPr>
          <w:rFonts w:hint="cs"/>
          <w:rtl/>
        </w:rPr>
        <w:t>ه</w:t>
      </w:r>
      <w:r w:rsidR="00420397">
        <w:rPr>
          <w:rFonts w:hint="cs"/>
          <w:rtl/>
        </w:rPr>
        <w:t>م</w:t>
      </w:r>
      <w:r w:rsidR="00932893">
        <w:rPr>
          <w:rFonts w:hint="cs"/>
          <w:rtl/>
        </w:rPr>
        <w:t xml:space="preserve">ا. </w:t>
      </w:r>
      <w:r w:rsidR="00F971FF">
        <w:rPr>
          <w:rFonts w:hint="cs"/>
          <w:rtl/>
        </w:rPr>
        <w:t>وا</w:t>
      </w:r>
      <w:r w:rsidR="0086496E">
        <w:rPr>
          <w:rFonts w:hint="cs"/>
          <w:rtl/>
        </w:rPr>
        <w:t>لأمر</w:t>
      </w:r>
      <w:r w:rsidR="00932893">
        <w:rPr>
          <w:rFonts w:hint="cs"/>
          <w:rtl/>
        </w:rPr>
        <w:t xml:space="preserve"> </w:t>
      </w:r>
      <w:r w:rsidR="00420397">
        <w:rPr>
          <w:rFonts w:hint="cs"/>
          <w:rtl/>
        </w:rPr>
        <w:t>يعتمد</w:t>
      </w:r>
      <w:r w:rsidR="00932893">
        <w:rPr>
          <w:rFonts w:hint="cs"/>
          <w:rtl/>
        </w:rPr>
        <w:t xml:space="preserve"> </w:t>
      </w:r>
      <w:proofErr w:type="gramStart"/>
      <w:r w:rsidR="00EC2A64">
        <w:rPr>
          <w:rFonts w:hint="cs"/>
          <w:rtl/>
        </w:rPr>
        <w:t>على</w:t>
      </w:r>
      <w:proofErr w:type="gramEnd"/>
      <w:r w:rsidR="00F971FF">
        <w:rPr>
          <w:rFonts w:hint="cs"/>
          <w:rtl/>
        </w:rPr>
        <w:t xml:space="preserve"> كون هذه الأحكام </w:t>
      </w:r>
      <w:r w:rsidR="0086496E">
        <w:rPr>
          <w:rFonts w:hint="cs"/>
          <w:rtl/>
        </w:rPr>
        <w:t>حقوق</w:t>
      </w:r>
      <w:r w:rsidR="00C96DB8">
        <w:rPr>
          <w:rFonts w:hint="cs"/>
          <w:rtl/>
        </w:rPr>
        <w:t>ا</w:t>
      </w:r>
      <w:r>
        <w:rPr>
          <w:rFonts w:hint="cs"/>
          <w:rtl/>
        </w:rPr>
        <w:t xml:space="preserve"> مكتسبة</w:t>
      </w:r>
      <w:r w:rsidR="00F971FF">
        <w:rPr>
          <w:rFonts w:hint="cs"/>
          <w:rtl/>
        </w:rPr>
        <w:t xml:space="preserve"> أم لا</w:t>
      </w:r>
      <w:r>
        <w:rPr>
          <w:rFonts w:hint="cs"/>
          <w:rtl/>
        </w:rPr>
        <w:t>.</w:t>
      </w:r>
    </w:p>
  </w:footnote>
  <w:footnote w:id="7">
    <w:p w:rsidR="00FD7948" w:rsidRDefault="00FD7948" w:rsidP="000E77DD">
      <w:pPr>
        <w:pStyle w:val="FootnoteText"/>
      </w:pPr>
      <w:r>
        <w:rPr>
          <w:rStyle w:val="FootnoteReference"/>
        </w:rPr>
        <w:footnoteRef/>
      </w:r>
      <w:r>
        <w:rPr>
          <w:rtl/>
        </w:rPr>
        <w:t xml:space="preserve"> </w:t>
      </w:r>
      <w:proofErr w:type="gramStart"/>
      <w:r>
        <w:rPr>
          <w:rFonts w:hint="cs"/>
          <w:rtl/>
        </w:rPr>
        <w:t>انظر</w:t>
      </w:r>
      <w:proofErr w:type="gramEnd"/>
      <w:r>
        <w:rPr>
          <w:rFonts w:hint="cs"/>
          <w:rtl/>
        </w:rPr>
        <w:t xml:space="preserve"> أيضا النصيحة التي أسداها مكتب المستشار القانوني (نيويورك) إلى لجنة الخدمة المدنية الدولية كما يرد في ال</w:t>
      </w:r>
      <w:r w:rsidR="00D66479">
        <w:rPr>
          <w:rFonts w:hint="cs"/>
          <w:rtl/>
        </w:rPr>
        <w:t>فقرة 144 من تقريرها لعام 2015. "</w:t>
      </w:r>
      <w:proofErr w:type="gramStart"/>
      <w:r>
        <w:rPr>
          <w:rFonts w:hint="cs"/>
          <w:rtl/>
        </w:rPr>
        <w:t>كقاعدة</w:t>
      </w:r>
      <w:proofErr w:type="gramEnd"/>
      <w:r>
        <w:rPr>
          <w:rFonts w:hint="cs"/>
          <w:rtl/>
        </w:rPr>
        <w:t xml:space="preserve"> عامة، قد يخفض تعديل أحد </w:t>
      </w:r>
      <w:r w:rsidR="00D82966">
        <w:rPr>
          <w:rFonts w:hint="cs"/>
          <w:rtl/>
        </w:rPr>
        <w:t>ال</w:t>
      </w:r>
      <w:r>
        <w:rPr>
          <w:rFonts w:hint="cs"/>
          <w:rtl/>
        </w:rPr>
        <w:t xml:space="preserve">عناصر </w:t>
      </w:r>
      <w:r w:rsidR="00D66479">
        <w:rPr>
          <w:rFonts w:hint="cs"/>
          <w:rtl/>
        </w:rPr>
        <w:t>القانونية ل</w:t>
      </w:r>
      <w:r>
        <w:rPr>
          <w:rFonts w:hint="cs"/>
          <w:rtl/>
        </w:rPr>
        <w:t xml:space="preserve">لعمل من </w:t>
      </w:r>
      <w:r w:rsidR="00D66479">
        <w:rPr>
          <w:rFonts w:hint="cs"/>
          <w:rtl/>
        </w:rPr>
        <w:t>المنافع</w:t>
      </w:r>
      <w:r w:rsidR="002E5171">
        <w:rPr>
          <w:rFonts w:hint="cs"/>
          <w:rtl/>
        </w:rPr>
        <w:t xml:space="preserve"> بشكل قانوني</w:t>
      </w:r>
      <w:r>
        <w:rPr>
          <w:rFonts w:hint="cs"/>
          <w:rtl/>
        </w:rPr>
        <w:t xml:space="preserve">، ولكن لا يجوز أن </w:t>
      </w:r>
      <w:r w:rsidR="002E5171">
        <w:rPr>
          <w:rFonts w:hint="cs"/>
          <w:rtl/>
        </w:rPr>
        <w:t xml:space="preserve">يترتب عليه </w:t>
      </w:r>
      <w:r w:rsidR="000E77DD">
        <w:rPr>
          <w:rFonts w:hint="cs"/>
          <w:rtl/>
        </w:rPr>
        <w:t>استئصال</w:t>
      </w:r>
      <w:r>
        <w:rPr>
          <w:rFonts w:hint="cs"/>
          <w:rtl/>
        </w:rPr>
        <w:t xml:space="preserve"> المنفعة </w:t>
      </w:r>
      <w:r w:rsidR="002E5171">
        <w:rPr>
          <w:rFonts w:hint="cs"/>
          <w:rtl/>
        </w:rPr>
        <w:t>كليا</w:t>
      </w:r>
      <w:r>
        <w:rPr>
          <w:rFonts w:hint="cs"/>
          <w:rtl/>
        </w:rPr>
        <w:t>".</w:t>
      </w:r>
    </w:p>
  </w:footnote>
  <w:footnote w:id="8">
    <w:p w:rsidR="00FD7948" w:rsidRDefault="00FD7948" w:rsidP="0025226E">
      <w:pPr>
        <w:pStyle w:val="FootnoteText"/>
      </w:pPr>
      <w:r>
        <w:rPr>
          <w:rStyle w:val="FootnoteReference"/>
        </w:rPr>
        <w:footnoteRef/>
      </w:r>
      <w:r>
        <w:rPr>
          <w:rtl/>
        </w:rPr>
        <w:t xml:space="preserve"> </w:t>
      </w:r>
      <w:r>
        <w:rPr>
          <w:rFonts w:hint="cs"/>
          <w:rtl/>
        </w:rPr>
        <w:t xml:space="preserve">انظر </w:t>
      </w:r>
      <w:r>
        <w:rPr>
          <w:rFonts w:hint="eastAsia"/>
          <w:rtl/>
        </w:rPr>
        <w:t>الحيثية 11</w:t>
      </w:r>
      <w:r>
        <w:rPr>
          <w:rFonts w:hint="cs"/>
          <w:rtl/>
        </w:rPr>
        <w:t xml:space="preserve"> في الحكمين </w:t>
      </w:r>
      <w:proofErr w:type="gramStart"/>
      <w:r>
        <w:rPr>
          <w:rFonts w:hint="cs"/>
          <w:rtl/>
        </w:rPr>
        <w:t>رقم</w:t>
      </w:r>
      <w:proofErr w:type="gramEnd"/>
      <w:r>
        <w:rPr>
          <w:rFonts w:hint="eastAsia"/>
          <w:rtl/>
        </w:rPr>
        <w:t> 365</w:t>
      </w:r>
      <w:r>
        <w:rPr>
          <w:rFonts w:hint="cs"/>
          <w:rtl/>
        </w:rPr>
        <w:t> </w:t>
      </w:r>
      <w:r>
        <w:rPr>
          <w:rFonts w:hint="eastAsia"/>
          <w:rtl/>
        </w:rPr>
        <w:t xml:space="preserve">و366 </w:t>
      </w:r>
      <w:r>
        <w:rPr>
          <w:rFonts w:hint="cs"/>
          <w:rtl/>
        </w:rPr>
        <w:t>لعام 1978</w:t>
      </w:r>
      <w:r>
        <w:rPr>
          <w:rFonts w:hint="eastAsia"/>
          <w:rtl/>
        </w:rPr>
        <w:t xml:space="preserve">. </w:t>
      </w:r>
      <w:proofErr w:type="gramStart"/>
      <w:r>
        <w:rPr>
          <w:rFonts w:hint="cs"/>
          <w:rtl/>
        </w:rPr>
        <w:t>وانظر</w:t>
      </w:r>
      <w:proofErr w:type="gramEnd"/>
      <w:r>
        <w:rPr>
          <w:rFonts w:hint="cs"/>
          <w:rtl/>
        </w:rPr>
        <w:t xml:space="preserve"> </w:t>
      </w:r>
      <w:r w:rsidR="00892E71">
        <w:rPr>
          <w:rFonts w:hint="cs"/>
          <w:rtl/>
        </w:rPr>
        <w:t>أيضاف على سبيل المثال الحيثية</w:t>
      </w:r>
      <w:r w:rsidR="00892E71">
        <w:rPr>
          <w:rFonts w:hint="eastAsia"/>
          <w:rtl/>
        </w:rPr>
        <w:t> </w:t>
      </w:r>
      <w:r>
        <w:rPr>
          <w:rFonts w:hint="cs"/>
          <w:rtl/>
        </w:rPr>
        <w:t>7 في الحكم رقم 368 لعام</w:t>
      </w:r>
      <w:r w:rsidR="0025226E">
        <w:rPr>
          <w:rFonts w:hint="eastAsia"/>
          <w:rtl/>
        </w:rPr>
        <w:t> </w:t>
      </w:r>
      <w:r>
        <w:rPr>
          <w:rFonts w:hint="cs"/>
          <w:rtl/>
        </w:rPr>
        <w:t>1979 والحيثية 8 في الحكم رقم 371 لعام</w:t>
      </w:r>
      <w:r w:rsidR="0025226E">
        <w:rPr>
          <w:rFonts w:hint="eastAsia"/>
          <w:rtl/>
        </w:rPr>
        <w:t> </w:t>
      </w:r>
      <w:r>
        <w:rPr>
          <w:rFonts w:hint="cs"/>
          <w:rtl/>
        </w:rPr>
        <w:t>1979 والحيثية 5 في الحكم رقم 666 لعام</w:t>
      </w:r>
      <w:r w:rsidR="0025226E">
        <w:rPr>
          <w:rFonts w:hint="eastAsia"/>
          <w:rtl/>
        </w:rPr>
        <w:t> </w:t>
      </w:r>
      <w:r>
        <w:rPr>
          <w:rFonts w:hint="cs"/>
          <w:rtl/>
        </w:rPr>
        <w:t>1985.</w:t>
      </w:r>
    </w:p>
  </w:footnote>
  <w:footnote w:id="9">
    <w:p w:rsidR="00FD7948" w:rsidRDefault="00FD7948" w:rsidP="0025226E">
      <w:pPr>
        <w:pStyle w:val="FootnoteText"/>
      </w:pPr>
      <w:r>
        <w:rPr>
          <w:rStyle w:val="FootnoteReference"/>
        </w:rPr>
        <w:footnoteRef/>
      </w:r>
      <w:r>
        <w:rPr>
          <w:rtl/>
        </w:rPr>
        <w:t xml:space="preserve"> </w:t>
      </w:r>
      <w:r>
        <w:rPr>
          <w:rFonts w:hint="cs"/>
          <w:rtl/>
        </w:rPr>
        <w:t xml:space="preserve">انظر الحيثية 7 في الحكم </w:t>
      </w:r>
      <w:proofErr w:type="gramStart"/>
      <w:r>
        <w:rPr>
          <w:rFonts w:hint="cs"/>
          <w:rtl/>
        </w:rPr>
        <w:t>رقم</w:t>
      </w:r>
      <w:proofErr w:type="gramEnd"/>
      <w:r>
        <w:rPr>
          <w:rFonts w:hint="cs"/>
          <w:rtl/>
        </w:rPr>
        <w:t> 426 لعام</w:t>
      </w:r>
      <w:r w:rsidR="0025226E">
        <w:rPr>
          <w:rFonts w:hint="eastAsia"/>
          <w:rtl/>
        </w:rPr>
        <w:t> </w:t>
      </w:r>
      <w:r>
        <w:rPr>
          <w:rFonts w:hint="cs"/>
          <w:rtl/>
        </w:rPr>
        <w:t>1980.</w:t>
      </w:r>
    </w:p>
  </w:footnote>
  <w:footnote w:id="10">
    <w:p w:rsidR="00FD7948" w:rsidRDefault="00FD7948" w:rsidP="0025226E">
      <w:pPr>
        <w:pStyle w:val="FootnoteText"/>
      </w:pPr>
      <w:r>
        <w:rPr>
          <w:rStyle w:val="FootnoteReference"/>
        </w:rPr>
        <w:footnoteRef/>
      </w:r>
      <w:r>
        <w:rPr>
          <w:rtl/>
        </w:rPr>
        <w:t xml:space="preserve"> </w:t>
      </w:r>
      <w:r>
        <w:rPr>
          <w:rFonts w:hint="cs"/>
          <w:rtl/>
        </w:rPr>
        <w:t xml:space="preserve">انظر الحيثية 13 في الحكم </w:t>
      </w:r>
      <w:proofErr w:type="gramStart"/>
      <w:r>
        <w:rPr>
          <w:rFonts w:hint="cs"/>
          <w:rtl/>
        </w:rPr>
        <w:t>رقم</w:t>
      </w:r>
      <w:proofErr w:type="gramEnd"/>
      <w:r>
        <w:rPr>
          <w:rFonts w:hint="cs"/>
          <w:rtl/>
        </w:rPr>
        <w:t> 2632 لعام</w:t>
      </w:r>
      <w:r w:rsidR="0025226E">
        <w:rPr>
          <w:rFonts w:hint="eastAsia"/>
          <w:rtl/>
        </w:rPr>
        <w:t> </w:t>
      </w:r>
      <w:r>
        <w:rPr>
          <w:rFonts w:hint="cs"/>
          <w:rtl/>
        </w:rPr>
        <w:t>2007.</w:t>
      </w:r>
    </w:p>
  </w:footnote>
  <w:footnote w:id="11">
    <w:p w:rsidR="00FD7948" w:rsidRDefault="00FD7948" w:rsidP="000D081D">
      <w:pPr>
        <w:pStyle w:val="FootnoteText"/>
      </w:pPr>
      <w:r>
        <w:rPr>
          <w:rStyle w:val="FootnoteReference"/>
        </w:rPr>
        <w:footnoteRef/>
      </w:r>
      <w:r>
        <w:rPr>
          <w:rtl/>
        </w:rPr>
        <w:t xml:space="preserve"> </w:t>
      </w:r>
      <w:r>
        <w:rPr>
          <w:rFonts w:hint="cs"/>
          <w:rtl/>
        </w:rPr>
        <w:t xml:space="preserve">انظر الحيثية 7 في الحكم </w:t>
      </w:r>
      <w:proofErr w:type="gramStart"/>
      <w:r>
        <w:rPr>
          <w:rFonts w:hint="cs"/>
          <w:rtl/>
        </w:rPr>
        <w:t>رقم</w:t>
      </w:r>
      <w:proofErr w:type="gramEnd"/>
      <w:r>
        <w:rPr>
          <w:rFonts w:hint="cs"/>
          <w:rtl/>
        </w:rPr>
        <w:t> 441 لعام</w:t>
      </w:r>
      <w:r w:rsidR="0025226E">
        <w:rPr>
          <w:rFonts w:hint="eastAsia"/>
          <w:rtl/>
        </w:rPr>
        <w:t> </w:t>
      </w:r>
      <w:r>
        <w:rPr>
          <w:rFonts w:hint="cs"/>
          <w:rtl/>
        </w:rPr>
        <w:t>1980</w:t>
      </w:r>
      <w:r w:rsidR="00892E71">
        <w:rPr>
          <w:rFonts w:hint="cs"/>
          <w:rtl/>
        </w:rPr>
        <w:t>.</w:t>
      </w:r>
      <w:r>
        <w:rPr>
          <w:rFonts w:hint="cs"/>
          <w:rtl/>
        </w:rPr>
        <w:t xml:space="preserve"> </w:t>
      </w:r>
      <w:r w:rsidR="00892E71">
        <w:rPr>
          <w:rFonts w:hint="cs"/>
          <w:rtl/>
        </w:rPr>
        <w:t xml:space="preserve">وكانت </w:t>
      </w:r>
      <w:r w:rsidR="000D081D">
        <w:rPr>
          <w:rFonts w:hint="cs"/>
          <w:rtl/>
        </w:rPr>
        <w:t xml:space="preserve">إجازة </w:t>
      </w:r>
      <w:r>
        <w:rPr>
          <w:rFonts w:hint="cs"/>
          <w:rtl/>
        </w:rPr>
        <w:t xml:space="preserve">زيارة الوطن </w:t>
      </w:r>
      <w:r w:rsidR="00EC2A64">
        <w:rPr>
          <w:rFonts w:hint="cs"/>
          <w:rtl/>
        </w:rPr>
        <w:t>الخاصة ب</w:t>
      </w:r>
      <w:r w:rsidR="0035750A">
        <w:rPr>
          <w:rFonts w:hint="cs"/>
          <w:rtl/>
        </w:rPr>
        <w:t>ا</w:t>
      </w:r>
      <w:r>
        <w:rPr>
          <w:rFonts w:hint="cs"/>
          <w:rtl/>
        </w:rPr>
        <w:t xml:space="preserve">لمدعي </w:t>
      </w:r>
      <w:r w:rsidR="00892E71">
        <w:rPr>
          <w:rFonts w:hint="cs"/>
          <w:rtl/>
        </w:rPr>
        <w:t>المعني</w:t>
      </w:r>
      <w:r>
        <w:rPr>
          <w:rFonts w:hint="cs"/>
          <w:rtl/>
        </w:rPr>
        <w:t xml:space="preserve"> من هولندا إلى سورينام.</w:t>
      </w:r>
    </w:p>
  </w:footnote>
  <w:footnote w:id="12">
    <w:p w:rsidR="00FD7948" w:rsidRDefault="00FD7948" w:rsidP="0025226E">
      <w:pPr>
        <w:pStyle w:val="FootnoteText"/>
      </w:pPr>
      <w:r>
        <w:rPr>
          <w:rStyle w:val="FootnoteReference"/>
        </w:rPr>
        <w:footnoteRef/>
      </w:r>
      <w:r>
        <w:rPr>
          <w:rtl/>
        </w:rPr>
        <w:t xml:space="preserve"> </w:t>
      </w:r>
      <w:r>
        <w:rPr>
          <w:rFonts w:hint="cs"/>
          <w:rtl/>
        </w:rPr>
        <w:t>انظر الحيثية 5</w:t>
      </w:r>
      <w:r w:rsidRPr="00C41B95">
        <w:rPr>
          <w:rFonts w:hint="cs"/>
          <w:rtl/>
        </w:rPr>
        <w:t xml:space="preserve"> </w:t>
      </w:r>
      <w:r>
        <w:rPr>
          <w:rFonts w:hint="cs"/>
          <w:rtl/>
        </w:rPr>
        <w:t xml:space="preserve">في الحكم 666 </w:t>
      </w:r>
      <w:proofErr w:type="gramStart"/>
      <w:r>
        <w:rPr>
          <w:rFonts w:hint="cs"/>
          <w:rtl/>
        </w:rPr>
        <w:t>لعام</w:t>
      </w:r>
      <w:proofErr w:type="gramEnd"/>
      <w:r w:rsidR="0025226E">
        <w:rPr>
          <w:rFonts w:hint="eastAsia"/>
          <w:rtl/>
        </w:rPr>
        <w:t> </w:t>
      </w:r>
      <w:r>
        <w:rPr>
          <w:rFonts w:hint="cs"/>
          <w:rtl/>
        </w:rPr>
        <w:t>1985.</w:t>
      </w:r>
    </w:p>
  </w:footnote>
  <w:footnote w:id="13">
    <w:p w:rsidR="00FD7948" w:rsidRDefault="00FD7948" w:rsidP="0025226E">
      <w:pPr>
        <w:pStyle w:val="FootnoteText"/>
      </w:pPr>
      <w:r>
        <w:rPr>
          <w:rStyle w:val="FootnoteReference"/>
        </w:rPr>
        <w:footnoteRef/>
      </w:r>
      <w:r>
        <w:rPr>
          <w:rtl/>
        </w:rPr>
        <w:t xml:space="preserve"> </w:t>
      </w:r>
      <w:r>
        <w:rPr>
          <w:rFonts w:hint="cs"/>
          <w:rtl/>
        </w:rPr>
        <w:t xml:space="preserve">انظر الحيثية 14 في الحكم </w:t>
      </w:r>
      <w:proofErr w:type="gramStart"/>
      <w:r>
        <w:rPr>
          <w:rFonts w:hint="cs"/>
          <w:rtl/>
        </w:rPr>
        <w:t>رقم</w:t>
      </w:r>
      <w:proofErr w:type="gramEnd"/>
      <w:r>
        <w:rPr>
          <w:rFonts w:hint="cs"/>
          <w:rtl/>
        </w:rPr>
        <w:t> 2089 لعام</w:t>
      </w:r>
      <w:r w:rsidR="0025226E">
        <w:rPr>
          <w:rFonts w:hint="eastAsia"/>
          <w:rtl/>
        </w:rPr>
        <w:t> </w:t>
      </w:r>
      <w:r>
        <w:rPr>
          <w:rFonts w:hint="cs"/>
          <w:rtl/>
        </w:rPr>
        <w:t>2002.</w:t>
      </w:r>
    </w:p>
  </w:footnote>
  <w:footnote w:id="14">
    <w:p w:rsidR="00FD7948" w:rsidRDefault="00FD7948" w:rsidP="00260A2A">
      <w:pPr>
        <w:pStyle w:val="FootnoteText"/>
      </w:pPr>
      <w:r>
        <w:rPr>
          <w:rStyle w:val="FootnoteReference"/>
        </w:rPr>
        <w:footnoteRef/>
      </w:r>
      <w:r>
        <w:rPr>
          <w:rtl/>
        </w:rPr>
        <w:t xml:space="preserve"> </w:t>
      </w:r>
      <w:r>
        <w:rPr>
          <w:rFonts w:hint="cs"/>
          <w:rtl/>
        </w:rPr>
        <w:t>انظر مثلا الحيثية 28</w:t>
      </w:r>
      <w:r w:rsidRPr="00FB3FD6">
        <w:rPr>
          <w:rFonts w:hint="cs"/>
          <w:rtl/>
        </w:rPr>
        <w:t xml:space="preserve"> </w:t>
      </w:r>
      <w:r>
        <w:rPr>
          <w:rFonts w:hint="cs"/>
          <w:rtl/>
        </w:rPr>
        <w:t xml:space="preserve">في الحكم </w:t>
      </w:r>
      <w:proofErr w:type="gramStart"/>
      <w:r>
        <w:rPr>
          <w:rFonts w:hint="cs"/>
          <w:rtl/>
        </w:rPr>
        <w:t>رقم</w:t>
      </w:r>
      <w:proofErr w:type="gramEnd"/>
      <w:r>
        <w:rPr>
          <w:rFonts w:hint="cs"/>
          <w:rtl/>
        </w:rPr>
        <w:t> 3071 لعام</w:t>
      </w:r>
      <w:r w:rsidR="0025226E">
        <w:rPr>
          <w:rFonts w:hint="eastAsia"/>
          <w:rtl/>
        </w:rPr>
        <w:t> </w:t>
      </w:r>
      <w:r>
        <w:rPr>
          <w:rFonts w:hint="cs"/>
          <w:rtl/>
        </w:rPr>
        <w:t>2012.</w:t>
      </w:r>
    </w:p>
  </w:footnote>
  <w:footnote w:id="15">
    <w:p w:rsidR="00FD7948" w:rsidRDefault="00FD7948" w:rsidP="0025226E">
      <w:pPr>
        <w:pStyle w:val="FootnoteText"/>
      </w:pPr>
      <w:r>
        <w:rPr>
          <w:rStyle w:val="FootnoteReference"/>
        </w:rPr>
        <w:footnoteRef/>
      </w:r>
      <w:r>
        <w:rPr>
          <w:rtl/>
        </w:rPr>
        <w:t xml:space="preserve"> </w:t>
      </w:r>
      <w:r>
        <w:rPr>
          <w:rFonts w:hint="cs"/>
          <w:rtl/>
        </w:rPr>
        <w:t>انظر الحيثية</w:t>
      </w:r>
      <w:r>
        <w:rPr>
          <w:rFonts w:hint="eastAsia"/>
          <w:rtl/>
        </w:rPr>
        <w:t> 10</w:t>
      </w:r>
      <w:r>
        <w:rPr>
          <w:rFonts w:hint="cs"/>
          <w:rtl/>
        </w:rPr>
        <w:t xml:space="preserve"> في الحكم </w:t>
      </w:r>
      <w:proofErr w:type="gramStart"/>
      <w:r>
        <w:rPr>
          <w:rFonts w:hint="cs"/>
          <w:rtl/>
        </w:rPr>
        <w:t>رقم</w:t>
      </w:r>
      <w:proofErr w:type="gramEnd"/>
      <w:r>
        <w:rPr>
          <w:rFonts w:hint="cs"/>
          <w:rtl/>
        </w:rPr>
        <w:t> 3523 لعام</w:t>
      </w:r>
      <w:r w:rsidR="0025226E">
        <w:rPr>
          <w:rFonts w:hint="eastAsia"/>
          <w:rtl/>
        </w:rPr>
        <w:t> </w:t>
      </w:r>
      <w:r>
        <w:rPr>
          <w:rFonts w:hint="cs"/>
          <w:rtl/>
        </w:rPr>
        <w:t>2015.</w:t>
      </w:r>
    </w:p>
  </w:footnote>
  <w:footnote w:id="16">
    <w:p w:rsidR="00FD7948" w:rsidRDefault="00FD7948" w:rsidP="0025226E">
      <w:pPr>
        <w:pStyle w:val="FootnoteText"/>
      </w:pPr>
      <w:r>
        <w:rPr>
          <w:rStyle w:val="FootnoteReference"/>
        </w:rPr>
        <w:footnoteRef/>
      </w:r>
      <w:r>
        <w:rPr>
          <w:rtl/>
        </w:rPr>
        <w:t xml:space="preserve"> </w:t>
      </w:r>
      <w:r>
        <w:rPr>
          <w:rFonts w:hint="cs"/>
          <w:rtl/>
        </w:rPr>
        <w:t>انظر الحيثية</w:t>
      </w:r>
      <w:r>
        <w:rPr>
          <w:rFonts w:hint="eastAsia"/>
          <w:rtl/>
        </w:rPr>
        <w:t> </w:t>
      </w:r>
      <w:r>
        <w:rPr>
          <w:rFonts w:hint="cs"/>
          <w:rtl/>
        </w:rPr>
        <w:t xml:space="preserve">2 في الحكم </w:t>
      </w:r>
      <w:proofErr w:type="gramStart"/>
      <w:r>
        <w:rPr>
          <w:rFonts w:hint="cs"/>
          <w:rtl/>
        </w:rPr>
        <w:t>رقم</w:t>
      </w:r>
      <w:proofErr w:type="gramEnd"/>
      <w:r>
        <w:rPr>
          <w:rFonts w:hint="cs"/>
          <w:rtl/>
        </w:rPr>
        <w:t> 3358 لعام</w:t>
      </w:r>
      <w:r w:rsidR="0025226E">
        <w:rPr>
          <w:rFonts w:hint="eastAsia"/>
          <w:rtl/>
        </w:rPr>
        <w:t> </w:t>
      </w:r>
      <w:r>
        <w:rPr>
          <w:rFonts w:hint="cs"/>
          <w:rtl/>
        </w:rPr>
        <w:t>2014.</w:t>
      </w:r>
    </w:p>
  </w:footnote>
  <w:footnote w:id="17">
    <w:p w:rsidR="00FD7948" w:rsidRDefault="00FD7948" w:rsidP="0025226E">
      <w:pPr>
        <w:pStyle w:val="FootnoteText"/>
      </w:pPr>
      <w:r>
        <w:rPr>
          <w:rStyle w:val="FootnoteReference"/>
        </w:rPr>
        <w:footnoteRef/>
      </w:r>
      <w:r>
        <w:rPr>
          <w:rtl/>
        </w:rPr>
        <w:t xml:space="preserve"> </w:t>
      </w:r>
      <w:r>
        <w:rPr>
          <w:rFonts w:hint="cs"/>
          <w:rtl/>
        </w:rPr>
        <w:t xml:space="preserve">انظر الحيثية 9 في الحكم </w:t>
      </w:r>
      <w:proofErr w:type="gramStart"/>
      <w:r>
        <w:rPr>
          <w:rFonts w:hint="cs"/>
          <w:rtl/>
        </w:rPr>
        <w:t>رقم</w:t>
      </w:r>
      <w:proofErr w:type="gramEnd"/>
      <w:r>
        <w:rPr>
          <w:rFonts w:hint="cs"/>
          <w:rtl/>
        </w:rPr>
        <w:t> 767 لعام</w:t>
      </w:r>
      <w:r w:rsidR="0025226E">
        <w:rPr>
          <w:rFonts w:hint="eastAsia"/>
          <w:rtl/>
        </w:rPr>
        <w:t> </w:t>
      </w:r>
      <w:r>
        <w:rPr>
          <w:rFonts w:hint="cs"/>
          <w:rtl/>
        </w:rPr>
        <w:t xml:space="preserve">1986 والحيثية 8 في الحكم رقم 792 لعام 1986. </w:t>
      </w:r>
      <w:proofErr w:type="gramStart"/>
      <w:r>
        <w:rPr>
          <w:rFonts w:hint="cs"/>
          <w:rtl/>
        </w:rPr>
        <w:t>وانظر</w:t>
      </w:r>
      <w:proofErr w:type="gramEnd"/>
      <w:r>
        <w:rPr>
          <w:rFonts w:hint="cs"/>
          <w:rtl/>
        </w:rPr>
        <w:t xml:space="preserve"> أيضا الحيثية 7 في الحكم رقم 1053 لعام</w:t>
      </w:r>
      <w:r>
        <w:rPr>
          <w:rFonts w:hint="eastAsia"/>
          <w:rtl/>
        </w:rPr>
        <w:t> </w:t>
      </w:r>
      <w:r>
        <w:rPr>
          <w:rFonts w:hint="cs"/>
          <w:rtl/>
        </w:rPr>
        <w:t>1990 والحيثية 6 في الحكم رقم 3358 لعام</w:t>
      </w:r>
      <w:r>
        <w:rPr>
          <w:rFonts w:hint="eastAsia"/>
          <w:rtl/>
        </w:rPr>
        <w:t> </w:t>
      </w:r>
      <w:r>
        <w:rPr>
          <w:rFonts w:hint="cs"/>
          <w:rtl/>
        </w:rPr>
        <w:t>2014.</w:t>
      </w:r>
    </w:p>
  </w:footnote>
  <w:footnote w:id="18">
    <w:p w:rsidR="00FD7948" w:rsidRPr="00C35346" w:rsidRDefault="00FD7948" w:rsidP="0025226E">
      <w:pPr>
        <w:pStyle w:val="FootnoteText"/>
      </w:pPr>
      <w:r>
        <w:rPr>
          <w:rStyle w:val="FootnoteReference"/>
        </w:rPr>
        <w:footnoteRef/>
      </w:r>
      <w:r>
        <w:rPr>
          <w:rtl/>
        </w:rPr>
        <w:t xml:space="preserve"> </w:t>
      </w:r>
      <w:proofErr w:type="gramStart"/>
      <w:r>
        <w:rPr>
          <w:rFonts w:hint="cs"/>
          <w:rtl/>
        </w:rPr>
        <w:t>انظر</w:t>
      </w:r>
      <w:proofErr w:type="gramEnd"/>
      <w:r>
        <w:rPr>
          <w:rFonts w:hint="cs"/>
          <w:rtl/>
        </w:rPr>
        <w:t xml:space="preserve"> الحيثيات من5 إلى 7 في الحكم رقم 1053 لعام</w:t>
      </w:r>
      <w:r w:rsidR="0025226E">
        <w:rPr>
          <w:rFonts w:hint="eastAsia"/>
          <w:rtl/>
        </w:rPr>
        <w:t> </w:t>
      </w:r>
      <w:r>
        <w:rPr>
          <w:rFonts w:hint="cs"/>
          <w:rtl/>
        </w:rPr>
        <w:t>1990 والحيثية 6 في الحكم رقم 767 لعام</w:t>
      </w:r>
      <w:r w:rsidR="0025226E">
        <w:rPr>
          <w:rFonts w:hint="eastAsia"/>
          <w:rtl/>
        </w:rPr>
        <w:t> </w:t>
      </w:r>
      <w:r>
        <w:rPr>
          <w:rFonts w:hint="cs"/>
          <w:rtl/>
        </w:rPr>
        <w:t>1986.</w:t>
      </w:r>
    </w:p>
  </w:footnote>
  <w:footnote w:id="19">
    <w:p w:rsidR="00FD7948" w:rsidRDefault="00FD7948" w:rsidP="0025226E">
      <w:pPr>
        <w:pStyle w:val="FootnoteText"/>
      </w:pPr>
      <w:r>
        <w:rPr>
          <w:rStyle w:val="FootnoteReference"/>
        </w:rPr>
        <w:footnoteRef/>
      </w:r>
      <w:r>
        <w:rPr>
          <w:rtl/>
        </w:rPr>
        <w:t xml:space="preserve"> </w:t>
      </w:r>
      <w:r>
        <w:rPr>
          <w:rFonts w:hint="cs"/>
          <w:rtl/>
        </w:rPr>
        <w:t xml:space="preserve">انظر </w:t>
      </w:r>
      <w:r>
        <w:rPr>
          <w:rFonts w:hint="eastAsia"/>
          <w:rtl/>
        </w:rPr>
        <w:t>الحيثية 2</w:t>
      </w:r>
      <w:r>
        <w:rPr>
          <w:rFonts w:hint="cs"/>
          <w:rtl/>
        </w:rPr>
        <w:t xml:space="preserve"> في </w:t>
      </w:r>
      <w:r>
        <w:rPr>
          <w:rFonts w:hint="eastAsia"/>
          <w:rtl/>
        </w:rPr>
        <w:t xml:space="preserve">الجزء باء </w:t>
      </w:r>
      <w:r>
        <w:rPr>
          <w:rFonts w:hint="cs"/>
          <w:rtl/>
        </w:rPr>
        <w:t>من الحكم رقم</w:t>
      </w:r>
      <w:r>
        <w:rPr>
          <w:rFonts w:hint="eastAsia"/>
          <w:rtl/>
        </w:rPr>
        <w:t> 3358 لعام</w:t>
      </w:r>
      <w:r w:rsidR="0025226E">
        <w:rPr>
          <w:rFonts w:hint="cs"/>
          <w:rtl/>
        </w:rPr>
        <w:t> </w:t>
      </w:r>
      <w:r>
        <w:rPr>
          <w:rFonts w:hint="eastAsia"/>
          <w:rtl/>
        </w:rPr>
        <w:t>2014.</w:t>
      </w:r>
    </w:p>
  </w:footnote>
  <w:footnote w:id="20">
    <w:p w:rsidR="00FD7948" w:rsidRDefault="00FD7948" w:rsidP="0025226E">
      <w:pPr>
        <w:pStyle w:val="FootnoteText"/>
      </w:pPr>
      <w:r>
        <w:rPr>
          <w:rStyle w:val="FootnoteReference"/>
        </w:rPr>
        <w:footnoteRef/>
      </w:r>
      <w:r>
        <w:rPr>
          <w:rtl/>
        </w:rPr>
        <w:t xml:space="preserve"> </w:t>
      </w:r>
      <w:r>
        <w:rPr>
          <w:rFonts w:hint="cs"/>
          <w:rtl/>
        </w:rPr>
        <w:t xml:space="preserve">انظر الحيثية 6 في الحكم رقم 3358 </w:t>
      </w:r>
      <w:proofErr w:type="gramStart"/>
      <w:r>
        <w:rPr>
          <w:rFonts w:hint="cs"/>
          <w:rtl/>
        </w:rPr>
        <w:t>لعام</w:t>
      </w:r>
      <w:r w:rsidR="0025226E">
        <w:rPr>
          <w:rFonts w:hint="eastAsia"/>
          <w:rtl/>
        </w:rPr>
        <w:t> </w:t>
      </w:r>
      <w:r>
        <w:rPr>
          <w:rFonts w:hint="cs"/>
          <w:rtl/>
        </w:rPr>
        <w:t>2014 .</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948" w:rsidRDefault="00FD7948" w:rsidP="007135A2">
    <w:r>
      <w:t>WO/CC/73/INF/1</w:t>
    </w:r>
  </w:p>
  <w:p w:rsidR="00FD7948" w:rsidRDefault="00FD7948" w:rsidP="00D61541">
    <w:r>
      <w:fldChar w:fldCharType="begin"/>
    </w:r>
    <w:r>
      <w:instrText xml:space="preserve"> PAGE  \* MERGEFORMAT </w:instrText>
    </w:r>
    <w:r>
      <w:fldChar w:fldCharType="separate"/>
    </w:r>
    <w:r w:rsidR="008C4601">
      <w:rPr>
        <w:noProof/>
      </w:rPr>
      <w:t>7</w:t>
    </w:r>
    <w:r>
      <w:fldChar w:fldCharType="end"/>
    </w:r>
  </w:p>
  <w:p w:rsidR="00FD7948" w:rsidRDefault="00FD7948"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072FA4"/>
    <w:multiLevelType w:val="hybridMultilevel"/>
    <w:tmpl w:val="ECB20694"/>
    <w:lvl w:ilvl="0" w:tplc="294EF9AE">
      <w:start w:val="1"/>
      <w:numFmt w:val="arabicAbjad"/>
      <w:lvlText w:val="(%1)"/>
      <w:lvlJc w:val="left"/>
      <w:pPr>
        <w:ind w:left="926" w:hanging="360"/>
      </w:pPr>
      <w:rPr>
        <w:rFonts w:hint="default"/>
      </w:rPr>
    </w:lvl>
    <w:lvl w:ilvl="1" w:tplc="04090019">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43"/>
    <w:rsid w:val="00002CBE"/>
    <w:rsid w:val="00003231"/>
    <w:rsid w:val="00003232"/>
    <w:rsid w:val="000033DA"/>
    <w:rsid w:val="0000579F"/>
    <w:rsid w:val="00005E60"/>
    <w:rsid w:val="000074D1"/>
    <w:rsid w:val="000076BD"/>
    <w:rsid w:val="00010481"/>
    <w:rsid w:val="00010671"/>
    <w:rsid w:val="000114E2"/>
    <w:rsid w:val="00011E3B"/>
    <w:rsid w:val="00012432"/>
    <w:rsid w:val="00013347"/>
    <w:rsid w:val="00013D73"/>
    <w:rsid w:val="000142E1"/>
    <w:rsid w:val="000146BD"/>
    <w:rsid w:val="00014B68"/>
    <w:rsid w:val="00015616"/>
    <w:rsid w:val="0001645D"/>
    <w:rsid w:val="00017A43"/>
    <w:rsid w:val="00020371"/>
    <w:rsid w:val="0002157B"/>
    <w:rsid w:val="00023101"/>
    <w:rsid w:val="00023D15"/>
    <w:rsid w:val="0002405A"/>
    <w:rsid w:val="0002407C"/>
    <w:rsid w:val="0002476F"/>
    <w:rsid w:val="00024E17"/>
    <w:rsid w:val="000258DB"/>
    <w:rsid w:val="000259E5"/>
    <w:rsid w:val="00025CA8"/>
    <w:rsid w:val="00031166"/>
    <w:rsid w:val="00031B2C"/>
    <w:rsid w:val="00031BC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58"/>
    <w:rsid w:val="00050A69"/>
    <w:rsid w:val="00050C55"/>
    <w:rsid w:val="00050F28"/>
    <w:rsid w:val="000510DA"/>
    <w:rsid w:val="00053836"/>
    <w:rsid w:val="00054659"/>
    <w:rsid w:val="00055FA2"/>
    <w:rsid w:val="000571DD"/>
    <w:rsid w:val="000578C6"/>
    <w:rsid w:val="0006157D"/>
    <w:rsid w:val="00061FF5"/>
    <w:rsid w:val="00062502"/>
    <w:rsid w:val="00063761"/>
    <w:rsid w:val="00063C91"/>
    <w:rsid w:val="000640E7"/>
    <w:rsid w:val="00066133"/>
    <w:rsid w:val="00066DC7"/>
    <w:rsid w:val="0006794A"/>
    <w:rsid w:val="00067F31"/>
    <w:rsid w:val="00071138"/>
    <w:rsid w:val="000717BF"/>
    <w:rsid w:val="00073402"/>
    <w:rsid w:val="00074DA5"/>
    <w:rsid w:val="00075745"/>
    <w:rsid w:val="00075A04"/>
    <w:rsid w:val="00075D39"/>
    <w:rsid w:val="000760C3"/>
    <w:rsid w:val="000763A4"/>
    <w:rsid w:val="00076901"/>
    <w:rsid w:val="00077328"/>
    <w:rsid w:val="0008237C"/>
    <w:rsid w:val="00083236"/>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D6"/>
    <w:rsid w:val="00094231"/>
    <w:rsid w:val="00094C85"/>
    <w:rsid w:val="00094D4A"/>
    <w:rsid w:val="00094D7E"/>
    <w:rsid w:val="0009517B"/>
    <w:rsid w:val="00095AE2"/>
    <w:rsid w:val="000962DF"/>
    <w:rsid w:val="0009661E"/>
    <w:rsid w:val="00097FE4"/>
    <w:rsid w:val="000A12BC"/>
    <w:rsid w:val="000A1306"/>
    <w:rsid w:val="000A1373"/>
    <w:rsid w:val="000A1521"/>
    <w:rsid w:val="000A1B6C"/>
    <w:rsid w:val="000A2142"/>
    <w:rsid w:val="000A226F"/>
    <w:rsid w:val="000A2FC1"/>
    <w:rsid w:val="000A3A57"/>
    <w:rsid w:val="000A5408"/>
    <w:rsid w:val="000A6510"/>
    <w:rsid w:val="000B0BB4"/>
    <w:rsid w:val="000B1045"/>
    <w:rsid w:val="000B1BAE"/>
    <w:rsid w:val="000B29B3"/>
    <w:rsid w:val="000B3889"/>
    <w:rsid w:val="000B3B3B"/>
    <w:rsid w:val="000B42E7"/>
    <w:rsid w:val="000B4D72"/>
    <w:rsid w:val="000B70B7"/>
    <w:rsid w:val="000B73E6"/>
    <w:rsid w:val="000B7759"/>
    <w:rsid w:val="000C111E"/>
    <w:rsid w:val="000C1367"/>
    <w:rsid w:val="000C1974"/>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DDB"/>
    <w:rsid w:val="000C733A"/>
    <w:rsid w:val="000C76B0"/>
    <w:rsid w:val="000C77F0"/>
    <w:rsid w:val="000D081D"/>
    <w:rsid w:val="000D08C0"/>
    <w:rsid w:val="000D0C07"/>
    <w:rsid w:val="000D0C7C"/>
    <w:rsid w:val="000D1011"/>
    <w:rsid w:val="000D1824"/>
    <w:rsid w:val="000D1A1D"/>
    <w:rsid w:val="000D2FC8"/>
    <w:rsid w:val="000D5FB7"/>
    <w:rsid w:val="000D7BA7"/>
    <w:rsid w:val="000E06A5"/>
    <w:rsid w:val="000E16EB"/>
    <w:rsid w:val="000E591F"/>
    <w:rsid w:val="000E5A23"/>
    <w:rsid w:val="000E5A3D"/>
    <w:rsid w:val="000E6045"/>
    <w:rsid w:val="000E6275"/>
    <w:rsid w:val="000E77DD"/>
    <w:rsid w:val="000E7872"/>
    <w:rsid w:val="000E7CDB"/>
    <w:rsid w:val="000F0772"/>
    <w:rsid w:val="000F0BE5"/>
    <w:rsid w:val="000F0F0D"/>
    <w:rsid w:val="000F1B52"/>
    <w:rsid w:val="000F1C70"/>
    <w:rsid w:val="000F1EAA"/>
    <w:rsid w:val="000F1FDD"/>
    <w:rsid w:val="000F30D5"/>
    <w:rsid w:val="000F33C5"/>
    <w:rsid w:val="000F3ACF"/>
    <w:rsid w:val="000F44D8"/>
    <w:rsid w:val="000F49FA"/>
    <w:rsid w:val="000F58C4"/>
    <w:rsid w:val="000F5E56"/>
    <w:rsid w:val="000F70F9"/>
    <w:rsid w:val="001007AB"/>
    <w:rsid w:val="00100F97"/>
    <w:rsid w:val="001012E0"/>
    <w:rsid w:val="001016F2"/>
    <w:rsid w:val="001024C1"/>
    <w:rsid w:val="0010333D"/>
    <w:rsid w:val="0010385D"/>
    <w:rsid w:val="001042E0"/>
    <w:rsid w:val="00104928"/>
    <w:rsid w:val="00104C51"/>
    <w:rsid w:val="00105373"/>
    <w:rsid w:val="0010597B"/>
    <w:rsid w:val="00110107"/>
    <w:rsid w:val="00110531"/>
    <w:rsid w:val="00110794"/>
    <w:rsid w:val="00112524"/>
    <w:rsid w:val="00113769"/>
    <w:rsid w:val="00114141"/>
    <w:rsid w:val="00114827"/>
    <w:rsid w:val="00115266"/>
    <w:rsid w:val="001154FB"/>
    <w:rsid w:val="00115B51"/>
    <w:rsid w:val="001171EF"/>
    <w:rsid w:val="001173C5"/>
    <w:rsid w:val="001176F5"/>
    <w:rsid w:val="00120D89"/>
    <w:rsid w:val="00121092"/>
    <w:rsid w:val="00121AA0"/>
    <w:rsid w:val="00121FE6"/>
    <w:rsid w:val="00122377"/>
    <w:rsid w:val="00123F16"/>
    <w:rsid w:val="0012405D"/>
    <w:rsid w:val="001252B1"/>
    <w:rsid w:val="00126897"/>
    <w:rsid w:val="0012696D"/>
    <w:rsid w:val="0012697E"/>
    <w:rsid w:val="00130FC9"/>
    <w:rsid w:val="001310EE"/>
    <w:rsid w:val="0013191A"/>
    <w:rsid w:val="00131E8F"/>
    <w:rsid w:val="00135C24"/>
    <w:rsid w:val="00136389"/>
    <w:rsid w:val="00136A1A"/>
    <w:rsid w:val="00136A96"/>
    <w:rsid w:val="001376B6"/>
    <w:rsid w:val="001404C1"/>
    <w:rsid w:val="00140A35"/>
    <w:rsid w:val="00140D34"/>
    <w:rsid w:val="0014137A"/>
    <w:rsid w:val="00142F4D"/>
    <w:rsid w:val="00143428"/>
    <w:rsid w:val="0014362E"/>
    <w:rsid w:val="0014412C"/>
    <w:rsid w:val="00144713"/>
    <w:rsid w:val="00144CC3"/>
    <w:rsid w:val="0015009D"/>
    <w:rsid w:val="001519FB"/>
    <w:rsid w:val="00151B18"/>
    <w:rsid w:val="00151BF2"/>
    <w:rsid w:val="00151C68"/>
    <w:rsid w:val="001520DD"/>
    <w:rsid w:val="00152374"/>
    <w:rsid w:val="00153A62"/>
    <w:rsid w:val="00153CD7"/>
    <w:rsid w:val="00154023"/>
    <w:rsid w:val="001546DE"/>
    <w:rsid w:val="001550DF"/>
    <w:rsid w:val="00155CEA"/>
    <w:rsid w:val="00156153"/>
    <w:rsid w:val="001563D9"/>
    <w:rsid w:val="00156428"/>
    <w:rsid w:val="001568F4"/>
    <w:rsid w:val="001572CE"/>
    <w:rsid w:val="00157CC8"/>
    <w:rsid w:val="001603F7"/>
    <w:rsid w:val="00160C95"/>
    <w:rsid w:val="00162777"/>
    <w:rsid w:val="0016337E"/>
    <w:rsid w:val="00164691"/>
    <w:rsid w:val="00164BD2"/>
    <w:rsid w:val="00165AC3"/>
    <w:rsid w:val="001665F3"/>
    <w:rsid w:val="001667B6"/>
    <w:rsid w:val="001668D4"/>
    <w:rsid w:val="00166A09"/>
    <w:rsid w:val="00167809"/>
    <w:rsid w:val="00167F30"/>
    <w:rsid w:val="00170B7A"/>
    <w:rsid w:val="00171844"/>
    <w:rsid w:val="0017385A"/>
    <w:rsid w:val="00175448"/>
    <w:rsid w:val="00175744"/>
    <w:rsid w:val="001757AF"/>
    <w:rsid w:val="00175825"/>
    <w:rsid w:val="0017666F"/>
    <w:rsid w:val="00176D64"/>
    <w:rsid w:val="00176E2C"/>
    <w:rsid w:val="00177DBF"/>
    <w:rsid w:val="00181C33"/>
    <w:rsid w:val="00182417"/>
    <w:rsid w:val="0018242F"/>
    <w:rsid w:val="0018414E"/>
    <w:rsid w:val="00185718"/>
    <w:rsid w:val="001857AF"/>
    <w:rsid w:val="00185BBE"/>
    <w:rsid w:val="00186606"/>
    <w:rsid w:val="00190B6D"/>
    <w:rsid w:val="00191E75"/>
    <w:rsid w:val="00192022"/>
    <w:rsid w:val="00192363"/>
    <w:rsid w:val="0019301D"/>
    <w:rsid w:val="0019304E"/>
    <w:rsid w:val="0019454F"/>
    <w:rsid w:val="00194719"/>
    <w:rsid w:val="00194774"/>
    <w:rsid w:val="00195CE0"/>
    <w:rsid w:val="00196116"/>
    <w:rsid w:val="001A098F"/>
    <w:rsid w:val="001A10CB"/>
    <w:rsid w:val="001A110B"/>
    <w:rsid w:val="001A149A"/>
    <w:rsid w:val="001A2AB7"/>
    <w:rsid w:val="001A4A9C"/>
    <w:rsid w:val="001A6382"/>
    <w:rsid w:val="001A6B88"/>
    <w:rsid w:val="001A6C33"/>
    <w:rsid w:val="001A6E68"/>
    <w:rsid w:val="001A7118"/>
    <w:rsid w:val="001B3131"/>
    <w:rsid w:val="001B4946"/>
    <w:rsid w:val="001B4B2F"/>
    <w:rsid w:val="001B7C00"/>
    <w:rsid w:val="001C09D2"/>
    <w:rsid w:val="001C1620"/>
    <w:rsid w:val="001C18B2"/>
    <w:rsid w:val="001C1994"/>
    <w:rsid w:val="001C2933"/>
    <w:rsid w:val="001C5190"/>
    <w:rsid w:val="001C5EEE"/>
    <w:rsid w:val="001C6815"/>
    <w:rsid w:val="001C6A73"/>
    <w:rsid w:val="001C6D71"/>
    <w:rsid w:val="001C73C2"/>
    <w:rsid w:val="001D0474"/>
    <w:rsid w:val="001D141D"/>
    <w:rsid w:val="001D1EBD"/>
    <w:rsid w:val="001D2184"/>
    <w:rsid w:val="001D24F3"/>
    <w:rsid w:val="001D2678"/>
    <w:rsid w:val="001D2780"/>
    <w:rsid w:val="001D2DC4"/>
    <w:rsid w:val="001D3885"/>
    <w:rsid w:val="001D3DA3"/>
    <w:rsid w:val="001D47EF"/>
    <w:rsid w:val="001D6A48"/>
    <w:rsid w:val="001D7BE9"/>
    <w:rsid w:val="001D7F05"/>
    <w:rsid w:val="001E0465"/>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91B"/>
    <w:rsid w:val="001F3A75"/>
    <w:rsid w:val="001F3A9D"/>
    <w:rsid w:val="001F3FDB"/>
    <w:rsid w:val="001F6545"/>
    <w:rsid w:val="001F66B5"/>
    <w:rsid w:val="001F6F36"/>
    <w:rsid w:val="001F76FD"/>
    <w:rsid w:val="002004C0"/>
    <w:rsid w:val="002009AB"/>
    <w:rsid w:val="002012F2"/>
    <w:rsid w:val="002014D7"/>
    <w:rsid w:val="00202F07"/>
    <w:rsid w:val="00203030"/>
    <w:rsid w:val="00203D45"/>
    <w:rsid w:val="00205495"/>
    <w:rsid w:val="00205B87"/>
    <w:rsid w:val="002061DE"/>
    <w:rsid w:val="002065E2"/>
    <w:rsid w:val="00206C61"/>
    <w:rsid w:val="00206F30"/>
    <w:rsid w:val="002072D8"/>
    <w:rsid w:val="00207616"/>
    <w:rsid w:val="0020764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1E34"/>
    <w:rsid w:val="00232C03"/>
    <w:rsid w:val="00232C51"/>
    <w:rsid w:val="00233414"/>
    <w:rsid w:val="00233D69"/>
    <w:rsid w:val="00234E82"/>
    <w:rsid w:val="00235C9D"/>
    <w:rsid w:val="002412D4"/>
    <w:rsid w:val="0024220D"/>
    <w:rsid w:val="00242BD3"/>
    <w:rsid w:val="00242C02"/>
    <w:rsid w:val="00243155"/>
    <w:rsid w:val="00244D53"/>
    <w:rsid w:val="00246E87"/>
    <w:rsid w:val="00247783"/>
    <w:rsid w:val="0025172C"/>
    <w:rsid w:val="0025226E"/>
    <w:rsid w:val="00252CF8"/>
    <w:rsid w:val="00252E2E"/>
    <w:rsid w:val="00253210"/>
    <w:rsid w:val="0025353E"/>
    <w:rsid w:val="00253DE1"/>
    <w:rsid w:val="0025425F"/>
    <w:rsid w:val="00254468"/>
    <w:rsid w:val="00254DE4"/>
    <w:rsid w:val="002559DA"/>
    <w:rsid w:val="00256955"/>
    <w:rsid w:val="0026071A"/>
    <w:rsid w:val="00260A2A"/>
    <w:rsid w:val="00261B27"/>
    <w:rsid w:val="00262B5A"/>
    <w:rsid w:val="00264801"/>
    <w:rsid w:val="0026520E"/>
    <w:rsid w:val="00266486"/>
    <w:rsid w:val="00266B0A"/>
    <w:rsid w:val="00266C61"/>
    <w:rsid w:val="0026749A"/>
    <w:rsid w:val="00270E72"/>
    <w:rsid w:val="0027167E"/>
    <w:rsid w:val="00271F24"/>
    <w:rsid w:val="00272503"/>
    <w:rsid w:val="00272F3A"/>
    <w:rsid w:val="00273641"/>
    <w:rsid w:val="002736FD"/>
    <w:rsid w:val="00273941"/>
    <w:rsid w:val="00273D91"/>
    <w:rsid w:val="002743E2"/>
    <w:rsid w:val="0027447E"/>
    <w:rsid w:val="0027520A"/>
    <w:rsid w:val="00275419"/>
    <w:rsid w:val="00275A2D"/>
    <w:rsid w:val="0027655E"/>
    <w:rsid w:val="002772A5"/>
    <w:rsid w:val="002806F8"/>
    <w:rsid w:val="002810B5"/>
    <w:rsid w:val="00281F4F"/>
    <w:rsid w:val="0028294A"/>
    <w:rsid w:val="00286744"/>
    <w:rsid w:val="002909B9"/>
    <w:rsid w:val="00292CEE"/>
    <w:rsid w:val="00292D22"/>
    <w:rsid w:val="0029470D"/>
    <w:rsid w:val="00294852"/>
    <w:rsid w:val="002975FD"/>
    <w:rsid w:val="0029795C"/>
    <w:rsid w:val="00297B80"/>
    <w:rsid w:val="002A076C"/>
    <w:rsid w:val="002A1059"/>
    <w:rsid w:val="002A3C9D"/>
    <w:rsid w:val="002A5403"/>
    <w:rsid w:val="002A5EF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4BD5"/>
    <w:rsid w:val="002D5DDC"/>
    <w:rsid w:val="002D5F16"/>
    <w:rsid w:val="002D62F1"/>
    <w:rsid w:val="002D6FD8"/>
    <w:rsid w:val="002D727B"/>
    <w:rsid w:val="002D7EAD"/>
    <w:rsid w:val="002D7F93"/>
    <w:rsid w:val="002E106E"/>
    <w:rsid w:val="002E1169"/>
    <w:rsid w:val="002E1218"/>
    <w:rsid w:val="002E1584"/>
    <w:rsid w:val="002E28F3"/>
    <w:rsid w:val="002E5171"/>
    <w:rsid w:val="002E7615"/>
    <w:rsid w:val="002E76C9"/>
    <w:rsid w:val="002E7A2A"/>
    <w:rsid w:val="002E7F16"/>
    <w:rsid w:val="002F1425"/>
    <w:rsid w:val="002F2EC8"/>
    <w:rsid w:val="002F34F0"/>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A48"/>
    <w:rsid w:val="0031115F"/>
    <w:rsid w:val="00311453"/>
    <w:rsid w:val="003114C9"/>
    <w:rsid w:val="0031229D"/>
    <w:rsid w:val="00312610"/>
    <w:rsid w:val="00312688"/>
    <w:rsid w:val="00312865"/>
    <w:rsid w:val="00314E12"/>
    <w:rsid w:val="003166A5"/>
    <w:rsid w:val="00316C8C"/>
    <w:rsid w:val="003174C2"/>
    <w:rsid w:val="00317CE4"/>
    <w:rsid w:val="00320DF4"/>
    <w:rsid w:val="003219A9"/>
    <w:rsid w:val="00321B00"/>
    <w:rsid w:val="00321C54"/>
    <w:rsid w:val="00321DCD"/>
    <w:rsid w:val="0032261F"/>
    <w:rsid w:val="003237A2"/>
    <w:rsid w:val="00324729"/>
    <w:rsid w:val="00324ECE"/>
    <w:rsid w:val="00325C8B"/>
    <w:rsid w:val="00326340"/>
    <w:rsid w:val="00326674"/>
    <w:rsid w:val="00327011"/>
    <w:rsid w:val="00334127"/>
    <w:rsid w:val="00335CA6"/>
    <w:rsid w:val="003365F0"/>
    <w:rsid w:val="00336C50"/>
    <w:rsid w:val="00337388"/>
    <w:rsid w:val="0034007D"/>
    <w:rsid w:val="00342A48"/>
    <w:rsid w:val="003433E5"/>
    <w:rsid w:val="003435AF"/>
    <w:rsid w:val="00343643"/>
    <w:rsid w:val="00344082"/>
    <w:rsid w:val="0034582C"/>
    <w:rsid w:val="00345916"/>
    <w:rsid w:val="00345CAC"/>
    <w:rsid w:val="0034789E"/>
    <w:rsid w:val="003501DA"/>
    <w:rsid w:val="003503E2"/>
    <w:rsid w:val="00351DC1"/>
    <w:rsid w:val="003534EE"/>
    <w:rsid w:val="00355E88"/>
    <w:rsid w:val="0035750A"/>
    <w:rsid w:val="003600A2"/>
    <w:rsid w:val="003612D8"/>
    <w:rsid w:val="003637B6"/>
    <w:rsid w:val="00363F89"/>
    <w:rsid w:val="00363FB0"/>
    <w:rsid w:val="003646D6"/>
    <w:rsid w:val="00364FC6"/>
    <w:rsid w:val="0036541D"/>
    <w:rsid w:val="00367E26"/>
    <w:rsid w:val="00370504"/>
    <w:rsid w:val="003708DD"/>
    <w:rsid w:val="00371814"/>
    <w:rsid w:val="00371D7F"/>
    <w:rsid w:val="00372BAE"/>
    <w:rsid w:val="00372EE9"/>
    <w:rsid w:val="00373F07"/>
    <w:rsid w:val="00374A60"/>
    <w:rsid w:val="00375181"/>
    <w:rsid w:val="00375EDE"/>
    <w:rsid w:val="003764C0"/>
    <w:rsid w:val="003767A4"/>
    <w:rsid w:val="003774F6"/>
    <w:rsid w:val="00377B76"/>
    <w:rsid w:val="003818B3"/>
    <w:rsid w:val="00381F94"/>
    <w:rsid w:val="0038356A"/>
    <w:rsid w:val="00383770"/>
    <w:rsid w:val="0038382F"/>
    <w:rsid w:val="0038443F"/>
    <w:rsid w:val="00385427"/>
    <w:rsid w:val="00387542"/>
    <w:rsid w:val="00387C6B"/>
    <w:rsid w:val="00390FC0"/>
    <w:rsid w:val="00390FE9"/>
    <w:rsid w:val="003911B2"/>
    <w:rsid w:val="00391AFE"/>
    <w:rsid w:val="00392705"/>
    <w:rsid w:val="00393A79"/>
    <w:rsid w:val="0039419C"/>
    <w:rsid w:val="00395987"/>
    <w:rsid w:val="00396375"/>
    <w:rsid w:val="00396801"/>
    <w:rsid w:val="00396E82"/>
    <w:rsid w:val="003A07FF"/>
    <w:rsid w:val="003A146E"/>
    <w:rsid w:val="003A26CD"/>
    <w:rsid w:val="003A37F7"/>
    <w:rsid w:val="003A5417"/>
    <w:rsid w:val="003A54E9"/>
    <w:rsid w:val="003A5E7C"/>
    <w:rsid w:val="003A78C7"/>
    <w:rsid w:val="003A7E9A"/>
    <w:rsid w:val="003B15FE"/>
    <w:rsid w:val="003B185C"/>
    <w:rsid w:val="003B1C41"/>
    <w:rsid w:val="003B46AD"/>
    <w:rsid w:val="003B5C96"/>
    <w:rsid w:val="003B65FB"/>
    <w:rsid w:val="003B6A26"/>
    <w:rsid w:val="003C218D"/>
    <w:rsid w:val="003C3D89"/>
    <w:rsid w:val="003C3EE2"/>
    <w:rsid w:val="003C4224"/>
    <w:rsid w:val="003C426D"/>
    <w:rsid w:val="003C4877"/>
    <w:rsid w:val="003C4B42"/>
    <w:rsid w:val="003C4E91"/>
    <w:rsid w:val="003C6C6B"/>
    <w:rsid w:val="003C6D76"/>
    <w:rsid w:val="003C72F6"/>
    <w:rsid w:val="003C7EE1"/>
    <w:rsid w:val="003D073C"/>
    <w:rsid w:val="003D0791"/>
    <w:rsid w:val="003D1130"/>
    <w:rsid w:val="003D130E"/>
    <w:rsid w:val="003D21D9"/>
    <w:rsid w:val="003D37D4"/>
    <w:rsid w:val="003D47A7"/>
    <w:rsid w:val="003D56B5"/>
    <w:rsid w:val="003D5DCC"/>
    <w:rsid w:val="003D6B84"/>
    <w:rsid w:val="003E1A49"/>
    <w:rsid w:val="003E29DE"/>
    <w:rsid w:val="003E2D01"/>
    <w:rsid w:val="003E330E"/>
    <w:rsid w:val="003E3AE3"/>
    <w:rsid w:val="003E5733"/>
    <w:rsid w:val="003E5E27"/>
    <w:rsid w:val="003E6FD2"/>
    <w:rsid w:val="003E788F"/>
    <w:rsid w:val="003E7A97"/>
    <w:rsid w:val="003E7D3A"/>
    <w:rsid w:val="003F0950"/>
    <w:rsid w:val="003F09C9"/>
    <w:rsid w:val="003F0BC0"/>
    <w:rsid w:val="003F4C37"/>
    <w:rsid w:val="003F67AE"/>
    <w:rsid w:val="003F6BBB"/>
    <w:rsid w:val="003F719F"/>
    <w:rsid w:val="0040033D"/>
    <w:rsid w:val="004007E1"/>
    <w:rsid w:val="00400B1F"/>
    <w:rsid w:val="004026F9"/>
    <w:rsid w:val="004032D2"/>
    <w:rsid w:val="00403C4F"/>
    <w:rsid w:val="004058B4"/>
    <w:rsid w:val="00405C45"/>
    <w:rsid w:val="004062EF"/>
    <w:rsid w:val="004062F0"/>
    <w:rsid w:val="00406CB5"/>
    <w:rsid w:val="00407D5F"/>
    <w:rsid w:val="00410B8F"/>
    <w:rsid w:val="00411B38"/>
    <w:rsid w:val="00412057"/>
    <w:rsid w:val="004126C1"/>
    <w:rsid w:val="00413BA5"/>
    <w:rsid w:val="00414FD0"/>
    <w:rsid w:val="0041523C"/>
    <w:rsid w:val="00417E93"/>
    <w:rsid w:val="00420397"/>
    <w:rsid w:val="00422A2A"/>
    <w:rsid w:val="00423846"/>
    <w:rsid w:val="00424BB4"/>
    <w:rsid w:val="004257D5"/>
    <w:rsid w:val="004258CD"/>
    <w:rsid w:val="004261D2"/>
    <w:rsid w:val="004303D1"/>
    <w:rsid w:val="00433C0A"/>
    <w:rsid w:val="00433CD3"/>
    <w:rsid w:val="004349FA"/>
    <w:rsid w:val="004406BD"/>
    <w:rsid w:val="00441D10"/>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2B7"/>
    <w:rsid w:val="00461526"/>
    <w:rsid w:val="004627AE"/>
    <w:rsid w:val="0046298E"/>
    <w:rsid w:val="004647BB"/>
    <w:rsid w:val="0046482B"/>
    <w:rsid w:val="004648E0"/>
    <w:rsid w:val="00466A2E"/>
    <w:rsid w:val="00470BF9"/>
    <w:rsid w:val="00472043"/>
    <w:rsid w:val="00472CB4"/>
    <w:rsid w:val="00472F56"/>
    <w:rsid w:val="0047335E"/>
    <w:rsid w:val="00473CA1"/>
    <w:rsid w:val="0047572C"/>
    <w:rsid w:val="00476407"/>
    <w:rsid w:val="004773F7"/>
    <w:rsid w:val="00481F5F"/>
    <w:rsid w:val="004821D0"/>
    <w:rsid w:val="00482CB2"/>
    <w:rsid w:val="00483D06"/>
    <w:rsid w:val="00485A4A"/>
    <w:rsid w:val="00485CF7"/>
    <w:rsid w:val="0048626F"/>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274"/>
    <w:rsid w:val="004A655D"/>
    <w:rsid w:val="004A6A87"/>
    <w:rsid w:val="004A6BA5"/>
    <w:rsid w:val="004B01B1"/>
    <w:rsid w:val="004B053A"/>
    <w:rsid w:val="004B07FB"/>
    <w:rsid w:val="004B08D1"/>
    <w:rsid w:val="004B10E6"/>
    <w:rsid w:val="004B1645"/>
    <w:rsid w:val="004B198F"/>
    <w:rsid w:val="004B269B"/>
    <w:rsid w:val="004B357D"/>
    <w:rsid w:val="004B46D0"/>
    <w:rsid w:val="004B57B0"/>
    <w:rsid w:val="004B59EA"/>
    <w:rsid w:val="004B5FFC"/>
    <w:rsid w:val="004B60CE"/>
    <w:rsid w:val="004B61C9"/>
    <w:rsid w:val="004C0245"/>
    <w:rsid w:val="004C0B26"/>
    <w:rsid w:val="004C12FE"/>
    <w:rsid w:val="004C1D57"/>
    <w:rsid w:val="004C2F7C"/>
    <w:rsid w:val="004C34F8"/>
    <w:rsid w:val="004C375F"/>
    <w:rsid w:val="004C482F"/>
    <w:rsid w:val="004C49C9"/>
    <w:rsid w:val="004C5270"/>
    <w:rsid w:val="004C627F"/>
    <w:rsid w:val="004C6FB7"/>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7BF"/>
    <w:rsid w:val="004E5C1A"/>
    <w:rsid w:val="004E6C8C"/>
    <w:rsid w:val="004E6CC7"/>
    <w:rsid w:val="004E776F"/>
    <w:rsid w:val="004F111D"/>
    <w:rsid w:val="004F1843"/>
    <w:rsid w:val="004F1A7F"/>
    <w:rsid w:val="004F1EEC"/>
    <w:rsid w:val="004F24C8"/>
    <w:rsid w:val="004F30D6"/>
    <w:rsid w:val="004F34A5"/>
    <w:rsid w:val="004F40D6"/>
    <w:rsid w:val="004F60B7"/>
    <w:rsid w:val="004F6925"/>
    <w:rsid w:val="0050145C"/>
    <w:rsid w:val="00503AE1"/>
    <w:rsid w:val="00503CA6"/>
    <w:rsid w:val="00503FAE"/>
    <w:rsid w:val="00504DC1"/>
    <w:rsid w:val="00505332"/>
    <w:rsid w:val="00505A57"/>
    <w:rsid w:val="00505C6E"/>
    <w:rsid w:val="00505D37"/>
    <w:rsid w:val="005104E8"/>
    <w:rsid w:val="005106B7"/>
    <w:rsid w:val="005107DB"/>
    <w:rsid w:val="00510DB0"/>
    <w:rsid w:val="005119F6"/>
    <w:rsid w:val="00511B7D"/>
    <w:rsid w:val="00511D00"/>
    <w:rsid w:val="005137E7"/>
    <w:rsid w:val="005141ED"/>
    <w:rsid w:val="00516256"/>
    <w:rsid w:val="005162CF"/>
    <w:rsid w:val="00517A63"/>
    <w:rsid w:val="00517C8D"/>
    <w:rsid w:val="00517FD1"/>
    <w:rsid w:val="005219E6"/>
    <w:rsid w:val="00521B4A"/>
    <w:rsid w:val="00521FB8"/>
    <w:rsid w:val="005220B8"/>
    <w:rsid w:val="0052212E"/>
    <w:rsid w:val="00522E91"/>
    <w:rsid w:val="0052302D"/>
    <w:rsid w:val="005236A5"/>
    <w:rsid w:val="005239B2"/>
    <w:rsid w:val="005266BD"/>
    <w:rsid w:val="0052772D"/>
    <w:rsid w:val="00530442"/>
    <w:rsid w:val="00533601"/>
    <w:rsid w:val="00534AF0"/>
    <w:rsid w:val="00534C71"/>
    <w:rsid w:val="00535060"/>
    <w:rsid w:val="00535738"/>
    <w:rsid w:val="005409EB"/>
    <w:rsid w:val="00540F30"/>
    <w:rsid w:val="00541DD2"/>
    <w:rsid w:val="00543A63"/>
    <w:rsid w:val="00543AB5"/>
    <w:rsid w:val="005457CF"/>
    <w:rsid w:val="00545976"/>
    <w:rsid w:val="0054660F"/>
    <w:rsid w:val="005466A7"/>
    <w:rsid w:val="00547628"/>
    <w:rsid w:val="0055224C"/>
    <w:rsid w:val="005533C3"/>
    <w:rsid w:val="005536E6"/>
    <w:rsid w:val="00553AC3"/>
    <w:rsid w:val="00553CD5"/>
    <w:rsid w:val="00553DBA"/>
    <w:rsid w:val="00554335"/>
    <w:rsid w:val="00555602"/>
    <w:rsid w:val="00555631"/>
    <w:rsid w:val="0055621D"/>
    <w:rsid w:val="0055764D"/>
    <w:rsid w:val="00560C6A"/>
    <w:rsid w:val="00560F85"/>
    <w:rsid w:val="005610A0"/>
    <w:rsid w:val="00561C47"/>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6AC3"/>
    <w:rsid w:val="005871B1"/>
    <w:rsid w:val="00587BC2"/>
    <w:rsid w:val="00590A48"/>
    <w:rsid w:val="005918E4"/>
    <w:rsid w:val="00591C6D"/>
    <w:rsid w:val="00591C71"/>
    <w:rsid w:val="00592392"/>
    <w:rsid w:val="00592484"/>
    <w:rsid w:val="005925EE"/>
    <w:rsid w:val="0059283D"/>
    <w:rsid w:val="005928D3"/>
    <w:rsid w:val="00592D5D"/>
    <w:rsid w:val="00593D89"/>
    <w:rsid w:val="005955C0"/>
    <w:rsid w:val="00595730"/>
    <w:rsid w:val="00595B68"/>
    <w:rsid w:val="00595EAA"/>
    <w:rsid w:val="0059672B"/>
    <w:rsid w:val="0059722E"/>
    <w:rsid w:val="005975E5"/>
    <w:rsid w:val="005A0C60"/>
    <w:rsid w:val="005A1959"/>
    <w:rsid w:val="005A255F"/>
    <w:rsid w:val="005A260D"/>
    <w:rsid w:val="005A330E"/>
    <w:rsid w:val="005A5554"/>
    <w:rsid w:val="005A5651"/>
    <w:rsid w:val="005A6AFE"/>
    <w:rsid w:val="005A7BF3"/>
    <w:rsid w:val="005A7DE0"/>
    <w:rsid w:val="005B0AEF"/>
    <w:rsid w:val="005B37D9"/>
    <w:rsid w:val="005B4413"/>
    <w:rsid w:val="005B445B"/>
    <w:rsid w:val="005B474E"/>
    <w:rsid w:val="005B489A"/>
    <w:rsid w:val="005B63A6"/>
    <w:rsid w:val="005B64D1"/>
    <w:rsid w:val="005B650C"/>
    <w:rsid w:val="005B6A88"/>
    <w:rsid w:val="005B6E05"/>
    <w:rsid w:val="005B7F42"/>
    <w:rsid w:val="005C1D45"/>
    <w:rsid w:val="005C3C9B"/>
    <w:rsid w:val="005C42AB"/>
    <w:rsid w:val="005C45C0"/>
    <w:rsid w:val="005C5335"/>
    <w:rsid w:val="005C5A9B"/>
    <w:rsid w:val="005C5D7B"/>
    <w:rsid w:val="005C5E29"/>
    <w:rsid w:val="005C6474"/>
    <w:rsid w:val="005C6A68"/>
    <w:rsid w:val="005D0820"/>
    <w:rsid w:val="005D0AE3"/>
    <w:rsid w:val="005D1103"/>
    <w:rsid w:val="005D276D"/>
    <w:rsid w:val="005D48E9"/>
    <w:rsid w:val="005D5912"/>
    <w:rsid w:val="005D794C"/>
    <w:rsid w:val="005D7A9F"/>
    <w:rsid w:val="005D7AA2"/>
    <w:rsid w:val="005E0D42"/>
    <w:rsid w:val="005E2154"/>
    <w:rsid w:val="005E2510"/>
    <w:rsid w:val="005E2FC7"/>
    <w:rsid w:val="005E37B9"/>
    <w:rsid w:val="005E427F"/>
    <w:rsid w:val="005E4574"/>
    <w:rsid w:val="005E4BBE"/>
    <w:rsid w:val="005E4C97"/>
    <w:rsid w:val="005E5014"/>
    <w:rsid w:val="005E684F"/>
    <w:rsid w:val="005E77BA"/>
    <w:rsid w:val="005F0112"/>
    <w:rsid w:val="005F03E3"/>
    <w:rsid w:val="005F0829"/>
    <w:rsid w:val="005F2E16"/>
    <w:rsid w:val="005F32BE"/>
    <w:rsid w:val="005F34FB"/>
    <w:rsid w:val="005F39A0"/>
    <w:rsid w:val="005F5866"/>
    <w:rsid w:val="005F6B68"/>
    <w:rsid w:val="005F6F2E"/>
    <w:rsid w:val="005F7D85"/>
    <w:rsid w:val="00601A1F"/>
    <w:rsid w:val="00602655"/>
    <w:rsid w:val="00603B68"/>
    <w:rsid w:val="00605297"/>
    <w:rsid w:val="00605CB9"/>
    <w:rsid w:val="006065BF"/>
    <w:rsid w:val="00607C00"/>
    <w:rsid w:val="00610430"/>
    <w:rsid w:val="00611278"/>
    <w:rsid w:val="00611858"/>
    <w:rsid w:val="006130E5"/>
    <w:rsid w:val="00614C18"/>
    <w:rsid w:val="00614EB1"/>
    <w:rsid w:val="00614F67"/>
    <w:rsid w:val="00615277"/>
    <w:rsid w:val="00615519"/>
    <w:rsid w:val="00615CED"/>
    <w:rsid w:val="00615CFC"/>
    <w:rsid w:val="006178D9"/>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140"/>
    <w:rsid w:val="00637470"/>
    <w:rsid w:val="00637E13"/>
    <w:rsid w:val="00640D89"/>
    <w:rsid w:val="00640F58"/>
    <w:rsid w:val="00641203"/>
    <w:rsid w:val="00641776"/>
    <w:rsid w:val="00642CE8"/>
    <w:rsid w:val="0064580A"/>
    <w:rsid w:val="0064656E"/>
    <w:rsid w:val="00646DF5"/>
    <w:rsid w:val="00650397"/>
    <w:rsid w:val="006507E8"/>
    <w:rsid w:val="00650C73"/>
    <w:rsid w:val="00651143"/>
    <w:rsid w:val="0065159F"/>
    <w:rsid w:val="0065185A"/>
    <w:rsid w:val="00651959"/>
    <w:rsid w:val="00651DA6"/>
    <w:rsid w:val="00653149"/>
    <w:rsid w:val="006531E4"/>
    <w:rsid w:val="00654505"/>
    <w:rsid w:val="00654937"/>
    <w:rsid w:val="00656611"/>
    <w:rsid w:val="0065723C"/>
    <w:rsid w:val="006575ED"/>
    <w:rsid w:val="006578FD"/>
    <w:rsid w:val="00660060"/>
    <w:rsid w:val="006609AA"/>
    <w:rsid w:val="00661A55"/>
    <w:rsid w:val="00662EDE"/>
    <w:rsid w:val="00664C9F"/>
    <w:rsid w:val="00666548"/>
    <w:rsid w:val="00666A71"/>
    <w:rsid w:val="00667537"/>
    <w:rsid w:val="00670865"/>
    <w:rsid w:val="00670FF8"/>
    <w:rsid w:val="00671AED"/>
    <w:rsid w:val="0067258B"/>
    <w:rsid w:val="006725B5"/>
    <w:rsid w:val="00673521"/>
    <w:rsid w:val="00673767"/>
    <w:rsid w:val="00673F39"/>
    <w:rsid w:val="006746AC"/>
    <w:rsid w:val="0067571B"/>
    <w:rsid w:val="00675E37"/>
    <w:rsid w:val="0067663E"/>
    <w:rsid w:val="00676EAF"/>
    <w:rsid w:val="00677850"/>
    <w:rsid w:val="00677988"/>
    <w:rsid w:val="00680657"/>
    <w:rsid w:val="00680BD9"/>
    <w:rsid w:val="00681B4A"/>
    <w:rsid w:val="00681D07"/>
    <w:rsid w:val="00681EDA"/>
    <w:rsid w:val="00682017"/>
    <w:rsid w:val="00682AAD"/>
    <w:rsid w:val="00686057"/>
    <w:rsid w:val="006868CA"/>
    <w:rsid w:val="00686E32"/>
    <w:rsid w:val="00687F25"/>
    <w:rsid w:val="0069087A"/>
    <w:rsid w:val="00690B4B"/>
    <w:rsid w:val="00690BE4"/>
    <w:rsid w:val="00691077"/>
    <w:rsid w:val="00691982"/>
    <w:rsid w:val="00691BB0"/>
    <w:rsid w:val="00691DB9"/>
    <w:rsid w:val="00692777"/>
    <w:rsid w:val="00692BE0"/>
    <w:rsid w:val="00692C98"/>
    <w:rsid w:val="0069324E"/>
    <w:rsid w:val="00694481"/>
    <w:rsid w:val="00694487"/>
    <w:rsid w:val="00695815"/>
    <w:rsid w:val="0069581B"/>
    <w:rsid w:val="00696601"/>
    <w:rsid w:val="006977FA"/>
    <w:rsid w:val="006A20FB"/>
    <w:rsid w:val="006A339D"/>
    <w:rsid w:val="006A4462"/>
    <w:rsid w:val="006A5B59"/>
    <w:rsid w:val="006A6462"/>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12A"/>
    <w:rsid w:val="006C1254"/>
    <w:rsid w:val="006C2DC5"/>
    <w:rsid w:val="006C44C2"/>
    <w:rsid w:val="006C480B"/>
    <w:rsid w:val="006C570B"/>
    <w:rsid w:val="006C572E"/>
    <w:rsid w:val="006C5997"/>
    <w:rsid w:val="006C5C1C"/>
    <w:rsid w:val="006C5CD2"/>
    <w:rsid w:val="006C7FC6"/>
    <w:rsid w:val="006D0636"/>
    <w:rsid w:val="006D06DC"/>
    <w:rsid w:val="006D6E46"/>
    <w:rsid w:val="006D739E"/>
    <w:rsid w:val="006D7FA8"/>
    <w:rsid w:val="006E0225"/>
    <w:rsid w:val="006E2312"/>
    <w:rsid w:val="006E2657"/>
    <w:rsid w:val="006E389A"/>
    <w:rsid w:val="006E4601"/>
    <w:rsid w:val="006E5B86"/>
    <w:rsid w:val="006E5E4A"/>
    <w:rsid w:val="006E63FF"/>
    <w:rsid w:val="006E652D"/>
    <w:rsid w:val="006E7572"/>
    <w:rsid w:val="006F1D75"/>
    <w:rsid w:val="006F2F22"/>
    <w:rsid w:val="006F434A"/>
    <w:rsid w:val="006F547D"/>
    <w:rsid w:val="006F6AD1"/>
    <w:rsid w:val="006F7974"/>
    <w:rsid w:val="00700A60"/>
    <w:rsid w:val="00704AF0"/>
    <w:rsid w:val="00705027"/>
    <w:rsid w:val="00705F9A"/>
    <w:rsid w:val="00710494"/>
    <w:rsid w:val="0071067D"/>
    <w:rsid w:val="007117BD"/>
    <w:rsid w:val="00711D0E"/>
    <w:rsid w:val="00711E88"/>
    <w:rsid w:val="00712D3C"/>
    <w:rsid w:val="007135A2"/>
    <w:rsid w:val="00715129"/>
    <w:rsid w:val="007154CE"/>
    <w:rsid w:val="00715963"/>
    <w:rsid w:val="00715B25"/>
    <w:rsid w:val="00716020"/>
    <w:rsid w:val="00716570"/>
    <w:rsid w:val="00720860"/>
    <w:rsid w:val="00721087"/>
    <w:rsid w:val="00721530"/>
    <w:rsid w:val="00723422"/>
    <w:rsid w:val="00725823"/>
    <w:rsid w:val="007260FE"/>
    <w:rsid w:val="00726DD6"/>
    <w:rsid w:val="0073076E"/>
    <w:rsid w:val="00733416"/>
    <w:rsid w:val="0073377E"/>
    <w:rsid w:val="00733E05"/>
    <w:rsid w:val="00735C8A"/>
    <w:rsid w:val="00735FE2"/>
    <w:rsid w:val="0073719A"/>
    <w:rsid w:val="007371AE"/>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1C"/>
    <w:rsid w:val="00752AEC"/>
    <w:rsid w:val="00752FBA"/>
    <w:rsid w:val="00753324"/>
    <w:rsid w:val="0075458D"/>
    <w:rsid w:val="007554A9"/>
    <w:rsid w:val="007556F5"/>
    <w:rsid w:val="00757105"/>
    <w:rsid w:val="00757B82"/>
    <w:rsid w:val="00760778"/>
    <w:rsid w:val="00760C61"/>
    <w:rsid w:val="0076246D"/>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4847"/>
    <w:rsid w:val="00775181"/>
    <w:rsid w:val="007751B6"/>
    <w:rsid w:val="00775345"/>
    <w:rsid w:val="00776503"/>
    <w:rsid w:val="00776A33"/>
    <w:rsid w:val="00776F15"/>
    <w:rsid w:val="007778B7"/>
    <w:rsid w:val="007779ED"/>
    <w:rsid w:val="00780B1A"/>
    <w:rsid w:val="007810D3"/>
    <w:rsid w:val="0078264A"/>
    <w:rsid w:val="0078353D"/>
    <w:rsid w:val="00783D11"/>
    <w:rsid w:val="00785E46"/>
    <w:rsid w:val="00787917"/>
    <w:rsid w:val="00787FB6"/>
    <w:rsid w:val="00791489"/>
    <w:rsid w:val="00791683"/>
    <w:rsid w:val="00792F0C"/>
    <w:rsid w:val="00793193"/>
    <w:rsid w:val="0079361E"/>
    <w:rsid w:val="00795460"/>
    <w:rsid w:val="00796CF7"/>
    <w:rsid w:val="007A0313"/>
    <w:rsid w:val="007A0A83"/>
    <w:rsid w:val="007A4BB3"/>
    <w:rsid w:val="007A6307"/>
    <w:rsid w:val="007A6822"/>
    <w:rsid w:val="007A724D"/>
    <w:rsid w:val="007A749D"/>
    <w:rsid w:val="007A7B37"/>
    <w:rsid w:val="007B024C"/>
    <w:rsid w:val="007B0A3C"/>
    <w:rsid w:val="007B1C4C"/>
    <w:rsid w:val="007B2800"/>
    <w:rsid w:val="007B2F39"/>
    <w:rsid w:val="007B32D3"/>
    <w:rsid w:val="007B38F7"/>
    <w:rsid w:val="007B40D4"/>
    <w:rsid w:val="007B4511"/>
    <w:rsid w:val="007B5C86"/>
    <w:rsid w:val="007B6071"/>
    <w:rsid w:val="007B6540"/>
    <w:rsid w:val="007B69A2"/>
    <w:rsid w:val="007B7760"/>
    <w:rsid w:val="007C09C4"/>
    <w:rsid w:val="007C0E4C"/>
    <w:rsid w:val="007C25E9"/>
    <w:rsid w:val="007C2F78"/>
    <w:rsid w:val="007C34C5"/>
    <w:rsid w:val="007C4079"/>
    <w:rsid w:val="007C4827"/>
    <w:rsid w:val="007C4A20"/>
    <w:rsid w:val="007D0B7F"/>
    <w:rsid w:val="007D1266"/>
    <w:rsid w:val="007D1B94"/>
    <w:rsid w:val="007D2363"/>
    <w:rsid w:val="007D4453"/>
    <w:rsid w:val="007D458D"/>
    <w:rsid w:val="007D4E8C"/>
    <w:rsid w:val="007D538F"/>
    <w:rsid w:val="007D5BB0"/>
    <w:rsid w:val="007D668A"/>
    <w:rsid w:val="007E09E2"/>
    <w:rsid w:val="007E0FF5"/>
    <w:rsid w:val="007E1012"/>
    <w:rsid w:val="007E17CD"/>
    <w:rsid w:val="007E24ED"/>
    <w:rsid w:val="007E374B"/>
    <w:rsid w:val="007E39DE"/>
    <w:rsid w:val="007E3F53"/>
    <w:rsid w:val="007E42AF"/>
    <w:rsid w:val="007E6879"/>
    <w:rsid w:val="007E7997"/>
    <w:rsid w:val="007E7A88"/>
    <w:rsid w:val="007E7B47"/>
    <w:rsid w:val="007F04EF"/>
    <w:rsid w:val="007F2A20"/>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83E"/>
    <w:rsid w:val="008114CF"/>
    <w:rsid w:val="008117CC"/>
    <w:rsid w:val="00811AB3"/>
    <w:rsid w:val="0081421D"/>
    <w:rsid w:val="00814ADB"/>
    <w:rsid w:val="008154A7"/>
    <w:rsid w:val="00815C5D"/>
    <w:rsid w:val="0081618F"/>
    <w:rsid w:val="00817298"/>
    <w:rsid w:val="008174D1"/>
    <w:rsid w:val="008178B2"/>
    <w:rsid w:val="0082165E"/>
    <w:rsid w:val="00822136"/>
    <w:rsid w:val="00822AAF"/>
    <w:rsid w:val="00822F01"/>
    <w:rsid w:val="008232A6"/>
    <w:rsid w:val="00823898"/>
    <w:rsid w:val="008239D1"/>
    <w:rsid w:val="00824071"/>
    <w:rsid w:val="00824201"/>
    <w:rsid w:val="008246B2"/>
    <w:rsid w:val="0082488A"/>
    <w:rsid w:val="00824C08"/>
    <w:rsid w:val="008250F6"/>
    <w:rsid w:val="00826560"/>
    <w:rsid w:val="00826CBB"/>
    <w:rsid w:val="00827180"/>
    <w:rsid w:val="0082770D"/>
    <w:rsid w:val="00827B6D"/>
    <w:rsid w:val="00827C90"/>
    <w:rsid w:val="00827E3D"/>
    <w:rsid w:val="0083004E"/>
    <w:rsid w:val="00831EAF"/>
    <w:rsid w:val="00831F07"/>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C3B"/>
    <w:rsid w:val="00840F1B"/>
    <w:rsid w:val="0084117A"/>
    <w:rsid w:val="00842827"/>
    <w:rsid w:val="00842965"/>
    <w:rsid w:val="00844300"/>
    <w:rsid w:val="008458BD"/>
    <w:rsid w:val="00845FCA"/>
    <w:rsid w:val="00846956"/>
    <w:rsid w:val="00846AD4"/>
    <w:rsid w:val="00846CF1"/>
    <w:rsid w:val="00847622"/>
    <w:rsid w:val="008505B8"/>
    <w:rsid w:val="00851005"/>
    <w:rsid w:val="00851ADD"/>
    <w:rsid w:val="00851FBF"/>
    <w:rsid w:val="00855CA6"/>
    <w:rsid w:val="0085625B"/>
    <w:rsid w:val="008562B8"/>
    <w:rsid w:val="00860323"/>
    <w:rsid w:val="00860896"/>
    <w:rsid w:val="00860F4F"/>
    <w:rsid w:val="008610B9"/>
    <w:rsid w:val="00861BAF"/>
    <w:rsid w:val="00862656"/>
    <w:rsid w:val="00863013"/>
    <w:rsid w:val="00863F67"/>
    <w:rsid w:val="0086483A"/>
    <w:rsid w:val="0086496E"/>
    <w:rsid w:val="00864A8C"/>
    <w:rsid w:val="0086659A"/>
    <w:rsid w:val="00870053"/>
    <w:rsid w:val="0087049C"/>
    <w:rsid w:val="008708FD"/>
    <w:rsid w:val="00870AAD"/>
    <w:rsid w:val="00870EDE"/>
    <w:rsid w:val="00871DA0"/>
    <w:rsid w:val="00872030"/>
    <w:rsid w:val="00873973"/>
    <w:rsid w:val="00875C28"/>
    <w:rsid w:val="00875D01"/>
    <w:rsid w:val="00875E75"/>
    <w:rsid w:val="0087658F"/>
    <w:rsid w:val="0087762E"/>
    <w:rsid w:val="00877823"/>
    <w:rsid w:val="00880292"/>
    <w:rsid w:val="008803F5"/>
    <w:rsid w:val="008812BF"/>
    <w:rsid w:val="00881341"/>
    <w:rsid w:val="00882931"/>
    <w:rsid w:val="00884939"/>
    <w:rsid w:val="008853E0"/>
    <w:rsid w:val="00885BE2"/>
    <w:rsid w:val="008863C8"/>
    <w:rsid w:val="00886D40"/>
    <w:rsid w:val="00887A0E"/>
    <w:rsid w:val="008907F3"/>
    <w:rsid w:val="00891994"/>
    <w:rsid w:val="00891A47"/>
    <w:rsid w:val="008920C2"/>
    <w:rsid w:val="008923CF"/>
    <w:rsid w:val="00892E71"/>
    <w:rsid w:val="008930EC"/>
    <w:rsid w:val="0089564C"/>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3EE"/>
    <w:rsid w:val="008B559A"/>
    <w:rsid w:val="008B598F"/>
    <w:rsid w:val="008B66A5"/>
    <w:rsid w:val="008B79D9"/>
    <w:rsid w:val="008B7F4A"/>
    <w:rsid w:val="008B7F4F"/>
    <w:rsid w:val="008C0D2E"/>
    <w:rsid w:val="008C1056"/>
    <w:rsid w:val="008C2729"/>
    <w:rsid w:val="008C3347"/>
    <w:rsid w:val="008C39D6"/>
    <w:rsid w:val="008C3B96"/>
    <w:rsid w:val="008C43BF"/>
    <w:rsid w:val="008C4601"/>
    <w:rsid w:val="008C532F"/>
    <w:rsid w:val="008C5739"/>
    <w:rsid w:val="008C60C3"/>
    <w:rsid w:val="008C7021"/>
    <w:rsid w:val="008C7736"/>
    <w:rsid w:val="008D0948"/>
    <w:rsid w:val="008D2209"/>
    <w:rsid w:val="008D311C"/>
    <w:rsid w:val="008D31D2"/>
    <w:rsid w:val="008D3CC5"/>
    <w:rsid w:val="008D564A"/>
    <w:rsid w:val="008D5E47"/>
    <w:rsid w:val="008D7D8C"/>
    <w:rsid w:val="008E004E"/>
    <w:rsid w:val="008E04FB"/>
    <w:rsid w:val="008E2010"/>
    <w:rsid w:val="008E2852"/>
    <w:rsid w:val="008E3E79"/>
    <w:rsid w:val="008E5282"/>
    <w:rsid w:val="008E5E2C"/>
    <w:rsid w:val="008E78F1"/>
    <w:rsid w:val="008F03CE"/>
    <w:rsid w:val="008F075B"/>
    <w:rsid w:val="008F0844"/>
    <w:rsid w:val="008F0E9E"/>
    <w:rsid w:val="008F28A7"/>
    <w:rsid w:val="008F2913"/>
    <w:rsid w:val="008F2A4E"/>
    <w:rsid w:val="008F2AE9"/>
    <w:rsid w:val="008F332B"/>
    <w:rsid w:val="008F3622"/>
    <w:rsid w:val="008F52D0"/>
    <w:rsid w:val="008F58BB"/>
    <w:rsid w:val="008F60F7"/>
    <w:rsid w:val="008F6106"/>
    <w:rsid w:val="008F791D"/>
    <w:rsid w:val="00900959"/>
    <w:rsid w:val="00901900"/>
    <w:rsid w:val="00901B7A"/>
    <w:rsid w:val="00901EE8"/>
    <w:rsid w:val="00901F6C"/>
    <w:rsid w:val="0090266B"/>
    <w:rsid w:val="00902F06"/>
    <w:rsid w:val="009035DB"/>
    <w:rsid w:val="00903AD4"/>
    <w:rsid w:val="00904671"/>
    <w:rsid w:val="009051A7"/>
    <w:rsid w:val="00905BC5"/>
    <w:rsid w:val="009064AA"/>
    <w:rsid w:val="00912257"/>
    <w:rsid w:val="00913495"/>
    <w:rsid w:val="00913874"/>
    <w:rsid w:val="009163CC"/>
    <w:rsid w:val="0091674C"/>
    <w:rsid w:val="00916862"/>
    <w:rsid w:val="00916B2A"/>
    <w:rsid w:val="00916D96"/>
    <w:rsid w:val="009174F7"/>
    <w:rsid w:val="00917E76"/>
    <w:rsid w:val="00920167"/>
    <w:rsid w:val="00920EBA"/>
    <w:rsid w:val="00921BB8"/>
    <w:rsid w:val="00921D28"/>
    <w:rsid w:val="00922034"/>
    <w:rsid w:val="0092266C"/>
    <w:rsid w:val="009241E8"/>
    <w:rsid w:val="00925956"/>
    <w:rsid w:val="00925DD2"/>
    <w:rsid w:val="00926344"/>
    <w:rsid w:val="00926929"/>
    <w:rsid w:val="00927301"/>
    <w:rsid w:val="00927E9D"/>
    <w:rsid w:val="00931859"/>
    <w:rsid w:val="0093205C"/>
    <w:rsid w:val="00932893"/>
    <w:rsid w:val="009343F5"/>
    <w:rsid w:val="0093456A"/>
    <w:rsid w:val="009345AE"/>
    <w:rsid w:val="00935301"/>
    <w:rsid w:val="0093557F"/>
    <w:rsid w:val="00936F64"/>
    <w:rsid w:val="00937B8E"/>
    <w:rsid w:val="00940C5B"/>
    <w:rsid w:val="009411F7"/>
    <w:rsid w:val="009417F1"/>
    <w:rsid w:val="00941A84"/>
    <w:rsid w:val="0094204A"/>
    <w:rsid w:val="0094356F"/>
    <w:rsid w:val="009443ED"/>
    <w:rsid w:val="00945DBF"/>
    <w:rsid w:val="00946042"/>
    <w:rsid w:val="00946AB3"/>
    <w:rsid w:val="00947074"/>
    <w:rsid w:val="0094752A"/>
    <w:rsid w:val="00947D01"/>
    <w:rsid w:val="009503EA"/>
    <w:rsid w:val="0095112D"/>
    <w:rsid w:val="00951B2A"/>
    <w:rsid w:val="00952124"/>
    <w:rsid w:val="0095257A"/>
    <w:rsid w:val="0095425A"/>
    <w:rsid w:val="00956244"/>
    <w:rsid w:val="00956A06"/>
    <w:rsid w:val="00956FB5"/>
    <w:rsid w:val="00957435"/>
    <w:rsid w:val="009578D0"/>
    <w:rsid w:val="009600C6"/>
    <w:rsid w:val="00960D80"/>
    <w:rsid w:val="009621CE"/>
    <w:rsid w:val="009622BF"/>
    <w:rsid w:val="00964302"/>
    <w:rsid w:val="009651B8"/>
    <w:rsid w:val="009653F3"/>
    <w:rsid w:val="0096587A"/>
    <w:rsid w:val="009666E7"/>
    <w:rsid w:val="00967231"/>
    <w:rsid w:val="00967278"/>
    <w:rsid w:val="00967308"/>
    <w:rsid w:val="009708A9"/>
    <w:rsid w:val="00971568"/>
    <w:rsid w:val="009728F2"/>
    <w:rsid w:val="00972BEF"/>
    <w:rsid w:val="00973880"/>
    <w:rsid w:val="00973BCF"/>
    <w:rsid w:val="0097447C"/>
    <w:rsid w:val="009744BC"/>
    <w:rsid w:val="00974E60"/>
    <w:rsid w:val="00975896"/>
    <w:rsid w:val="00975DF1"/>
    <w:rsid w:val="00976AFE"/>
    <w:rsid w:val="00983389"/>
    <w:rsid w:val="00983CEA"/>
    <w:rsid w:val="00983FE1"/>
    <w:rsid w:val="00984198"/>
    <w:rsid w:val="00984E04"/>
    <w:rsid w:val="00985CF5"/>
    <w:rsid w:val="00986194"/>
    <w:rsid w:val="009861D2"/>
    <w:rsid w:val="00986E53"/>
    <w:rsid w:val="00987C93"/>
    <w:rsid w:val="00987CE5"/>
    <w:rsid w:val="00992511"/>
    <w:rsid w:val="00993CF0"/>
    <w:rsid w:val="0099428D"/>
    <w:rsid w:val="009949A7"/>
    <w:rsid w:val="00995CDC"/>
    <w:rsid w:val="009975CA"/>
    <w:rsid w:val="009A0C15"/>
    <w:rsid w:val="009A1088"/>
    <w:rsid w:val="009A14CB"/>
    <w:rsid w:val="009A195F"/>
    <w:rsid w:val="009A27C7"/>
    <w:rsid w:val="009A2961"/>
    <w:rsid w:val="009A3114"/>
    <w:rsid w:val="009A344A"/>
    <w:rsid w:val="009A41C7"/>
    <w:rsid w:val="009A4F5A"/>
    <w:rsid w:val="009A5242"/>
    <w:rsid w:val="009A5C82"/>
    <w:rsid w:val="009B010D"/>
    <w:rsid w:val="009B0AAB"/>
    <w:rsid w:val="009B0D3E"/>
    <w:rsid w:val="009B2135"/>
    <w:rsid w:val="009B2AD1"/>
    <w:rsid w:val="009B3224"/>
    <w:rsid w:val="009B3A61"/>
    <w:rsid w:val="009B528E"/>
    <w:rsid w:val="009B54FE"/>
    <w:rsid w:val="009B6982"/>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F36"/>
    <w:rsid w:val="009D4409"/>
    <w:rsid w:val="009D4724"/>
    <w:rsid w:val="009D4B2F"/>
    <w:rsid w:val="009D4C1B"/>
    <w:rsid w:val="009D500A"/>
    <w:rsid w:val="009D5159"/>
    <w:rsid w:val="009D5EA5"/>
    <w:rsid w:val="009D64DA"/>
    <w:rsid w:val="009D67E7"/>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DE6"/>
    <w:rsid w:val="009E6E65"/>
    <w:rsid w:val="009F045D"/>
    <w:rsid w:val="009F1098"/>
    <w:rsid w:val="009F1458"/>
    <w:rsid w:val="009F1D3A"/>
    <w:rsid w:val="009F28DF"/>
    <w:rsid w:val="009F2C2E"/>
    <w:rsid w:val="009F4190"/>
    <w:rsid w:val="009F4911"/>
    <w:rsid w:val="009F4EC3"/>
    <w:rsid w:val="009F513E"/>
    <w:rsid w:val="009F5241"/>
    <w:rsid w:val="009F6664"/>
    <w:rsid w:val="009F6807"/>
    <w:rsid w:val="009F68DF"/>
    <w:rsid w:val="009F6A24"/>
    <w:rsid w:val="009F6B87"/>
    <w:rsid w:val="00A0042C"/>
    <w:rsid w:val="00A00495"/>
    <w:rsid w:val="00A01925"/>
    <w:rsid w:val="00A01DEB"/>
    <w:rsid w:val="00A061D0"/>
    <w:rsid w:val="00A06D32"/>
    <w:rsid w:val="00A07545"/>
    <w:rsid w:val="00A13947"/>
    <w:rsid w:val="00A13E2B"/>
    <w:rsid w:val="00A1562A"/>
    <w:rsid w:val="00A15901"/>
    <w:rsid w:val="00A1618E"/>
    <w:rsid w:val="00A161A1"/>
    <w:rsid w:val="00A20562"/>
    <w:rsid w:val="00A20F75"/>
    <w:rsid w:val="00A212B1"/>
    <w:rsid w:val="00A23C08"/>
    <w:rsid w:val="00A257C3"/>
    <w:rsid w:val="00A26FFF"/>
    <w:rsid w:val="00A30034"/>
    <w:rsid w:val="00A30506"/>
    <w:rsid w:val="00A316EC"/>
    <w:rsid w:val="00A31804"/>
    <w:rsid w:val="00A318AE"/>
    <w:rsid w:val="00A318C5"/>
    <w:rsid w:val="00A320BA"/>
    <w:rsid w:val="00A32283"/>
    <w:rsid w:val="00A32342"/>
    <w:rsid w:val="00A325EC"/>
    <w:rsid w:val="00A32B81"/>
    <w:rsid w:val="00A337E5"/>
    <w:rsid w:val="00A3482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39DC"/>
    <w:rsid w:val="00A5455C"/>
    <w:rsid w:val="00A545EC"/>
    <w:rsid w:val="00A54C5F"/>
    <w:rsid w:val="00A54D3B"/>
    <w:rsid w:val="00A5578A"/>
    <w:rsid w:val="00A606CF"/>
    <w:rsid w:val="00A61365"/>
    <w:rsid w:val="00A61620"/>
    <w:rsid w:val="00A61759"/>
    <w:rsid w:val="00A61B88"/>
    <w:rsid w:val="00A62C70"/>
    <w:rsid w:val="00A636F8"/>
    <w:rsid w:val="00A63982"/>
    <w:rsid w:val="00A64D68"/>
    <w:rsid w:val="00A65845"/>
    <w:rsid w:val="00A65A41"/>
    <w:rsid w:val="00A666AA"/>
    <w:rsid w:val="00A671FC"/>
    <w:rsid w:val="00A71670"/>
    <w:rsid w:val="00A72874"/>
    <w:rsid w:val="00A72E48"/>
    <w:rsid w:val="00A7359C"/>
    <w:rsid w:val="00A73616"/>
    <w:rsid w:val="00A76648"/>
    <w:rsid w:val="00A76DF7"/>
    <w:rsid w:val="00A77523"/>
    <w:rsid w:val="00A80A6B"/>
    <w:rsid w:val="00A83454"/>
    <w:rsid w:val="00A843FC"/>
    <w:rsid w:val="00A84DA5"/>
    <w:rsid w:val="00A85302"/>
    <w:rsid w:val="00A85DA0"/>
    <w:rsid w:val="00A86119"/>
    <w:rsid w:val="00A8649F"/>
    <w:rsid w:val="00A86D25"/>
    <w:rsid w:val="00A877BD"/>
    <w:rsid w:val="00A8786B"/>
    <w:rsid w:val="00A903F1"/>
    <w:rsid w:val="00A905CC"/>
    <w:rsid w:val="00A90974"/>
    <w:rsid w:val="00A9197E"/>
    <w:rsid w:val="00A92065"/>
    <w:rsid w:val="00A92184"/>
    <w:rsid w:val="00A92F62"/>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69A"/>
    <w:rsid w:val="00AA7D1F"/>
    <w:rsid w:val="00AB02C6"/>
    <w:rsid w:val="00AB246B"/>
    <w:rsid w:val="00AB2E96"/>
    <w:rsid w:val="00AB36D4"/>
    <w:rsid w:val="00AB53C2"/>
    <w:rsid w:val="00AB5500"/>
    <w:rsid w:val="00AB5564"/>
    <w:rsid w:val="00AB57FB"/>
    <w:rsid w:val="00AB7348"/>
    <w:rsid w:val="00AC13B0"/>
    <w:rsid w:val="00AC2FD0"/>
    <w:rsid w:val="00AC3DBD"/>
    <w:rsid w:val="00AC5E85"/>
    <w:rsid w:val="00AC779C"/>
    <w:rsid w:val="00AD03D8"/>
    <w:rsid w:val="00AD0CC7"/>
    <w:rsid w:val="00AD0D5F"/>
    <w:rsid w:val="00AD34CF"/>
    <w:rsid w:val="00AD36C8"/>
    <w:rsid w:val="00AD37C9"/>
    <w:rsid w:val="00AD47D3"/>
    <w:rsid w:val="00AD5495"/>
    <w:rsid w:val="00AD652F"/>
    <w:rsid w:val="00AD7D05"/>
    <w:rsid w:val="00AE01F6"/>
    <w:rsid w:val="00AE16F0"/>
    <w:rsid w:val="00AE2328"/>
    <w:rsid w:val="00AE3E14"/>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B5A"/>
    <w:rsid w:val="00AF5D2C"/>
    <w:rsid w:val="00AF5D6E"/>
    <w:rsid w:val="00AF6318"/>
    <w:rsid w:val="00AF6CBF"/>
    <w:rsid w:val="00B0072E"/>
    <w:rsid w:val="00B012F9"/>
    <w:rsid w:val="00B03B63"/>
    <w:rsid w:val="00B0513A"/>
    <w:rsid w:val="00B0620B"/>
    <w:rsid w:val="00B0692E"/>
    <w:rsid w:val="00B072A3"/>
    <w:rsid w:val="00B07FCD"/>
    <w:rsid w:val="00B1149C"/>
    <w:rsid w:val="00B11F60"/>
    <w:rsid w:val="00B121EF"/>
    <w:rsid w:val="00B127AA"/>
    <w:rsid w:val="00B130CB"/>
    <w:rsid w:val="00B14D9D"/>
    <w:rsid w:val="00B14EF5"/>
    <w:rsid w:val="00B16048"/>
    <w:rsid w:val="00B2028C"/>
    <w:rsid w:val="00B21771"/>
    <w:rsid w:val="00B2191C"/>
    <w:rsid w:val="00B21930"/>
    <w:rsid w:val="00B21B30"/>
    <w:rsid w:val="00B2231E"/>
    <w:rsid w:val="00B22E76"/>
    <w:rsid w:val="00B23016"/>
    <w:rsid w:val="00B23771"/>
    <w:rsid w:val="00B24EA8"/>
    <w:rsid w:val="00B26625"/>
    <w:rsid w:val="00B26699"/>
    <w:rsid w:val="00B26A5A"/>
    <w:rsid w:val="00B26D22"/>
    <w:rsid w:val="00B2713B"/>
    <w:rsid w:val="00B2769B"/>
    <w:rsid w:val="00B307D2"/>
    <w:rsid w:val="00B3398B"/>
    <w:rsid w:val="00B33B1E"/>
    <w:rsid w:val="00B3515B"/>
    <w:rsid w:val="00B35B71"/>
    <w:rsid w:val="00B362D9"/>
    <w:rsid w:val="00B36B99"/>
    <w:rsid w:val="00B36D20"/>
    <w:rsid w:val="00B36F67"/>
    <w:rsid w:val="00B40633"/>
    <w:rsid w:val="00B4274D"/>
    <w:rsid w:val="00B44049"/>
    <w:rsid w:val="00B44318"/>
    <w:rsid w:val="00B44C4B"/>
    <w:rsid w:val="00B46160"/>
    <w:rsid w:val="00B477CB"/>
    <w:rsid w:val="00B508A7"/>
    <w:rsid w:val="00B52081"/>
    <w:rsid w:val="00B52695"/>
    <w:rsid w:val="00B545AF"/>
    <w:rsid w:val="00B54F36"/>
    <w:rsid w:val="00B55B09"/>
    <w:rsid w:val="00B5666D"/>
    <w:rsid w:val="00B56711"/>
    <w:rsid w:val="00B57EF2"/>
    <w:rsid w:val="00B604F3"/>
    <w:rsid w:val="00B6101C"/>
    <w:rsid w:val="00B615ED"/>
    <w:rsid w:val="00B61841"/>
    <w:rsid w:val="00B63A9D"/>
    <w:rsid w:val="00B64888"/>
    <w:rsid w:val="00B672E3"/>
    <w:rsid w:val="00B675F9"/>
    <w:rsid w:val="00B70849"/>
    <w:rsid w:val="00B727BA"/>
    <w:rsid w:val="00B72C1C"/>
    <w:rsid w:val="00B73BB7"/>
    <w:rsid w:val="00B751C3"/>
    <w:rsid w:val="00B76559"/>
    <w:rsid w:val="00B76C0D"/>
    <w:rsid w:val="00B77550"/>
    <w:rsid w:val="00B77D0D"/>
    <w:rsid w:val="00B80817"/>
    <w:rsid w:val="00B827E6"/>
    <w:rsid w:val="00B82A28"/>
    <w:rsid w:val="00B82B8D"/>
    <w:rsid w:val="00B82C97"/>
    <w:rsid w:val="00B851D5"/>
    <w:rsid w:val="00B85B06"/>
    <w:rsid w:val="00B85F9D"/>
    <w:rsid w:val="00B90558"/>
    <w:rsid w:val="00B9154D"/>
    <w:rsid w:val="00B92958"/>
    <w:rsid w:val="00B93957"/>
    <w:rsid w:val="00B9404A"/>
    <w:rsid w:val="00B94877"/>
    <w:rsid w:val="00B9491F"/>
    <w:rsid w:val="00B96043"/>
    <w:rsid w:val="00B96F5D"/>
    <w:rsid w:val="00B97FA8"/>
    <w:rsid w:val="00BA02F9"/>
    <w:rsid w:val="00BA1987"/>
    <w:rsid w:val="00BA23B4"/>
    <w:rsid w:val="00BA2682"/>
    <w:rsid w:val="00BA31E4"/>
    <w:rsid w:val="00BA3959"/>
    <w:rsid w:val="00BA3C4E"/>
    <w:rsid w:val="00BA47CC"/>
    <w:rsid w:val="00BA4B32"/>
    <w:rsid w:val="00BA524B"/>
    <w:rsid w:val="00BA54F7"/>
    <w:rsid w:val="00BA576C"/>
    <w:rsid w:val="00BA6205"/>
    <w:rsid w:val="00BA6CE5"/>
    <w:rsid w:val="00BA6F38"/>
    <w:rsid w:val="00BB1388"/>
    <w:rsid w:val="00BB2683"/>
    <w:rsid w:val="00BB365B"/>
    <w:rsid w:val="00BB40DF"/>
    <w:rsid w:val="00BB5E2C"/>
    <w:rsid w:val="00BB7D9E"/>
    <w:rsid w:val="00BC16AC"/>
    <w:rsid w:val="00BC2B7B"/>
    <w:rsid w:val="00BC3AE8"/>
    <w:rsid w:val="00BC3AF4"/>
    <w:rsid w:val="00BC43A8"/>
    <w:rsid w:val="00BC57AD"/>
    <w:rsid w:val="00BC5C6D"/>
    <w:rsid w:val="00BC7120"/>
    <w:rsid w:val="00BC76A3"/>
    <w:rsid w:val="00BD00D1"/>
    <w:rsid w:val="00BD07A2"/>
    <w:rsid w:val="00BD13BD"/>
    <w:rsid w:val="00BD1539"/>
    <w:rsid w:val="00BD247E"/>
    <w:rsid w:val="00BD2603"/>
    <w:rsid w:val="00BD4EEC"/>
    <w:rsid w:val="00BD4F34"/>
    <w:rsid w:val="00BD537C"/>
    <w:rsid w:val="00BD697A"/>
    <w:rsid w:val="00BD6F5B"/>
    <w:rsid w:val="00BD7662"/>
    <w:rsid w:val="00BE05ED"/>
    <w:rsid w:val="00BE220A"/>
    <w:rsid w:val="00BE350E"/>
    <w:rsid w:val="00BE3801"/>
    <w:rsid w:val="00BE38CF"/>
    <w:rsid w:val="00BE394B"/>
    <w:rsid w:val="00BE48A8"/>
    <w:rsid w:val="00BE528F"/>
    <w:rsid w:val="00BE5850"/>
    <w:rsid w:val="00BE58D6"/>
    <w:rsid w:val="00BE5CA6"/>
    <w:rsid w:val="00BE707F"/>
    <w:rsid w:val="00BE73EF"/>
    <w:rsid w:val="00BE7F5D"/>
    <w:rsid w:val="00BF0707"/>
    <w:rsid w:val="00BF087C"/>
    <w:rsid w:val="00BF164F"/>
    <w:rsid w:val="00BF1AAF"/>
    <w:rsid w:val="00BF268B"/>
    <w:rsid w:val="00BF2EBB"/>
    <w:rsid w:val="00BF3303"/>
    <w:rsid w:val="00BF4D03"/>
    <w:rsid w:val="00BF4E85"/>
    <w:rsid w:val="00BF54BD"/>
    <w:rsid w:val="00BF5892"/>
    <w:rsid w:val="00BF5E95"/>
    <w:rsid w:val="00C01804"/>
    <w:rsid w:val="00C0180B"/>
    <w:rsid w:val="00C026BC"/>
    <w:rsid w:val="00C02AD4"/>
    <w:rsid w:val="00C03869"/>
    <w:rsid w:val="00C07988"/>
    <w:rsid w:val="00C07C5E"/>
    <w:rsid w:val="00C10068"/>
    <w:rsid w:val="00C10651"/>
    <w:rsid w:val="00C10AC5"/>
    <w:rsid w:val="00C12DAD"/>
    <w:rsid w:val="00C12E17"/>
    <w:rsid w:val="00C1440D"/>
    <w:rsid w:val="00C14741"/>
    <w:rsid w:val="00C1544B"/>
    <w:rsid w:val="00C1665A"/>
    <w:rsid w:val="00C1739F"/>
    <w:rsid w:val="00C177FF"/>
    <w:rsid w:val="00C222FF"/>
    <w:rsid w:val="00C2338E"/>
    <w:rsid w:val="00C23FB0"/>
    <w:rsid w:val="00C24021"/>
    <w:rsid w:val="00C248AF"/>
    <w:rsid w:val="00C24B09"/>
    <w:rsid w:val="00C24BDE"/>
    <w:rsid w:val="00C24E9F"/>
    <w:rsid w:val="00C316AA"/>
    <w:rsid w:val="00C31FD2"/>
    <w:rsid w:val="00C32151"/>
    <w:rsid w:val="00C3217A"/>
    <w:rsid w:val="00C32E9D"/>
    <w:rsid w:val="00C33551"/>
    <w:rsid w:val="00C3357D"/>
    <w:rsid w:val="00C33BE9"/>
    <w:rsid w:val="00C33C13"/>
    <w:rsid w:val="00C348C7"/>
    <w:rsid w:val="00C35346"/>
    <w:rsid w:val="00C35B2A"/>
    <w:rsid w:val="00C3618D"/>
    <w:rsid w:val="00C3659B"/>
    <w:rsid w:val="00C36742"/>
    <w:rsid w:val="00C374AD"/>
    <w:rsid w:val="00C40DE4"/>
    <w:rsid w:val="00C40E63"/>
    <w:rsid w:val="00C41A06"/>
    <w:rsid w:val="00C41B95"/>
    <w:rsid w:val="00C42309"/>
    <w:rsid w:val="00C4261B"/>
    <w:rsid w:val="00C42BFB"/>
    <w:rsid w:val="00C44DDC"/>
    <w:rsid w:val="00C5128B"/>
    <w:rsid w:val="00C5135A"/>
    <w:rsid w:val="00C51423"/>
    <w:rsid w:val="00C5294D"/>
    <w:rsid w:val="00C52F83"/>
    <w:rsid w:val="00C54C1B"/>
    <w:rsid w:val="00C54DBA"/>
    <w:rsid w:val="00C572AE"/>
    <w:rsid w:val="00C57ED3"/>
    <w:rsid w:val="00C61640"/>
    <w:rsid w:val="00C61AA7"/>
    <w:rsid w:val="00C61B8E"/>
    <w:rsid w:val="00C629FB"/>
    <w:rsid w:val="00C63736"/>
    <w:rsid w:val="00C64A1E"/>
    <w:rsid w:val="00C668DE"/>
    <w:rsid w:val="00C7044F"/>
    <w:rsid w:val="00C720F8"/>
    <w:rsid w:val="00C7294B"/>
    <w:rsid w:val="00C731AB"/>
    <w:rsid w:val="00C750A7"/>
    <w:rsid w:val="00C75139"/>
    <w:rsid w:val="00C7525C"/>
    <w:rsid w:val="00C76CF7"/>
    <w:rsid w:val="00C83A4C"/>
    <w:rsid w:val="00C84F8E"/>
    <w:rsid w:val="00C85071"/>
    <w:rsid w:val="00C8533B"/>
    <w:rsid w:val="00C858BA"/>
    <w:rsid w:val="00C863BE"/>
    <w:rsid w:val="00C86977"/>
    <w:rsid w:val="00C86DC1"/>
    <w:rsid w:val="00C90724"/>
    <w:rsid w:val="00C916C8"/>
    <w:rsid w:val="00C9398D"/>
    <w:rsid w:val="00C939EE"/>
    <w:rsid w:val="00C93C6E"/>
    <w:rsid w:val="00C93F93"/>
    <w:rsid w:val="00C94D44"/>
    <w:rsid w:val="00C95BEE"/>
    <w:rsid w:val="00C95EEE"/>
    <w:rsid w:val="00C96DB8"/>
    <w:rsid w:val="00C974CB"/>
    <w:rsid w:val="00C97929"/>
    <w:rsid w:val="00CA0049"/>
    <w:rsid w:val="00CA0980"/>
    <w:rsid w:val="00CA2A98"/>
    <w:rsid w:val="00CA2BAE"/>
    <w:rsid w:val="00CA3011"/>
    <w:rsid w:val="00CA34BA"/>
    <w:rsid w:val="00CA4503"/>
    <w:rsid w:val="00CA57C2"/>
    <w:rsid w:val="00CA5A66"/>
    <w:rsid w:val="00CA651B"/>
    <w:rsid w:val="00CA744B"/>
    <w:rsid w:val="00CA796A"/>
    <w:rsid w:val="00CA7E1D"/>
    <w:rsid w:val="00CB1F62"/>
    <w:rsid w:val="00CB2575"/>
    <w:rsid w:val="00CB3677"/>
    <w:rsid w:val="00CB368F"/>
    <w:rsid w:val="00CB3A52"/>
    <w:rsid w:val="00CB3B0C"/>
    <w:rsid w:val="00CB4C42"/>
    <w:rsid w:val="00CB4DFA"/>
    <w:rsid w:val="00CB6E5B"/>
    <w:rsid w:val="00CB79E4"/>
    <w:rsid w:val="00CB7BD7"/>
    <w:rsid w:val="00CC4CB6"/>
    <w:rsid w:val="00CC4DB0"/>
    <w:rsid w:val="00CC5038"/>
    <w:rsid w:val="00CC5326"/>
    <w:rsid w:val="00CC6BA8"/>
    <w:rsid w:val="00CC7426"/>
    <w:rsid w:val="00CC7910"/>
    <w:rsid w:val="00CD0C20"/>
    <w:rsid w:val="00CD297A"/>
    <w:rsid w:val="00CD2EE7"/>
    <w:rsid w:val="00CD3DB0"/>
    <w:rsid w:val="00CD4129"/>
    <w:rsid w:val="00CD5DBB"/>
    <w:rsid w:val="00CD675D"/>
    <w:rsid w:val="00CD67E7"/>
    <w:rsid w:val="00CD7388"/>
    <w:rsid w:val="00CE0300"/>
    <w:rsid w:val="00CE04E3"/>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436"/>
    <w:rsid w:val="00CF285E"/>
    <w:rsid w:val="00CF3739"/>
    <w:rsid w:val="00CF5597"/>
    <w:rsid w:val="00CF57B4"/>
    <w:rsid w:val="00CF5CA5"/>
    <w:rsid w:val="00CF658A"/>
    <w:rsid w:val="00CF66B6"/>
    <w:rsid w:val="00D007D6"/>
    <w:rsid w:val="00D01A9F"/>
    <w:rsid w:val="00D01CED"/>
    <w:rsid w:val="00D01E38"/>
    <w:rsid w:val="00D022B5"/>
    <w:rsid w:val="00D0367C"/>
    <w:rsid w:val="00D039B5"/>
    <w:rsid w:val="00D04AA9"/>
    <w:rsid w:val="00D04C96"/>
    <w:rsid w:val="00D04F76"/>
    <w:rsid w:val="00D053D2"/>
    <w:rsid w:val="00D07090"/>
    <w:rsid w:val="00D07D07"/>
    <w:rsid w:val="00D07DF1"/>
    <w:rsid w:val="00D1059E"/>
    <w:rsid w:val="00D10F87"/>
    <w:rsid w:val="00D1149D"/>
    <w:rsid w:val="00D11B8E"/>
    <w:rsid w:val="00D11D8D"/>
    <w:rsid w:val="00D12B12"/>
    <w:rsid w:val="00D12DD7"/>
    <w:rsid w:val="00D13A8C"/>
    <w:rsid w:val="00D149E1"/>
    <w:rsid w:val="00D14A44"/>
    <w:rsid w:val="00D15BCC"/>
    <w:rsid w:val="00D1628F"/>
    <w:rsid w:val="00D16C2C"/>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37CD3"/>
    <w:rsid w:val="00D40559"/>
    <w:rsid w:val="00D405B8"/>
    <w:rsid w:val="00D40C9C"/>
    <w:rsid w:val="00D4135D"/>
    <w:rsid w:val="00D41493"/>
    <w:rsid w:val="00D4200A"/>
    <w:rsid w:val="00D4267F"/>
    <w:rsid w:val="00D441E9"/>
    <w:rsid w:val="00D44425"/>
    <w:rsid w:val="00D44FC8"/>
    <w:rsid w:val="00D45D8F"/>
    <w:rsid w:val="00D50332"/>
    <w:rsid w:val="00D52B95"/>
    <w:rsid w:val="00D5362B"/>
    <w:rsid w:val="00D53A09"/>
    <w:rsid w:val="00D53C83"/>
    <w:rsid w:val="00D54AAB"/>
    <w:rsid w:val="00D552F9"/>
    <w:rsid w:val="00D56EDF"/>
    <w:rsid w:val="00D56F08"/>
    <w:rsid w:val="00D57361"/>
    <w:rsid w:val="00D61406"/>
    <w:rsid w:val="00D61541"/>
    <w:rsid w:val="00D61575"/>
    <w:rsid w:val="00D61AE3"/>
    <w:rsid w:val="00D621B7"/>
    <w:rsid w:val="00D6294E"/>
    <w:rsid w:val="00D63C9A"/>
    <w:rsid w:val="00D640BC"/>
    <w:rsid w:val="00D654D5"/>
    <w:rsid w:val="00D65A9D"/>
    <w:rsid w:val="00D65CB5"/>
    <w:rsid w:val="00D66479"/>
    <w:rsid w:val="00D677BB"/>
    <w:rsid w:val="00D70544"/>
    <w:rsid w:val="00D71463"/>
    <w:rsid w:val="00D7194A"/>
    <w:rsid w:val="00D72AE4"/>
    <w:rsid w:val="00D73026"/>
    <w:rsid w:val="00D73FA1"/>
    <w:rsid w:val="00D7469D"/>
    <w:rsid w:val="00D74C66"/>
    <w:rsid w:val="00D750A3"/>
    <w:rsid w:val="00D7550B"/>
    <w:rsid w:val="00D75EEB"/>
    <w:rsid w:val="00D75F1E"/>
    <w:rsid w:val="00D77802"/>
    <w:rsid w:val="00D80674"/>
    <w:rsid w:val="00D80F87"/>
    <w:rsid w:val="00D812A5"/>
    <w:rsid w:val="00D81DD9"/>
    <w:rsid w:val="00D82966"/>
    <w:rsid w:val="00D82A5C"/>
    <w:rsid w:val="00D82D11"/>
    <w:rsid w:val="00D82D40"/>
    <w:rsid w:val="00D83CD3"/>
    <w:rsid w:val="00D83E51"/>
    <w:rsid w:val="00D84719"/>
    <w:rsid w:val="00D856EA"/>
    <w:rsid w:val="00D85ACD"/>
    <w:rsid w:val="00D86460"/>
    <w:rsid w:val="00D90551"/>
    <w:rsid w:val="00D912D5"/>
    <w:rsid w:val="00D91AAF"/>
    <w:rsid w:val="00D94564"/>
    <w:rsid w:val="00D945F2"/>
    <w:rsid w:val="00D9536E"/>
    <w:rsid w:val="00D97426"/>
    <w:rsid w:val="00D97568"/>
    <w:rsid w:val="00DA06B0"/>
    <w:rsid w:val="00DA0B38"/>
    <w:rsid w:val="00DA29BA"/>
    <w:rsid w:val="00DA3249"/>
    <w:rsid w:val="00DA38CE"/>
    <w:rsid w:val="00DA4B01"/>
    <w:rsid w:val="00DA5322"/>
    <w:rsid w:val="00DA55AC"/>
    <w:rsid w:val="00DA5600"/>
    <w:rsid w:val="00DA608B"/>
    <w:rsid w:val="00DA7413"/>
    <w:rsid w:val="00DA7DB0"/>
    <w:rsid w:val="00DB0066"/>
    <w:rsid w:val="00DB0F9E"/>
    <w:rsid w:val="00DB1307"/>
    <w:rsid w:val="00DB1E1A"/>
    <w:rsid w:val="00DB2AF6"/>
    <w:rsid w:val="00DB364F"/>
    <w:rsid w:val="00DB39E7"/>
    <w:rsid w:val="00DB3B3E"/>
    <w:rsid w:val="00DB71DB"/>
    <w:rsid w:val="00DB71E1"/>
    <w:rsid w:val="00DB75F3"/>
    <w:rsid w:val="00DB7B0F"/>
    <w:rsid w:val="00DB7CB3"/>
    <w:rsid w:val="00DC0D57"/>
    <w:rsid w:val="00DC16F7"/>
    <w:rsid w:val="00DC1CA3"/>
    <w:rsid w:val="00DC2641"/>
    <w:rsid w:val="00DC2B1E"/>
    <w:rsid w:val="00DC7481"/>
    <w:rsid w:val="00DC7591"/>
    <w:rsid w:val="00DC78EB"/>
    <w:rsid w:val="00DD0839"/>
    <w:rsid w:val="00DD26D0"/>
    <w:rsid w:val="00DD47D5"/>
    <w:rsid w:val="00DD6729"/>
    <w:rsid w:val="00DD7960"/>
    <w:rsid w:val="00DD7B0D"/>
    <w:rsid w:val="00DD7CC4"/>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0CDB"/>
    <w:rsid w:val="00E01623"/>
    <w:rsid w:val="00E03FE3"/>
    <w:rsid w:val="00E055D8"/>
    <w:rsid w:val="00E06951"/>
    <w:rsid w:val="00E10C94"/>
    <w:rsid w:val="00E10EC4"/>
    <w:rsid w:val="00E118D7"/>
    <w:rsid w:val="00E13F46"/>
    <w:rsid w:val="00E15BD4"/>
    <w:rsid w:val="00E16458"/>
    <w:rsid w:val="00E16FB6"/>
    <w:rsid w:val="00E17001"/>
    <w:rsid w:val="00E17814"/>
    <w:rsid w:val="00E17CEF"/>
    <w:rsid w:val="00E20FBC"/>
    <w:rsid w:val="00E22BE4"/>
    <w:rsid w:val="00E244CA"/>
    <w:rsid w:val="00E2510B"/>
    <w:rsid w:val="00E2512D"/>
    <w:rsid w:val="00E2548C"/>
    <w:rsid w:val="00E2662B"/>
    <w:rsid w:val="00E26736"/>
    <w:rsid w:val="00E268AC"/>
    <w:rsid w:val="00E27986"/>
    <w:rsid w:val="00E27BC7"/>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4E7"/>
    <w:rsid w:val="00E437F6"/>
    <w:rsid w:val="00E43952"/>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268"/>
    <w:rsid w:val="00E55676"/>
    <w:rsid w:val="00E55F3E"/>
    <w:rsid w:val="00E56392"/>
    <w:rsid w:val="00E56DD5"/>
    <w:rsid w:val="00E5712F"/>
    <w:rsid w:val="00E57645"/>
    <w:rsid w:val="00E601DA"/>
    <w:rsid w:val="00E60547"/>
    <w:rsid w:val="00E609FF"/>
    <w:rsid w:val="00E60BAD"/>
    <w:rsid w:val="00E60C01"/>
    <w:rsid w:val="00E61AA8"/>
    <w:rsid w:val="00E6247F"/>
    <w:rsid w:val="00E62E59"/>
    <w:rsid w:val="00E63E99"/>
    <w:rsid w:val="00E6454D"/>
    <w:rsid w:val="00E65301"/>
    <w:rsid w:val="00E6598A"/>
    <w:rsid w:val="00E667A7"/>
    <w:rsid w:val="00E679B3"/>
    <w:rsid w:val="00E702D3"/>
    <w:rsid w:val="00E7190A"/>
    <w:rsid w:val="00E71CAD"/>
    <w:rsid w:val="00E71E5C"/>
    <w:rsid w:val="00E7245E"/>
    <w:rsid w:val="00E73831"/>
    <w:rsid w:val="00E73B66"/>
    <w:rsid w:val="00E741AF"/>
    <w:rsid w:val="00E7498E"/>
    <w:rsid w:val="00E74BB9"/>
    <w:rsid w:val="00E74FF5"/>
    <w:rsid w:val="00E7584A"/>
    <w:rsid w:val="00E75891"/>
    <w:rsid w:val="00E75BF9"/>
    <w:rsid w:val="00E760D0"/>
    <w:rsid w:val="00E76D85"/>
    <w:rsid w:val="00E77C2E"/>
    <w:rsid w:val="00E80A1A"/>
    <w:rsid w:val="00E8118B"/>
    <w:rsid w:val="00E8292A"/>
    <w:rsid w:val="00E82DE7"/>
    <w:rsid w:val="00E84116"/>
    <w:rsid w:val="00E84C5C"/>
    <w:rsid w:val="00E84D14"/>
    <w:rsid w:val="00E85533"/>
    <w:rsid w:val="00E86343"/>
    <w:rsid w:val="00E866CD"/>
    <w:rsid w:val="00E86934"/>
    <w:rsid w:val="00E877ED"/>
    <w:rsid w:val="00E901FD"/>
    <w:rsid w:val="00E91964"/>
    <w:rsid w:val="00E919C6"/>
    <w:rsid w:val="00E91FB1"/>
    <w:rsid w:val="00E9222D"/>
    <w:rsid w:val="00E92437"/>
    <w:rsid w:val="00E94468"/>
    <w:rsid w:val="00E945B5"/>
    <w:rsid w:val="00E94A0E"/>
    <w:rsid w:val="00E96226"/>
    <w:rsid w:val="00E96DDE"/>
    <w:rsid w:val="00E970F6"/>
    <w:rsid w:val="00E97754"/>
    <w:rsid w:val="00EA04AE"/>
    <w:rsid w:val="00EA062F"/>
    <w:rsid w:val="00EA1751"/>
    <w:rsid w:val="00EA17A9"/>
    <w:rsid w:val="00EA2E81"/>
    <w:rsid w:val="00EA311B"/>
    <w:rsid w:val="00EA36CA"/>
    <w:rsid w:val="00EA3D9C"/>
    <w:rsid w:val="00EA43C0"/>
    <w:rsid w:val="00EA4CB0"/>
    <w:rsid w:val="00EA566F"/>
    <w:rsid w:val="00EA615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A64"/>
    <w:rsid w:val="00EC2D7D"/>
    <w:rsid w:val="00EC36AD"/>
    <w:rsid w:val="00EC3BCF"/>
    <w:rsid w:val="00EC455C"/>
    <w:rsid w:val="00EC56B1"/>
    <w:rsid w:val="00EC664F"/>
    <w:rsid w:val="00EC6749"/>
    <w:rsid w:val="00EC72F5"/>
    <w:rsid w:val="00EC7334"/>
    <w:rsid w:val="00ED0F89"/>
    <w:rsid w:val="00ED1877"/>
    <w:rsid w:val="00ED247F"/>
    <w:rsid w:val="00ED27E4"/>
    <w:rsid w:val="00ED2F27"/>
    <w:rsid w:val="00ED3370"/>
    <w:rsid w:val="00ED4C62"/>
    <w:rsid w:val="00ED4D96"/>
    <w:rsid w:val="00ED5A40"/>
    <w:rsid w:val="00ED5C7E"/>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55A"/>
    <w:rsid w:val="00EF28EF"/>
    <w:rsid w:val="00EF2EB9"/>
    <w:rsid w:val="00EF32E4"/>
    <w:rsid w:val="00EF40E7"/>
    <w:rsid w:val="00EF4529"/>
    <w:rsid w:val="00EF49FD"/>
    <w:rsid w:val="00EF5B34"/>
    <w:rsid w:val="00EF657C"/>
    <w:rsid w:val="00F004D1"/>
    <w:rsid w:val="00F00C0D"/>
    <w:rsid w:val="00F0128B"/>
    <w:rsid w:val="00F02663"/>
    <w:rsid w:val="00F03369"/>
    <w:rsid w:val="00F03455"/>
    <w:rsid w:val="00F04E62"/>
    <w:rsid w:val="00F050AA"/>
    <w:rsid w:val="00F058E3"/>
    <w:rsid w:val="00F05E6D"/>
    <w:rsid w:val="00F11800"/>
    <w:rsid w:val="00F11B61"/>
    <w:rsid w:val="00F135D6"/>
    <w:rsid w:val="00F13922"/>
    <w:rsid w:val="00F13DBC"/>
    <w:rsid w:val="00F14D9D"/>
    <w:rsid w:val="00F15FCF"/>
    <w:rsid w:val="00F16613"/>
    <w:rsid w:val="00F1738D"/>
    <w:rsid w:val="00F20706"/>
    <w:rsid w:val="00F21496"/>
    <w:rsid w:val="00F21E77"/>
    <w:rsid w:val="00F24D27"/>
    <w:rsid w:val="00F2520C"/>
    <w:rsid w:val="00F25BCB"/>
    <w:rsid w:val="00F25ECC"/>
    <w:rsid w:val="00F264C1"/>
    <w:rsid w:val="00F26D7F"/>
    <w:rsid w:val="00F27305"/>
    <w:rsid w:val="00F27418"/>
    <w:rsid w:val="00F30790"/>
    <w:rsid w:val="00F31570"/>
    <w:rsid w:val="00F33355"/>
    <w:rsid w:val="00F34363"/>
    <w:rsid w:val="00F34CE9"/>
    <w:rsid w:val="00F354B9"/>
    <w:rsid w:val="00F35705"/>
    <w:rsid w:val="00F35B93"/>
    <w:rsid w:val="00F37CFD"/>
    <w:rsid w:val="00F37D33"/>
    <w:rsid w:val="00F40178"/>
    <w:rsid w:val="00F40DB9"/>
    <w:rsid w:val="00F40ED1"/>
    <w:rsid w:val="00F413FD"/>
    <w:rsid w:val="00F415A3"/>
    <w:rsid w:val="00F41778"/>
    <w:rsid w:val="00F41B3E"/>
    <w:rsid w:val="00F421D1"/>
    <w:rsid w:val="00F42B08"/>
    <w:rsid w:val="00F4323B"/>
    <w:rsid w:val="00F43513"/>
    <w:rsid w:val="00F436B8"/>
    <w:rsid w:val="00F43B8E"/>
    <w:rsid w:val="00F45196"/>
    <w:rsid w:val="00F45D51"/>
    <w:rsid w:val="00F46842"/>
    <w:rsid w:val="00F47351"/>
    <w:rsid w:val="00F4765F"/>
    <w:rsid w:val="00F479B5"/>
    <w:rsid w:val="00F47A1B"/>
    <w:rsid w:val="00F47C4B"/>
    <w:rsid w:val="00F51991"/>
    <w:rsid w:val="00F53775"/>
    <w:rsid w:val="00F539A6"/>
    <w:rsid w:val="00F55E0E"/>
    <w:rsid w:val="00F5611D"/>
    <w:rsid w:val="00F56E3E"/>
    <w:rsid w:val="00F578A8"/>
    <w:rsid w:val="00F57EEB"/>
    <w:rsid w:val="00F57F67"/>
    <w:rsid w:val="00F60996"/>
    <w:rsid w:val="00F60B5D"/>
    <w:rsid w:val="00F611E4"/>
    <w:rsid w:val="00F613D4"/>
    <w:rsid w:val="00F61FE7"/>
    <w:rsid w:val="00F62901"/>
    <w:rsid w:val="00F62AFE"/>
    <w:rsid w:val="00F633E5"/>
    <w:rsid w:val="00F63FDC"/>
    <w:rsid w:val="00F64A3A"/>
    <w:rsid w:val="00F64F35"/>
    <w:rsid w:val="00F64FC4"/>
    <w:rsid w:val="00F65DE3"/>
    <w:rsid w:val="00F67E6A"/>
    <w:rsid w:val="00F70472"/>
    <w:rsid w:val="00F71430"/>
    <w:rsid w:val="00F71A8A"/>
    <w:rsid w:val="00F7354F"/>
    <w:rsid w:val="00F73C15"/>
    <w:rsid w:val="00F75896"/>
    <w:rsid w:val="00F76666"/>
    <w:rsid w:val="00F76ECB"/>
    <w:rsid w:val="00F76EF7"/>
    <w:rsid w:val="00F776B7"/>
    <w:rsid w:val="00F77758"/>
    <w:rsid w:val="00F77BDB"/>
    <w:rsid w:val="00F8031F"/>
    <w:rsid w:val="00F80C5C"/>
    <w:rsid w:val="00F818A5"/>
    <w:rsid w:val="00F8197C"/>
    <w:rsid w:val="00F83671"/>
    <w:rsid w:val="00F8465D"/>
    <w:rsid w:val="00F848B3"/>
    <w:rsid w:val="00F85755"/>
    <w:rsid w:val="00F869FD"/>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71FF"/>
    <w:rsid w:val="00F978D8"/>
    <w:rsid w:val="00F97E5E"/>
    <w:rsid w:val="00FA00AF"/>
    <w:rsid w:val="00FA0A0A"/>
    <w:rsid w:val="00FA0C9D"/>
    <w:rsid w:val="00FA169B"/>
    <w:rsid w:val="00FA2C4B"/>
    <w:rsid w:val="00FA494D"/>
    <w:rsid w:val="00FA5CC6"/>
    <w:rsid w:val="00FA64D5"/>
    <w:rsid w:val="00FA6760"/>
    <w:rsid w:val="00FA70F6"/>
    <w:rsid w:val="00FA7420"/>
    <w:rsid w:val="00FA756C"/>
    <w:rsid w:val="00FA75E4"/>
    <w:rsid w:val="00FA776B"/>
    <w:rsid w:val="00FB0AB1"/>
    <w:rsid w:val="00FB0F64"/>
    <w:rsid w:val="00FB0FDC"/>
    <w:rsid w:val="00FB27B8"/>
    <w:rsid w:val="00FB2BEF"/>
    <w:rsid w:val="00FB36CA"/>
    <w:rsid w:val="00FB3FD6"/>
    <w:rsid w:val="00FB72AC"/>
    <w:rsid w:val="00FB7706"/>
    <w:rsid w:val="00FB7EC9"/>
    <w:rsid w:val="00FB7F82"/>
    <w:rsid w:val="00FC01F0"/>
    <w:rsid w:val="00FC0DAF"/>
    <w:rsid w:val="00FC11F5"/>
    <w:rsid w:val="00FC126D"/>
    <w:rsid w:val="00FC29EA"/>
    <w:rsid w:val="00FC2D5A"/>
    <w:rsid w:val="00FC3387"/>
    <w:rsid w:val="00FC3810"/>
    <w:rsid w:val="00FC382F"/>
    <w:rsid w:val="00FC4236"/>
    <w:rsid w:val="00FC615D"/>
    <w:rsid w:val="00FC7A38"/>
    <w:rsid w:val="00FD01CC"/>
    <w:rsid w:val="00FD08AF"/>
    <w:rsid w:val="00FD1E7A"/>
    <w:rsid w:val="00FD2672"/>
    <w:rsid w:val="00FD28F4"/>
    <w:rsid w:val="00FD2CE2"/>
    <w:rsid w:val="00FD4A1E"/>
    <w:rsid w:val="00FD66A9"/>
    <w:rsid w:val="00FD6712"/>
    <w:rsid w:val="00FD6853"/>
    <w:rsid w:val="00FD6E54"/>
    <w:rsid w:val="00FD7948"/>
    <w:rsid w:val="00FE01B5"/>
    <w:rsid w:val="00FE03BB"/>
    <w:rsid w:val="00FE0B83"/>
    <w:rsid w:val="00FE0BF0"/>
    <w:rsid w:val="00FE15A2"/>
    <w:rsid w:val="00FE17B0"/>
    <w:rsid w:val="00FE3B37"/>
    <w:rsid w:val="00FE4B40"/>
    <w:rsid w:val="00FE5DC4"/>
    <w:rsid w:val="00FE6E94"/>
    <w:rsid w:val="00FE76CB"/>
    <w:rsid w:val="00FE7BD8"/>
    <w:rsid w:val="00FF0C02"/>
    <w:rsid w:val="00FF12EF"/>
    <w:rsid w:val="00FF1D76"/>
    <w:rsid w:val="00FF309E"/>
    <w:rsid w:val="00FF3EE6"/>
    <w:rsid w:val="00FF434C"/>
    <w:rsid w:val="00FF4769"/>
    <w:rsid w:val="00FF55F5"/>
    <w:rsid w:val="00FF682B"/>
    <w:rsid w:val="00FF71A8"/>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EEBC-C1E2-4884-8BF2-C5CA2E7A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7</Pages>
  <Words>2606</Words>
  <Characters>12625</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WO/CC/72/-- (Arabic)</vt:lpstr>
    </vt:vector>
  </TitlesOfParts>
  <Company>World Intellectual Property Organization</Company>
  <LinksUpToDate>false</LinksUpToDate>
  <CharactersWithSpaces>15201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WO/CC/72/-- (Arabic)</dc:title>
  <dc:creator>Hebatallah Zohni</dc:creator>
  <cp:lastModifiedBy>YOUSSEF Randa</cp:lastModifiedBy>
  <cp:revision>459</cp:revision>
  <cp:lastPrinted>2016-08-12T11:53:00Z</cp:lastPrinted>
  <dcterms:created xsi:type="dcterms:W3CDTF">2016-08-08T11:41:00Z</dcterms:created>
  <dcterms:modified xsi:type="dcterms:W3CDTF">2016-08-12T11:54:00Z</dcterms:modified>
</cp:coreProperties>
</file>