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C79CF">
            <w:pPr>
              <w:pStyle w:val="DocumentCodeAR"/>
              <w:bidi/>
              <w:rPr>
                <w:rtl/>
              </w:rPr>
            </w:pPr>
            <w:r>
              <w:t>WO/</w:t>
            </w:r>
            <w:r w:rsidR="000D7BA7">
              <w:t>C</w:t>
            </w:r>
            <w:r w:rsidR="00983389">
              <w:t>C</w:t>
            </w:r>
            <w:r w:rsidR="00100F97">
              <w:t>/</w:t>
            </w:r>
            <w:r w:rsidR="003C79CF">
              <w:t>73/5</w:t>
            </w:r>
          </w:p>
        </w:tc>
      </w:tr>
      <w:tr w:rsidR="001667B6" w:rsidTr="00BF164F">
        <w:tc>
          <w:tcPr>
            <w:tcW w:w="9571" w:type="dxa"/>
            <w:gridSpan w:val="3"/>
          </w:tcPr>
          <w:p w:rsidR="001667B6" w:rsidRPr="00B6101C" w:rsidRDefault="00B6101C" w:rsidP="00486DA4">
            <w:pPr>
              <w:pStyle w:val="DocumentLanguageAR"/>
              <w:bidi/>
              <w:rPr>
                <w:rtl/>
              </w:rPr>
            </w:pPr>
            <w:r w:rsidRPr="00B6101C">
              <w:rPr>
                <w:rFonts w:hint="cs"/>
                <w:rtl/>
              </w:rPr>
              <w:t xml:space="preserve">الأصل: </w:t>
            </w:r>
            <w:r w:rsidR="00486DA4">
              <w:rPr>
                <w:rFonts w:hint="cs"/>
                <w:rtl/>
              </w:rPr>
              <w:t>بالإنكليزية</w:t>
            </w:r>
          </w:p>
        </w:tc>
      </w:tr>
      <w:tr w:rsidR="001667B6" w:rsidTr="00BF164F">
        <w:tc>
          <w:tcPr>
            <w:tcW w:w="9571" w:type="dxa"/>
            <w:gridSpan w:val="3"/>
          </w:tcPr>
          <w:p w:rsidR="001667B6" w:rsidRPr="00B6101C" w:rsidRDefault="00B6101C" w:rsidP="00486DA4">
            <w:pPr>
              <w:pStyle w:val="DocumentDateAR"/>
              <w:bidi/>
              <w:rPr>
                <w:rtl/>
              </w:rPr>
            </w:pPr>
            <w:r w:rsidRPr="00B6101C">
              <w:rPr>
                <w:rFonts w:hint="cs"/>
                <w:rtl/>
              </w:rPr>
              <w:t xml:space="preserve">التاريخ: </w:t>
            </w:r>
            <w:r w:rsidR="00486DA4">
              <w:rPr>
                <w:rFonts w:hint="cs"/>
                <w:rtl/>
              </w:rPr>
              <w:t>15</w:t>
            </w:r>
            <w:r w:rsidRPr="00B6101C">
              <w:rPr>
                <w:rFonts w:hint="cs"/>
                <w:rtl/>
              </w:rPr>
              <w:t xml:space="preserve"> </w:t>
            </w:r>
            <w:r w:rsidR="00486DA4">
              <w:rPr>
                <w:rFonts w:hint="cs"/>
                <w:rtl/>
              </w:rPr>
              <w:t>سبتمبر</w:t>
            </w:r>
            <w:r w:rsidRPr="00B6101C">
              <w:rPr>
                <w:rFonts w:hint="cs"/>
                <w:rtl/>
              </w:rPr>
              <w:t xml:space="preserve"> </w:t>
            </w:r>
            <w:r w:rsidR="005F5866">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C79CF">
      <w:pPr>
        <w:pStyle w:val="MeetingSessionAR"/>
        <w:bidi/>
        <w:rPr>
          <w:rFonts w:ascii="Cambria Math" w:hAnsi="Cambria Math"/>
          <w:rtl/>
        </w:rPr>
      </w:pPr>
      <w:r w:rsidRPr="00783D11">
        <w:rPr>
          <w:rFonts w:ascii="Cambria Math" w:hAnsi="Cambria Math"/>
          <w:rtl/>
        </w:rPr>
        <w:t xml:space="preserve">الدورة </w:t>
      </w:r>
      <w:r w:rsidR="003C79CF">
        <w:rPr>
          <w:rFonts w:ascii="Cambria Math" w:hAnsi="Cambria Math" w:hint="cs"/>
          <w:rtl/>
        </w:rPr>
        <w:t>الثالثة</w:t>
      </w:r>
      <w:r w:rsidR="007135A2">
        <w:rPr>
          <w:rFonts w:ascii="Cambria Math" w:hAnsi="Cambria Math" w:hint="cs"/>
          <w:rtl/>
        </w:rPr>
        <w:t xml:space="preserve">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3C79CF">
        <w:rPr>
          <w:rFonts w:ascii="Cambria Math" w:hAnsi="Cambria Math" w:hint="cs"/>
          <w:rtl/>
        </w:rPr>
        <w:t>العادية</w:t>
      </w:r>
      <w:r w:rsidR="00CB1F62">
        <w:rPr>
          <w:rFonts w:ascii="Cambria Math" w:hAnsi="Cambria Math" w:hint="cs"/>
          <w:rtl/>
        </w:rPr>
        <w:t xml:space="preserve"> </w:t>
      </w:r>
      <w:r w:rsidR="002777B8">
        <w:rPr>
          <w:rFonts w:ascii="Cambria Math" w:hAnsi="Cambria Math" w:hint="cs"/>
          <w:rtl/>
        </w:rPr>
        <w:t>السابعة وا</w:t>
      </w:r>
      <w:r w:rsidR="003C79CF">
        <w:rPr>
          <w:rFonts w:ascii="Cambria Math" w:hAnsi="Cambria Math" w:hint="cs"/>
          <w:rtl/>
        </w:rPr>
        <w:t>لأربع</w:t>
      </w:r>
      <w:r w:rsidR="005F5866">
        <w:rPr>
          <w:rFonts w:ascii="Cambria Math" w:hAnsi="Cambria Math" w:hint="cs"/>
          <w:rtl/>
        </w:rPr>
        <w:t>ون</w:t>
      </w:r>
      <w:r w:rsidR="000D7BA7">
        <w:rPr>
          <w:rFonts w:ascii="Cambria Math" w:hAnsi="Cambria Math" w:hint="cs"/>
          <w:rtl/>
        </w:rPr>
        <w:t>)</w:t>
      </w:r>
    </w:p>
    <w:p w:rsidR="00D61541" w:rsidRPr="00D61541" w:rsidRDefault="00227ECF" w:rsidP="002777B8">
      <w:pPr>
        <w:pStyle w:val="MeetingDatesAR"/>
        <w:bidi/>
        <w:rPr>
          <w:rtl/>
        </w:rPr>
      </w:pPr>
      <w:r>
        <w:rPr>
          <w:rFonts w:hint="cs"/>
          <w:rtl/>
        </w:rPr>
        <w:t>جنيف،</w:t>
      </w:r>
      <w:r>
        <w:rPr>
          <w:rFonts w:hint="cs"/>
          <w:rtl/>
          <w:lang w:val="fr-CH"/>
        </w:rPr>
        <w:t xml:space="preserve"> </w:t>
      </w:r>
      <w:r w:rsidR="003C79CF">
        <w:rPr>
          <w:rFonts w:hint="cs"/>
          <w:rtl/>
          <w:lang w:val="fr-CH"/>
        </w:rPr>
        <w:t>من</w:t>
      </w:r>
      <w:r w:rsidR="007135A2">
        <w:rPr>
          <w:rFonts w:hint="cs"/>
          <w:rtl/>
        </w:rPr>
        <w:t xml:space="preserve"> </w:t>
      </w:r>
      <w:r w:rsidR="003C79CF">
        <w:rPr>
          <w:rFonts w:hint="cs"/>
          <w:rtl/>
        </w:rPr>
        <w:t xml:space="preserve">3 </w:t>
      </w:r>
      <w:r w:rsidR="007135A2">
        <w:rPr>
          <w:rFonts w:hint="cs"/>
          <w:rtl/>
        </w:rPr>
        <w:t xml:space="preserve">إلى </w:t>
      </w:r>
      <w:r w:rsidR="003C79CF">
        <w:rPr>
          <w:rFonts w:hint="cs"/>
          <w:rtl/>
        </w:rPr>
        <w:t>1</w:t>
      </w:r>
      <w:r w:rsidR="002777B8">
        <w:rPr>
          <w:rFonts w:hint="cs"/>
          <w:rtl/>
        </w:rPr>
        <w:t>1</w:t>
      </w:r>
      <w:r w:rsidR="003C79CF">
        <w:rPr>
          <w:rFonts w:hint="cs"/>
          <w:rtl/>
        </w:rPr>
        <w:t xml:space="preserve"> أكتوبر</w:t>
      </w:r>
      <w:r w:rsidR="007135A2">
        <w:rPr>
          <w:rFonts w:hint="cs"/>
          <w:rtl/>
        </w:rPr>
        <w:t xml:space="preserve"> </w:t>
      </w:r>
      <w:r w:rsidR="005F5866">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C79CF" w:rsidP="00FB7EC9">
      <w:pPr>
        <w:pStyle w:val="DocumentTitleAR"/>
        <w:bidi/>
        <w:rPr>
          <w:rtl/>
        </w:rPr>
      </w:pPr>
      <w:r>
        <w:rPr>
          <w:rFonts w:hint="cs"/>
          <w:rtl/>
        </w:rPr>
        <w:t>تقرير بشأن التوزيع الجغرافي</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3C79CF">
        <w:rPr>
          <w:rFonts w:hint="cs"/>
          <w:rtl/>
        </w:rPr>
        <w:t xml:space="preserve"> </w:t>
      </w:r>
      <w:r w:rsidR="003C79CF" w:rsidRPr="003C79CF">
        <w:rPr>
          <w:rtl/>
        </w:rPr>
        <w:t>رئيس لجنة الويبو للتنسيق</w:t>
      </w:r>
    </w:p>
    <w:p w:rsidR="00486DA4" w:rsidRDefault="00486DA4" w:rsidP="00486DA4">
      <w:pPr>
        <w:pStyle w:val="NumberedParaAR"/>
      </w:pPr>
      <w:r w:rsidRPr="00486DA4">
        <w:rPr>
          <w:rtl/>
        </w:rPr>
        <w:t xml:space="preserve">إن لجنة التنسيق، في </w:t>
      </w:r>
      <w:r>
        <w:rPr>
          <w:rFonts w:hint="cs"/>
          <w:rtl/>
        </w:rPr>
        <w:t>دورتها</w:t>
      </w:r>
      <w:r w:rsidRPr="00486DA4">
        <w:rPr>
          <w:rtl/>
        </w:rPr>
        <w:t xml:space="preserve"> السنوي</w:t>
      </w:r>
      <w:r>
        <w:rPr>
          <w:rFonts w:hint="cs"/>
          <w:rtl/>
        </w:rPr>
        <w:t>ة</w:t>
      </w:r>
      <w:r w:rsidRPr="00486DA4">
        <w:rPr>
          <w:rtl/>
        </w:rPr>
        <w:t xml:space="preserve"> في 12 أكتوبر 2015، قد "أحاطت علماً بأن المشاورات ستُعقد تحت إشراف رئيس لجنة الويبو للتنسيق بغية مراجعة مبادئ التمثيل الجغرافي لعام 1975 بهدف تقديم اقتراح إلى لجنة التنسيق خلال جمعيات الدول الأعضاء لعام 2016".</w:t>
      </w:r>
    </w:p>
    <w:p w:rsidR="00CA25D1" w:rsidRDefault="00486DA4" w:rsidP="00CA25D1">
      <w:pPr>
        <w:pStyle w:val="NumberedParaAR"/>
      </w:pPr>
      <w:r w:rsidRPr="00486DA4">
        <w:rPr>
          <w:rFonts w:hint="cs"/>
          <w:rtl/>
          <w:lang w:bidi="ar"/>
        </w:rPr>
        <w:t>وبناء ع</w:t>
      </w:r>
      <w:r>
        <w:rPr>
          <w:rFonts w:hint="cs"/>
          <w:rtl/>
          <w:lang w:bidi="ar"/>
        </w:rPr>
        <w:t>ليه</w:t>
      </w:r>
      <w:r w:rsidRPr="00486DA4">
        <w:rPr>
          <w:rFonts w:hint="cs"/>
          <w:rtl/>
          <w:lang w:bidi="ar"/>
        </w:rPr>
        <w:t xml:space="preserve">، عقد </w:t>
      </w:r>
      <w:r w:rsidRPr="00486DA4">
        <w:rPr>
          <w:rtl/>
          <w:lang w:bidi="ar"/>
        </w:rPr>
        <w:t xml:space="preserve">السفير فرانسوا زافيي </w:t>
      </w:r>
      <w:proofErr w:type="spellStart"/>
      <w:r w:rsidRPr="00486DA4">
        <w:rPr>
          <w:rtl/>
          <w:lang w:bidi="ar"/>
        </w:rPr>
        <w:t>انغارمبي</w:t>
      </w:r>
      <w:proofErr w:type="spellEnd"/>
      <w:r w:rsidRPr="00486DA4">
        <w:rPr>
          <w:rFonts w:hint="cs"/>
          <w:rtl/>
          <w:lang w:bidi="ar"/>
        </w:rPr>
        <w:t>، رئيس لجنة الويبو للتنسيق (رواندا)</w:t>
      </w:r>
      <w:r>
        <w:rPr>
          <w:rFonts w:hint="cs"/>
          <w:rtl/>
          <w:lang w:bidi="ar"/>
        </w:rPr>
        <w:t xml:space="preserve">، اجتماعات </w:t>
      </w:r>
      <w:r w:rsidRPr="00486DA4">
        <w:rPr>
          <w:rFonts w:hint="cs"/>
          <w:rtl/>
          <w:lang w:bidi="ar"/>
        </w:rPr>
        <w:t>تشاور</w:t>
      </w:r>
      <w:r>
        <w:rPr>
          <w:rFonts w:hint="cs"/>
          <w:rtl/>
          <w:lang w:bidi="ar"/>
        </w:rPr>
        <w:t>ية</w:t>
      </w:r>
      <w:r w:rsidRPr="00486DA4">
        <w:rPr>
          <w:rFonts w:hint="cs"/>
          <w:rtl/>
          <w:lang w:bidi="ar"/>
        </w:rPr>
        <w:t xml:space="preserve"> مع المنسقين الإقليميين وغيرهم من </w:t>
      </w:r>
      <w:r>
        <w:rPr>
          <w:rFonts w:hint="cs"/>
          <w:rtl/>
          <w:lang w:bidi="ar"/>
        </w:rPr>
        <w:t>أعضاء مجموعات الويبو الإقليمية</w:t>
      </w:r>
      <w:r w:rsidRPr="00486DA4">
        <w:rPr>
          <w:rFonts w:hint="cs"/>
          <w:rtl/>
          <w:lang w:bidi="ar"/>
        </w:rPr>
        <w:t xml:space="preserve">، في 28 </w:t>
      </w:r>
      <w:r>
        <w:rPr>
          <w:rFonts w:hint="cs"/>
          <w:rtl/>
          <w:lang w:bidi="ar"/>
        </w:rPr>
        <w:t xml:space="preserve">يناير و4 مارس </w:t>
      </w:r>
      <w:r w:rsidRPr="00486DA4">
        <w:rPr>
          <w:rFonts w:hint="cs"/>
          <w:rtl/>
          <w:lang w:bidi="ar"/>
        </w:rPr>
        <w:t>و 22 يونيو 2016. وهذا هو التقرير الذي أعده الرئيس بشأن</w:t>
      </w:r>
      <w:r w:rsidR="00CA25D1">
        <w:rPr>
          <w:rFonts w:hint="cs"/>
          <w:rtl/>
          <w:lang w:bidi="ar"/>
        </w:rPr>
        <w:t xml:space="preserve"> تلك الاجتماعات التشاورية. و</w:t>
      </w:r>
      <w:r w:rsidRPr="00486DA4">
        <w:rPr>
          <w:rFonts w:hint="cs"/>
          <w:rtl/>
          <w:lang w:bidi="ar"/>
        </w:rPr>
        <w:t xml:space="preserve">يتضمن </w:t>
      </w:r>
      <w:r w:rsidR="00CA25D1">
        <w:rPr>
          <w:rFonts w:hint="cs"/>
          <w:rtl/>
          <w:lang w:bidi="ar"/>
        </w:rPr>
        <w:t>التقرير توصيات أولية من الرئيس</w:t>
      </w:r>
      <w:r w:rsidRPr="00486DA4">
        <w:rPr>
          <w:rFonts w:hint="cs"/>
          <w:rtl/>
          <w:lang w:bidi="ar"/>
        </w:rPr>
        <w:t xml:space="preserve"> للنظر فيها من قبل لجنة الويبو للتنسيق، في انتظار مزيد من الاجتماعات التشاورية بشأن مسألة التوزيع الجغرافي.</w:t>
      </w:r>
    </w:p>
    <w:p w:rsidR="00CA25D1" w:rsidRDefault="00CA25D1" w:rsidP="003C7AF7">
      <w:pPr>
        <w:pStyle w:val="NumberedParaAR"/>
      </w:pPr>
      <w:r>
        <w:rPr>
          <w:rFonts w:hint="cs"/>
          <w:rtl/>
        </w:rPr>
        <w:t>و</w:t>
      </w:r>
      <w:r>
        <w:rPr>
          <w:rFonts w:hint="cs"/>
          <w:rtl/>
          <w:lang w:bidi="ar"/>
        </w:rPr>
        <w:t>بداية، يشير الرئيس إلى أن</w:t>
      </w:r>
      <w:r w:rsidR="000265D4">
        <w:rPr>
          <w:rFonts w:hint="cs"/>
          <w:rtl/>
          <w:lang w:bidi="ar"/>
        </w:rPr>
        <w:t xml:space="preserve"> </w:t>
      </w:r>
      <w:r>
        <w:rPr>
          <w:rFonts w:hint="cs"/>
          <w:rtl/>
          <w:lang w:bidi="ar"/>
        </w:rPr>
        <w:t>بيانات</w:t>
      </w:r>
      <w:r w:rsidRPr="00CA25D1">
        <w:rPr>
          <w:rFonts w:hint="cs"/>
          <w:rtl/>
          <w:lang w:bidi="ar"/>
        </w:rPr>
        <w:t xml:space="preserve"> </w:t>
      </w:r>
      <w:r>
        <w:rPr>
          <w:rFonts w:hint="cs"/>
          <w:rtl/>
          <w:lang w:bidi="ar"/>
        </w:rPr>
        <w:t>التوزيع الجغرافي، التي أعدتها الأمانة في يونيو 2016</w:t>
      </w:r>
      <w:r w:rsidRPr="00CA25D1">
        <w:rPr>
          <w:rFonts w:hint="cs"/>
          <w:rtl/>
          <w:lang w:bidi="ar"/>
        </w:rPr>
        <w:t xml:space="preserve"> </w:t>
      </w:r>
      <w:r>
        <w:rPr>
          <w:rFonts w:hint="cs"/>
          <w:rtl/>
          <w:lang w:bidi="ar"/>
        </w:rPr>
        <w:t xml:space="preserve">استنادا إلى مبادئ </w:t>
      </w:r>
      <w:r w:rsidR="000265D4">
        <w:rPr>
          <w:rFonts w:hint="cs"/>
          <w:rtl/>
          <w:lang w:bidi="ar"/>
        </w:rPr>
        <w:t xml:space="preserve">التوزيع الجغرافي لسنة </w:t>
      </w:r>
      <w:r>
        <w:rPr>
          <w:rFonts w:hint="cs"/>
          <w:rtl/>
          <w:lang w:bidi="ar"/>
        </w:rPr>
        <w:t xml:space="preserve">1975، </w:t>
      </w:r>
      <w:r w:rsidRPr="00CA25D1">
        <w:rPr>
          <w:rFonts w:hint="cs"/>
          <w:rtl/>
          <w:lang w:bidi="ar"/>
        </w:rPr>
        <w:t>تبي</w:t>
      </w:r>
      <w:r>
        <w:rPr>
          <w:rFonts w:hint="cs"/>
          <w:rtl/>
          <w:lang w:bidi="ar"/>
        </w:rPr>
        <w:t>ّ</w:t>
      </w:r>
      <w:r w:rsidRPr="00CA25D1">
        <w:rPr>
          <w:rFonts w:hint="cs"/>
          <w:rtl/>
          <w:lang w:bidi="ar"/>
        </w:rPr>
        <w:t>ن أن من بين المن</w:t>
      </w:r>
      <w:r w:rsidR="000265D4">
        <w:rPr>
          <w:rFonts w:hint="cs"/>
          <w:rtl/>
          <w:lang w:bidi="ar"/>
        </w:rPr>
        <w:t xml:space="preserve">اطق السبع المحددة في </w:t>
      </w:r>
      <w:r w:rsidRPr="00CA25D1">
        <w:rPr>
          <w:rFonts w:hint="cs"/>
          <w:rtl/>
          <w:lang w:bidi="ar"/>
        </w:rPr>
        <w:t>مبادئ</w:t>
      </w:r>
      <w:r w:rsidR="000265D4">
        <w:rPr>
          <w:rFonts w:hint="cs"/>
          <w:rtl/>
          <w:lang w:bidi="ar"/>
        </w:rPr>
        <w:t xml:space="preserve"> 1975</w:t>
      </w:r>
      <w:r w:rsidRPr="00CA25D1">
        <w:rPr>
          <w:rFonts w:hint="cs"/>
          <w:rtl/>
          <w:lang w:bidi="ar"/>
        </w:rPr>
        <w:t>، هنا</w:t>
      </w:r>
      <w:r w:rsidR="000265D4">
        <w:rPr>
          <w:rFonts w:hint="cs"/>
          <w:rtl/>
          <w:lang w:bidi="ar"/>
        </w:rPr>
        <w:t>لك منطقتا</w:t>
      </w:r>
      <w:r w:rsidRPr="00CA25D1">
        <w:rPr>
          <w:rFonts w:hint="cs"/>
          <w:rtl/>
          <w:lang w:bidi="ar"/>
        </w:rPr>
        <w:t xml:space="preserve">ن (أوروبا الشرقية </w:t>
      </w:r>
      <w:r w:rsidR="000265D4">
        <w:rPr>
          <w:rFonts w:hint="cs"/>
          <w:rtl/>
          <w:lang w:bidi="ar"/>
        </w:rPr>
        <w:t>وآسيا الوسطى والشرق الأوسط)</w:t>
      </w:r>
      <w:r w:rsidR="001F4CB7">
        <w:rPr>
          <w:rFonts w:hint="cs"/>
          <w:rtl/>
          <w:lang w:bidi="ar"/>
        </w:rPr>
        <w:t xml:space="preserve"> تقلّ نسبة</w:t>
      </w:r>
      <w:r w:rsidRPr="00CA25D1">
        <w:rPr>
          <w:rFonts w:hint="cs"/>
          <w:rtl/>
          <w:lang w:bidi="ar"/>
        </w:rPr>
        <w:t xml:space="preserve"> </w:t>
      </w:r>
      <w:r w:rsidR="001F4CB7">
        <w:rPr>
          <w:rFonts w:hint="cs"/>
          <w:rtl/>
          <w:lang w:bidi="ar"/>
        </w:rPr>
        <w:t xml:space="preserve">المناصب في كلتيهما </w:t>
      </w:r>
      <w:r w:rsidR="000265D4">
        <w:rPr>
          <w:rFonts w:hint="cs"/>
          <w:rtl/>
          <w:lang w:bidi="ar"/>
        </w:rPr>
        <w:t xml:space="preserve">عن النسبة المرغوبة </w:t>
      </w:r>
      <w:r w:rsidRPr="00CA25D1">
        <w:rPr>
          <w:rFonts w:hint="cs"/>
          <w:rtl/>
          <w:lang w:bidi="ar"/>
        </w:rPr>
        <w:t xml:space="preserve">وبالتالي فهي </w:t>
      </w:r>
      <w:r w:rsidR="001F4CB7">
        <w:rPr>
          <w:rFonts w:hint="cs"/>
          <w:rtl/>
          <w:lang w:bidi="ar"/>
        </w:rPr>
        <w:t xml:space="preserve">مناطق ممثلة </w:t>
      </w:r>
      <w:r w:rsidR="003C7AF7">
        <w:rPr>
          <w:rFonts w:hint="cs"/>
          <w:rtl/>
          <w:lang w:bidi="ar"/>
        </w:rPr>
        <w:t>تمثيلا ناقصا</w:t>
      </w:r>
      <w:r w:rsidR="001F4CB7">
        <w:rPr>
          <w:rFonts w:hint="cs"/>
          <w:rtl/>
          <w:lang w:bidi="ar"/>
        </w:rPr>
        <w:t>. كما تقلّ نسبة المناصب ل</w:t>
      </w:r>
      <w:r w:rsidRPr="00CA25D1">
        <w:rPr>
          <w:rFonts w:hint="cs"/>
          <w:rtl/>
          <w:lang w:bidi="ar"/>
        </w:rPr>
        <w:t>منطقة</w:t>
      </w:r>
      <w:r w:rsidR="001F4CB7">
        <w:rPr>
          <w:rFonts w:hint="cs"/>
          <w:rtl/>
          <w:lang w:bidi="ar"/>
        </w:rPr>
        <w:t xml:space="preserve"> واحدة (أمريكا الشمالية) قليلا عن</w:t>
      </w:r>
      <w:r w:rsidRPr="00CA25D1">
        <w:rPr>
          <w:rFonts w:hint="cs"/>
          <w:rtl/>
          <w:lang w:bidi="ar"/>
        </w:rPr>
        <w:t xml:space="preserve"> </w:t>
      </w:r>
      <w:r w:rsidR="001F4CB7">
        <w:rPr>
          <w:rFonts w:hint="cs"/>
          <w:rtl/>
          <w:lang w:bidi="ar"/>
        </w:rPr>
        <w:t xml:space="preserve">النسبة </w:t>
      </w:r>
      <w:r w:rsidRPr="00CA25D1">
        <w:rPr>
          <w:rFonts w:hint="cs"/>
          <w:rtl/>
          <w:lang w:bidi="ar"/>
        </w:rPr>
        <w:t>المرغوب</w:t>
      </w:r>
      <w:r w:rsidR="001F4CB7">
        <w:rPr>
          <w:rFonts w:hint="cs"/>
          <w:rtl/>
          <w:lang w:bidi="ar"/>
        </w:rPr>
        <w:t>ة لعدد المناصب،</w:t>
      </w:r>
      <w:r w:rsidRPr="00CA25D1">
        <w:rPr>
          <w:rFonts w:hint="cs"/>
          <w:rtl/>
          <w:lang w:bidi="ar"/>
        </w:rPr>
        <w:t xml:space="preserve"> </w:t>
      </w:r>
      <w:r w:rsidR="001F4CB7">
        <w:rPr>
          <w:rFonts w:hint="cs"/>
          <w:rtl/>
          <w:lang w:bidi="ar"/>
        </w:rPr>
        <w:t xml:space="preserve">إذ ينقصها </w:t>
      </w:r>
      <w:r w:rsidRPr="00CA25D1">
        <w:rPr>
          <w:rFonts w:hint="cs"/>
          <w:rtl/>
          <w:lang w:bidi="ar"/>
        </w:rPr>
        <w:t>من</w:t>
      </w:r>
      <w:r w:rsidR="001F4CB7">
        <w:rPr>
          <w:rFonts w:hint="cs"/>
          <w:rtl/>
          <w:lang w:bidi="ar"/>
        </w:rPr>
        <w:t>صب واحد</w:t>
      </w:r>
      <w:r w:rsidRPr="00CA25D1">
        <w:rPr>
          <w:rFonts w:hint="cs"/>
          <w:rtl/>
          <w:lang w:bidi="ar"/>
        </w:rPr>
        <w:t xml:space="preserve">. </w:t>
      </w:r>
      <w:r w:rsidR="001F4CB7">
        <w:rPr>
          <w:rFonts w:hint="cs"/>
          <w:rtl/>
          <w:lang w:bidi="ar"/>
        </w:rPr>
        <w:t>وتحقق منطقتا</w:t>
      </w:r>
      <w:r w:rsidRPr="00CA25D1">
        <w:rPr>
          <w:rFonts w:hint="cs"/>
          <w:rtl/>
          <w:lang w:bidi="ar"/>
        </w:rPr>
        <w:t xml:space="preserve">ن </w:t>
      </w:r>
      <w:r w:rsidR="001F4CB7" w:rsidRPr="00CA25D1">
        <w:rPr>
          <w:rFonts w:hint="cs"/>
          <w:rtl/>
          <w:lang w:bidi="ar"/>
        </w:rPr>
        <w:t>(آسيا والمحيط الهادئ، وأوروبا الغربية)</w:t>
      </w:r>
      <w:r w:rsidR="001F4CB7">
        <w:rPr>
          <w:rFonts w:hint="cs"/>
          <w:rtl/>
          <w:lang w:bidi="ar"/>
        </w:rPr>
        <w:t xml:space="preserve"> النسبة</w:t>
      </w:r>
      <w:r w:rsidRPr="00CA25D1">
        <w:rPr>
          <w:rFonts w:hint="cs"/>
          <w:rtl/>
          <w:lang w:bidi="ar"/>
        </w:rPr>
        <w:t xml:space="preserve"> </w:t>
      </w:r>
      <w:r w:rsidR="001F4CB7">
        <w:rPr>
          <w:rFonts w:hint="cs"/>
          <w:rtl/>
          <w:lang w:bidi="ar"/>
        </w:rPr>
        <w:t>ال</w:t>
      </w:r>
      <w:r w:rsidR="003C7AF7">
        <w:rPr>
          <w:rFonts w:hint="cs"/>
          <w:rtl/>
          <w:lang w:bidi="ar"/>
        </w:rPr>
        <w:t>مرغوبة</w:t>
      </w:r>
      <w:r w:rsidR="001F4CB7">
        <w:rPr>
          <w:rFonts w:hint="cs"/>
          <w:rtl/>
          <w:lang w:bidi="ar"/>
        </w:rPr>
        <w:t xml:space="preserve"> من حيث عدد المناصب</w:t>
      </w:r>
      <w:r w:rsidR="003C7AF7">
        <w:rPr>
          <w:rFonts w:hint="cs"/>
          <w:rtl/>
          <w:lang w:bidi="ar"/>
        </w:rPr>
        <w:t>، في حين</w:t>
      </w:r>
      <w:r w:rsidRPr="00CA25D1">
        <w:rPr>
          <w:rFonts w:hint="cs"/>
          <w:rtl/>
          <w:lang w:bidi="ar"/>
        </w:rPr>
        <w:t xml:space="preserve"> </w:t>
      </w:r>
      <w:r w:rsidR="003C7AF7">
        <w:rPr>
          <w:rFonts w:hint="cs"/>
          <w:rtl/>
          <w:lang w:bidi="ar"/>
        </w:rPr>
        <w:t xml:space="preserve">يرتفع معدل المناصب في منطقتين </w:t>
      </w:r>
      <w:r w:rsidR="003C7AF7" w:rsidRPr="00CA25D1">
        <w:rPr>
          <w:rFonts w:hint="cs"/>
          <w:rtl/>
          <w:lang w:bidi="ar"/>
        </w:rPr>
        <w:t xml:space="preserve">(أفريقيا، وأمريكا اللاتينية </w:t>
      </w:r>
      <w:r w:rsidR="003C7AF7">
        <w:rPr>
          <w:rFonts w:hint="cs"/>
          <w:rtl/>
          <w:lang w:bidi="ar"/>
        </w:rPr>
        <w:t>و</w:t>
      </w:r>
      <w:r w:rsidR="003C7AF7" w:rsidRPr="00CA25D1">
        <w:rPr>
          <w:rFonts w:hint="cs"/>
          <w:rtl/>
          <w:lang w:bidi="ar"/>
        </w:rPr>
        <w:t>البحر الكاريبي)</w:t>
      </w:r>
      <w:r w:rsidR="003C7AF7">
        <w:rPr>
          <w:rFonts w:hint="cs"/>
          <w:rtl/>
          <w:lang w:bidi="ar"/>
        </w:rPr>
        <w:t xml:space="preserve"> عن النسبة</w:t>
      </w:r>
      <w:r w:rsidR="003C7AF7" w:rsidRPr="00CA25D1">
        <w:rPr>
          <w:rFonts w:hint="cs"/>
          <w:rtl/>
          <w:lang w:bidi="ar"/>
        </w:rPr>
        <w:t xml:space="preserve"> </w:t>
      </w:r>
      <w:r w:rsidR="003C7AF7">
        <w:rPr>
          <w:rFonts w:hint="cs"/>
          <w:rtl/>
          <w:lang w:bidi="ar"/>
        </w:rPr>
        <w:t>المرغوبة من حيث عدد المناصب، مما يجعلها مناطق ممثلة تمثيلا زائدا. وهذه هي الحال السائدة، منذ</w:t>
      </w:r>
      <w:r w:rsidRPr="00CA25D1">
        <w:rPr>
          <w:rFonts w:hint="cs"/>
          <w:rtl/>
          <w:lang w:bidi="ar"/>
        </w:rPr>
        <w:t xml:space="preserve"> العامين الماضيين</w:t>
      </w:r>
      <w:r w:rsidR="003C7AF7">
        <w:rPr>
          <w:rFonts w:hint="cs"/>
          <w:rtl/>
          <w:lang w:bidi="ar"/>
        </w:rPr>
        <w:t xml:space="preserve"> على الأقل، بحسب ما تظهره البيانات السابقة</w:t>
      </w:r>
      <w:r w:rsidRPr="00CA25D1">
        <w:rPr>
          <w:rFonts w:hint="cs"/>
          <w:rtl/>
          <w:lang w:bidi="ar"/>
        </w:rPr>
        <w:t xml:space="preserve"> </w:t>
      </w:r>
      <w:r w:rsidR="003C7AF7">
        <w:rPr>
          <w:rFonts w:hint="cs"/>
          <w:rtl/>
          <w:lang w:bidi="ar"/>
        </w:rPr>
        <w:t xml:space="preserve">التي </w:t>
      </w:r>
      <w:r w:rsidR="003C7AF7">
        <w:rPr>
          <w:rFonts w:hint="cs"/>
          <w:rtl/>
          <w:lang w:bidi="ar"/>
        </w:rPr>
        <w:lastRenderedPageBreak/>
        <w:t xml:space="preserve">أعدت </w:t>
      </w:r>
      <w:r w:rsidRPr="00CA25D1">
        <w:rPr>
          <w:rFonts w:hint="cs"/>
          <w:rtl/>
          <w:lang w:bidi="ar"/>
        </w:rPr>
        <w:t xml:space="preserve">في يونيو 2014 ويونيو </w:t>
      </w:r>
      <w:r w:rsidR="003C7AF7">
        <w:rPr>
          <w:rStyle w:val="FootnoteReference"/>
          <w:rtl/>
          <w:lang w:bidi="ar"/>
        </w:rPr>
        <w:footnoteReference w:id="1"/>
      </w:r>
      <w:r w:rsidRPr="00CA25D1">
        <w:rPr>
          <w:rFonts w:hint="cs"/>
          <w:rtl/>
          <w:lang w:bidi="ar"/>
        </w:rPr>
        <w:t xml:space="preserve">2015. </w:t>
      </w:r>
      <w:r w:rsidR="003C7AF7">
        <w:rPr>
          <w:rFonts w:hint="cs"/>
          <w:rtl/>
          <w:lang w:bidi="ar"/>
        </w:rPr>
        <w:t>و</w:t>
      </w:r>
      <w:r w:rsidRPr="00CA25D1">
        <w:rPr>
          <w:rFonts w:hint="cs"/>
          <w:rtl/>
          <w:lang w:bidi="ar"/>
        </w:rPr>
        <w:t xml:space="preserve">من الناحية الموضوعية، </w:t>
      </w:r>
      <w:r w:rsidR="00B27576">
        <w:rPr>
          <w:rFonts w:hint="cs"/>
          <w:rtl/>
          <w:lang w:bidi="ar"/>
        </w:rPr>
        <w:t xml:space="preserve">تنحصر </w:t>
      </w:r>
      <w:r w:rsidRPr="00CA25D1">
        <w:rPr>
          <w:rFonts w:hint="cs"/>
          <w:rtl/>
          <w:lang w:bidi="ar"/>
        </w:rPr>
        <w:t xml:space="preserve">مسألة </w:t>
      </w:r>
      <w:r w:rsidR="00B27576">
        <w:rPr>
          <w:rFonts w:hint="cs"/>
          <w:rtl/>
          <w:lang w:bidi="ar"/>
        </w:rPr>
        <w:t>التوزيع الجغرافي (وبالأخص، مسألة نقص التمثيل) على مجموعتين من أصل سبع مجموعات إقليمية</w:t>
      </w:r>
      <w:r w:rsidRPr="00CA25D1">
        <w:rPr>
          <w:rFonts w:hint="cs"/>
          <w:rtl/>
          <w:lang w:bidi="ar"/>
        </w:rPr>
        <w:t>.</w:t>
      </w:r>
    </w:p>
    <w:p w:rsidR="00B27576" w:rsidRPr="00D836AB" w:rsidRDefault="00B27576" w:rsidP="00D836AB">
      <w:pPr>
        <w:pStyle w:val="NormalParaAR"/>
        <w:rPr>
          <w:b/>
          <w:bCs/>
        </w:rPr>
      </w:pPr>
      <w:r w:rsidRPr="00D836AB">
        <w:rPr>
          <w:rFonts w:hint="cs"/>
          <w:b/>
          <w:bCs/>
          <w:rtl/>
        </w:rPr>
        <w:t>معلومات أساسية للاجتماعات التشاورية</w:t>
      </w:r>
    </w:p>
    <w:p w:rsidR="005F5866" w:rsidRDefault="00B27576" w:rsidP="00164665">
      <w:pPr>
        <w:pStyle w:val="NumberedParaAR"/>
      </w:pPr>
      <w:r w:rsidRPr="00B27576">
        <w:rPr>
          <w:rFonts w:hint="cs"/>
          <w:rtl/>
          <w:lang w:bidi="ar"/>
        </w:rPr>
        <w:t xml:space="preserve">وقدمت </w:t>
      </w:r>
      <w:r w:rsidR="00164665">
        <w:rPr>
          <w:rFonts w:hint="cs"/>
          <w:rtl/>
          <w:lang w:bidi="ar"/>
        </w:rPr>
        <w:t>الأمانة معلومات عن مسألة</w:t>
      </w:r>
      <w:r w:rsidRPr="00B27576">
        <w:rPr>
          <w:rFonts w:hint="cs"/>
          <w:rtl/>
          <w:lang w:bidi="ar"/>
        </w:rPr>
        <w:t xml:space="preserve"> ال</w:t>
      </w:r>
      <w:r w:rsidR="00164665">
        <w:rPr>
          <w:rFonts w:hint="cs"/>
          <w:rtl/>
          <w:lang w:bidi="ar"/>
        </w:rPr>
        <w:t>توزيع الجغرافي، شملت الدراسات التي</w:t>
      </w:r>
      <w:r w:rsidRPr="00B27576">
        <w:rPr>
          <w:rFonts w:hint="cs"/>
          <w:rtl/>
          <w:lang w:bidi="ar"/>
        </w:rPr>
        <w:t xml:space="preserve"> </w:t>
      </w:r>
      <w:r w:rsidR="00164665">
        <w:rPr>
          <w:rFonts w:hint="cs"/>
          <w:rtl/>
          <w:lang w:bidi="ar"/>
        </w:rPr>
        <w:t xml:space="preserve">اضطلعت </w:t>
      </w:r>
      <w:r w:rsidRPr="00B27576">
        <w:rPr>
          <w:rFonts w:hint="cs"/>
          <w:rtl/>
          <w:lang w:bidi="ar"/>
        </w:rPr>
        <w:t>بها</w:t>
      </w:r>
      <w:r w:rsidR="00164665">
        <w:rPr>
          <w:rFonts w:hint="cs"/>
          <w:rtl/>
          <w:lang w:bidi="ar"/>
        </w:rPr>
        <w:t xml:space="preserve"> وحدة التفتيش المشتركة </w:t>
      </w:r>
      <w:r w:rsidRPr="00B27576">
        <w:rPr>
          <w:rFonts w:hint="cs"/>
          <w:rtl/>
          <w:lang w:bidi="ar"/>
        </w:rPr>
        <w:t>والمنهج</w:t>
      </w:r>
      <w:r w:rsidR="00164665">
        <w:rPr>
          <w:rFonts w:hint="cs"/>
          <w:rtl/>
          <w:lang w:bidi="ar"/>
        </w:rPr>
        <w:t>يات والممارسات التي تطبقها بعض منظمات نظام الأمم المتحدة</w:t>
      </w:r>
      <w:r w:rsidRPr="00B27576">
        <w:rPr>
          <w:rFonts w:hint="cs"/>
          <w:rtl/>
          <w:lang w:bidi="ar"/>
        </w:rPr>
        <w:t xml:space="preserve"> الموحد في تح</w:t>
      </w:r>
      <w:r w:rsidR="00164665">
        <w:rPr>
          <w:rFonts w:hint="cs"/>
          <w:rtl/>
          <w:lang w:bidi="ar"/>
        </w:rPr>
        <w:t>ديد التوزيع الجغرافي المناسب في عملية التوظيف. وشر</w:t>
      </w:r>
      <w:r w:rsidRPr="00B27576">
        <w:rPr>
          <w:rFonts w:hint="cs"/>
          <w:rtl/>
          <w:lang w:bidi="ar"/>
        </w:rPr>
        <w:t xml:space="preserve">حت الأمانة الخطوات </w:t>
      </w:r>
      <w:r w:rsidR="00164665">
        <w:rPr>
          <w:rFonts w:hint="cs"/>
          <w:rtl/>
          <w:lang w:bidi="ar"/>
        </w:rPr>
        <w:t>المتبّعة في عملية التوظيف ومبادرات ا</w:t>
      </w:r>
      <w:r w:rsidRPr="00B27576">
        <w:rPr>
          <w:rFonts w:hint="cs"/>
          <w:rtl/>
          <w:lang w:bidi="ar"/>
        </w:rPr>
        <w:t xml:space="preserve">لتوعية </w:t>
      </w:r>
      <w:r w:rsidR="00164665">
        <w:rPr>
          <w:rFonts w:hint="cs"/>
          <w:rtl/>
          <w:lang w:bidi="ar"/>
        </w:rPr>
        <w:t>المتعددة التي أطلقتها لتعزيز</w:t>
      </w:r>
      <w:r w:rsidRPr="00B27576">
        <w:rPr>
          <w:rFonts w:hint="cs"/>
          <w:rtl/>
          <w:lang w:bidi="ar"/>
        </w:rPr>
        <w:t xml:space="preserve"> التوزيع الجغرافي </w:t>
      </w:r>
      <w:r w:rsidR="00164665">
        <w:rPr>
          <w:rFonts w:hint="cs"/>
          <w:rtl/>
          <w:lang w:bidi="ar"/>
        </w:rPr>
        <w:t>وتحسينه</w:t>
      </w:r>
      <w:r w:rsidRPr="00B27576">
        <w:rPr>
          <w:rFonts w:hint="cs"/>
          <w:rtl/>
          <w:lang w:bidi="ar"/>
        </w:rPr>
        <w:t xml:space="preserve"> </w:t>
      </w:r>
      <w:r w:rsidR="00164665">
        <w:rPr>
          <w:rFonts w:hint="cs"/>
          <w:rtl/>
          <w:lang w:bidi="ar"/>
        </w:rPr>
        <w:t>في عملية تعيين الموظفين في الويبو</w:t>
      </w:r>
      <w:r w:rsidRPr="00B27576">
        <w:rPr>
          <w:rFonts w:hint="cs"/>
          <w:rtl/>
          <w:lang w:bidi="ar"/>
        </w:rPr>
        <w:t>.</w:t>
      </w:r>
    </w:p>
    <w:p w:rsidR="00164665" w:rsidRDefault="00164665" w:rsidP="00164665">
      <w:pPr>
        <w:pStyle w:val="NumberedParaAR"/>
      </w:pPr>
      <w:r>
        <w:rPr>
          <w:rFonts w:hint="cs"/>
          <w:rtl/>
        </w:rPr>
        <w:t>ويظهر البحث الذي أجرته الأمانة أنّ:</w:t>
      </w:r>
    </w:p>
    <w:p w:rsidR="00164665" w:rsidRDefault="00164665" w:rsidP="00D836AB">
      <w:pPr>
        <w:pStyle w:val="NumberedParaAR"/>
        <w:numPr>
          <w:ilvl w:val="0"/>
          <w:numId w:val="21"/>
        </w:numPr>
        <w:ind w:left="567" w:firstLine="0"/>
      </w:pPr>
      <w:r w:rsidRPr="00164665">
        <w:rPr>
          <w:rtl/>
        </w:rPr>
        <w:t xml:space="preserve">المادة 9(7) من اتفاقية الويبو </w:t>
      </w:r>
      <w:r w:rsidR="00A75C97">
        <w:rPr>
          <w:rFonts w:hint="cs"/>
          <w:rtl/>
        </w:rPr>
        <w:t>والمتعلقة بمسألة التوزيع الجغرافي هي نسخة حرف</w:t>
      </w:r>
      <w:r w:rsidR="00305459">
        <w:rPr>
          <w:rFonts w:hint="cs"/>
          <w:rtl/>
        </w:rPr>
        <w:t>ي</w:t>
      </w:r>
      <w:r w:rsidR="00A75C97">
        <w:rPr>
          <w:rFonts w:hint="cs"/>
          <w:rtl/>
        </w:rPr>
        <w:t xml:space="preserve">ة من الفقرة 3 من المادة 101 من ميثاق الأمم المتحدة. </w:t>
      </w:r>
      <w:r w:rsidR="00A75C97">
        <w:rPr>
          <w:rFonts w:hint="cs"/>
          <w:rtl/>
          <w:lang w:bidi="ar"/>
        </w:rPr>
        <w:t>وترد أحكام مماثلة</w:t>
      </w:r>
      <w:r w:rsidR="00A75C97" w:rsidRPr="00A75C97">
        <w:rPr>
          <w:rFonts w:hint="cs"/>
          <w:rtl/>
          <w:lang w:bidi="ar"/>
        </w:rPr>
        <w:t xml:space="preserve"> في الصكوك التأسيسية أو </w:t>
      </w:r>
      <w:r w:rsidR="00A75C97">
        <w:rPr>
          <w:rFonts w:hint="cs"/>
          <w:rtl/>
          <w:lang w:bidi="ar"/>
        </w:rPr>
        <w:t>أ</w:t>
      </w:r>
      <w:r w:rsidR="00A75C97">
        <w:rPr>
          <w:rtl/>
          <w:lang w:bidi="ar"/>
        </w:rPr>
        <w:t>نظم</w:t>
      </w:r>
      <w:r w:rsidR="00A75C97">
        <w:rPr>
          <w:rFonts w:hint="cs"/>
          <w:rtl/>
          <w:lang w:bidi="ar"/>
        </w:rPr>
        <w:t>ة</w:t>
      </w:r>
      <w:r w:rsidR="00A75C97">
        <w:rPr>
          <w:rtl/>
          <w:lang w:bidi="ar"/>
        </w:rPr>
        <w:t xml:space="preserve"> الموظفين ولوائحه</w:t>
      </w:r>
      <w:r w:rsidR="00A75C97">
        <w:rPr>
          <w:rFonts w:hint="cs"/>
          <w:rtl/>
          <w:lang w:bidi="ar"/>
        </w:rPr>
        <w:t>ا</w:t>
      </w:r>
      <w:r w:rsidR="00A75C97" w:rsidRPr="00A75C97">
        <w:rPr>
          <w:rFonts w:hint="cs"/>
          <w:rtl/>
          <w:lang w:bidi="ar"/>
        </w:rPr>
        <w:t xml:space="preserve"> </w:t>
      </w:r>
      <w:r w:rsidR="00A75C97">
        <w:rPr>
          <w:rFonts w:hint="cs"/>
          <w:rtl/>
          <w:lang w:bidi="ar"/>
        </w:rPr>
        <w:t>في المنظمات الأخرى</w:t>
      </w:r>
      <w:r w:rsidR="00A75C97" w:rsidRPr="00A75C97">
        <w:rPr>
          <w:rFonts w:hint="cs"/>
          <w:rtl/>
          <w:lang w:bidi="ar"/>
        </w:rPr>
        <w:t xml:space="preserve"> </w:t>
      </w:r>
      <w:r w:rsidR="00A75C97">
        <w:rPr>
          <w:rFonts w:hint="cs"/>
          <w:rtl/>
          <w:lang w:bidi="ar"/>
        </w:rPr>
        <w:t>التابعة ل</w:t>
      </w:r>
      <w:r w:rsidR="00A75C97" w:rsidRPr="00A75C97">
        <w:rPr>
          <w:rFonts w:hint="cs"/>
          <w:rtl/>
          <w:lang w:bidi="ar"/>
        </w:rPr>
        <w:t>منظومة الأمم المتحدة.</w:t>
      </w:r>
      <w:r>
        <w:rPr>
          <w:rtl/>
        </w:rPr>
        <w:t>و</w:t>
      </w:r>
      <w:r w:rsidR="00A75C97">
        <w:rPr>
          <w:rFonts w:hint="cs"/>
          <w:rtl/>
        </w:rPr>
        <w:t xml:space="preserve">تنص </w:t>
      </w:r>
      <w:r w:rsidR="00A75C97" w:rsidRPr="00164665">
        <w:rPr>
          <w:rtl/>
        </w:rPr>
        <w:t>المادة 9(7)</w:t>
      </w:r>
      <w:r w:rsidR="00A75C97">
        <w:rPr>
          <w:rFonts w:hint="cs"/>
          <w:rtl/>
        </w:rPr>
        <w:t>على أنه: "</w:t>
      </w:r>
      <w:r>
        <w:rPr>
          <w:rtl/>
        </w:rPr>
        <w:t>ينبغي عند تعيين الموظفين وفي تحديد شروط الخدمة أن يراعى في المكان الأول ضرورة تأمين أعلى مستوى من المقدرة والكفاءة والنزاهة.</w:t>
      </w:r>
      <w:r w:rsidR="00A75C97">
        <w:rPr>
          <w:rFonts w:hint="cs"/>
          <w:rtl/>
        </w:rPr>
        <w:t xml:space="preserve"> </w:t>
      </w:r>
      <w:r>
        <w:rPr>
          <w:rtl/>
        </w:rPr>
        <w:t>كما يجب أن يؤخذ بعين الاعتبار أهمية أن تتم التعيينات على أساس أوسع نطاق جغرافي ممكن</w:t>
      </w:r>
      <w:r w:rsidR="00A75C97">
        <w:rPr>
          <w:rFonts w:hint="cs"/>
          <w:rtl/>
        </w:rPr>
        <w:t>"</w:t>
      </w:r>
      <w:r>
        <w:rPr>
          <w:rtl/>
        </w:rPr>
        <w:t>.</w:t>
      </w:r>
    </w:p>
    <w:p w:rsidR="00A75C97" w:rsidRDefault="006B5758" w:rsidP="00D836AB">
      <w:pPr>
        <w:pStyle w:val="NumberedParaAR"/>
        <w:numPr>
          <w:ilvl w:val="0"/>
          <w:numId w:val="21"/>
        </w:numPr>
        <w:ind w:left="567" w:firstLine="0"/>
      </w:pPr>
      <w:r>
        <w:rPr>
          <w:rFonts w:hint="cs"/>
          <w:rtl/>
          <w:lang w:bidi="ar"/>
        </w:rPr>
        <w:t xml:space="preserve">ويظهر استنادا إلى </w:t>
      </w:r>
      <w:r w:rsidRPr="006B5758">
        <w:rPr>
          <w:rFonts w:hint="cs"/>
          <w:rtl/>
          <w:lang w:bidi="ar"/>
        </w:rPr>
        <w:t>دراسات وح</w:t>
      </w:r>
      <w:r>
        <w:rPr>
          <w:rFonts w:hint="cs"/>
          <w:rtl/>
          <w:lang w:bidi="ar"/>
        </w:rPr>
        <w:t>دة التفتيش المشتركة، أن هنالك نهجين تتّبعهما منظمات نظام الأمم المتحدة</w:t>
      </w:r>
      <w:r w:rsidRPr="00B27576">
        <w:rPr>
          <w:rFonts w:hint="cs"/>
          <w:rtl/>
          <w:lang w:bidi="ar"/>
        </w:rPr>
        <w:t xml:space="preserve"> الموحد </w:t>
      </w:r>
      <w:r>
        <w:rPr>
          <w:rFonts w:hint="cs"/>
          <w:rtl/>
          <w:lang w:bidi="ar"/>
        </w:rPr>
        <w:t>لم</w:t>
      </w:r>
      <w:r w:rsidRPr="006B5758">
        <w:rPr>
          <w:rFonts w:hint="cs"/>
          <w:rtl/>
          <w:lang w:bidi="ar"/>
        </w:rPr>
        <w:t>عالج</w:t>
      </w:r>
      <w:r>
        <w:rPr>
          <w:rFonts w:hint="cs"/>
          <w:rtl/>
          <w:lang w:bidi="ar"/>
        </w:rPr>
        <w:t>ة</w:t>
      </w:r>
      <w:r w:rsidRPr="006B5758">
        <w:rPr>
          <w:rFonts w:hint="cs"/>
          <w:rtl/>
          <w:lang w:bidi="ar"/>
        </w:rPr>
        <w:t xml:space="preserve"> </w:t>
      </w:r>
      <w:r>
        <w:rPr>
          <w:rFonts w:hint="cs"/>
          <w:rtl/>
          <w:lang w:bidi="ar"/>
        </w:rPr>
        <w:t xml:space="preserve">مسألة </w:t>
      </w:r>
      <w:r w:rsidRPr="006B5758">
        <w:rPr>
          <w:rFonts w:hint="cs"/>
          <w:rtl/>
          <w:lang w:bidi="ar"/>
        </w:rPr>
        <w:t>التوزيع الجغرافي في ملاك موظفيها:</w:t>
      </w:r>
    </w:p>
    <w:p w:rsidR="006B5758" w:rsidRDefault="006B5758" w:rsidP="00B7402A">
      <w:pPr>
        <w:pStyle w:val="NumberedParaAR"/>
        <w:numPr>
          <w:ilvl w:val="0"/>
          <w:numId w:val="22"/>
        </w:numPr>
        <w:ind w:left="1133" w:firstLine="0"/>
      </w:pPr>
      <w:r>
        <w:rPr>
          <w:rFonts w:hint="cs"/>
          <w:rtl/>
          <w:lang w:bidi="ar"/>
        </w:rPr>
        <w:t>أوّلهما</w:t>
      </w:r>
      <w:r w:rsidRPr="006B5758">
        <w:rPr>
          <w:rFonts w:hint="cs"/>
          <w:rtl/>
          <w:lang w:bidi="ar"/>
        </w:rPr>
        <w:t xml:space="preserve"> </w:t>
      </w:r>
      <w:r>
        <w:rPr>
          <w:rFonts w:hint="cs"/>
          <w:rtl/>
          <w:lang w:bidi="ar"/>
        </w:rPr>
        <w:t xml:space="preserve">عبر </w:t>
      </w:r>
      <w:r w:rsidRPr="006B5758">
        <w:rPr>
          <w:rFonts w:hint="cs"/>
          <w:rtl/>
          <w:lang w:bidi="ar"/>
        </w:rPr>
        <w:t>تطبيق منهجية</w:t>
      </w:r>
      <w:r>
        <w:rPr>
          <w:rFonts w:hint="cs"/>
          <w:rtl/>
          <w:lang w:bidi="ar"/>
        </w:rPr>
        <w:t xml:space="preserve"> لحساب التوزيع الجغرافي العادل</w:t>
      </w:r>
      <w:r w:rsidRPr="006B5758">
        <w:rPr>
          <w:rFonts w:hint="cs"/>
          <w:rtl/>
          <w:lang w:bidi="ar"/>
        </w:rPr>
        <w:t xml:space="preserve"> </w:t>
      </w:r>
      <w:r>
        <w:rPr>
          <w:rFonts w:hint="cs"/>
          <w:rtl/>
          <w:lang w:bidi="ar"/>
        </w:rPr>
        <w:t xml:space="preserve">تعطي </w:t>
      </w:r>
      <w:r w:rsidR="00C65A79">
        <w:rPr>
          <w:rFonts w:hint="cs"/>
          <w:rtl/>
          <w:lang w:bidi="ar"/>
        </w:rPr>
        <w:t>ال</w:t>
      </w:r>
      <w:r>
        <w:rPr>
          <w:rFonts w:hint="cs"/>
          <w:rtl/>
          <w:lang w:bidi="ar"/>
        </w:rPr>
        <w:t xml:space="preserve">نسبة </w:t>
      </w:r>
      <w:r w:rsidR="00C65A79">
        <w:rPr>
          <w:rFonts w:hint="cs"/>
          <w:rtl/>
          <w:lang w:bidi="ar"/>
        </w:rPr>
        <w:t>ال</w:t>
      </w:r>
      <w:r w:rsidRPr="006B5758">
        <w:rPr>
          <w:rFonts w:hint="cs"/>
          <w:rtl/>
          <w:lang w:bidi="ar"/>
        </w:rPr>
        <w:t>مرغوب</w:t>
      </w:r>
      <w:r w:rsidR="00C65A79">
        <w:rPr>
          <w:rFonts w:hint="cs"/>
          <w:rtl/>
          <w:lang w:bidi="ar"/>
        </w:rPr>
        <w:t xml:space="preserve">ة لعدد </w:t>
      </w:r>
      <w:r w:rsidRPr="006B5758">
        <w:rPr>
          <w:rFonts w:hint="cs"/>
          <w:rtl/>
          <w:lang w:bidi="ar"/>
        </w:rPr>
        <w:t xml:space="preserve">الوظائف (أو </w:t>
      </w:r>
      <w:r w:rsidR="00C65A79">
        <w:rPr>
          <w:rFonts w:hint="cs"/>
          <w:rtl/>
          <w:lang w:bidi="ar"/>
        </w:rPr>
        <w:t>ال</w:t>
      </w:r>
      <w:r w:rsidRPr="006B5758">
        <w:rPr>
          <w:rFonts w:hint="cs"/>
          <w:rtl/>
          <w:lang w:bidi="ar"/>
        </w:rPr>
        <w:t xml:space="preserve">حصة) لكل دولة عضو. </w:t>
      </w:r>
      <w:r w:rsidR="00C65A79">
        <w:rPr>
          <w:rFonts w:hint="cs"/>
          <w:rtl/>
          <w:lang w:bidi="ar"/>
        </w:rPr>
        <w:t xml:space="preserve">وهذا هو نهج </w:t>
      </w:r>
      <w:r w:rsidRPr="006B5758">
        <w:rPr>
          <w:rFonts w:hint="cs"/>
          <w:rtl/>
          <w:lang w:bidi="ar"/>
        </w:rPr>
        <w:t>الأمانة الع</w:t>
      </w:r>
      <w:r w:rsidR="00C65A79">
        <w:rPr>
          <w:rFonts w:hint="cs"/>
          <w:rtl/>
          <w:lang w:bidi="ar"/>
        </w:rPr>
        <w:t>امة للأمم المتحدة</w:t>
      </w:r>
      <w:r w:rsidRPr="006B5758">
        <w:rPr>
          <w:rFonts w:hint="cs"/>
          <w:rtl/>
          <w:lang w:bidi="ar"/>
        </w:rPr>
        <w:t xml:space="preserve"> </w:t>
      </w:r>
      <w:r w:rsidR="00F8509B" w:rsidRPr="00F8509B">
        <w:rPr>
          <w:rtl/>
          <w:lang w:bidi="ar"/>
        </w:rPr>
        <w:t>ومنظمة العمل الدولية (</w:t>
      </w:r>
      <w:r w:rsidR="00F8509B" w:rsidRPr="00F8509B">
        <w:rPr>
          <w:lang w:bidi="ar"/>
        </w:rPr>
        <w:t>ILO</w:t>
      </w:r>
      <w:r w:rsidR="00F8509B" w:rsidRPr="00F8509B">
        <w:rPr>
          <w:rtl/>
          <w:lang w:bidi="ar"/>
        </w:rPr>
        <w:t xml:space="preserve">) ومنظمة </w:t>
      </w:r>
      <w:r w:rsidR="00B7402A">
        <w:rPr>
          <w:rFonts w:hint="cs"/>
          <w:rtl/>
          <w:lang w:bidi="ar"/>
        </w:rPr>
        <w:t>الأغذية والزراعة ل</w:t>
      </w:r>
      <w:r w:rsidR="00F8509B" w:rsidRPr="00F8509B">
        <w:rPr>
          <w:rtl/>
          <w:lang w:bidi="ar"/>
        </w:rPr>
        <w:t>لأمم المتحدة (</w:t>
      </w:r>
      <w:r w:rsidR="00F8509B" w:rsidRPr="00F8509B">
        <w:rPr>
          <w:lang w:bidi="ar"/>
        </w:rPr>
        <w:t>FAO</w:t>
      </w:r>
      <w:r w:rsidR="00F8509B" w:rsidRPr="00F8509B">
        <w:rPr>
          <w:rtl/>
          <w:lang w:bidi="ar"/>
        </w:rPr>
        <w:t>) ومنظمة الأمم المتحدة للتربية والعلم والثقافة (اليونسكو) (</w:t>
      </w:r>
      <w:r w:rsidR="00F8509B" w:rsidRPr="00F8509B">
        <w:rPr>
          <w:lang w:bidi="ar"/>
        </w:rPr>
        <w:t>UNESCO</w:t>
      </w:r>
      <w:r w:rsidR="00F8509B" w:rsidRPr="00F8509B">
        <w:rPr>
          <w:rtl/>
          <w:lang w:bidi="ar"/>
        </w:rPr>
        <w:t xml:space="preserve">) </w:t>
      </w:r>
      <w:r w:rsidR="00F8509B">
        <w:rPr>
          <w:rFonts w:hint="cs"/>
          <w:rtl/>
          <w:lang w:bidi="ar"/>
        </w:rPr>
        <w:t>و</w:t>
      </w:r>
      <w:r w:rsidRPr="006B5758">
        <w:rPr>
          <w:rFonts w:hint="cs"/>
          <w:rtl/>
          <w:lang w:bidi="ar"/>
        </w:rPr>
        <w:t>منظم</w:t>
      </w:r>
      <w:r w:rsidR="00F8509B">
        <w:rPr>
          <w:rFonts w:hint="cs"/>
          <w:rtl/>
          <w:lang w:bidi="ar"/>
        </w:rPr>
        <w:t>ة الطيران المدني الدولي (</w:t>
      </w:r>
      <w:r w:rsidR="00F8509B" w:rsidRPr="00F8509B">
        <w:rPr>
          <w:lang w:bidi="ar"/>
        </w:rPr>
        <w:t>ICAO</w:t>
      </w:r>
      <w:r w:rsidR="00F8509B">
        <w:rPr>
          <w:rFonts w:hint="cs"/>
          <w:rtl/>
          <w:lang w:bidi="ar"/>
        </w:rPr>
        <w:t>)</w:t>
      </w:r>
      <w:r w:rsidRPr="006B5758">
        <w:rPr>
          <w:rFonts w:hint="cs"/>
          <w:rtl/>
          <w:lang w:bidi="ar"/>
        </w:rPr>
        <w:t xml:space="preserve"> </w:t>
      </w:r>
      <w:r w:rsidR="00F8509B" w:rsidRPr="00F8509B">
        <w:rPr>
          <w:rtl/>
          <w:lang w:bidi="ar"/>
        </w:rPr>
        <w:t>ومنظمة الصحة العالمية (</w:t>
      </w:r>
      <w:r w:rsidR="00F8509B" w:rsidRPr="00F8509B">
        <w:rPr>
          <w:lang w:bidi="ar"/>
        </w:rPr>
        <w:t>WHO</w:t>
      </w:r>
      <w:r w:rsidR="00F8509B" w:rsidRPr="00F8509B">
        <w:rPr>
          <w:rtl/>
          <w:lang w:bidi="ar"/>
        </w:rPr>
        <w:t>) ومنظمة الأمم المتحدة للتنمية الصناعية (اليونيدو) (</w:t>
      </w:r>
      <w:r w:rsidR="00F8509B" w:rsidRPr="00F8509B">
        <w:rPr>
          <w:lang w:bidi="ar"/>
        </w:rPr>
        <w:t>UNIDO</w:t>
      </w:r>
      <w:r w:rsidR="00F8509B" w:rsidRPr="00F8509B">
        <w:rPr>
          <w:rtl/>
          <w:lang w:bidi="ar"/>
        </w:rPr>
        <w:t>)</w:t>
      </w:r>
      <w:r w:rsidR="00F8509B">
        <w:rPr>
          <w:rFonts w:hint="cs"/>
          <w:rtl/>
          <w:lang w:bidi="ar"/>
        </w:rPr>
        <w:t>. وتدخل</w:t>
      </w:r>
      <w:r w:rsidRPr="006B5758">
        <w:rPr>
          <w:rFonts w:hint="cs"/>
          <w:rtl/>
          <w:lang w:bidi="ar"/>
        </w:rPr>
        <w:t xml:space="preserve"> في صياغة هذه المنهجيات بعض </w:t>
      </w:r>
      <w:r w:rsidR="00F8509B">
        <w:rPr>
          <w:rFonts w:hint="cs"/>
          <w:rtl/>
          <w:lang w:bidi="ar"/>
        </w:rPr>
        <w:t>العناصر التالية أو كلها</w:t>
      </w:r>
      <w:r w:rsidRPr="006B5758">
        <w:rPr>
          <w:rFonts w:hint="cs"/>
          <w:rtl/>
          <w:lang w:bidi="ar"/>
        </w:rPr>
        <w:t xml:space="preserve">: </w:t>
      </w:r>
      <w:r w:rsidR="00F8509B">
        <w:rPr>
          <w:rFonts w:hint="cs"/>
          <w:rtl/>
          <w:lang w:bidi="ar"/>
        </w:rPr>
        <w:t>ال</w:t>
      </w:r>
      <w:r w:rsidRPr="006B5758">
        <w:rPr>
          <w:rFonts w:hint="cs"/>
          <w:rtl/>
          <w:lang w:bidi="ar"/>
        </w:rPr>
        <w:t>عضوية والمساهمات و</w:t>
      </w:r>
      <w:r w:rsidR="00F8509B">
        <w:rPr>
          <w:rFonts w:hint="cs"/>
          <w:rtl/>
          <w:lang w:bidi="ar"/>
        </w:rPr>
        <w:t xml:space="preserve">عدد السكان </w:t>
      </w:r>
      <w:r w:rsidR="009164FF">
        <w:rPr>
          <w:rFonts w:hint="cs"/>
          <w:rtl/>
          <w:lang w:bidi="ar"/>
        </w:rPr>
        <w:t>وأهمية</w:t>
      </w:r>
      <w:r w:rsidRPr="006B5758">
        <w:rPr>
          <w:rFonts w:hint="cs"/>
          <w:rtl/>
          <w:lang w:bidi="ar"/>
        </w:rPr>
        <w:t xml:space="preserve"> </w:t>
      </w:r>
      <w:r w:rsidR="00F8509B">
        <w:rPr>
          <w:rFonts w:hint="cs"/>
          <w:rtl/>
          <w:lang w:bidi="ar"/>
        </w:rPr>
        <w:t xml:space="preserve">المنصب </w:t>
      </w:r>
      <w:r w:rsidR="00092D63">
        <w:rPr>
          <w:rFonts w:hint="cs"/>
          <w:rtl/>
          <w:lang w:bidi="ar"/>
        </w:rPr>
        <w:t>(ف</w:t>
      </w:r>
      <w:r w:rsidRPr="006B5758">
        <w:rPr>
          <w:rFonts w:hint="cs"/>
          <w:rtl/>
          <w:lang w:bidi="ar"/>
        </w:rPr>
        <w:t xml:space="preserve">كلما ارتفع مستوى الوظيفة </w:t>
      </w:r>
      <w:r w:rsidR="00092D63">
        <w:rPr>
          <w:rFonts w:hint="cs"/>
          <w:rtl/>
          <w:lang w:bidi="ar"/>
        </w:rPr>
        <w:t>ازداد عدد النقاط المخصصة لها</w:t>
      </w:r>
      <w:r w:rsidRPr="006B5758">
        <w:rPr>
          <w:rFonts w:hint="cs"/>
          <w:rtl/>
          <w:lang w:bidi="ar"/>
        </w:rPr>
        <w:t>).</w:t>
      </w:r>
    </w:p>
    <w:p w:rsidR="00092D63" w:rsidRDefault="00092D63" w:rsidP="00D836AB">
      <w:pPr>
        <w:pStyle w:val="NumberedParaAR"/>
        <w:numPr>
          <w:ilvl w:val="0"/>
          <w:numId w:val="22"/>
        </w:numPr>
        <w:ind w:left="1133" w:firstLine="0"/>
      </w:pPr>
      <w:r>
        <w:rPr>
          <w:rFonts w:hint="cs"/>
          <w:rtl/>
          <w:lang w:bidi="ar"/>
        </w:rPr>
        <w:t xml:space="preserve">وأمّا </w:t>
      </w:r>
      <w:r w:rsidRPr="00092D63">
        <w:rPr>
          <w:rFonts w:hint="cs"/>
          <w:rtl/>
          <w:lang w:bidi="ar"/>
        </w:rPr>
        <w:t xml:space="preserve">النهج </w:t>
      </w:r>
      <w:r>
        <w:rPr>
          <w:rFonts w:hint="cs"/>
          <w:rtl/>
          <w:lang w:bidi="ar"/>
        </w:rPr>
        <w:t>الثاني فلا</w:t>
      </w:r>
      <w:r w:rsidRPr="00092D63">
        <w:rPr>
          <w:rFonts w:hint="cs"/>
          <w:rtl/>
          <w:lang w:bidi="ar"/>
        </w:rPr>
        <w:t xml:space="preserve"> </w:t>
      </w:r>
      <w:r>
        <w:rPr>
          <w:rFonts w:hint="cs"/>
          <w:rtl/>
          <w:lang w:bidi="ar"/>
        </w:rPr>
        <w:t xml:space="preserve">يتّبع فيه نظام رسمي أو حصص تعيين </w:t>
      </w:r>
      <w:r w:rsidRPr="00092D63">
        <w:rPr>
          <w:rFonts w:hint="cs"/>
          <w:rtl/>
          <w:lang w:bidi="ar"/>
        </w:rPr>
        <w:t>في تحديد التمثيل الجغرافي للدول الأعضاء (على سبيل المثال، الاتحاد البريدي العالمي (</w:t>
      </w:r>
      <w:r w:rsidRPr="00092D63">
        <w:rPr>
          <w:rFonts w:hint="cs"/>
        </w:rPr>
        <w:t>UPU</w:t>
      </w:r>
      <w:r>
        <w:rPr>
          <w:rFonts w:hint="cs"/>
          <w:rtl/>
          <w:lang w:bidi="ar"/>
        </w:rPr>
        <w:t>)</w:t>
      </w:r>
      <w:r w:rsidRPr="00092D63">
        <w:rPr>
          <w:rFonts w:hint="cs"/>
          <w:rtl/>
          <w:lang w:bidi="ar"/>
        </w:rPr>
        <w:t xml:space="preserve"> والاتحاد الدولي للاتصالات (</w:t>
      </w:r>
      <w:r w:rsidRPr="00092D63">
        <w:rPr>
          <w:rFonts w:hint="cs"/>
        </w:rPr>
        <w:t>ITU</w:t>
      </w:r>
      <w:r>
        <w:rPr>
          <w:rFonts w:hint="cs"/>
          <w:rtl/>
          <w:lang w:bidi="ar"/>
        </w:rPr>
        <w:t>)</w:t>
      </w:r>
      <w:r w:rsidRPr="00092D63">
        <w:rPr>
          <w:rFonts w:hint="cs"/>
          <w:rtl/>
          <w:lang w:bidi="ar"/>
        </w:rPr>
        <w:t xml:space="preserve"> والمنظمة العالمية للأرصاد الجوية (</w:t>
      </w:r>
      <w:r w:rsidRPr="00092D63">
        <w:rPr>
          <w:rFonts w:hint="cs"/>
        </w:rPr>
        <w:t>WMO</w:t>
      </w:r>
      <w:r>
        <w:rPr>
          <w:rFonts w:hint="cs"/>
          <w:rtl/>
          <w:lang w:bidi="ar"/>
        </w:rPr>
        <w:t>)</w:t>
      </w:r>
      <w:r w:rsidRPr="00092D63">
        <w:rPr>
          <w:rFonts w:hint="cs"/>
          <w:rtl/>
          <w:lang w:bidi="ar"/>
        </w:rPr>
        <w:t xml:space="preserve"> </w:t>
      </w:r>
      <w:r>
        <w:rPr>
          <w:rFonts w:hint="cs"/>
          <w:rtl/>
          <w:lang w:bidi="ar"/>
        </w:rPr>
        <w:t xml:space="preserve">والمنظمة البحرية الدولية </w:t>
      </w:r>
      <w:r w:rsidRPr="00092D63">
        <w:rPr>
          <w:rFonts w:hint="cs"/>
          <w:rtl/>
          <w:lang w:bidi="ar"/>
        </w:rPr>
        <w:t>(</w:t>
      </w:r>
      <w:r w:rsidRPr="00092D63">
        <w:rPr>
          <w:rFonts w:hint="cs"/>
        </w:rPr>
        <w:t>IMO</w:t>
      </w:r>
      <w:r>
        <w:rPr>
          <w:rFonts w:hint="cs"/>
          <w:rtl/>
          <w:lang w:bidi="ar"/>
        </w:rPr>
        <w:t>)</w:t>
      </w:r>
      <w:r w:rsidRPr="00092D63">
        <w:rPr>
          <w:rFonts w:hint="cs"/>
          <w:rtl/>
          <w:lang w:bidi="ar"/>
        </w:rPr>
        <w:t xml:space="preserve"> </w:t>
      </w:r>
      <w:r>
        <w:rPr>
          <w:rFonts w:hint="cs"/>
          <w:rtl/>
          <w:lang w:bidi="ar"/>
        </w:rPr>
        <w:t>وال</w:t>
      </w:r>
      <w:r w:rsidRPr="00092D63">
        <w:rPr>
          <w:rFonts w:hint="cs"/>
          <w:rtl/>
          <w:lang w:bidi="ar"/>
        </w:rPr>
        <w:t>وكالة الدولية للطاقة الذرية (</w:t>
      </w:r>
      <w:r w:rsidRPr="00092D63">
        <w:rPr>
          <w:rFonts w:hint="cs"/>
        </w:rPr>
        <w:t>IAEA</w:t>
      </w:r>
      <w:r>
        <w:rPr>
          <w:rFonts w:hint="cs"/>
          <w:rtl/>
          <w:lang w:bidi="ar"/>
        </w:rPr>
        <w:t>)</w:t>
      </w:r>
      <w:r w:rsidRPr="00092D63">
        <w:rPr>
          <w:rFonts w:hint="cs"/>
          <w:rtl/>
          <w:lang w:bidi="ar"/>
        </w:rPr>
        <w:t xml:space="preserve"> </w:t>
      </w:r>
      <w:r>
        <w:rPr>
          <w:rFonts w:hint="cs"/>
          <w:rtl/>
          <w:lang w:bidi="ar"/>
        </w:rPr>
        <w:t>و</w:t>
      </w:r>
      <w:r w:rsidRPr="00092D63">
        <w:rPr>
          <w:rFonts w:hint="cs"/>
          <w:rtl/>
          <w:lang w:bidi="ar"/>
        </w:rPr>
        <w:t>برنامج الأغذية العالمي (</w:t>
      </w:r>
      <w:r w:rsidRPr="00092D63">
        <w:rPr>
          <w:rFonts w:hint="cs"/>
        </w:rPr>
        <w:t>WFP</w:t>
      </w:r>
      <w:r>
        <w:rPr>
          <w:rFonts w:hint="cs"/>
          <w:rtl/>
          <w:lang w:bidi="ar"/>
        </w:rPr>
        <w:t>)</w:t>
      </w:r>
      <w:r w:rsidRPr="00092D63">
        <w:rPr>
          <w:rFonts w:hint="cs"/>
          <w:rtl/>
          <w:lang w:bidi="ar"/>
        </w:rPr>
        <w:t xml:space="preserve"> </w:t>
      </w:r>
      <w:r>
        <w:rPr>
          <w:rFonts w:hint="cs"/>
          <w:rtl/>
          <w:lang w:bidi="ar"/>
        </w:rPr>
        <w:t>و</w:t>
      </w:r>
      <w:r w:rsidRPr="00092D63">
        <w:rPr>
          <w:rFonts w:hint="cs"/>
          <w:rtl/>
          <w:lang w:bidi="ar"/>
        </w:rPr>
        <w:t>برنامج الأمم المتحدة الإنمائي (</w:t>
      </w:r>
      <w:r w:rsidRPr="00092D63">
        <w:rPr>
          <w:rFonts w:hint="cs"/>
        </w:rPr>
        <w:t>UNDP</w:t>
      </w:r>
      <w:r>
        <w:rPr>
          <w:rFonts w:hint="cs"/>
          <w:rtl/>
          <w:lang w:bidi="ar"/>
        </w:rPr>
        <w:t xml:space="preserve">) </w:t>
      </w:r>
      <w:r w:rsidRPr="00092D63">
        <w:rPr>
          <w:rtl/>
          <w:lang w:bidi="ar"/>
        </w:rPr>
        <w:t>وصندوق طوارئ الأمم المتحدة للطفولة (اليونيسف)</w:t>
      </w:r>
      <w:r>
        <w:rPr>
          <w:rFonts w:hint="cs"/>
          <w:rtl/>
          <w:lang w:bidi="ar"/>
        </w:rPr>
        <w:t xml:space="preserve"> (</w:t>
      </w:r>
      <w:r>
        <w:rPr>
          <w:lang w:bidi="ar"/>
        </w:rPr>
        <w:t>UNICEF</w:t>
      </w:r>
      <w:r>
        <w:rPr>
          <w:rFonts w:hint="cs"/>
          <w:rtl/>
          <w:lang w:bidi="ar"/>
        </w:rPr>
        <w:t>)</w:t>
      </w:r>
      <w:r w:rsidRPr="00092D63">
        <w:rPr>
          <w:rFonts w:hint="cs"/>
          <w:rtl/>
          <w:lang w:bidi="ar"/>
        </w:rPr>
        <w:t xml:space="preserve"> </w:t>
      </w:r>
      <w:r w:rsidRPr="00092D63">
        <w:rPr>
          <w:rtl/>
          <w:lang w:bidi="ar"/>
        </w:rPr>
        <w:t>والمفوضية السامية للأمم المتحدة لشؤون اللاجئين</w:t>
      </w:r>
      <w:r w:rsidRPr="00092D63">
        <w:rPr>
          <w:rFonts w:hint="cs"/>
          <w:rtl/>
          <w:lang w:bidi="ar"/>
        </w:rPr>
        <w:t xml:space="preserve"> (</w:t>
      </w:r>
      <w:r w:rsidRPr="00092D63">
        <w:rPr>
          <w:rFonts w:hint="cs"/>
        </w:rPr>
        <w:t>UNHCR</w:t>
      </w:r>
      <w:r>
        <w:rPr>
          <w:rFonts w:hint="cs"/>
          <w:rtl/>
          <w:lang w:bidi="ar"/>
        </w:rPr>
        <w:t>)</w:t>
      </w:r>
      <w:r w:rsidRPr="00092D63">
        <w:rPr>
          <w:rFonts w:hint="cs"/>
          <w:rtl/>
          <w:lang w:bidi="ar"/>
        </w:rPr>
        <w:t xml:space="preserve"> </w:t>
      </w:r>
      <w:r w:rsidRPr="00092D63">
        <w:rPr>
          <w:rtl/>
          <w:lang w:bidi="ar"/>
        </w:rPr>
        <w:t xml:space="preserve">وبرنامج الأمم المتحدة المشترك المعني بفيروس نقص المناعة البشرية/متلازمة نقص المناعة المكتسب </w:t>
      </w:r>
      <w:r>
        <w:rPr>
          <w:rFonts w:hint="cs"/>
          <w:rtl/>
          <w:lang w:bidi="ar"/>
        </w:rPr>
        <w:t>(</w:t>
      </w:r>
      <w:r>
        <w:rPr>
          <w:lang w:bidi="ar"/>
        </w:rPr>
        <w:t>UNAIDS</w:t>
      </w:r>
      <w:r>
        <w:rPr>
          <w:rFonts w:hint="cs"/>
          <w:rtl/>
          <w:lang w:bidi="ar"/>
        </w:rPr>
        <w:t xml:space="preserve">) </w:t>
      </w:r>
      <w:r w:rsidRPr="00092D63">
        <w:rPr>
          <w:rFonts w:hint="cs"/>
          <w:rtl/>
          <w:lang w:bidi="ar"/>
        </w:rPr>
        <w:t>وصندوق الأمم المتحدة للسكان (</w:t>
      </w:r>
      <w:r w:rsidRPr="00092D63">
        <w:rPr>
          <w:rFonts w:hint="cs"/>
        </w:rPr>
        <w:t>UNFPA</w:t>
      </w:r>
      <w:r>
        <w:rPr>
          <w:rFonts w:hint="cs"/>
          <w:rtl/>
          <w:lang w:bidi="ar"/>
        </w:rPr>
        <w:t>)</w:t>
      </w:r>
      <w:r w:rsidRPr="00092D63">
        <w:rPr>
          <w:rFonts w:hint="cs"/>
          <w:rtl/>
          <w:lang w:bidi="ar"/>
        </w:rPr>
        <w:t xml:space="preserve"> ومنظمة الأمم المتحدة للسياحة العالمية (</w:t>
      </w:r>
      <w:r w:rsidRPr="00092D63">
        <w:rPr>
          <w:rFonts w:hint="cs"/>
        </w:rPr>
        <w:t>UNWTO</w:t>
      </w:r>
      <w:r w:rsidRPr="00092D63">
        <w:rPr>
          <w:rFonts w:hint="cs"/>
          <w:rtl/>
          <w:lang w:bidi="ar"/>
        </w:rPr>
        <w:t xml:space="preserve">)). </w:t>
      </w:r>
      <w:r w:rsidR="008B30FD">
        <w:rPr>
          <w:rFonts w:hint="cs"/>
          <w:rtl/>
          <w:lang w:bidi="ar"/>
        </w:rPr>
        <w:t xml:space="preserve">وترى </w:t>
      </w:r>
      <w:r w:rsidRPr="00092D63">
        <w:rPr>
          <w:rFonts w:hint="cs"/>
          <w:rtl/>
          <w:lang w:bidi="ar"/>
        </w:rPr>
        <w:t>بعض هذه المنظمات (برنامج الأمم المتحدة الإنمائي واليونيس</w:t>
      </w:r>
      <w:r w:rsidR="008B30FD">
        <w:rPr>
          <w:rFonts w:hint="cs"/>
          <w:rtl/>
          <w:lang w:bidi="ar"/>
        </w:rPr>
        <w:t>يف وبرنامج الأغذية العالمي) أن التوزيع الجغرافي العادل</w:t>
      </w:r>
      <w:r w:rsidRPr="00092D63">
        <w:rPr>
          <w:rFonts w:hint="cs"/>
          <w:rtl/>
          <w:lang w:bidi="ar"/>
        </w:rPr>
        <w:t xml:space="preserve"> </w:t>
      </w:r>
      <w:r w:rsidR="008B30FD">
        <w:rPr>
          <w:rFonts w:hint="cs"/>
          <w:rtl/>
          <w:lang w:bidi="ar"/>
        </w:rPr>
        <w:t>يكمن في</w:t>
      </w:r>
      <w:r w:rsidRPr="00092D63">
        <w:rPr>
          <w:rFonts w:hint="cs"/>
          <w:rtl/>
          <w:lang w:bidi="ar"/>
        </w:rPr>
        <w:t xml:space="preserve"> </w:t>
      </w:r>
      <w:r w:rsidR="008B30FD">
        <w:rPr>
          <w:rFonts w:hint="cs"/>
          <w:rtl/>
          <w:lang w:bidi="ar"/>
        </w:rPr>
        <w:t xml:space="preserve">تحقيق </w:t>
      </w:r>
      <w:r w:rsidRPr="00092D63">
        <w:rPr>
          <w:rFonts w:hint="cs"/>
          <w:rtl/>
          <w:lang w:bidi="ar"/>
        </w:rPr>
        <w:t xml:space="preserve">التوازن بين البلدان </w:t>
      </w:r>
      <w:r w:rsidR="008B30FD">
        <w:rPr>
          <w:rFonts w:hint="cs"/>
          <w:rtl/>
          <w:lang w:bidi="ar"/>
        </w:rPr>
        <w:t>المانحة/</w:t>
      </w:r>
      <w:r w:rsidRPr="00092D63">
        <w:rPr>
          <w:rFonts w:hint="cs"/>
          <w:rtl/>
          <w:lang w:bidi="ar"/>
        </w:rPr>
        <w:t>الصناعية و</w:t>
      </w:r>
      <w:r w:rsidR="008B30FD">
        <w:rPr>
          <w:rFonts w:hint="cs"/>
          <w:rtl/>
          <w:lang w:bidi="ar"/>
        </w:rPr>
        <w:t>بلدان البرنامج/</w:t>
      </w:r>
      <w:r w:rsidRPr="00092D63">
        <w:rPr>
          <w:rFonts w:hint="cs"/>
          <w:rtl/>
          <w:lang w:bidi="ar"/>
        </w:rPr>
        <w:t xml:space="preserve"> </w:t>
      </w:r>
      <w:r w:rsidRPr="00092D63">
        <w:rPr>
          <w:rFonts w:hint="cs"/>
          <w:rtl/>
          <w:lang w:bidi="ar"/>
        </w:rPr>
        <w:lastRenderedPageBreak/>
        <w:t xml:space="preserve">النامية، أو بين </w:t>
      </w:r>
      <w:r w:rsidR="008B30FD">
        <w:rPr>
          <w:rFonts w:hint="cs"/>
          <w:rtl/>
          <w:lang w:bidi="ar"/>
        </w:rPr>
        <w:t xml:space="preserve">الشمال والجنوب </w:t>
      </w:r>
      <w:r w:rsidRPr="00092D63">
        <w:rPr>
          <w:rFonts w:hint="cs"/>
          <w:rtl/>
          <w:lang w:bidi="ar"/>
        </w:rPr>
        <w:t>(</w:t>
      </w:r>
      <w:r w:rsidR="008B30FD" w:rsidRPr="008B30FD">
        <w:rPr>
          <w:rtl/>
          <w:lang w:bidi="ar"/>
        </w:rPr>
        <w:t>المفوضية السامية للأمم المتحدة لشؤون اللاجئين ووكالة الأمم المتحدة لإغاثة وتشغيل اللاجئين الفلسطينيين في الشرق الأدنى</w:t>
      </w:r>
      <w:r w:rsidR="008B30FD">
        <w:rPr>
          <w:rFonts w:hint="cs"/>
          <w:rtl/>
          <w:lang w:bidi="ar"/>
        </w:rPr>
        <w:t>)</w:t>
      </w:r>
      <w:r w:rsidRPr="00092D63">
        <w:rPr>
          <w:rFonts w:hint="cs"/>
          <w:rtl/>
          <w:lang w:bidi="ar"/>
        </w:rPr>
        <w:t xml:space="preserve">. </w:t>
      </w:r>
      <w:r w:rsidR="008B30FD">
        <w:rPr>
          <w:rFonts w:hint="cs"/>
          <w:rtl/>
          <w:lang w:bidi="ar"/>
        </w:rPr>
        <w:t>وتراعي كل من هذه المنظمات مسألة التوازن الجغرافي ولكن</w:t>
      </w:r>
      <w:r w:rsidRPr="00092D63">
        <w:rPr>
          <w:rFonts w:hint="cs"/>
          <w:rtl/>
          <w:lang w:bidi="ar"/>
        </w:rPr>
        <w:t xml:space="preserve"> </w:t>
      </w:r>
      <w:r w:rsidR="008B30FD">
        <w:rPr>
          <w:rFonts w:hint="cs"/>
          <w:rtl/>
          <w:lang w:bidi="ar"/>
        </w:rPr>
        <w:t xml:space="preserve">دون </w:t>
      </w:r>
      <w:r w:rsidRPr="00092D63">
        <w:rPr>
          <w:rFonts w:hint="cs"/>
          <w:rtl/>
          <w:lang w:bidi="ar"/>
        </w:rPr>
        <w:t>تطبيق نظام الحصص.</w:t>
      </w:r>
    </w:p>
    <w:p w:rsidR="008B30FD" w:rsidRDefault="008B30FD" w:rsidP="00D836AB">
      <w:pPr>
        <w:pStyle w:val="NumberedParaAR"/>
        <w:numPr>
          <w:ilvl w:val="0"/>
          <w:numId w:val="0"/>
        </w:numPr>
        <w:ind w:left="567"/>
        <w:rPr>
          <w:rtl/>
          <w:lang w:bidi="ar"/>
        </w:rPr>
      </w:pPr>
      <w:r>
        <w:rPr>
          <w:rFonts w:hint="cs"/>
          <w:rtl/>
          <w:lang w:bidi="ar"/>
        </w:rPr>
        <w:t>(ج)</w:t>
      </w:r>
      <w:r>
        <w:rPr>
          <w:rFonts w:hint="cs"/>
          <w:rtl/>
          <w:lang w:bidi="ar"/>
        </w:rPr>
        <w:tab/>
        <w:t xml:space="preserve">وأقرّت وحدة التفتيش المشتركة أنه قد يصعب </w:t>
      </w:r>
      <w:r w:rsidRPr="008B30FD">
        <w:rPr>
          <w:rFonts w:hint="cs"/>
          <w:rtl/>
          <w:lang w:bidi="ar"/>
        </w:rPr>
        <w:t xml:space="preserve">إدخال نظام الحصص </w:t>
      </w:r>
      <w:r>
        <w:rPr>
          <w:rFonts w:hint="cs"/>
          <w:rtl/>
          <w:lang w:bidi="ar"/>
        </w:rPr>
        <w:t>في المنظمات الصغيرة</w:t>
      </w:r>
      <w:r w:rsidRPr="008B30FD">
        <w:rPr>
          <w:rFonts w:hint="cs"/>
          <w:rtl/>
          <w:lang w:bidi="ar"/>
        </w:rPr>
        <w:t xml:space="preserve"> </w:t>
      </w:r>
      <w:r>
        <w:rPr>
          <w:rFonts w:hint="cs"/>
          <w:rtl/>
          <w:lang w:bidi="ar"/>
        </w:rPr>
        <w:t xml:space="preserve">التي يكون فيها عدد </w:t>
      </w:r>
      <w:r w:rsidRPr="008B30FD">
        <w:rPr>
          <w:rFonts w:hint="cs"/>
          <w:rtl/>
          <w:lang w:bidi="ar"/>
        </w:rPr>
        <w:t>الوظائف</w:t>
      </w:r>
      <w:r>
        <w:rPr>
          <w:rFonts w:hint="cs"/>
          <w:rtl/>
          <w:lang w:bidi="ar"/>
        </w:rPr>
        <w:t xml:space="preserve"> محدودا.</w:t>
      </w:r>
    </w:p>
    <w:p w:rsidR="008B30FD" w:rsidRDefault="008B30FD" w:rsidP="00D836AB">
      <w:pPr>
        <w:pStyle w:val="NumberedParaAR"/>
        <w:numPr>
          <w:ilvl w:val="0"/>
          <w:numId w:val="0"/>
        </w:numPr>
        <w:ind w:left="567"/>
        <w:rPr>
          <w:rtl/>
          <w:lang w:bidi="ar"/>
        </w:rPr>
      </w:pPr>
      <w:r>
        <w:rPr>
          <w:rFonts w:hint="cs"/>
          <w:rtl/>
          <w:lang w:bidi="ar"/>
        </w:rPr>
        <w:t>(د)</w:t>
      </w:r>
      <w:r>
        <w:rPr>
          <w:rFonts w:hint="cs"/>
          <w:rtl/>
          <w:lang w:bidi="ar"/>
        </w:rPr>
        <w:tab/>
      </w:r>
      <w:r w:rsidR="00D941D0">
        <w:rPr>
          <w:rFonts w:hint="cs"/>
          <w:rtl/>
          <w:lang w:bidi="ar"/>
        </w:rPr>
        <w:t>ويغطي</w:t>
      </w:r>
      <w:r w:rsidR="00D941D0">
        <w:rPr>
          <w:rtl/>
          <w:lang w:bidi="ar"/>
        </w:rPr>
        <w:t xml:space="preserve"> التوزيع الجغرافي (سواء </w:t>
      </w:r>
      <w:r w:rsidR="00D941D0">
        <w:rPr>
          <w:rFonts w:hint="cs"/>
          <w:rtl/>
          <w:lang w:bidi="ar"/>
        </w:rPr>
        <w:t>عبر</w:t>
      </w:r>
      <w:r w:rsidRPr="008B30FD">
        <w:rPr>
          <w:rtl/>
          <w:lang w:bidi="ar"/>
        </w:rPr>
        <w:t xml:space="preserve"> نظام رسمي</w:t>
      </w:r>
      <w:r w:rsidR="00D941D0">
        <w:rPr>
          <w:rtl/>
          <w:lang w:bidi="ar"/>
        </w:rPr>
        <w:t xml:space="preserve"> أو لا)</w:t>
      </w:r>
      <w:r w:rsidRPr="008B30FD">
        <w:rPr>
          <w:rtl/>
          <w:lang w:bidi="ar"/>
        </w:rPr>
        <w:t xml:space="preserve"> </w:t>
      </w:r>
      <w:r w:rsidR="00D941D0">
        <w:rPr>
          <w:rFonts w:hint="cs"/>
          <w:rtl/>
          <w:lang w:bidi="ar"/>
        </w:rPr>
        <w:t xml:space="preserve">وظائف </w:t>
      </w:r>
      <w:r w:rsidRPr="008B30FD">
        <w:rPr>
          <w:rtl/>
          <w:lang w:bidi="ar"/>
        </w:rPr>
        <w:t>الف</w:t>
      </w:r>
      <w:r w:rsidR="00D941D0">
        <w:rPr>
          <w:rtl/>
          <w:lang w:bidi="ar"/>
        </w:rPr>
        <w:t>ئة الفنية والفئات العليا،</w:t>
      </w:r>
      <w:r w:rsidRPr="008B30FD">
        <w:rPr>
          <w:rtl/>
          <w:lang w:bidi="ar"/>
        </w:rPr>
        <w:t xml:space="preserve"> باستثناء </w:t>
      </w:r>
      <w:r w:rsidR="00D941D0">
        <w:rPr>
          <w:rFonts w:hint="cs"/>
          <w:rtl/>
          <w:lang w:bidi="ar"/>
        </w:rPr>
        <w:t xml:space="preserve">وظائف الخدمات اللغوية </w:t>
      </w:r>
      <w:r w:rsidR="00D941D0">
        <w:rPr>
          <w:rtl/>
          <w:lang w:bidi="ar"/>
        </w:rPr>
        <w:t>وتلك ال</w:t>
      </w:r>
      <w:r w:rsidR="00D941D0">
        <w:rPr>
          <w:rFonts w:hint="cs"/>
          <w:rtl/>
          <w:lang w:bidi="ar"/>
        </w:rPr>
        <w:t>م</w:t>
      </w:r>
      <w:r w:rsidRPr="008B30FD">
        <w:rPr>
          <w:rtl/>
          <w:lang w:bidi="ar"/>
        </w:rPr>
        <w:t>م</w:t>
      </w:r>
      <w:r w:rsidR="00D941D0">
        <w:rPr>
          <w:rFonts w:hint="cs"/>
          <w:rtl/>
          <w:lang w:bidi="ar"/>
        </w:rPr>
        <w:t>وّلة</w:t>
      </w:r>
      <w:r w:rsidR="00D941D0">
        <w:rPr>
          <w:rtl/>
          <w:lang w:bidi="ar"/>
        </w:rPr>
        <w:t xml:space="preserve"> </w:t>
      </w:r>
      <w:r w:rsidRPr="008B30FD">
        <w:rPr>
          <w:rtl/>
          <w:lang w:bidi="ar"/>
        </w:rPr>
        <w:t>من خارج الميزانية العادية</w:t>
      </w:r>
      <w:r w:rsidR="00D941D0">
        <w:rPr>
          <w:rFonts w:hint="cs"/>
          <w:rtl/>
          <w:lang w:bidi="ar"/>
        </w:rPr>
        <w:t xml:space="preserve"> عموما</w:t>
      </w:r>
      <w:r w:rsidRPr="008B30FD">
        <w:rPr>
          <w:rtl/>
          <w:lang w:bidi="ar"/>
        </w:rPr>
        <w:t xml:space="preserve">. </w:t>
      </w:r>
      <w:r w:rsidR="00D941D0">
        <w:rPr>
          <w:rFonts w:hint="cs"/>
          <w:rtl/>
          <w:lang w:bidi="ar"/>
        </w:rPr>
        <w:t xml:space="preserve">وتمتثل </w:t>
      </w:r>
      <w:r w:rsidR="00D941D0">
        <w:rPr>
          <w:rtl/>
          <w:lang w:bidi="ar"/>
        </w:rPr>
        <w:t>الويبو</w:t>
      </w:r>
      <w:r w:rsidRPr="008B30FD">
        <w:rPr>
          <w:rtl/>
          <w:lang w:bidi="ar"/>
        </w:rPr>
        <w:t xml:space="preserve"> </w:t>
      </w:r>
      <w:r w:rsidR="00D941D0">
        <w:rPr>
          <w:rFonts w:hint="cs"/>
          <w:rtl/>
          <w:lang w:bidi="ar"/>
        </w:rPr>
        <w:t xml:space="preserve">هذا </w:t>
      </w:r>
      <w:r w:rsidRPr="008B30FD">
        <w:rPr>
          <w:rtl/>
          <w:lang w:bidi="ar"/>
        </w:rPr>
        <w:t>التمييز.</w:t>
      </w:r>
    </w:p>
    <w:p w:rsidR="00D941D0" w:rsidRDefault="00D941D0" w:rsidP="00D836AB">
      <w:pPr>
        <w:pStyle w:val="NumberedParaAR"/>
        <w:numPr>
          <w:ilvl w:val="0"/>
          <w:numId w:val="0"/>
        </w:numPr>
        <w:ind w:left="567"/>
        <w:rPr>
          <w:rtl/>
          <w:lang w:bidi="ar"/>
        </w:rPr>
      </w:pPr>
      <w:r>
        <w:rPr>
          <w:rFonts w:hint="cs"/>
          <w:rtl/>
        </w:rPr>
        <w:t>(ه)</w:t>
      </w:r>
      <w:r>
        <w:rPr>
          <w:rFonts w:hint="cs"/>
          <w:rtl/>
        </w:rPr>
        <w:tab/>
        <w:t>و</w:t>
      </w:r>
      <w:r>
        <w:rPr>
          <w:rFonts w:hint="cs"/>
          <w:rtl/>
          <w:lang w:bidi="ar"/>
        </w:rPr>
        <w:t>ينطوي عمل الويبو</w:t>
      </w:r>
      <w:r w:rsidRPr="00D941D0">
        <w:rPr>
          <w:rFonts w:hint="cs"/>
          <w:rtl/>
          <w:lang w:bidi="ar"/>
        </w:rPr>
        <w:t xml:space="preserve"> </w:t>
      </w:r>
      <w:r>
        <w:rPr>
          <w:rFonts w:hint="cs"/>
          <w:rtl/>
          <w:lang w:bidi="ar"/>
        </w:rPr>
        <w:t xml:space="preserve">على </w:t>
      </w:r>
      <w:r w:rsidRPr="00D941D0">
        <w:rPr>
          <w:rFonts w:hint="cs"/>
          <w:rtl/>
          <w:lang w:bidi="ar"/>
        </w:rPr>
        <w:t>أنواع أخرى</w:t>
      </w:r>
      <w:r>
        <w:rPr>
          <w:rFonts w:hint="cs"/>
          <w:rtl/>
          <w:lang w:bidi="ar"/>
        </w:rPr>
        <w:t xml:space="preserve"> من الوظائف في مجالات التشغيل وال</w:t>
      </w:r>
      <w:r w:rsidRPr="00D941D0">
        <w:rPr>
          <w:rFonts w:hint="cs"/>
          <w:rtl/>
          <w:lang w:bidi="ar"/>
        </w:rPr>
        <w:t>معالجة</w:t>
      </w:r>
      <w:r w:rsidR="002F4B9F">
        <w:rPr>
          <w:rFonts w:hint="cs"/>
          <w:rtl/>
          <w:lang w:bidi="ar"/>
        </w:rPr>
        <w:t>،</w:t>
      </w:r>
      <w:r w:rsidRPr="00D941D0">
        <w:rPr>
          <w:rFonts w:hint="cs"/>
          <w:rtl/>
          <w:lang w:bidi="ar"/>
        </w:rPr>
        <w:t xml:space="preserve"> مثل معاهدة التعاون بشأن البراءات و</w:t>
      </w:r>
      <w:r w:rsidR="002F4B9F">
        <w:rPr>
          <w:rFonts w:hint="cs"/>
          <w:rtl/>
          <w:lang w:bidi="ar"/>
        </w:rPr>
        <w:t xml:space="preserve">معاهدة </w:t>
      </w:r>
      <w:r w:rsidRPr="00D941D0">
        <w:rPr>
          <w:rFonts w:hint="cs"/>
          <w:rtl/>
          <w:lang w:bidi="ar"/>
        </w:rPr>
        <w:t>مدريد و</w:t>
      </w:r>
      <w:r w:rsidR="002F4B9F">
        <w:rPr>
          <w:rFonts w:hint="cs"/>
          <w:rtl/>
          <w:lang w:bidi="ar"/>
        </w:rPr>
        <w:t>معاهدة لاهاي، تتطلب كفاءات مفصّلة وبشكل أساسي وفقا لاحتي</w:t>
      </w:r>
      <w:r w:rsidRPr="00D941D0">
        <w:rPr>
          <w:rFonts w:hint="cs"/>
          <w:rtl/>
          <w:lang w:bidi="ar"/>
        </w:rPr>
        <w:t>ا</w:t>
      </w:r>
      <w:r w:rsidR="002F4B9F">
        <w:rPr>
          <w:rFonts w:hint="cs"/>
          <w:rtl/>
          <w:lang w:bidi="ar"/>
        </w:rPr>
        <w:t>جات ا</w:t>
      </w:r>
      <w:r w:rsidRPr="00D941D0">
        <w:rPr>
          <w:rFonts w:hint="cs"/>
          <w:rtl/>
          <w:lang w:bidi="ar"/>
        </w:rPr>
        <w:t xml:space="preserve">لمستخدم. </w:t>
      </w:r>
      <w:r w:rsidR="002F4B9F">
        <w:rPr>
          <w:rFonts w:hint="cs"/>
          <w:rtl/>
          <w:lang w:bidi="ar"/>
        </w:rPr>
        <w:t>و</w:t>
      </w:r>
      <w:r w:rsidRPr="00D941D0">
        <w:rPr>
          <w:rFonts w:hint="cs"/>
          <w:rtl/>
          <w:lang w:bidi="ar"/>
        </w:rPr>
        <w:t>نظرا لل</w:t>
      </w:r>
      <w:r w:rsidR="002F4B9F">
        <w:rPr>
          <w:rFonts w:hint="cs"/>
          <w:rtl/>
          <w:lang w:bidi="ar"/>
        </w:rPr>
        <w:t>منحى الخدميّ ل</w:t>
      </w:r>
      <w:r w:rsidRPr="00D941D0">
        <w:rPr>
          <w:rFonts w:hint="cs"/>
          <w:rtl/>
          <w:lang w:bidi="ar"/>
        </w:rPr>
        <w:t>هذه الوظائف الموجه</w:t>
      </w:r>
      <w:r w:rsidR="002F4B9F">
        <w:rPr>
          <w:rFonts w:hint="cs"/>
          <w:rtl/>
          <w:lang w:bidi="ar"/>
        </w:rPr>
        <w:t>ّة بصفة خاصة لمستخدمي</w:t>
      </w:r>
      <w:r w:rsidRPr="00D941D0">
        <w:rPr>
          <w:rFonts w:hint="cs"/>
          <w:rtl/>
          <w:lang w:bidi="ar"/>
        </w:rPr>
        <w:t xml:space="preserve"> خدمات الويبو </w:t>
      </w:r>
      <w:r w:rsidR="002F4B9F">
        <w:rPr>
          <w:rFonts w:hint="cs"/>
          <w:rtl/>
          <w:lang w:bidi="ar"/>
        </w:rPr>
        <w:t xml:space="preserve">لتسجيل الملكية الفكرية ونتيجة لارتفاع عدد </w:t>
      </w:r>
      <w:r w:rsidRPr="00D941D0">
        <w:rPr>
          <w:rFonts w:hint="cs"/>
          <w:rtl/>
          <w:lang w:bidi="ar"/>
        </w:rPr>
        <w:t>المستخدمين في بعض البلدان أكثر من غيرها، فمن الطبيعي أن يص</w:t>
      </w:r>
      <w:r w:rsidR="002F4B9F">
        <w:rPr>
          <w:rFonts w:hint="cs"/>
          <w:rtl/>
          <w:lang w:bidi="ar"/>
        </w:rPr>
        <w:t>عب تطبيق مبدأ التوزيع الجغرافي على هذه الوظائف. ومن أمثلة هذه الوظائف: الفاحصون</w:t>
      </w:r>
      <w:r w:rsidR="002F4B9F">
        <w:rPr>
          <w:rStyle w:val="FootnoteReference"/>
          <w:rtl/>
          <w:lang w:bidi="ar"/>
        </w:rPr>
        <w:footnoteReference w:id="2"/>
      </w:r>
      <w:r w:rsidR="002F4B9F">
        <w:rPr>
          <w:rFonts w:hint="cs"/>
          <w:rtl/>
          <w:lang w:bidi="ar"/>
        </w:rPr>
        <w:t xml:space="preserve"> </w:t>
      </w:r>
      <w:r w:rsidRPr="00D941D0">
        <w:rPr>
          <w:rFonts w:hint="cs"/>
          <w:rtl/>
          <w:lang w:bidi="ar"/>
        </w:rPr>
        <w:t>و</w:t>
      </w:r>
      <w:r w:rsidR="002F4B9F">
        <w:rPr>
          <w:rFonts w:hint="cs"/>
          <w:rtl/>
          <w:lang w:bidi="ar"/>
        </w:rPr>
        <w:t>بعض الوظائف</w:t>
      </w:r>
      <w:r w:rsidRPr="00D941D0">
        <w:rPr>
          <w:rFonts w:hint="cs"/>
          <w:rtl/>
          <w:lang w:bidi="ar"/>
        </w:rPr>
        <w:t xml:space="preserve"> القانونية</w:t>
      </w:r>
      <w:r w:rsidR="002F4B9F">
        <w:rPr>
          <w:rFonts w:hint="cs"/>
          <w:rtl/>
          <w:lang w:bidi="ar"/>
        </w:rPr>
        <w:t xml:space="preserve"> المحددة</w:t>
      </w:r>
      <w:r w:rsidRPr="00D941D0">
        <w:rPr>
          <w:rFonts w:hint="cs"/>
          <w:rtl/>
          <w:lang w:bidi="ar"/>
        </w:rPr>
        <w:t>.</w:t>
      </w:r>
    </w:p>
    <w:p w:rsidR="002F331B" w:rsidRDefault="002F331B" w:rsidP="00D836AB">
      <w:pPr>
        <w:pStyle w:val="NumberedParaAR"/>
        <w:numPr>
          <w:ilvl w:val="0"/>
          <w:numId w:val="0"/>
        </w:numPr>
        <w:ind w:left="567"/>
        <w:rPr>
          <w:rtl/>
          <w:lang w:bidi="ar"/>
        </w:rPr>
      </w:pPr>
      <w:r>
        <w:rPr>
          <w:rFonts w:hint="cs"/>
          <w:rtl/>
          <w:lang w:bidi="ar"/>
        </w:rPr>
        <w:t>(و)</w:t>
      </w:r>
      <w:r>
        <w:rPr>
          <w:rFonts w:hint="cs"/>
          <w:rtl/>
          <w:lang w:bidi="ar"/>
        </w:rPr>
        <w:tab/>
      </w:r>
      <w:r w:rsidRPr="002F331B">
        <w:rPr>
          <w:rFonts w:hint="cs"/>
          <w:rtl/>
          <w:lang w:bidi="ar"/>
        </w:rPr>
        <w:t xml:space="preserve">وإجمالا، باستثناء </w:t>
      </w:r>
      <w:r>
        <w:rPr>
          <w:rFonts w:hint="cs"/>
          <w:rtl/>
          <w:lang w:bidi="ar"/>
        </w:rPr>
        <w:t>الوظائف المذكورة في الفقرات السابقة 5 (د) و</w:t>
      </w:r>
      <w:r w:rsidRPr="002F331B">
        <w:rPr>
          <w:rFonts w:hint="cs"/>
          <w:rtl/>
          <w:lang w:bidi="ar"/>
        </w:rPr>
        <w:t xml:space="preserve">5 (ه) أعلاه، </w:t>
      </w:r>
      <w:r>
        <w:rPr>
          <w:rFonts w:hint="cs"/>
          <w:rtl/>
          <w:lang w:bidi="ar"/>
        </w:rPr>
        <w:t xml:space="preserve">تخضع </w:t>
      </w:r>
      <w:r w:rsidRPr="002F331B">
        <w:rPr>
          <w:rFonts w:hint="cs"/>
          <w:rtl/>
          <w:lang w:bidi="ar"/>
        </w:rPr>
        <w:t>قر</w:t>
      </w:r>
      <w:r>
        <w:rPr>
          <w:rFonts w:hint="cs"/>
          <w:rtl/>
          <w:lang w:bidi="ar"/>
        </w:rPr>
        <w:t>ا</w:t>
      </w:r>
      <w:r w:rsidRPr="002F331B">
        <w:rPr>
          <w:rFonts w:hint="cs"/>
          <w:rtl/>
          <w:lang w:bidi="ar"/>
        </w:rPr>
        <w:t>ب</w:t>
      </w:r>
      <w:r>
        <w:rPr>
          <w:rFonts w:hint="cs"/>
          <w:rtl/>
          <w:lang w:bidi="ar"/>
        </w:rPr>
        <w:t xml:space="preserve">ة 400 وظيفة في الويبو </w:t>
      </w:r>
      <w:r w:rsidRPr="002F331B">
        <w:rPr>
          <w:rFonts w:hint="cs"/>
          <w:rtl/>
          <w:lang w:bidi="ar"/>
        </w:rPr>
        <w:t xml:space="preserve">للتوزيع الجغرافي. </w:t>
      </w:r>
      <w:r>
        <w:rPr>
          <w:rFonts w:hint="cs"/>
          <w:rtl/>
          <w:lang w:bidi="ar"/>
        </w:rPr>
        <w:t>وفرص الشواغر الوظي</w:t>
      </w:r>
      <w:r w:rsidRPr="002F331B">
        <w:rPr>
          <w:rFonts w:hint="cs"/>
          <w:rtl/>
          <w:lang w:bidi="ar"/>
        </w:rPr>
        <w:t>ف</w:t>
      </w:r>
      <w:r>
        <w:rPr>
          <w:rFonts w:hint="cs"/>
          <w:rtl/>
          <w:lang w:bidi="ar"/>
        </w:rPr>
        <w:t>ية</w:t>
      </w:r>
      <w:r w:rsidRPr="002F331B">
        <w:rPr>
          <w:rFonts w:hint="cs"/>
          <w:rtl/>
          <w:lang w:bidi="ar"/>
        </w:rPr>
        <w:t xml:space="preserve"> محدودة. ومن المتوقع</w:t>
      </w:r>
      <w:r>
        <w:rPr>
          <w:rFonts w:hint="cs"/>
          <w:rtl/>
          <w:lang w:bidi="ar"/>
        </w:rPr>
        <w:t>،</w:t>
      </w:r>
      <w:r w:rsidRPr="002F331B">
        <w:rPr>
          <w:rFonts w:hint="cs"/>
          <w:rtl/>
          <w:lang w:bidi="ar"/>
        </w:rPr>
        <w:t xml:space="preserve"> </w:t>
      </w:r>
      <w:r>
        <w:rPr>
          <w:rFonts w:hint="cs"/>
          <w:rtl/>
          <w:lang w:bidi="ar"/>
        </w:rPr>
        <w:t>وفق الحد الأدنى الحالي لسن ا</w:t>
      </w:r>
      <w:r w:rsidRPr="002F331B">
        <w:rPr>
          <w:rFonts w:hint="cs"/>
          <w:rtl/>
          <w:lang w:bidi="ar"/>
        </w:rPr>
        <w:t xml:space="preserve">لتقاعد، </w:t>
      </w:r>
      <w:r w:rsidR="00AA24B5">
        <w:rPr>
          <w:rFonts w:hint="cs"/>
          <w:rtl/>
          <w:lang w:bidi="ar"/>
        </w:rPr>
        <w:t>فتح نحو 88</w:t>
      </w:r>
      <w:r w:rsidRPr="002F331B">
        <w:rPr>
          <w:rFonts w:hint="cs"/>
          <w:rtl/>
          <w:lang w:bidi="ar"/>
        </w:rPr>
        <w:t xml:space="preserve"> </w:t>
      </w:r>
      <w:r w:rsidR="00AA24B5">
        <w:rPr>
          <w:rFonts w:hint="cs"/>
          <w:rtl/>
          <w:lang w:bidi="ar"/>
        </w:rPr>
        <w:t xml:space="preserve">وظيفة شاغرة جديدة في الفئة الفنية وفئة المديرين </w:t>
      </w:r>
      <w:r w:rsidR="00AA24B5" w:rsidRPr="002F331B">
        <w:rPr>
          <w:rFonts w:hint="cs"/>
          <w:rtl/>
          <w:lang w:bidi="ar"/>
        </w:rPr>
        <w:t>في السنوات الخمس المقبلة</w:t>
      </w:r>
      <w:r w:rsidRPr="002F331B">
        <w:rPr>
          <w:rFonts w:hint="cs"/>
          <w:rtl/>
          <w:lang w:bidi="ar"/>
        </w:rPr>
        <w:t xml:space="preserve">. </w:t>
      </w:r>
      <w:r w:rsidR="00AA24B5">
        <w:rPr>
          <w:rFonts w:hint="cs"/>
          <w:rtl/>
          <w:lang w:bidi="ar"/>
        </w:rPr>
        <w:t xml:space="preserve">وضمن العدد الحالي، تبلغ نسبة الشواغر المتوقعة </w:t>
      </w:r>
      <w:r w:rsidRPr="002F331B">
        <w:rPr>
          <w:rFonts w:hint="cs"/>
          <w:rtl/>
          <w:lang w:bidi="ar"/>
        </w:rPr>
        <w:t xml:space="preserve">نحو 17 في المائة </w:t>
      </w:r>
      <w:r w:rsidR="00AA24B5">
        <w:rPr>
          <w:rFonts w:hint="cs"/>
          <w:rtl/>
          <w:lang w:bidi="ar"/>
        </w:rPr>
        <w:t>من العدد الإجمالي للوظائف في هاتين الفئ</w:t>
      </w:r>
      <w:r w:rsidRPr="002F331B">
        <w:rPr>
          <w:rFonts w:hint="cs"/>
          <w:rtl/>
          <w:lang w:bidi="ar"/>
        </w:rPr>
        <w:t>ت</w:t>
      </w:r>
      <w:r w:rsidR="00AA24B5">
        <w:rPr>
          <w:rFonts w:hint="cs"/>
          <w:rtl/>
          <w:lang w:bidi="ar"/>
        </w:rPr>
        <w:t>ين</w:t>
      </w:r>
      <w:r w:rsidRPr="002F331B">
        <w:rPr>
          <w:rFonts w:hint="cs"/>
          <w:rtl/>
          <w:lang w:bidi="ar"/>
        </w:rPr>
        <w:t>.</w:t>
      </w:r>
    </w:p>
    <w:p w:rsidR="00AA24B5" w:rsidRDefault="00AA24B5" w:rsidP="00D836AB">
      <w:pPr>
        <w:pStyle w:val="NumberedParaAR"/>
        <w:numPr>
          <w:ilvl w:val="0"/>
          <w:numId w:val="0"/>
        </w:numPr>
        <w:ind w:left="567"/>
        <w:rPr>
          <w:rtl/>
          <w:lang w:bidi="ar"/>
        </w:rPr>
      </w:pPr>
      <w:r>
        <w:rPr>
          <w:rFonts w:hint="cs"/>
          <w:rtl/>
          <w:lang w:bidi="ar"/>
        </w:rPr>
        <w:t>(ز)</w:t>
      </w:r>
      <w:r>
        <w:rPr>
          <w:rFonts w:hint="cs"/>
          <w:rtl/>
          <w:lang w:bidi="ar"/>
        </w:rPr>
        <w:tab/>
        <w:t>وتطبّق</w:t>
      </w:r>
      <w:r w:rsidRPr="00AA24B5">
        <w:rPr>
          <w:rFonts w:hint="cs"/>
          <w:rtl/>
          <w:lang w:bidi="ar"/>
        </w:rPr>
        <w:t xml:space="preserve"> الويبو استراتيجية ذات </w:t>
      </w:r>
      <w:r>
        <w:rPr>
          <w:rFonts w:hint="cs"/>
          <w:rtl/>
          <w:lang w:bidi="ar"/>
        </w:rPr>
        <w:t xml:space="preserve">شقين لتحسين التوزيع الجغرافي. </w:t>
      </w:r>
      <w:r w:rsidRPr="00AA24B5">
        <w:rPr>
          <w:rFonts w:hint="cs"/>
          <w:rtl/>
          <w:lang w:bidi="ar"/>
        </w:rPr>
        <w:t>أول</w:t>
      </w:r>
      <w:r>
        <w:rPr>
          <w:rFonts w:hint="cs"/>
          <w:rtl/>
          <w:lang w:bidi="ar"/>
        </w:rPr>
        <w:t>هما</w:t>
      </w:r>
      <w:r w:rsidRPr="00AA24B5">
        <w:rPr>
          <w:rFonts w:hint="cs"/>
          <w:rtl/>
          <w:lang w:bidi="ar"/>
        </w:rPr>
        <w:t xml:space="preserve"> هو </w:t>
      </w:r>
      <w:r>
        <w:rPr>
          <w:rFonts w:hint="cs"/>
          <w:rtl/>
          <w:lang w:bidi="ar"/>
        </w:rPr>
        <w:t>تحسين</w:t>
      </w:r>
      <w:r w:rsidRPr="00AA24B5">
        <w:rPr>
          <w:rFonts w:hint="cs"/>
          <w:rtl/>
          <w:lang w:bidi="ar"/>
        </w:rPr>
        <w:t xml:space="preserve"> التدابير الدا</w:t>
      </w:r>
      <w:r>
        <w:rPr>
          <w:rFonts w:hint="cs"/>
          <w:rtl/>
          <w:lang w:bidi="ar"/>
        </w:rPr>
        <w:t>خلية المتعلقة بعملية التوظيف وثانيهما</w:t>
      </w:r>
      <w:r w:rsidRPr="00AA24B5">
        <w:rPr>
          <w:rFonts w:hint="cs"/>
          <w:rtl/>
          <w:lang w:bidi="ar"/>
        </w:rPr>
        <w:t xml:space="preserve">، </w:t>
      </w:r>
      <w:r>
        <w:rPr>
          <w:rFonts w:hint="cs"/>
          <w:rtl/>
          <w:lang w:bidi="ar"/>
        </w:rPr>
        <w:t>ه</w:t>
      </w:r>
      <w:r w:rsidRPr="00AA24B5">
        <w:rPr>
          <w:rFonts w:hint="cs"/>
          <w:rtl/>
          <w:lang w:bidi="ar"/>
        </w:rPr>
        <w:t>و</w:t>
      </w:r>
      <w:r>
        <w:rPr>
          <w:rFonts w:hint="cs"/>
          <w:rtl/>
          <w:lang w:bidi="ar"/>
        </w:rPr>
        <w:t xml:space="preserve"> أنشطة </w:t>
      </w:r>
      <w:r w:rsidRPr="00AA24B5">
        <w:rPr>
          <w:rFonts w:hint="cs"/>
          <w:rtl/>
          <w:lang w:bidi="ar"/>
        </w:rPr>
        <w:t xml:space="preserve">توعية </w:t>
      </w:r>
      <w:r>
        <w:rPr>
          <w:rFonts w:hint="cs"/>
          <w:rtl/>
          <w:lang w:bidi="ar"/>
        </w:rPr>
        <w:t>مركزة</w:t>
      </w:r>
      <w:r w:rsidRPr="00AA24B5">
        <w:rPr>
          <w:rFonts w:hint="cs"/>
          <w:rtl/>
          <w:lang w:bidi="ar"/>
        </w:rPr>
        <w:t xml:space="preserve"> </w:t>
      </w:r>
      <w:r>
        <w:rPr>
          <w:rFonts w:hint="cs"/>
          <w:rtl/>
          <w:lang w:bidi="ar"/>
        </w:rPr>
        <w:t>بال</w:t>
      </w:r>
      <w:r w:rsidRPr="00AA24B5">
        <w:rPr>
          <w:rFonts w:hint="cs"/>
          <w:rtl/>
          <w:lang w:bidi="ar"/>
        </w:rPr>
        <w:t>شراكة مع الدول الأعضاء المهتمة.</w:t>
      </w:r>
    </w:p>
    <w:p w:rsidR="00DC2BA3" w:rsidRDefault="00481861" w:rsidP="00D836AB">
      <w:pPr>
        <w:pStyle w:val="NumberedParaAR"/>
        <w:numPr>
          <w:ilvl w:val="0"/>
          <w:numId w:val="23"/>
        </w:numPr>
        <w:ind w:left="1134" w:firstLine="0"/>
      </w:pPr>
      <w:r>
        <w:rPr>
          <w:rFonts w:hint="cs"/>
          <w:rtl/>
        </w:rPr>
        <w:t>ف</w:t>
      </w:r>
      <w:r w:rsidR="00064EB0">
        <w:rPr>
          <w:rtl/>
        </w:rPr>
        <w:t>داخلي</w:t>
      </w:r>
      <w:r>
        <w:rPr>
          <w:rFonts w:hint="cs"/>
          <w:rtl/>
        </w:rPr>
        <w:t>اً</w:t>
      </w:r>
      <w:r w:rsidR="00064EB0">
        <w:rPr>
          <w:rtl/>
        </w:rPr>
        <w:t>، ضاعف</w:t>
      </w:r>
      <w:r w:rsidR="00064EB0">
        <w:rPr>
          <w:rFonts w:hint="cs"/>
          <w:rtl/>
        </w:rPr>
        <w:t>ت</w:t>
      </w:r>
      <w:r w:rsidR="00064EB0">
        <w:rPr>
          <w:rtl/>
        </w:rPr>
        <w:t xml:space="preserve"> الأمانة منصات </w:t>
      </w:r>
      <w:r w:rsidR="00064EB0">
        <w:rPr>
          <w:rFonts w:hint="cs"/>
          <w:rtl/>
        </w:rPr>
        <w:t xml:space="preserve">الإعلان عن </w:t>
      </w:r>
      <w:r w:rsidR="00064EB0">
        <w:rPr>
          <w:rtl/>
        </w:rPr>
        <w:t xml:space="preserve">الوظائف </w:t>
      </w:r>
      <w:r w:rsidR="00064EB0">
        <w:rPr>
          <w:rFonts w:hint="cs"/>
          <w:rtl/>
        </w:rPr>
        <w:t xml:space="preserve">الشاغرة </w:t>
      </w:r>
      <w:r w:rsidR="00064EB0">
        <w:rPr>
          <w:rtl/>
        </w:rPr>
        <w:t xml:space="preserve">لنشرها على نطاق أوسع. </w:t>
      </w:r>
      <w:r w:rsidR="00064EB0">
        <w:rPr>
          <w:rFonts w:hint="cs"/>
          <w:rtl/>
        </w:rPr>
        <w:t>فهي ت</w:t>
      </w:r>
      <w:r w:rsidR="00064EB0">
        <w:rPr>
          <w:rtl/>
        </w:rPr>
        <w:t xml:space="preserve">ستخدم أساليب </w:t>
      </w:r>
      <w:r w:rsidR="00064EB0">
        <w:rPr>
          <w:rFonts w:hint="cs"/>
          <w:rtl/>
        </w:rPr>
        <w:t>ال</w:t>
      </w:r>
      <w:r w:rsidR="00064EB0">
        <w:rPr>
          <w:rtl/>
        </w:rPr>
        <w:t>نشر التقليدية (المطبوع</w:t>
      </w:r>
      <w:r w:rsidR="00064EB0">
        <w:rPr>
          <w:rFonts w:hint="cs"/>
          <w:rtl/>
        </w:rPr>
        <w:t>ات</w:t>
      </w:r>
      <w:r w:rsidR="00064EB0">
        <w:rPr>
          <w:rtl/>
        </w:rPr>
        <w:t xml:space="preserve"> </w:t>
      </w:r>
      <w:r w:rsidR="00064EB0">
        <w:rPr>
          <w:rFonts w:hint="cs"/>
          <w:rtl/>
        </w:rPr>
        <w:t>و</w:t>
      </w:r>
      <w:r w:rsidR="00064EB0">
        <w:rPr>
          <w:rtl/>
        </w:rPr>
        <w:t>موقع الويبو و</w:t>
      </w:r>
      <w:r w:rsidR="00064EB0">
        <w:rPr>
          <w:rFonts w:hint="cs"/>
          <w:rtl/>
        </w:rPr>
        <w:t>الإخطار</w:t>
      </w:r>
      <w:r w:rsidR="00064EB0">
        <w:rPr>
          <w:rtl/>
        </w:rPr>
        <w:t xml:space="preserve"> </w:t>
      </w:r>
      <w:r w:rsidR="00064EB0">
        <w:rPr>
          <w:rFonts w:hint="cs"/>
          <w:rtl/>
        </w:rPr>
        <w:t>ب</w:t>
      </w:r>
      <w:r w:rsidR="00064EB0">
        <w:rPr>
          <w:rtl/>
        </w:rPr>
        <w:t>المعلومات إلى الدول الأعضاء من خلال بعثاتها في جنيف)</w:t>
      </w:r>
      <w:r w:rsidR="00064EB0">
        <w:rPr>
          <w:rFonts w:hint="cs"/>
          <w:rtl/>
        </w:rPr>
        <w:t xml:space="preserve"> وكذلك </w:t>
      </w:r>
      <w:r w:rsidR="00064EB0">
        <w:rPr>
          <w:rtl/>
        </w:rPr>
        <w:t>وسائل ال</w:t>
      </w:r>
      <w:r w:rsidR="00064EB0">
        <w:rPr>
          <w:rFonts w:hint="cs"/>
          <w:rtl/>
        </w:rPr>
        <w:t>إ</w:t>
      </w:r>
      <w:r w:rsidR="00064EB0">
        <w:rPr>
          <w:rtl/>
        </w:rPr>
        <w:t>علام الاجتماعية (</w:t>
      </w:r>
      <w:proofErr w:type="spellStart"/>
      <w:r w:rsidR="00064EB0">
        <w:rPr>
          <w:rFonts w:hint="cs"/>
          <w:rtl/>
        </w:rPr>
        <w:t>ل</w:t>
      </w:r>
      <w:r w:rsidR="00064EB0">
        <w:rPr>
          <w:rtl/>
        </w:rPr>
        <w:t>ينكدين</w:t>
      </w:r>
      <w:proofErr w:type="spellEnd"/>
      <w:r w:rsidR="00064EB0">
        <w:rPr>
          <w:rtl/>
        </w:rPr>
        <w:t xml:space="preserve"> </w:t>
      </w:r>
      <w:proofErr w:type="spellStart"/>
      <w:r w:rsidR="00064EB0">
        <w:rPr>
          <w:rFonts w:hint="cs"/>
          <w:rtl/>
        </w:rPr>
        <w:t>و</w:t>
      </w:r>
      <w:r w:rsidR="00064EB0">
        <w:rPr>
          <w:rtl/>
        </w:rPr>
        <w:t>تويتر</w:t>
      </w:r>
      <w:proofErr w:type="spellEnd"/>
      <w:r w:rsidR="00064EB0">
        <w:rPr>
          <w:rFonts w:hint="cs"/>
          <w:rtl/>
        </w:rPr>
        <w:t xml:space="preserve"> وموقع</w:t>
      </w:r>
      <w:r w:rsidR="00064EB0">
        <w:rPr>
          <w:rtl/>
        </w:rPr>
        <w:t xml:space="preserve"> </w:t>
      </w:r>
      <w:r w:rsidR="00064EB0">
        <w:t>Monster.com</w:t>
      </w:r>
      <w:r w:rsidR="00064EB0">
        <w:rPr>
          <w:rtl/>
        </w:rPr>
        <w:t xml:space="preserve">). </w:t>
      </w:r>
      <w:r w:rsidR="00064EB0">
        <w:rPr>
          <w:rFonts w:hint="cs"/>
          <w:rtl/>
        </w:rPr>
        <w:t xml:space="preserve">وفي صفوف </w:t>
      </w:r>
      <w:r w:rsidR="00064EB0">
        <w:rPr>
          <w:rtl/>
        </w:rPr>
        <w:t>المديرين ومجالس التعيين والموظفين بشكل عام</w:t>
      </w:r>
      <w:r w:rsidR="00064EB0">
        <w:rPr>
          <w:rFonts w:hint="cs"/>
          <w:rtl/>
        </w:rPr>
        <w:t>، تستمر</w:t>
      </w:r>
      <w:r w:rsidR="00064EB0">
        <w:rPr>
          <w:rtl/>
        </w:rPr>
        <w:t xml:space="preserve"> تدابير التوعية </w:t>
      </w:r>
      <w:r w:rsidR="00064EB0">
        <w:rPr>
          <w:rFonts w:hint="cs"/>
          <w:rtl/>
        </w:rPr>
        <w:t xml:space="preserve">كالدورات </w:t>
      </w:r>
      <w:r w:rsidR="00064EB0">
        <w:rPr>
          <w:rtl/>
        </w:rPr>
        <w:t>التدريب</w:t>
      </w:r>
      <w:r w:rsidR="00064EB0">
        <w:rPr>
          <w:rFonts w:hint="cs"/>
          <w:rtl/>
        </w:rPr>
        <w:t xml:space="preserve">ية بهدف </w:t>
      </w:r>
      <w:r w:rsidR="00064EB0">
        <w:rPr>
          <w:rtl/>
        </w:rPr>
        <w:t xml:space="preserve">زيادة الوعي بقيمة </w:t>
      </w:r>
      <w:r w:rsidR="00DC2BA3">
        <w:rPr>
          <w:rtl/>
        </w:rPr>
        <w:t xml:space="preserve">التنوع الجغرافي </w:t>
      </w:r>
      <w:proofErr w:type="spellStart"/>
      <w:r w:rsidR="00DC2BA3">
        <w:rPr>
          <w:rtl/>
        </w:rPr>
        <w:t>والجنس</w:t>
      </w:r>
      <w:r w:rsidR="00DC2BA3">
        <w:rPr>
          <w:rFonts w:hint="cs"/>
          <w:rtl/>
        </w:rPr>
        <w:t>اني</w:t>
      </w:r>
      <w:proofErr w:type="spellEnd"/>
      <w:r w:rsidR="00DC2BA3">
        <w:rPr>
          <w:rFonts w:hint="cs"/>
          <w:rtl/>
        </w:rPr>
        <w:t xml:space="preserve"> وفائدته</w:t>
      </w:r>
      <w:r w:rsidR="00064EB0">
        <w:rPr>
          <w:rtl/>
        </w:rPr>
        <w:t xml:space="preserve">. </w:t>
      </w:r>
      <w:r w:rsidR="00DC2BA3">
        <w:rPr>
          <w:rFonts w:hint="cs"/>
          <w:rtl/>
        </w:rPr>
        <w:t>و</w:t>
      </w:r>
      <w:r w:rsidR="00DC2BA3">
        <w:rPr>
          <w:rtl/>
        </w:rPr>
        <w:t xml:space="preserve">تتلقى </w:t>
      </w:r>
      <w:r w:rsidR="00064EB0">
        <w:rPr>
          <w:rtl/>
        </w:rPr>
        <w:t xml:space="preserve">مجالس </w:t>
      </w:r>
      <w:r w:rsidR="00DC2BA3">
        <w:rPr>
          <w:rFonts w:hint="cs"/>
          <w:rtl/>
        </w:rPr>
        <w:t>ال</w:t>
      </w:r>
      <w:r w:rsidR="00DC2BA3">
        <w:rPr>
          <w:rtl/>
        </w:rPr>
        <w:t xml:space="preserve">تعيين معلومات محدثة </w:t>
      </w:r>
      <w:r w:rsidR="00DC2BA3">
        <w:rPr>
          <w:rFonts w:hint="cs"/>
          <w:rtl/>
        </w:rPr>
        <w:t>عن ا</w:t>
      </w:r>
      <w:r w:rsidR="00064EB0">
        <w:rPr>
          <w:rtl/>
        </w:rPr>
        <w:t xml:space="preserve">لدول الأعضاء </w:t>
      </w:r>
      <w:r w:rsidR="00DC2BA3">
        <w:rPr>
          <w:rtl/>
        </w:rPr>
        <w:t xml:space="preserve">غير الممثلة في </w:t>
      </w:r>
      <w:r w:rsidR="00DC2BA3">
        <w:rPr>
          <w:rFonts w:hint="cs"/>
          <w:rtl/>
        </w:rPr>
        <w:t>م</w:t>
      </w:r>
      <w:r w:rsidR="00DC2BA3">
        <w:rPr>
          <w:rtl/>
        </w:rPr>
        <w:t>وظ</w:t>
      </w:r>
      <w:r w:rsidR="00064EB0">
        <w:rPr>
          <w:rtl/>
        </w:rPr>
        <w:t>ف</w:t>
      </w:r>
      <w:r w:rsidR="00DC2BA3">
        <w:rPr>
          <w:rFonts w:hint="cs"/>
          <w:rtl/>
        </w:rPr>
        <w:t>ي</w:t>
      </w:r>
      <w:r w:rsidR="00DC2BA3">
        <w:rPr>
          <w:rtl/>
        </w:rPr>
        <w:t xml:space="preserve"> الويبو وت</w:t>
      </w:r>
      <w:r w:rsidR="00DC2BA3">
        <w:rPr>
          <w:rFonts w:hint="cs"/>
          <w:rtl/>
        </w:rPr>
        <w:t>ورد</w:t>
      </w:r>
      <w:r w:rsidR="00DC2BA3">
        <w:rPr>
          <w:rtl/>
        </w:rPr>
        <w:t xml:space="preserve"> في تقريره</w:t>
      </w:r>
      <w:r w:rsidR="00DC2BA3">
        <w:rPr>
          <w:rFonts w:hint="cs"/>
          <w:rtl/>
        </w:rPr>
        <w:t xml:space="preserve">ا </w:t>
      </w:r>
      <w:r w:rsidR="00DC2BA3">
        <w:rPr>
          <w:rtl/>
        </w:rPr>
        <w:t xml:space="preserve">إلى المدير العام </w:t>
      </w:r>
      <w:r w:rsidR="00DC2BA3">
        <w:rPr>
          <w:rFonts w:hint="cs"/>
          <w:rtl/>
        </w:rPr>
        <w:t>اعتباراتها المحددة</w:t>
      </w:r>
      <w:r w:rsidR="00064EB0">
        <w:rPr>
          <w:rtl/>
        </w:rPr>
        <w:t xml:space="preserve"> </w:t>
      </w:r>
      <w:r w:rsidR="00DC2BA3">
        <w:rPr>
          <w:rFonts w:hint="cs"/>
          <w:rtl/>
        </w:rPr>
        <w:t xml:space="preserve">بشأن </w:t>
      </w:r>
      <w:r w:rsidR="00064EB0">
        <w:rPr>
          <w:rtl/>
        </w:rPr>
        <w:t>مبادئ التوزيع الجغرافي والتوازن بين الجنسين في فرز المرشحين.</w:t>
      </w:r>
    </w:p>
    <w:p w:rsidR="00CE3118" w:rsidRDefault="00481861" w:rsidP="00D836AB">
      <w:pPr>
        <w:pStyle w:val="NumberedParaAR"/>
        <w:numPr>
          <w:ilvl w:val="0"/>
          <w:numId w:val="23"/>
        </w:numPr>
        <w:ind w:left="1134" w:firstLine="0"/>
      </w:pPr>
      <w:r>
        <w:rPr>
          <w:rFonts w:hint="cs"/>
          <w:rtl/>
          <w:lang w:bidi="ar"/>
        </w:rPr>
        <w:t>أمّا أنشطة مخاطبة الجماهير، التي ت</w:t>
      </w:r>
      <w:r w:rsidR="00DC2BA3" w:rsidRPr="00DC2BA3">
        <w:rPr>
          <w:rFonts w:hint="cs"/>
          <w:rtl/>
          <w:lang w:bidi="ar"/>
        </w:rPr>
        <w:t xml:space="preserve">هدف </w:t>
      </w:r>
      <w:r>
        <w:rPr>
          <w:rFonts w:hint="cs"/>
          <w:rtl/>
          <w:lang w:bidi="ar"/>
        </w:rPr>
        <w:t>إلى زيادة تنوع</w:t>
      </w:r>
      <w:r w:rsidR="00DC2BA3" w:rsidRPr="00DC2BA3">
        <w:rPr>
          <w:rFonts w:hint="cs"/>
          <w:rtl/>
          <w:lang w:bidi="ar"/>
        </w:rPr>
        <w:t xml:space="preserve"> </w:t>
      </w:r>
      <w:r>
        <w:rPr>
          <w:rFonts w:hint="cs"/>
          <w:rtl/>
          <w:lang w:bidi="ar"/>
        </w:rPr>
        <w:t xml:space="preserve">باقة </w:t>
      </w:r>
      <w:r w:rsidR="00DC2BA3" w:rsidRPr="00DC2BA3">
        <w:rPr>
          <w:rFonts w:hint="cs"/>
          <w:rtl/>
          <w:lang w:bidi="ar"/>
        </w:rPr>
        <w:t xml:space="preserve">المرشحين المناسبين، </w:t>
      </w:r>
      <w:r>
        <w:rPr>
          <w:rFonts w:hint="cs"/>
          <w:rtl/>
          <w:lang w:bidi="ar"/>
        </w:rPr>
        <w:t>ف</w:t>
      </w:r>
      <w:r w:rsidR="00DC2BA3" w:rsidRPr="00DC2BA3">
        <w:rPr>
          <w:rFonts w:hint="cs"/>
          <w:rtl/>
          <w:lang w:bidi="ar"/>
        </w:rPr>
        <w:t>تأخذ</w:t>
      </w:r>
      <w:r>
        <w:rPr>
          <w:rFonts w:hint="cs"/>
          <w:rtl/>
          <w:lang w:bidi="ar"/>
        </w:rPr>
        <w:t xml:space="preserve"> شكل حملات</w:t>
      </w:r>
      <w:r w:rsidR="00DC2BA3" w:rsidRPr="00DC2BA3">
        <w:rPr>
          <w:rFonts w:hint="cs"/>
          <w:rtl/>
          <w:lang w:bidi="ar"/>
        </w:rPr>
        <w:t xml:space="preserve"> تستهدف المناطق </w:t>
      </w:r>
      <w:r>
        <w:rPr>
          <w:rFonts w:hint="cs"/>
          <w:rtl/>
          <w:lang w:bidi="ar"/>
        </w:rPr>
        <w:t>ال</w:t>
      </w:r>
      <w:r w:rsidR="00DC2BA3" w:rsidRPr="00DC2BA3">
        <w:rPr>
          <w:rFonts w:hint="cs"/>
          <w:rtl/>
          <w:lang w:bidi="ar"/>
        </w:rPr>
        <w:t xml:space="preserve">ممثلة تمثيلا ناقصا، وبعثات </w:t>
      </w:r>
      <w:r>
        <w:rPr>
          <w:rFonts w:hint="cs"/>
          <w:rtl/>
          <w:lang w:bidi="ar"/>
        </w:rPr>
        <w:t>إلى الدول الأعضاء غير الممثلة</w:t>
      </w:r>
      <w:r w:rsidR="00DC2BA3" w:rsidRPr="00DC2BA3">
        <w:rPr>
          <w:rFonts w:hint="cs"/>
          <w:rtl/>
          <w:lang w:bidi="ar"/>
        </w:rPr>
        <w:t xml:space="preserve"> </w:t>
      </w:r>
      <w:r>
        <w:rPr>
          <w:rFonts w:hint="cs"/>
          <w:rtl/>
          <w:lang w:bidi="ar"/>
        </w:rPr>
        <w:t>تشمل زيارات للجامعات</w:t>
      </w:r>
      <w:r w:rsidR="00DC2BA3" w:rsidRPr="00DC2BA3">
        <w:rPr>
          <w:rFonts w:hint="cs"/>
          <w:rtl/>
          <w:lang w:bidi="ar"/>
        </w:rPr>
        <w:t xml:space="preserve"> </w:t>
      </w:r>
      <w:r>
        <w:rPr>
          <w:rFonts w:hint="cs"/>
          <w:rtl/>
          <w:lang w:bidi="ar"/>
        </w:rPr>
        <w:t>و</w:t>
      </w:r>
      <w:r w:rsidR="00DC2BA3" w:rsidRPr="00DC2BA3">
        <w:rPr>
          <w:rFonts w:hint="cs"/>
          <w:rtl/>
          <w:lang w:bidi="ar"/>
        </w:rPr>
        <w:t>أحداث</w:t>
      </w:r>
      <w:r>
        <w:rPr>
          <w:rFonts w:hint="cs"/>
          <w:rtl/>
          <w:lang w:bidi="ar"/>
        </w:rPr>
        <w:t>ا إعلامية وإقامة شراكات مع منسّقي الاتصال (مثل، المكاتب المهنية ل</w:t>
      </w:r>
      <w:r w:rsidR="00DC2BA3" w:rsidRPr="00DC2BA3">
        <w:rPr>
          <w:rFonts w:hint="cs"/>
          <w:rtl/>
          <w:lang w:bidi="ar"/>
        </w:rPr>
        <w:t xml:space="preserve">لجامعات وغيرها من المنظمات والمكاتب الوطنية للملكية الفكرية). </w:t>
      </w:r>
      <w:r>
        <w:rPr>
          <w:rFonts w:hint="cs"/>
          <w:rtl/>
          <w:lang w:bidi="ar"/>
        </w:rPr>
        <w:t>ووزعت معلومات عن الوظائف الشاغرة</w:t>
      </w:r>
      <w:r w:rsidR="00DC2BA3" w:rsidRPr="00DC2BA3">
        <w:rPr>
          <w:rFonts w:hint="cs"/>
          <w:rtl/>
          <w:lang w:bidi="ar"/>
        </w:rPr>
        <w:t xml:space="preserve"> من خلال القوائم البريدية، وخاصة للمرشحين المحتملين من</w:t>
      </w:r>
      <w:r w:rsidR="00767CF1">
        <w:rPr>
          <w:rFonts w:hint="cs"/>
          <w:rtl/>
          <w:lang w:bidi="ar"/>
        </w:rPr>
        <w:t xml:space="preserve"> الدول الأعضاء غير الممثلة </w:t>
      </w:r>
      <w:r w:rsidR="00CE3118">
        <w:rPr>
          <w:rFonts w:hint="cs"/>
          <w:rtl/>
          <w:lang w:bidi="ar"/>
        </w:rPr>
        <w:t>الذين</w:t>
      </w:r>
      <w:r w:rsidR="00DC2BA3" w:rsidRPr="00DC2BA3">
        <w:rPr>
          <w:rFonts w:hint="cs"/>
          <w:rtl/>
          <w:lang w:bidi="ar"/>
        </w:rPr>
        <w:t xml:space="preserve"> </w:t>
      </w:r>
      <w:r w:rsidR="00CE3118">
        <w:rPr>
          <w:rFonts w:hint="cs"/>
          <w:rtl/>
          <w:lang w:bidi="ar"/>
        </w:rPr>
        <w:t>يحملون</w:t>
      </w:r>
      <w:r w:rsidR="00767CF1">
        <w:rPr>
          <w:rFonts w:hint="cs"/>
          <w:rtl/>
          <w:lang w:bidi="ar"/>
        </w:rPr>
        <w:t xml:space="preserve"> </w:t>
      </w:r>
      <w:r w:rsidR="00CE3118">
        <w:rPr>
          <w:rFonts w:hint="cs"/>
          <w:rtl/>
          <w:lang w:bidi="ar"/>
        </w:rPr>
        <w:t>خبرات م</w:t>
      </w:r>
      <w:r w:rsidR="00767CF1">
        <w:rPr>
          <w:rFonts w:hint="cs"/>
          <w:rtl/>
          <w:lang w:bidi="ar"/>
        </w:rPr>
        <w:t xml:space="preserve">هنية مثيرة للاهتمام </w:t>
      </w:r>
      <w:r w:rsidR="00CE3118">
        <w:rPr>
          <w:rFonts w:hint="cs"/>
          <w:rtl/>
          <w:lang w:bidi="ar"/>
        </w:rPr>
        <w:t>لكن دون أن تلاقي</w:t>
      </w:r>
      <w:r w:rsidR="00767CF1">
        <w:rPr>
          <w:rFonts w:hint="cs"/>
          <w:rtl/>
          <w:lang w:bidi="ar"/>
        </w:rPr>
        <w:t xml:space="preserve"> </w:t>
      </w:r>
      <w:r w:rsidR="00DC2BA3" w:rsidRPr="00DC2BA3">
        <w:rPr>
          <w:rFonts w:hint="cs"/>
          <w:rtl/>
          <w:lang w:bidi="ar"/>
        </w:rPr>
        <w:t>طلباتهم السابقة</w:t>
      </w:r>
      <w:r w:rsidR="00767CF1">
        <w:rPr>
          <w:rFonts w:hint="cs"/>
          <w:rtl/>
          <w:lang w:bidi="ar"/>
        </w:rPr>
        <w:t xml:space="preserve"> نجاحا</w:t>
      </w:r>
      <w:r w:rsidR="00DC2BA3" w:rsidRPr="00DC2BA3">
        <w:rPr>
          <w:rFonts w:hint="cs"/>
          <w:rtl/>
          <w:lang w:bidi="ar"/>
        </w:rPr>
        <w:t>.</w:t>
      </w:r>
    </w:p>
    <w:p w:rsidR="00CE3118" w:rsidRPr="002777B8" w:rsidRDefault="00CE3118" w:rsidP="00D836AB">
      <w:pPr>
        <w:pStyle w:val="NormalParaAR"/>
        <w:rPr>
          <w:b/>
          <w:bCs/>
          <w:i/>
          <w:iCs/>
          <w:rtl/>
        </w:rPr>
      </w:pPr>
      <w:r w:rsidRPr="002777B8">
        <w:rPr>
          <w:rFonts w:hint="cs"/>
          <w:b/>
          <w:bCs/>
          <w:i/>
          <w:iCs/>
          <w:rtl/>
        </w:rPr>
        <w:lastRenderedPageBreak/>
        <w:t>المناقشات والمقترحات</w:t>
      </w:r>
    </w:p>
    <w:p w:rsidR="00CE3118" w:rsidRDefault="00937B29" w:rsidP="00CE3118">
      <w:pPr>
        <w:pStyle w:val="NumberedParaAR"/>
      </w:pPr>
      <w:r>
        <w:rPr>
          <w:rFonts w:hint="cs"/>
          <w:rtl/>
        </w:rPr>
        <w:t>استعملت</w:t>
      </w:r>
      <w:r w:rsidR="00CE3118">
        <w:rPr>
          <w:rFonts w:hint="cs"/>
          <w:rtl/>
        </w:rPr>
        <w:t xml:space="preserve"> </w:t>
      </w:r>
      <w:r w:rsidR="00CE3118">
        <w:rPr>
          <w:rFonts w:hint="cs"/>
          <w:rtl/>
          <w:lang w:bidi="ar"/>
        </w:rPr>
        <w:t xml:space="preserve">حزمة </w:t>
      </w:r>
      <w:r w:rsidR="00CE3118" w:rsidRPr="00CE3118">
        <w:rPr>
          <w:rFonts w:hint="cs"/>
          <w:rtl/>
          <w:lang w:bidi="ar"/>
        </w:rPr>
        <w:t xml:space="preserve">المعلومات </w:t>
      </w:r>
      <w:r w:rsidR="00CE3118">
        <w:rPr>
          <w:rFonts w:hint="cs"/>
          <w:rtl/>
          <w:lang w:bidi="ar"/>
        </w:rPr>
        <w:t xml:space="preserve">السابقة </w:t>
      </w:r>
      <w:r>
        <w:rPr>
          <w:rFonts w:hint="cs"/>
          <w:rtl/>
          <w:lang w:bidi="ar"/>
        </w:rPr>
        <w:t>كقاعدة</w:t>
      </w:r>
      <w:r w:rsidR="00CE3118" w:rsidRPr="00CE3118">
        <w:rPr>
          <w:rFonts w:hint="cs"/>
          <w:rtl/>
          <w:lang w:bidi="ar"/>
        </w:rPr>
        <w:t xml:space="preserve"> </w:t>
      </w:r>
      <w:r>
        <w:rPr>
          <w:rFonts w:hint="cs"/>
          <w:rtl/>
          <w:lang w:bidi="ar"/>
        </w:rPr>
        <w:t xml:space="preserve">انطلاق </w:t>
      </w:r>
      <w:r w:rsidR="00CE3118" w:rsidRPr="00CE3118">
        <w:rPr>
          <w:rFonts w:hint="cs"/>
          <w:rtl/>
          <w:lang w:bidi="ar"/>
        </w:rPr>
        <w:t xml:space="preserve">لمناقشة مفتوحة وشاملة خلال </w:t>
      </w:r>
      <w:r>
        <w:rPr>
          <w:rFonts w:hint="cs"/>
          <w:rtl/>
          <w:lang w:bidi="ar"/>
        </w:rPr>
        <w:t>ال</w:t>
      </w:r>
      <w:r w:rsidR="00CE3118" w:rsidRPr="00CE3118">
        <w:rPr>
          <w:rFonts w:hint="cs"/>
          <w:rtl/>
          <w:lang w:bidi="ar"/>
        </w:rPr>
        <w:t>اجتماعات التشاور</w:t>
      </w:r>
      <w:r>
        <w:rPr>
          <w:rFonts w:hint="cs"/>
          <w:rtl/>
          <w:lang w:bidi="ar"/>
        </w:rPr>
        <w:t>ية</w:t>
      </w:r>
      <w:r w:rsidR="00CE3118" w:rsidRPr="00CE3118">
        <w:rPr>
          <w:rFonts w:hint="cs"/>
          <w:rtl/>
          <w:lang w:bidi="ar"/>
        </w:rPr>
        <w:t>.</w:t>
      </w:r>
    </w:p>
    <w:p w:rsidR="00D941D0" w:rsidRPr="00D43ABB" w:rsidRDefault="00937B29" w:rsidP="00834A72">
      <w:pPr>
        <w:pStyle w:val="NormalParaAR"/>
        <w:ind w:left="851"/>
        <w:rPr>
          <w:i/>
          <w:iCs/>
          <w:rtl/>
        </w:rPr>
      </w:pPr>
      <w:r w:rsidRPr="00D43ABB">
        <w:rPr>
          <w:rFonts w:hint="cs"/>
          <w:i/>
          <w:iCs/>
          <w:rtl/>
        </w:rPr>
        <w:t>توافق عام في الآراء</w:t>
      </w:r>
    </w:p>
    <w:p w:rsidR="00937B29" w:rsidRDefault="00937B29" w:rsidP="00937B29">
      <w:pPr>
        <w:pStyle w:val="NumberedParaAR"/>
      </w:pPr>
      <w:r>
        <w:rPr>
          <w:rFonts w:hint="cs"/>
          <w:rtl/>
        </w:rPr>
        <w:t>وافقت</w:t>
      </w:r>
      <w:r>
        <w:rPr>
          <w:rFonts w:hint="cs"/>
          <w:rtl/>
          <w:lang w:bidi="ar"/>
        </w:rPr>
        <w:t xml:space="preserve"> المجموعات الإقليمية بالإجماع على</w:t>
      </w:r>
      <w:r w:rsidRPr="00937B29">
        <w:rPr>
          <w:rFonts w:hint="cs"/>
          <w:rtl/>
          <w:lang w:bidi="ar"/>
        </w:rPr>
        <w:t xml:space="preserve"> التمسك </w:t>
      </w:r>
      <w:r>
        <w:rPr>
          <w:rFonts w:hint="cs"/>
          <w:rtl/>
          <w:lang w:bidi="ar"/>
        </w:rPr>
        <w:t>ب</w:t>
      </w:r>
      <w:r w:rsidRPr="00937B29">
        <w:rPr>
          <w:rFonts w:hint="cs"/>
          <w:rtl/>
          <w:lang w:bidi="ar"/>
        </w:rPr>
        <w:t>ا</w:t>
      </w:r>
      <w:r>
        <w:rPr>
          <w:rFonts w:hint="cs"/>
          <w:rtl/>
          <w:lang w:bidi="ar"/>
        </w:rPr>
        <w:t>لجدارة كمعيار أساسي للتوظيف. و</w:t>
      </w:r>
      <w:r w:rsidRPr="00937B29">
        <w:rPr>
          <w:rFonts w:hint="cs"/>
          <w:rtl/>
          <w:lang w:bidi="ar"/>
        </w:rPr>
        <w:t>ر</w:t>
      </w:r>
      <w:r>
        <w:rPr>
          <w:rFonts w:hint="cs"/>
          <w:rtl/>
          <w:lang w:bidi="ar"/>
        </w:rPr>
        <w:t>أت أن الوظائف الموجهة للمستخدمين (</w:t>
      </w:r>
      <w:r w:rsidR="00D43ABB">
        <w:rPr>
          <w:rFonts w:hint="cs"/>
          <w:rtl/>
          <w:lang w:bidi="ar"/>
        </w:rPr>
        <w:t>الموضّحة</w:t>
      </w:r>
      <w:r w:rsidRPr="00937B29">
        <w:rPr>
          <w:rFonts w:hint="cs"/>
          <w:rtl/>
          <w:lang w:bidi="ar"/>
        </w:rPr>
        <w:t xml:space="preserve"> في الفقرة 5 (ه) أعلاه) ينبغي </w:t>
      </w:r>
      <w:r w:rsidR="00D43ABB">
        <w:rPr>
          <w:rFonts w:hint="cs"/>
          <w:rtl/>
          <w:lang w:bidi="ar"/>
        </w:rPr>
        <w:t>أن تستثنى من</w:t>
      </w:r>
      <w:r w:rsidRPr="00937B29">
        <w:rPr>
          <w:rFonts w:hint="cs"/>
          <w:rtl/>
          <w:lang w:bidi="ar"/>
        </w:rPr>
        <w:t xml:space="preserve"> </w:t>
      </w:r>
      <w:r w:rsidR="00D43ABB">
        <w:rPr>
          <w:rFonts w:hint="cs"/>
          <w:rtl/>
          <w:lang w:bidi="ar"/>
        </w:rPr>
        <w:t>مسألة التوزيع الجغرافي. وأعرب</w:t>
      </w:r>
      <w:r w:rsidRPr="00937B29">
        <w:rPr>
          <w:rFonts w:hint="cs"/>
          <w:rtl/>
          <w:lang w:bidi="ar"/>
        </w:rPr>
        <w:t xml:space="preserve"> مجموعات </w:t>
      </w:r>
      <w:r w:rsidR="00D43ABB">
        <w:rPr>
          <w:rFonts w:hint="cs"/>
          <w:rtl/>
          <w:lang w:bidi="ar"/>
        </w:rPr>
        <w:t xml:space="preserve">قاطبة عن </w:t>
      </w:r>
      <w:r w:rsidRPr="00937B29">
        <w:rPr>
          <w:rFonts w:hint="cs"/>
          <w:rtl/>
          <w:lang w:bidi="ar"/>
        </w:rPr>
        <w:t>دعم</w:t>
      </w:r>
      <w:r w:rsidR="00D43ABB">
        <w:rPr>
          <w:rFonts w:hint="cs"/>
          <w:rtl/>
          <w:lang w:bidi="ar"/>
        </w:rPr>
        <w:t>ها القوي ل</w:t>
      </w:r>
      <w:r w:rsidRPr="00937B29">
        <w:rPr>
          <w:rFonts w:hint="cs"/>
          <w:rtl/>
          <w:lang w:bidi="ar"/>
        </w:rPr>
        <w:t xml:space="preserve">لمبادرات </w:t>
      </w:r>
      <w:r w:rsidR="00D43ABB">
        <w:rPr>
          <w:rFonts w:hint="cs"/>
          <w:rtl/>
          <w:lang w:bidi="ar"/>
        </w:rPr>
        <w:t>الجارية للأمانة.</w:t>
      </w:r>
      <w:r w:rsidRPr="00937B29">
        <w:rPr>
          <w:rFonts w:hint="cs"/>
          <w:rtl/>
          <w:lang w:bidi="ar"/>
        </w:rPr>
        <w:t xml:space="preserve"> </w:t>
      </w:r>
      <w:r w:rsidR="00D43ABB">
        <w:rPr>
          <w:rFonts w:hint="cs"/>
          <w:rtl/>
          <w:lang w:bidi="ar"/>
        </w:rPr>
        <w:t>وأقرّ بأن</w:t>
      </w:r>
      <w:r w:rsidRPr="00937B29">
        <w:rPr>
          <w:rFonts w:hint="cs"/>
          <w:rtl/>
          <w:lang w:bidi="ar"/>
        </w:rPr>
        <w:t xml:space="preserve"> </w:t>
      </w:r>
      <w:r w:rsidR="00D43ABB">
        <w:rPr>
          <w:rFonts w:hint="cs"/>
          <w:rtl/>
          <w:lang w:bidi="ar"/>
        </w:rPr>
        <w:t>السعي ل</w:t>
      </w:r>
      <w:r w:rsidRPr="00937B29">
        <w:rPr>
          <w:rFonts w:hint="cs"/>
          <w:rtl/>
          <w:lang w:bidi="ar"/>
        </w:rPr>
        <w:t>تمثيل كل دولة من الدول الأعضاء في الويبو، كم</w:t>
      </w:r>
      <w:r w:rsidR="00D43ABB">
        <w:rPr>
          <w:rFonts w:hint="cs"/>
          <w:rtl/>
          <w:lang w:bidi="ar"/>
        </w:rPr>
        <w:t>عيار للتوزيع الجغرافي،</w:t>
      </w:r>
      <w:r w:rsidRPr="00937B29">
        <w:rPr>
          <w:rFonts w:hint="cs"/>
          <w:rtl/>
          <w:lang w:bidi="ar"/>
        </w:rPr>
        <w:t xml:space="preserve"> </w:t>
      </w:r>
      <w:r w:rsidR="00D43ABB">
        <w:rPr>
          <w:rFonts w:hint="cs"/>
          <w:rtl/>
          <w:lang w:bidi="ar"/>
        </w:rPr>
        <w:t xml:space="preserve">غاية لا يمكن إدراكها </w:t>
      </w:r>
      <w:r w:rsidRPr="00937B29">
        <w:rPr>
          <w:rFonts w:hint="cs"/>
          <w:rtl/>
          <w:lang w:bidi="ar"/>
        </w:rPr>
        <w:t>ن</w:t>
      </w:r>
      <w:r w:rsidR="00D43ABB">
        <w:rPr>
          <w:rFonts w:hint="cs"/>
          <w:rtl/>
          <w:lang w:bidi="ar"/>
        </w:rPr>
        <w:t>ظرا لقلة</w:t>
      </w:r>
      <w:r w:rsidRPr="00937B29">
        <w:rPr>
          <w:rFonts w:hint="cs"/>
          <w:rtl/>
          <w:lang w:bidi="ar"/>
        </w:rPr>
        <w:t xml:space="preserve"> </w:t>
      </w:r>
      <w:r w:rsidR="00D43ABB">
        <w:rPr>
          <w:rFonts w:hint="cs"/>
          <w:rtl/>
          <w:lang w:bidi="ar"/>
        </w:rPr>
        <w:t>عدد</w:t>
      </w:r>
      <w:r w:rsidRPr="00937B29">
        <w:rPr>
          <w:rFonts w:hint="cs"/>
          <w:rtl/>
          <w:lang w:bidi="ar"/>
        </w:rPr>
        <w:t xml:space="preserve"> الوظائف الخاضعة للتوزيع الجغرافي.</w:t>
      </w:r>
    </w:p>
    <w:p w:rsidR="00D43ABB" w:rsidRPr="00D43ABB" w:rsidRDefault="00AF5073" w:rsidP="00834A72">
      <w:pPr>
        <w:pStyle w:val="NormalParaAR"/>
        <w:ind w:left="851"/>
        <w:rPr>
          <w:i/>
          <w:iCs/>
        </w:rPr>
      </w:pPr>
      <w:r>
        <w:rPr>
          <w:rFonts w:hint="cs"/>
          <w:i/>
          <w:iCs/>
          <w:rtl/>
          <w:lang w:bidi="ar"/>
        </w:rPr>
        <w:t>تقديم</w:t>
      </w:r>
      <w:r w:rsidR="00D43ABB" w:rsidRPr="00D43ABB">
        <w:rPr>
          <w:rFonts w:hint="cs"/>
          <w:i/>
          <w:iCs/>
          <w:rtl/>
          <w:lang w:bidi="ar"/>
        </w:rPr>
        <w:t>ات محددة</w:t>
      </w:r>
    </w:p>
    <w:p w:rsidR="00D43ABB" w:rsidRDefault="00D43ABB" w:rsidP="00D836AB">
      <w:pPr>
        <w:pStyle w:val="NumberedParaAR"/>
      </w:pPr>
      <w:r>
        <w:rPr>
          <w:rFonts w:hint="cs"/>
          <w:rtl/>
          <w:lang w:bidi="ar"/>
        </w:rPr>
        <w:t>و</w:t>
      </w:r>
      <w:r w:rsidRPr="00D43ABB">
        <w:rPr>
          <w:rFonts w:hint="cs"/>
          <w:rtl/>
          <w:lang w:bidi="ar"/>
        </w:rPr>
        <w:t xml:space="preserve">في سياق الاجتماعات وبناء على طلب من الرئيس، </w:t>
      </w:r>
      <w:r>
        <w:rPr>
          <w:rFonts w:hint="cs"/>
          <w:rtl/>
          <w:lang w:bidi="ar"/>
        </w:rPr>
        <w:t xml:space="preserve">قدمت </w:t>
      </w:r>
      <w:r w:rsidRPr="00D43ABB">
        <w:rPr>
          <w:rFonts w:hint="cs"/>
          <w:rtl/>
          <w:lang w:bidi="ar"/>
        </w:rPr>
        <w:t>بعض المجموعات الإقليمية</w:t>
      </w:r>
      <w:r>
        <w:rPr>
          <w:rFonts w:hint="cs"/>
          <w:rtl/>
          <w:lang w:bidi="ar"/>
        </w:rPr>
        <w:t xml:space="preserve"> تقارير</w:t>
      </w:r>
      <w:r w:rsidRPr="00D43ABB">
        <w:rPr>
          <w:rFonts w:hint="cs"/>
          <w:rtl/>
          <w:lang w:bidi="ar"/>
        </w:rPr>
        <w:t xml:space="preserve"> </w:t>
      </w:r>
      <w:r>
        <w:rPr>
          <w:rFonts w:hint="cs"/>
          <w:rtl/>
          <w:lang w:bidi="ar"/>
        </w:rPr>
        <w:t>تتضمن</w:t>
      </w:r>
      <w:r w:rsidRPr="00D43ABB">
        <w:rPr>
          <w:rFonts w:hint="cs"/>
          <w:rtl/>
          <w:lang w:bidi="ar"/>
        </w:rPr>
        <w:t xml:space="preserve"> ملاحظات ومقترحات بشأ</w:t>
      </w:r>
      <w:r>
        <w:rPr>
          <w:rFonts w:hint="cs"/>
          <w:rtl/>
          <w:lang w:bidi="ar"/>
        </w:rPr>
        <w:t>ن كيفية المضي قدما</w:t>
      </w:r>
      <w:r w:rsidR="00AF5073">
        <w:rPr>
          <w:rFonts w:hint="cs"/>
          <w:rtl/>
          <w:lang w:bidi="ar"/>
        </w:rPr>
        <w:t>. وعرضت ال</w:t>
      </w:r>
      <w:r w:rsidRPr="00D43ABB">
        <w:rPr>
          <w:rFonts w:hint="cs"/>
          <w:rtl/>
          <w:lang w:bidi="ar"/>
        </w:rPr>
        <w:t>بيانا</w:t>
      </w:r>
      <w:r>
        <w:rPr>
          <w:rFonts w:hint="cs"/>
          <w:rtl/>
          <w:lang w:bidi="ar"/>
        </w:rPr>
        <w:t>ت المقدمة من المجموعة الأفريقية</w:t>
      </w:r>
      <w:r w:rsidRPr="00D43ABB">
        <w:rPr>
          <w:rFonts w:hint="cs"/>
          <w:rtl/>
          <w:lang w:bidi="ar"/>
        </w:rPr>
        <w:t xml:space="preserve"> </w:t>
      </w:r>
      <w:r>
        <w:rPr>
          <w:rFonts w:hint="cs"/>
          <w:rtl/>
          <w:lang w:bidi="ar"/>
        </w:rPr>
        <w:t>والمجموعة باء و</w:t>
      </w:r>
      <w:r w:rsidR="00AF5073">
        <w:rPr>
          <w:rFonts w:hint="cs"/>
          <w:rtl/>
          <w:lang w:bidi="ar"/>
        </w:rPr>
        <w:t>مجموعة</w:t>
      </w:r>
      <w:r>
        <w:rPr>
          <w:rFonts w:hint="cs"/>
          <w:rtl/>
          <w:lang w:bidi="ar"/>
        </w:rPr>
        <w:t xml:space="preserve"> </w:t>
      </w:r>
      <w:r w:rsidR="00AF5073">
        <w:rPr>
          <w:rFonts w:hint="cs"/>
          <w:rtl/>
          <w:lang w:bidi="ar"/>
        </w:rPr>
        <w:t xml:space="preserve">بلدان </w:t>
      </w:r>
      <w:r>
        <w:rPr>
          <w:rFonts w:hint="cs"/>
          <w:rtl/>
          <w:lang w:bidi="ar"/>
        </w:rPr>
        <w:t>أمريكا اللاتينية والكاريبي</w:t>
      </w:r>
      <w:r w:rsidRPr="00D43ABB">
        <w:rPr>
          <w:rFonts w:hint="cs"/>
          <w:rtl/>
          <w:lang w:bidi="ar"/>
        </w:rPr>
        <w:t xml:space="preserve"> و</w:t>
      </w:r>
      <w:r>
        <w:rPr>
          <w:rFonts w:hint="cs"/>
          <w:rtl/>
          <w:lang w:bidi="ar"/>
        </w:rPr>
        <w:t>مجموعة بلدان أوروبا الوسطى والبلطيق</w:t>
      </w:r>
      <w:r w:rsidRPr="00D43ABB">
        <w:rPr>
          <w:rFonts w:hint="cs"/>
          <w:rtl/>
          <w:lang w:bidi="ar"/>
        </w:rPr>
        <w:t xml:space="preserve"> </w:t>
      </w:r>
      <w:r w:rsidR="00AF5073">
        <w:rPr>
          <w:rFonts w:hint="cs"/>
          <w:rtl/>
          <w:lang w:bidi="ar"/>
        </w:rPr>
        <w:t>و</w:t>
      </w:r>
      <w:r w:rsidR="00AF5073">
        <w:rPr>
          <w:rtl/>
          <w:lang w:bidi="ar"/>
        </w:rPr>
        <w:t xml:space="preserve">مجموعة </w:t>
      </w:r>
      <w:r w:rsidR="00AF5073">
        <w:rPr>
          <w:rFonts w:hint="cs"/>
          <w:rtl/>
          <w:lang w:bidi="ar"/>
        </w:rPr>
        <w:t>بلدان</w:t>
      </w:r>
      <w:r w:rsidR="00AF5073" w:rsidRPr="00AF5073">
        <w:rPr>
          <w:rtl/>
          <w:lang w:bidi="ar"/>
        </w:rPr>
        <w:t xml:space="preserve"> آسيا الوسطى والقوقاز وأوروبا الشرقية</w:t>
      </w:r>
      <w:r w:rsidRPr="00D43ABB">
        <w:rPr>
          <w:rFonts w:hint="cs"/>
          <w:rtl/>
          <w:lang w:bidi="ar"/>
        </w:rPr>
        <w:t>. و</w:t>
      </w:r>
      <w:r w:rsidR="00AF5073">
        <w:rPr>
          <w:rFonts w:hint="cs"/>
          <w:rtl/>
          <w:lang w:bidi="ar"/>
        </w:rPr>
        <w:t xml:space="preserve">أجرت الأمانة </w:t>
      </w:r>
      <w:r w:rsidRPr="00D43ABB">
        <w:rPr>
          <w:rFonts w:hint="cs"/>
          <w:rtl/>
          <w:lang w:bidi="ar"/>
        </w:rPr>
        <w:t>منذ ذلك الحين، وبناء على طلب م</w:t>
      </w:r>
      <w:r w:rsidR="00AF5073">
        <w:rPr>
          <w:rFonts w:hint="cs"/>
          <w:rtl/>
          <w:lang w:bidi="ar"/>
        </w:rPr>
        <w:t>ن الرئيس، بح</w:t>
      </w:r>
      <w:r w:rsidRPr="00D43ABB">
        <w:rPr>
          <w:rFonts w:hint="cs"/>
          <w:rtl/>
          <w:lang w:bidi="ar"/>
        </w:rPr>
        <w:t>ث</w:t>
      </w:r>
      <w:r w:rsidR="00AF5073">
        <w:rPr>
          <w:rFonts w:hint="cs"/>
          <w:rtl/>
          <w:lang w:bidi="ar"/>
        </w:rPr>
        <w:t xml:space="preserve">ا بشأن </w:t>
      </w:r>
      <w:r w:rsidRPr="00D43ABB">
        <w:rPr>
          <w:rFonts w:hint="cs"/>
          <w:rtl/>
          <w:lang w:bidi="ar"/>
        </w:rPr>
        <w:t xml:space="preserve">بعض النقاط التي أثيرت في </w:t>
      </w:r>
      <w:r w:rsidR="006C7A85">
        <w:rPr>
          <w:rFonts w:hint="cs"/>
          <w:rtl/>
          <w:lang w:bidi="ar"/>
        </w:rPr>
        <w:t>التقديمات</w:t>
      </w:r>
      <w:r w:rsidR="00AF5073">
        <w:rPr>
          <w:rFonts w:hint="cs"/>
          <w:rtl/>
          <w:lang w:bidi="ar"/>
        </w:rPr>
        <w:t xml:space="preserve"> المختلفة. وترد المعلومات </w:t>
      </w:r>
      <w:proofErr w:type="spellStart"/>
      <w:r w:rsidR="00AF5073">
        <w:rPr>
          <w:rFonts w:hint="cs"/>
          <w:rtl/>
          <w:lang w:bidi="ar"/>
        </w:rPr>
        <w:t>المستقاة</w:t>
      </w:r>
      <w:proofErr w:type="spellEnd"/>
      <w:r w:rsidR="00AF5073">
        <w:rPr>
          <w:rFonts w:hint="cs"/>
          <w:rtl/>
          <w:lang w:bidi="ar"/>
        </w:rPr>
        <w:t xml:space="preserve"> من البحث في هذا التقرير، مباشرة بعد موجز ل</w:t>
      </w:r>
      <w:r w:rsidR="006C7A85">
        <w:rPr>
          <w:rFonts w:hint="cs"/>
          <w:rtl/>
          <w:lang w:bidi="ar"/>
        </w:rPr>
        <w:t>كل تقديم</w:t>
      </w:r>
      <w:r w:rsidRPr="00D43ABB">
        <w:rPr>
          <w:rFonts w:hint="cs"/>
          <w:rtl/>
          <w:lang w:bidi="ar"/>
        </w:rPr>
        <w:t>.</w:t>
      </w:r>
    </w:p>
    <w:p w:rsidR="006C7A85" w:rsidRDefault="006C7A85" w:rsidP="00D836AB">
      <w:pPr>
        <w:pStyle w:val="NumberedParaAR"/>
      </w:pPr>
      <w:r>
        <w:rPr>
          <w:rFonts w:hint="cs"/>
          <w:rtl/>
          <w:lang w:bidi="ar"/>
        </w:rPr>
        <w:t>ورأت مجموعة</w:t>
      </w:r>
      <w:r w:rsidRPr="006C7A85">
        <w:rPr>
          <w:rFonts w:hint="cs"/>
          <w:rtl/>
          <w:lang w:bidi="ar"/>
        </w:rPr>
        <w:t xml:space="preserve"> </w:t>
      </w:r>
      <w:r>
        <w:rPr>
          <w:rFonts w:hint="cs"/>
          <w:rtl/>
          <w:lang w:bidi="ar"/>
        </w:rPr>
        <w:t>ضرورة</w:t>
      </w:r>
      <w:r w:rsidRPr="006C7A85">
        <w:rPr>
          <w:rFonts w:hint="cs"/>
          <w:rtl/>
          <w:lang w:bidi="ar"/>
        </w:rPr>
        <w:t xml:space="preserve"> أن </w:t>
      </w:r>
      <w:r>
        <w:rPr>
          <w:rFonts w:hint="cs"/>
          <w:rtl/>
          <w:lang w:bidi="ar"/>
        </w:rPr>
        <w:t>تُكرِّس نتائج عملية المراجعة الحالية ل</w:t>
      </w:r>
      <w:r w:rsidRPr="006C7A85">
        <w:rPr>
          <w:rFonts w:hint="cs"/>
          <w:rtl/>
          <w:lang w:bidi="ar"/>
        </w:rPr>
        <w:t xml:space="preserve">نظام الويبو </w:t>
      </w:r>
      <w:r>
        <w:rPr>
          <w:rFonts w:hint="cs"/>
          <w:rtl/>
          <w:lang w:bidi="ar"/>
        </w:rPr>
        <w:t xml:space="preserve">بشأن التوزيع الجغرافي </w:t>
      </w:r>
      <w:r w:rsidRPr="006C7A85">
        <w:rPr>
          <w:rFonts w:hint="cs"/>
          <w:rtl/>
          <w:lang w:bidi="ar"/>
        </w:rPr>
        <w:t xml:space="preserve">مبادئ العدالة والإنصاف والشفافية </w:t>
      </w:r>
      <w:r>
        <w:rPr>
          <w:rFonts w:hint="cs"/>
          <w:rtl/>
          <w:lang w:bidi="ar"/>
        </w:rPr>
        <w:t>والمساءلة والكفاءة في عمليات ا</w:t>
      </w:r>
      <w:r w:rsidRPr="006C7A85">
        <w:rPr>
          <w:rFonts w:hint="cs"/>
          <w:rtl/>
          <w:lang w:bidi="ar"/>
        </w:rPr>
        <w:t xml:space="preserve">ختيار </w:t>
      </w:r>
      <w:r>
        <w:rPr>
          <w:rFonts w:hint="cs"/>
          <w:rtl/>
          <w:lang w:bidi="ar"/>
        </w:rPr>
        <w:t>موظفي الويبو و</w:t>
      </w:r>
      <w:r w:rsidRPr="006C7A85">
        <w:rPr>
          <w:rFonts w:hint="cs"/>
          <w:rtl/>
          <w:lang w:bidi="ar"/>
        </w:rPr>
        <w:t>تعيين</w:t>
      </w:r>
      <w:r>
        <w:rPr>
          <w:rFonts w:hint="cs"/>
          <w:rtl/>
          <w:lang w:bidi="ar"/>
        </w:rPr>
        <w:t>هم</w:t>
      </w:r>
      <w:r w:rsidRPr="006C7A85">
        <w:rPr>
          <w:rFonts w:hint="cs"/>
          <w:rtl/>
          <w:lang w:bidi="ar"/>
        </w:rPr>
        <w:t xml:space="preserve">. </w:t>
      </w:r>
      <w:r>
        <w:rPr>
          <w:rFonts w:hint="cs"/>
          <w:rtl/>
          <w:lang w:bidi="ar"/>
        </w:rPr>
        <w:t>واقترحت هذه المجموعة</w:t>
      </w:r>
      <w:r w:rsidRPr="006C7A85">
        <w:rPr>
          <w:rFonts w:hint="cs"/>
          <w:rtl/>
          <w:lang w:bidi="ar"/>
        </w:rPr>
        <w:t xml:space="preserve"> </w:t>
      </w:r>
      <w:r>
        <w:rPr>
          <w:rFonts w:hint="cs"/>
          <w:rtl/>
          <w:lang w:bidi="ar"/>
        </w:rPr>
        <w:t xml:space="preserve">طريقة </w:t>
      </w:r>
      <w:r w:rsidRPr="006C7A85">
        <w:rPr>
          <w:rFonts w:hint="cs"/>
          <w:rtl/>
          <w:lang w:bidi="ar"/>
        </w:rPr>
        <w:t xml:space="preserve">الاختيار المباشر من </w:t>
      </w:r>
      <w:r>
        <w:rPr>
          <w:rFonts w:hint="cs"/>
          <w:rtl/>
          <w:lang w:bidi="ar"/>
        </w:rPr>
        <w:t>قبل المدير العام (أسوة ب</w:t>
      </w:r>
      <w:r w:rsidRPr="006C7A85">
        <w:rPr>
          <w:rFonts w:hint="cs"/>
          <w:rtl/>
          <w:lang w:bidi="ar"/>
        </w:rPr>
        <w:t xml:space="preserve">منظمة العمل الدولية) للوظائف رفيعة المستوى </w:t>
      </w:r>
      <w:r>
        <w:rPr>
          <w:rFonts w:hint="cs"/>
          <w:rtl/>
          <w:lang w:bidi="ar"/>
        </w:rPr>
        <w:t xml:space="preserve">ابتداء </w:t>
      </w:r>
      <w:r w:rsidRPr="006C7A85">
        <w:rPr>
          <w:rFonts w:hint="cs"/>
          <w:rtl/>
          <w:lang w:bidi="ar"/>
        </w:rPr>
        <w:t xml:space="preserve">من </w:t>
      </w:r>
      <w:r>
        <w:rPr>
          <w:rFonts w:hint="cs"/>
          <w:rtl/>
          <w:lang w:bidi="ar"/>
        </w:rPr>
        <w:t>رتبة ف-5، بما في ذلك الوظائف</w:t>
      </w:r>
      <w:r w:rsidRPr="006C7A85">
        <w:rPr>
          <w:rFonts w:hint="cs"/>
          <w:rtl/>
          <w:lang w:bidi="ar"/>
        </w:rPr>
        <w:t xml:space="preserve"> </w:t>
      </w:r>
      <w:r>
        <w:rPr>
          <w:rFonts w:hint="cs"/>
          <w:rtl/>
          <w:lang w:bidi="ar"/>
        </w:rPr>
        <w:t>القائمة على المشرو</w:t>
      </w:r>
      <w:r w:rsidRPr="006C7A85">
        <w:rPr>
          <w:rFonts w:hint="cs"/>
          <w:rtl/>
          <w:lang w:bidi="ar"/>
        </w:rPr>
        <w:t>ع</w:t>
      </w:r>
      <w:r>
        <w:rPr>
          <w:rFonts w:hint="cs"/>
          <w:rtl/>
          <w:lang w:bidi="ar"/>
        </w:rPr>
        <w:t>ات، بهدف</w:t>
      </w:r>
      <w:r w:rsidRPr="006C7A85">
        <w:rPr>
          <w:rFonts w:hint="cs"/>
          <w:rtl/>
          <w:lang w:bidi="ar"/>
        </w:rPr>
        <w:t xml:space="preserve"> </w:t>
      </w:r>
      <w:r w:rsidR="00D757F3">
        <w:rPr>
          <w:rFonts w:hint="cs"/>
          <w:rtl/>
          <w:lang w:bidi="ar"/>
        </w:rPr>
        <w:t xml:space="preserve">تأسيس نظام مساءلة يسهل تحديدها في حال </w:t>
      </w:r>
      <w:r w:rsidRPr="006C7A85">
        <w:rPr>
          <w:rFonts w:hint="cs"/>
          <w:rtl/>
          <w:lang w:bidi="ar"/>
        </w:rPr>
        <w:t>وج</w:t>
      </w:r>
      <w:r w:rsidR="00D757F3">
        <w:rPr>
          <w:rFonts w:hint="cs"/>
          <w:rtl/>
          <w:lang w:bidi="ar"/>
        </w:rPr>
        <w:t>و</w:t>
      </w:r>
      <w:r w:rsidRPr="006C7A85">
        <w:rPr>
          <w:rFonts w:hint="cs"/>
          <w:rtl/>
          <w:lang w:bidi="ar"/>
        </w:rPr>
        <w:t xml:space="preserve">د نقص </w:t>
      </w:r>
      <w:r w:rsidR="00D757F3">
        <w:rPr>
          <w:rFonts w:hint="cs"/>
          <w:rtl/>
          <w:lang w:bidi="ar"/>
        </w:rPr>
        <w:t xml:space="preserve">في التمثيل أو عدم توازن </w:t>
      </w:r>
      <w:r w:rsidRPr="006C7A85">
        <w:rPr>
          <w:rFonts w:hint="cs"/>
          <w:rtl/>
          <w:lang w:bidi="ar"/>
        </w:rPr>
        <w:t>جغرافي.</w:t>
      </w:r>
    </w:p>
    <w:p w:rsidR="00D757F3" w:rsidRDefault="00E11F6A" w:rsidP="00D836AB">
      <w:pPr>
        <w:pStyle w:val="NormalParaAR"/>
        <w:numPr>
          <w:ilvl w:val="0"/>
          <w:numId w:val="25"/>
        </w:numPr>
        <w:ind w:left="567" w:firstLine="0"/>
      </w:pPr>
      <w:r>
        <w:rPr>
          <w:rFonts w:hint="cs"/>
          <w:rtl/>
        </w:rPr>
        <w:t>أُ</w:t>
      </w:r>
      <w:r w:rsidR="00D757F3">
        <w:rPr>
          <w:rFonts w:hint="cs"/>
          <w:rtl/>
        </w:rPr>
        <w:t>جمع على أن</w:t>
      </w:r>
      <w:r w:rsidR="00D757F3" w:rsidRPr="00D757F3">
        <w:rPr>
          <w:rFonts w:hint="cs"/>
          <w:rtl/>
          <w:lang w:bidi="ar"/>
        </w:rPr>
        <w:t xml:space="preserve"> المبادئ التي نادت بها هذه المجموعة </w:t>
      </w:r>
      <w:r w:rsidR="00D757F3">
        <w:rPr>
          <w:rFonts w:hint="cs"/>
          <w:rtl/>
          <w:lang w:bidi="ar"/>
        </w:rPr>
        <w:t xml:space="preserve">ينبغي أن تشكل </w:t>
      </w:r>
      <w:r w:rsidR="00D757F3" w:rsidRPr="00D757F3">
        <w:rPr>
          <w:rFonts w:hint="cs"/>
          <w:rtl/>
          <w:lang w:bidi="ar"/>
        </w:rPr>
        <w:t>أساسا للتوظيف في الويبو.</w:t>
      </w:r>
    </w:p>
    <w:p w:rsidR="00E11F6A" w:rsidRPr="00E11F6A" w:rsidRDefault="00D757F3" w:rsidP="00D836AB">
      <w:pPr>
        <w:pStyle w:val="NormalParaAR"/>
        <w:numPr>
          <w:ilvl w:val="0"/>
          <w:numId w:val="25"/>
        </w:numPr>
        <w:ind w:left="567" w:firstLine="0"/>
        <w:rPr>
          <w:rtl/>
        </w:rPr>
      </w:pPr>
      <w:r>
        <w:rPr>
          <w:rFonts w:hint="cs"/>
          <w:rtl/>
          <w:lang w:bidi="ar"/>
        </w:rPr>
        <w:t xml:space="preserve">وفيما يتعلق باقتراح </w:t>
      </w:r>
      <w:r w:rsidRPr="00D757F3">
        <w:rPr>
          <w:rFonts w:hint="cs"/>
          <w:rtl/>
          <w:lang w:bidi="ar"/>
        </w:rPr>
        <w:t>الاخ</w:t>
      </w:r>
      <w:r>
        <w:rPr>
          <w:rFonts w:hint="cs"/>
          <w:rtl/>
          <w:lang w:bidi="ar"/>
        </w:rPr>
        <w:t>تيار المباشر من المدير العام،</w:t>
      </w:r>
      <w:r w:rsidR="00E11F6A">
        <w:rPr>
          <w:rFonts w:hint="cs"/>
          <w:rtl/>
          <w:lang w:bidi="ar"/>
        </w:rPr>
        <w:t xml:space="preserve"> أفادت</w:t>
      </w:r>
      <w:r w:rsidRPr="00D757F3">
        <w:rPr>
          <w:rFonts w:hint="cs"/>
          <w:rtl/>
          <w:lang w:bidi="ar"/>
        </w:rPr>
        <w:t xml:space="preserve"> الأمانة أن </w:t>
      </w:r>
      <w:r>
        <w:rPr>
          <w:rFonts w:hint="cs"/>
          <w:rtl/>
          <w:lang w:bidi="ar"/>
        </w:rPr>
        <w:t>الدول الأعضاء تخلّت عن هذه الممارسة</w:t>
      </w:r>
      <w:r w:rsidRPr="00D757F3">
        <w:rPr>
          <w:rFonts w:hint="cs"/>
          <w:rtl/>
          <w:lang w:bidi="ar"/>
        </w:rPr>
        <w:t xml:space="preserve"> عام 2006. و</w:t>
      </w:r>
      <w:r>
        <w:rPr>
          <w:rFonts w:hint="cs"/>
          <w:rtl/>
          <w:lang w:bidi="ar"/>
        </w:rPr>
        <w:t xml:space="preserve">يتطرّق </w:t>
      </w:r>
      <w:r w:rsidRPr="00D757F3">
        <w:rPr>
          <w:rFonts w:hint="cs"/>
          <w:rtl/>
          <w:lang w:bidi="ar"/>
        </w:rPr>
        <w:t>المقتطف التالي من تقر</w:t>
      </w:r>
      <w:r>
        <w:rPr>
          <w:rFonts w:hint="cs"/>
          <w:rtl/>
          <w:lang w:bidi="ar"/>
        </w:rPr>
        <w:t>ير وحدة التفتيش المشتركة الصادر عام 2005</w:t>
      </w:r>
      <w:r>
        <w:rPr>
          <w:rStyle w:val="FootnoteReference"/>
          <w:rtl/>
          <w:lang w:bidi="ar"/>
        </w:rPr>
        <w:footnoteReference w:id="3"/>
      </w:r>
      <w:r>
        <w:rPr>
          <w:rFonts w:hint="cs"/>
          <w:rtl/>
          <w:lang w:bidi="ar"/>
        </w:rPr>
        <w:t xml:space="preserve"> إلى الموضوع</w:t>
      </w:r>
      <w:r w:rsidRPr="00D757F3">
        <w:rPr>
          <w:rFonts w:hint="cs"/>
          <w:rtl/>
          <w:lang w:bidi="ar"/>
        </w:rPr>
        <w:t>.</w:t>
      </w:r>
    </w:p>
    <w:p w:rsidR="00EC465E" w:rsidRPr="00B35C42" w:rsidRDefault="002777B8" w:rsidP="002777B8">
      <w:pPr>
        <w:pStyle w:val="NumberedParaAR"/>
        <w:numPr>
          <w:ilvl w:val="0"/>
          <w:numId w:val="0"/>
        </w:numPr>
        <w:spacing w:line="240" w:lineRule="auto"/>
        <w:jc w:val="center"/>
        <w:rPr>
          <w:rFonts w:ascii="Arial" w:hAnsi="Arial" w:cs="Arial"/>
        </w:rPr>
      </w:pPr>
      <w:r>
        <w:rPr>
          <w:noProof/>
        </w:rPr>
        <w:drawing>
          <wp:inline distT="0" distB="0" distL="0" distR="0" wp14:anchorId="511DC46E" wp14:editId="7E058513">
            <wp:extent cx="5093335" cy="2247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3335" cy="2247265"/>
                    </a:xfrm>
                    <a:prstGeom prst="rect">
                      <a:avLst/>
                    </a:prstGeom>
                    <a:noFill/>
                    <a:ln>
                      <a:noFill/>
                    </a:ln>
                  </pic:spPr>
                </pic:pic>
              </a:graphicData>
            </a:graphic>
          </wp:inline>
        </w:drawing>
      </w:r>
    </w:p>
    <w:p w:rsidR="00EC465E" w:rsidRDefault="00E11F6A" w:rsidP="00D836AB">
      <w:pPr>
        <w:pStyle w:val="NumberedParaAR"/>
        <w:numPr>
          <w:ilvl w:val="0"/>
          <w:numId w:val="0"/>
        </w:numPr>
        <w:ind w:left="567"/>
        <w:rPr>
          <w:rtl/>
          <w:lang w:bidi="ar"/>
        </w:rPr>
      </w:pPr>
      <w:r>
        <w:rPr>
          <w:rFonts w:hint="cs"/>
          <w:rtl/>
        </w:rPr>
        <w:lastRenderedPageBreak/>
        <w:t>(ج)</w:t>
      </w:r>
      <w:r>
        <w:rPr>
          <w:rFonts w:hint="cs"/>
          <w:rtl/>
        </w:rPr>
        <w:tab/>
      </w:r>
      <w:r w:rsidRPr="00E11F6A">
        <w:rPr>
          <w:rFonts w:hint="cs"/>
          <w:rtl/>
          <w:lang w:bidi="ar"/>
        </w:rPr>
        <w:t>وتم</w:t>
      </w:r>
      <w:r w:rsidR="006B096E">
        <w:rPr>
          <w:rFonts w:hint="cs"/>
          <w:rtl/>
          <w:lang w:bidi="ar"/>
        </w:rPr>
        <w:t>ا</w:t>
      </w:r>
      <w:r w:rsidRPr="00E11F6A">
        <w:rPr>
          <w:rFonts w:hint="cs"/>
          <w:rtl/>
          <w:lang w:bidi="ar"/>
        </w:rPr>
        <w:t>شيا مع تو</w:t>
      </w:r>
      <w:r w:rsidR="006B096E">
        <w:rPr>
          <w:rFonts w:hint="cs"/>
          <w:rtl/>
          <w:lang w:bidi="ar"/>
        </w:rPr>
        <w:t>صيات وحدة التفتيش المشتركة، عُدّ</w:t>
      </w:r>
      <w:r w:rsidRPr="00E11F6A">
        <w:rPr>
          <w:rFonts w:hint="cs"/>
          <w:rtl/>
          <w:lang w:bidi="ar"/>
        </w:rPr>
        <w:t>ل</w:t>
      </w:r>
      <w:r w:rsidR="006B096E">
        <w:rPr>
          <w:rFonts w:hint="cs"/>
          <w:rtl/>
          <w:lang w:bidi="ar"/>
        </w:rPr>
        <w:t xml:space="preserve">ت المادة الوجيهة </w:t>
      </w:r>
      <w:r w:rsidR="00B8150E">
        <w:rPr>
          <w:rFonts w:hint="cs"/>
          <w:rtl/>
          <w:lang w:bidi="ar"/>
        </w:rPr>
        <w:t xml:space="preserve">تحديدا </w:t>
      </w:r>
      <w:r w:rsidRPr="00E11F6A">
        <w:rPr>
          <w:rFonts w:hint="cs"/>
          <w:rtl/>
          <w:lang w:bidi="ar"/>
        </w:rPr>
        <w:t xml:space="preserve">في </w:t>
      </w:r>
      <w:r w:rsidR="006B096E" w:rsidRPr="006B096E">
        <w:rPr>
          <w:rtl/>
          <w:lang w:bidi="ar"/>
        </w:rPr>
        <w:t xml:space="preserve">نظام </w:t>
      </w:r>
      <w:r w:rsidR="006B096E">
        <w:rPr>
          <w:rFonts w:hint="cs"/>
          <w:rtl/>
          <w:lang w:bidi="ar"/>
        </w:rPr>
        <w:t>الويبو ل</w:t>
      </w:r>
      <w:r w:rsidR="006B096E" w:rsidRPr="006B096E">
        <w:rPr>
          <w:rtl/>
          <w:lang w:bidi="ar"/>
        </w:rPr>
        <w:t>لموظفين ولائحته</w:t>
      </w:r>
      <w:r w:rsidR="006B096E">
        <w:rPr>
          <w:rFonts w:hint="cs"/>
          <w:rtl/>
          <w:lang w:bidi="ar"/>
        </w:rPr>
        <w:t xml:space="preserve"> عام 2006،</w:t>
      </w:r>
      <w:r w:rsidRPr="00E11F6A">
        <w:rPr>
          <w:rFonts w:hint="cs"/>
          <w:rtl/>
          <w:lang w:bidi="ar"/>
        </w:rPr>
        <w:t xml:space="preserve"> </w:t>
      </w:r>
      <w:r w:rsidR="00B8150E">
        <w:rPr>
          <w:rFonts w:hint="cs"/>
          <w:rtl/>
          <w:lang w:bidi="ar"/>
        </w:rPr>
        <w:t xml:space="preserve">على النحو الذي </w:t>
      </w:r>
      <w:r w:rsidR="006B096E">
        <w:rPr>
          <w:rFonts w:hint="cs"/>
          <w:rtl/>
          <w:lang w:bidi="ar"/>
        </w:rPr>
        <w:t>و</w:t>
      </w:r>
      <w:r w:rsidR="00B8150E">
        <w:rPr>
          <w:rFonts w:hint="cs"/>
          <w:rtl/>
          <w:lang w:bidi="ar"/>
        </w:rPr>
        <w:t>ا</w:t>
      </w:r>
      <w:r w:rsidRPr="00E11F6A">
        <w:rPr>
          <w:rFonts w:hint="cs"/>
          <w:rtl/>
          <w:lang w:bidi="ar"/>
        </w:rPr>
        <w:t xml:space="preserve">فقت </w:t>
      </w:r>
      <w:r w:rsidR="00B8150E">
        <w:rPr>
          <w:rFonts w:hint="cs"/>
          <w:rtl/>
          <w:lang w:bidi="ar"/>
        </w:rPr>
        <w:t xml:space="preserve">عليه </w:t>
      </w:r>
      <w:r w:rsidRPr="00E11F6A">
        <w:rPr>
          <w:rFonts w:hint="cs"/>
          <w:rtl/>
          <w:lang w:bidi="ar"/>
        </w:rPr>
        <w:t>لجنة الويبو للتنسيق في ذلك الوقت، وحذف</w:t>
      </w:r>
      <w:r w:rsidR="00B8150E">
        <w:rPr>
          <w:rFonts w:hint="cs"/>
          <w:rtl/>
          <w:lang w:bidi="ar"/>
        </w:rPr>
        <w:t>ت الإشارة إلى</w:t>
      </w:r>
      <w:r w:rsidRPr="00E11F6A">
        <w:rPr>
          <w:rFonts w:hint="cs"/>
          <w:rtl/>
          <w:lang w:bidi="ar"/>
        </w:rPr>
        <w:t xml:space="preserve"> إجراءات </w:t>
      </w:r>
      <w:r w:rsidR="00B8150E">
        <w:rPr>
          <w:rFonts w:hint="cs"/>
          <w:rtl/>
          <w:lang w:bidi="ar"/>
        </w:rPr>
        <w:t>التعيين المباشر</w:t>
      </w:r>
      <w:r w:rsidRPr="00E11F6A">
        <w:rPr>
          <w:rFonts w:hint="cs"/>
          <w:rtl/>
          <w:lang w:bidi="ar"/>
        </w:rPr>
        <w:t>.</w:t>
      </w:r>
    </w:p>
    <w:p w:rsidR="00E11F6A" w:rsidRDefault="00E11F6A" w:rsidP="00D836AB">
      <w:pPr>
        <w:pStyle w:val="NumberedParaAR"/>
        <w:numPr>
          <w:ilvl w:val="0"/>
          <w:numId w:val="0"/>
        </w:numPr>
        <w:ind w:left="567"/>
        <w:rPr>
          <w:rtl/>
          <w:lang w:bidi="ar"/>
        </w:rPr>
      </w:pPr>
      <w:r>
        <w:rPr>
          <w:rFonts w:hint="cs"/>
          <w:rtl/>
          <w:lang w:bidi="ar"/>
        </w:rPr>
        <w:t>(د)</w:t>
      </w:r>
      <w:r>
        <w:rPr>
          <w:rFonts w:hint="cs"/>
          <w:rtl/>
          <w:lang w:bidi="ar"/>
        </w:rPr>
        <w:tab/>
      </w:r>
      <w:r w:rsidR="00B8150E">
        <w:rPr>
          <w:rFonts w:hint="cs"/>
          <w:rtl/>
          <w:lang w:bidi="ar"/>
        </w:rPr>
        <w:t>وإن رغبت الدول الأعضاء أن ت</w:t>
      </w:r>
      <w:r w:rsidRPr="00E11F6A">
        <w:rPr>
          <w:rFonts w:hint="cs"/>
          <w:rtl/>
          <w:lang w:bidi="ar"/>
        </w:rPr>
        <w:t xml:space="preserve">عيد </w:t>
      </w:r>
      <w:r w:rsidR="00B8150E">
        <w:rPr>
          <w:rFonts w:hint="cs"/>
          <w:rtl/>
          <w:lang w:bidi="ar"/>
        </w:rPr>
        <w:t>العمل بهذه الممارسة لتشمل</w:t>
      </w:r>
      <w:r w:rsidRPr="00E11F6A">
        <w:rPr>
          <w:rFonts w:hint="cs"/>
          <w:rtl/>
          <w:lang w:bidi="ar"/>
        </w:rPr>
        <w:t xml:space="preserve"> </w:t>
      </w:r>
      <w:r w:rsidR="00B8150E">
        <w:rPr>
          <w:rFonts w:hint="cs"/>
          <w:rtl/>
          <w:lang w:bidi="ar"/>
        </w:rPr>
        <w:t xml:space="preserve">الوظائف </w:t>
      </w:r>
      <w:r w:rsidRPr="00E11F6A">
        <w:rPr>
          <w:rFonts w:hint="cs"/>
          <w:rtl/>
          <w:lang w:bidi="ar"/>
        </w:rPr>
        <w:t>رفيع</w:t>
      </w:r>
      <w:r w:rsidR="00B8150E">
        <w:rPr>
          <w:rFonts w:hint="cs"/>
          <w:rtl/>
          <w:lang w:bidi="ar"/>
        </w:rPr>
        <w:t>ة</w:t>
      </w:r>
      <w:r w:rsidRPr="00E11F6A">
        <w:rPr>
          <w:rFonts w:hint="cs"/>
          <w:rtl/>
          <w:lang w:bidi="ar"/>
        </w:rPr>
        <w:t xml:space="preserve"> </w:t>
      </w:r>
      <w:r w:rsidR="00B8150E">
        <w:rPr>
          <w:rFonts w:hint="cs"/>
          <w:rtl/>
          <w:lang w:bidi="ar"/>
        </w:rPr>
        <w:t xml:space="preserve">المستوى </w:t>
      </w:r>
      <w:r w:rsidRPr="00E11F6A">
        <w:rPr>
          <w:rFonts w:hint="cs"/>
          <w:rtl/>
          <w:lang w:bidi="ar"/>
        </w:rPr>
        <w:t xml:space="preserve">والوظائف القائمة على المشاريع، </w:t>
      </w:r>
      <w:r w:rsidR="00B8150E">
        <w:rPr>
          <w:rFonts w:hint="cs"/>
          <w:rtl/>
          <w:lang w:bidi="ar"/>
        </w:rPr>
        <w:t xml:space="preserve">فسيتطلب ذلك </w:t>
      </w:r>
      <w:r w:rsidRPr="00E11F6A">
        <w:rPr>
          <w:rFonts w:hint="cs"/>
          <w:rtl/>
          <w:lang w:bidi="ar"/>
        </w:rPr>
        <w:t>م</w:t>
      </w:r>
      <w:r w:rsidR="00B8150E">
        <w:rPr>
          <w:rFonts w:hint="cs"/>
          <w:rtl/>
          <w:lang w:bidi="ar"/>
        </w:rPr>
        <w:t>ن الأمانة</w:t>
      </w:r>
      <w:r w:rsidRPr="00E11F6A">
        <w:rPr>
          <w:rFonts w:hint="cs"/>
          <w:rtl/>
          <w:lang w:bidi="ar"/>
        </w:rPr>
        <w:t xml:space="preserve"> </w:t>
      </w:r>
      <w:r w:rsidR="00B8150E">
        <w:rPr>
          <w:rFonts w:hint="cs"/>
          <w:rtl/>
          <w:lang w:bidi="ar"/>
        </w:rPr>
        <w:t>إجراء مزيد من الدراسات بشأن</w:t>
      </w:r>
      <w:r w:rsidRPr="00E11F6A">
        <w:rPr>
          <w:rFonts w:hint="cs"/>
          <w:rtl/>
          <w:lang w:bidi="ar"/>
        </w:rPr>
        <w:t xml:space="preserve"> إرساء </w:t>
      </w:r>
      <w:r w:rsidR="00B8150E">
        <w:rPr>
          <w:rFonts w:hint="cs"/>
          <w:rtl/>
          <w:lang w:bidi="ar"/>
        </w:rPr>
        <w:t>الأساس القانوني و</w:t>
      </w:r>
      <w:r w:rsidRPr="00E11F6A">
        <w:rPr>
          <w:rFonts w:hint="cs"/>
          <w:rtl/>
          <w:lang w:bidi="ar"/>
        </w:rPr>
        <w:t>آلية</w:t>
      </w:r>
      <w:r w:rsidR="00B8150E">
        <w:rPr>
          <w:rFonts w:hint="cs"/>
          <w:rtl/>
          <w:lang w:bidi="ar"/>
        </w:rPr>
        <w:t xml:space="preserve"> التنفيذ اللازمين</w:t>
      </w:r>
      <w:r w:rsidRPr="00E11F6A">
        <w:rPr>
          <w:rFonts w:hint="cs"/>
          <w:rtl/>
          <w:lang w:bidi="ar"/>
        </w:rPr>
        <w:t>، و</w:t>
      </w:r>
      <w:r w:rsidR="00B8150E">
        <w:rPr>
          <w:rFonts w:hint="cs"/>
          <w:rtl/>
          <w:lang w:bidi="ar"/>
        </w:rPr>
        <w:t>كذلك العواقب</w:t>
      </w:r>
      <w:r w:rsidRPr="00E11F6A">
        <w:rPr>
          <w:rFonts w:hint="cs"/>
          <w:rtl/>
          <w:lang w:bidi="ar"/>
        </w:rPr>
        <w:t xml:space="preserve"> </w:t>
      </w:r>
      <w:r w:rsidR="00B8150E">
        <w:rPr>
          <w:rFonts w:hint="cs"/>
          <w:rtl/>
          <w:lang w:bidi="ar"/>
        </w:rPr>
        <w:t xml:space="preserve">المترتبة على </w:t>
      </w:r>
      <w:r w:rsidRPr="00E11F6A">
        <w:rPr>
          <w:rFonts w:hint="cs"/>
          <w:rtl/>
          <w:lang w:bidi="ar"/>
        </w:rPr>
        <w:t>العودة إلى هذه الممارسة</w:t>
      </w:r>
      <w:r w:rsidR="00B8150E">
        <w:rPr>
          <w:rFonts w:hint="cs"/>
          <w:rtl/>
          <w:lang w:bidi="ar"/>
        </w:rPr>
        <w:t>، إن وجدت</w:t>
      </w:r>
      <w:r w:rsidRPr="00E11F6A">
        <w:rPr>
          <w:rFonts w:hint="cs"/>
          <w:rtl/>
          <w:lang w:bidi="ar"/>
        </w:rPr>
        <w:t>.</w:t>
      </w:r>
    </w:p>
    <w:p w:rsidR="00E11F6A" w:rsidRDefault="00457DB6" w:rsidP="00D836AB">
      <w:pPr>
        <w:pStyle w:val="NumberedParaAR"/>
        <w:rPr>
          <w:lang w:bidi="ar"/>
        </w:rPr>
      </w:pPr>
      <w:r>
        <w:rPr>
          <w:rFonts w:hint="cs"/>
          <w:rtl/>
          <w:lang w:bidi="ar"/>
        </w:rPr>
        <w:t>وشدّد</w:t>
      </w:r>
      <w:r w:rsidR="00E11F6A" w:rsidRPr="00E11F6A">
        <w:rPr>
          <w:rFonts w:hint="cs"/>
          <w:rtl/>
          <w:lang w:bidi="ar"/>
        </w:rPr>
        <w:t xml:space="preserve">ت مجموعة أخرى </w:t>
      </w:r>
      <w:r>
        <w:rPr>
          <w:rFonts w:hint="cs"/>
          <w:rtl/>
          <w:lang w:bidi="ar"/>
        </w:rPr>
        <w:t>ع</w:t>
      </w:r>
      <w:r w:rsidR="00B8150E">
        <w:rPr>
          <w:rFonts w:hint="cs"/>
          <w:rtl/>
          <w:lang w:bidi="ar"/>
        </w:rPr>
        <w:t>لى أن</w:t>
      </w:r>
      <w:r w:rsidR="00E11F6A" w:rsidRPr="00E11F6A">
        <w:rPr>
          <w:rFonts w:hint="cs"/>
          <w:rtl/>
          <w:lang w:bidi="ar"/>
        </w:rPr>
        <w:t xml:space="preserve"> </w:t>
      </w:r>
      <w:r>
        <w:rPr>
          <w:rFonts w:hint="cs"/>
          <w:rtl/>
          <w:lang w:bidi="ar"/>
        </w:rPr>
        <w:t xml:space="preserve">العمل بنظام الحصص </w:t>
      </w:r>
      <w:r w:rsidR="00E11F6A" w:rsidRPr="00E11F6A">
        <w:rPr>
          <w:rFonts w:hint="cs"/>
          <w:rtl/>
          <w:lang w:bidi="ar"/>
        </w:rPr>
        <w:t xml:space="preserve">غير ممكن </w:t>
      </w:r>
      <w:r>
        <w:rPr>
          <w:rFonts w:hint="cs"/>
          <w:rtl/>
          <w:lang w:bidi="ar"/>
        </w:rPr>
        <w:t xml:space="preserve">في </w:t>
      </w:r>
      <w:r w:rsidRPr="00E11F6A">
        <w:rPr>
          <w:rFonts w:hint="cs"/>
          <w:rtl/>
          <w:lang w:bidi="ar"/>
        </w:rPr>
        <w:t xml:space="preserve">المنظمات الصغيرة </w:t>
      </w:r>
      <w:r>
        <w:rPr>
          <w:rFonts w:hint="cs"/>
          <w:rtl/>
          <w:lang w:bidi="ar"/>
        </w:rPr>
        <w:t>بسبب</w:t>
      </w:r>
      <w:r w:rsidR="00E11F6A" w:rsidRPr="00E11F6A">
        <w:rPr>
          <w:rFonts w:hint="cs"/>
          <w:rtl/>
          <w:lang w:bidi="ar"/>
        </w:rPr>
        <w:t xml:space="preserve"> محدود</w:t>
      </w:r>
      <w:r>
        <w:rPr>
          <w:rFonts w:hint="cs"/>
          <w:rtl/>
          <w:lang w:bidi="ar"/>
        </w:rPr>
        <w:t>ية</w:t>
      </w:r>
      <w:r w:rsidR="00E11F6A" w:rsidRPr="00E11F6A">
        <w:rPr>
          <w:rFonts w:hint="cs"/>
          <w:rtl/>
          <w:lang w:bidi="ar"/>
        </w:rPr>
        <w:t xml:space="preserve"> </w:t>
      </w:r>
      <w:r>
        <w:rPr>
          <w:rFonts w:hint="cs"/>
          <w:rtl/>
          <w:lang w:bidi="ar"/>
        </w:rPr>
        <w:t xml:space="preserve">عدد الوظائف، وهي </w:t>
      </w:r>
      <w:r w:rsidR="00E11F6A" w:rsidRPr="00E11F6A">
        <w:rPr>
          <w:rFonts w:hint="cs"/>
          <w:rtl/>
          <w:lang w:bidi="ar"/>
        </w:rPr>
        <w:t xml:space="preserve">حالة </w:t>
      </w:r>
      <w:r>
        <w:rPr>
          <w:rFonts w:hint="cs"/>
          <w:rtl/>
          <w:lang w:bidi="ar"/>
        </w:rPr>
        <w:t>قد يراعي فيها نظام التوزيع الجغرافي</w:t>
      </w:r>
      <w:r w:rsidR="00E11F6A" w:rsidRPr="00E11F6A">
        <w:rPr>
          <w:rFonts w:hint="cs"/>
          <w:rtl/>
          <w:lang w:bidi="ar"/>
        </w:rPr>
        <w:t xml:space="preserve"> </w:t>
      </w:r>
      <w:r>
        <w:rPr>
          <w:rFonts w:hint="cs"/>
          <w:rtl/>
          <w:lang w:bidi="ar"/>
        </w:rPr>
        <w:t>مسألة التوازن الجغرافي. وأيّدت المجموعة توسيع أنشطة الأمانة في مجال مخاطبة الجمهور بشأن التوظيف</w:t>
      </w:r>
      <w:r w:rsidR="00E11F6A" w:rsidRPr="00E11F6A">
        <w:rPr>
          <w:rFonts w:hint="cs"/>
          <w:rtl/>
          <w:lang w:bidi="ar"/>
        </w:rPr>
        <w:t xml:space="preserve"> وتعزيز </w:t>
      </w:r>
      <w:r>
        <w:rPr>
          <w:rFonts w:hint="cs"/>
          <w:rtl/>
          <w:lang w:bidi="ar"/>
        </w:rPr>
        <w:t>معايير ال</w:t>
      </w:r>
      <w:r w:rsidR="00E11F6A" w:rsidRPr="00E11F6A">
        <w:rPr>
          <w:rFonts w:hint="cs"/>
          <w:rtl/>
          <w:lang w:bidi="ar"/>
        </w:rPr>
        <w:t>اختيار على أساس الجدارة والكفاءة. وأعرب</w:t>
      </w:r>
      <w:r>
        <w:rPr>
          <w:rFonts w:hint="cs"/>
          <w:rtl/>
          <w:lang w:bidi="ar"/>
        </w:rPr>
        <w:t>ت</w:t>
      </w:r>
      <w:r w:rsidR="00E11F6A" w:rsidRPr="00E11F6A">
        <w:rPr>
          <w:rFonts w:hint="cs"/>
          <w:rtl/>
          <w:lang w:bidi="ar"/>
        </w:rPr>
        <w:t xml:space="preserve"> </w:t>
      </w:r>
      <w:r>
        <w:rPr>
          <w:rFonts w:hint="cs"/>
          <w:rtl/>
          <w:lang w:bidi="ar"/>
        </w:rPr>
        <w:t xml:space="preserve">المجموعة </w:t>
      </w:r>
      <w:r w:rsidR="00E11F6A" w:rsidRPr="00E11F6A">
        <w:rPr>
          <w:rFonts w:hint="cs"/>
          <w:rtl/>
          <w:lang w:bidi="ar"/>
        </w:rPr>
        <w:t>عن تأييده</w:t>
      </w:r>
      <w:r>
        <w:rPr>
          <w:rFonts w:hint="cs"/>
          <w:rtl/>
          <w:lang w:bidi="ar"/>
        </w:rPr>
        <w:t xml:space="preserve">ا لإجراء أنشطة </w:t>
      </w:r>
      <w:r w:rsidR="00E11F6A" w:rsidRPr="00E11F6A">
        <w:rPr>
          <w:rFonts w:hint="cs"/>
          <w:rtl/>
          <w:lang w:bidi="ar"/>
        </w:rPr>
        <w:t xml:space="preserve">توعية مركزة ومستمرة </w:t>
      </w:r>
      <w:r>
        <w:rPr>
          <w:rFonts w:hint="cs"/>
          <w:rtl/>
          <w:lang w:bidi="ar"/>
        </w:rPr>
        <w:t xml:space="preserve">موجّهة </w:t>
      </w:r>
      <w:r w:rsidR="00E11F6A" w:rsidRPr="00E11F6A">
        <w:rPr>
          <w:rFonts w:hint="cs"/>
          <w:rtl/>
          <w:lang w:bidi="ar"/>
        </w:rPr>
        <w:t>للدول الأعضاء غير الممثلة باعتبارها السبيل الوحيد لتحقيق توازن جغرافي أفضل.</w:t>
      </w:r>
    </w:p>
    <w:p w:rsidR="00E11F6A" w:rsidRDefault="00F43D10" w:rsidP="00D836AB">
      <w:pPr>
        <w:pStyle w:val="NumberedParaAR"/>
        <w:numPr>
          <w:ilvl w:val="0"/>
          <w:numId w:val="26"/>
        </w:numPr>
        <w:ind w:left="567" w:firstLine="0"/>
        <w:rPr>
          <w:lang w:bidi="ar"/>
        </w:rPr>
      </w:pPr>
      <w:r>
        <w:rPr>
          <w:rFonts w:hint="cs"/>
          <w:rtl/>
          <w:lang w:bidi="ar"/>
        </w:rPr>
        <w:t>وحقق</w:t>
      </w:r>
      <w:r w:rsidR="00457DB6">
        <w:rPr>
          <w:rFonts w:hint="cs"/>
          <w:rtl/>
          <w:lang w:bidi="ar"/>
        </w:rPr>
        <w:t xml:space="preserve"> اقتراح </w:t>
      </w:r>
      <w:r w:rsidR="00E11F6A" w:rsidRPr="00E11F6A">
        <w:rPr>
          <w:rFonts w:hint="cs"/>
          <w:rtl/>
          <w:lang w:bidi="ar"/>
        </w:rPr>
        <w:t>تو</w:t>
      </w:r>
      <w:r w:rsidR="00457DB6">
        <w:rPr>
          <w:rFonts w:hint="cs"/>
          <w:rtl/>
          <w:lang w:bidi="ar"/>
        </w:rPr>
        <w:t xml:space="preserve">سيع أنشطة الأمانة في مجال مخاطبة الجمهور بشأن التوظيف </w:t>
      </w:r>
      <w:r w:rsidR="00E11F6A" w:rsidRPr="00E11F6A">
        <w:rPr>
          <w:rFonts w:hint="cs"/>
          <w:rtl/>
          <w:lang w:bidi="ar"/>
        </w:rPr>
        <w:t>و</w:t>
      </w:r>
      <w:r w:rsidR="00457DB6">
        <w:rPr>
          <w:rFonts w:hint="cs"/>
          <w:rtl/>
          <w:lang w:bidi="ar"/>
        </w:rPr>
        <w:t>خصوصا للدول الأعضاء غير الممثلة</w:t>
      </w:r>
      <w:r w:rsidR="00E11F6A" w:rsidRPr="00E11F6A">
        <w:rPr>
          <w:rFonts w:hint="cs"/>
          <w:rtl/>
          <w:lang w:bidi="ar"/>
        </w:rPr>
        <w:t xml:space="preserve"> وتعزيز معايير التوظيف على أساس الجدارة، توافق</w:t>
      </w:r>
      <w:r>
        <w:rPr>
          <w:rFonts w:hint="cs"/>
          <w:rtl/>
          <w:lang w:bidi="ar"/>
        </w:rPr>
        <w:t>ا</w:t>
      </w:r>
      <w:r w:rsidR="00E11F6A" w:rsidRPr="00E11F6A">
        <w:rPr>
          <w:rFonts w:hint="cs"/>
          <w:rtl/>
          <w:lang w:bidi="ar"/>
        </w:rPr>
        <w:t xml:space="preserve"> في الآراء بين جميع </w:t>
      </w:r>
      <w:r>
        <w:rPr>
          <w:rFonts w:hint="cs"/>
          <w:rtl/>
          <w:lang w:bidi="ar"/>
        </w:rPr>
        <w:t>المجموعات</w:t>
      </w:r>
      <w:r w:rsidR="00E11F6A" w:rsidRPr="00E11F6A">
        <w:rPr>
          <w:rFonts w:hint="cs"/>
          <w:rtl/>
          <w:lang w:bidi="ar"/>
        </w:rPr>
        <w:t>.</w:t>
      </w:r>
    </w:p>
    <w:p w:rsidR="00E11F6A" w:rsidRDefault="00F43D10" w:rsidP="00D836AB">
      <w:pPr>
        <w:pStyle w:val="NumberedParaAR"/>
        <w:rPr>
          <w:lang w:bidi="ar"/>
        </w:rPr>
      </w:pPr>
      <w:r>
        <w:rPr>
          <w:rFonts w:hint="cs"/>
          <w:rtl/>
          <w:lang w:bidi="ar"/>
        </w:rPr>
        <w:t xml:space="preserve">غير أن </w:t>
      </w:r>
      <w:r w:rsidR="00E11F6A" w:rsidRPr="00E11F6A">
        <w:rPr>
          <w:rFonts w:hint="cs"/>
          <w:rtl/>
          <w:lang w:bidi="ar"/>
        </w:rPr>
        <w:t xml:space="preserve">مجموعة أخرى </w:t>
      </w:r>
      <w:r>
        <w:rPr>
          <w:rFonts w:hint="cs"/>
          <w:rtl/>
          <w:lang w:bidi="ar"/>
        </w:rPr>
        <w:t>رأت</w:t>
      </w:r>
      <w:r w:rsidR="00E11F6A" w:rsidRPr="00E11F6A">
        <w:rPr>
          <w:rFonts w:hint="cs"/>
          <w:rtl/>
          <w:lang w:bidi="ar"/>
        </w:rPr>
        <w:t xml:space="preserve"> ضرورة تحديث </w:t>
      </w:r>
      <w:r>
        <w:rPr>
          <w:rFonts w:hint="cs"/>
          <w:rtl/>
          <w:lang w:bidi="ar"/>
        </w:rPr>
        <w:t>مبادئ عام 1975 لإدخال نظام يمثّل</w:t>
      </w:r>
      <w:r w:rsidR="00E11F6A" w:rsidRPr="00E11F6A">
        <w:rPr>
          <w:rFonts w:hint="cs"/>
          <w:rtl/>
          <w:lang w:bidi="ar"/>
        </w:rPr>
        <w:t xml:space="preserve"> التنوع في المن</w:t>
      </w:r>
      <w:r>
        <w:rPr>
          <w:rFonts w:hint="cs"/>
          <w:rtl/>
          <w:lang w:bidi="ar"/>
        </w:rPr>
        <w:t>ظمة ومبدأ الشمولية المنصوص عليه</w:t>
      </w:r>
      <w:r w:rsidR="00E11F6A" w:rsidRPr="00E11F6A">
        <w:rPr>
          <w:rFonts w:hint="cs"/>
          <w:rtl/>
          <w:lang w:bidi="ar"/>
        </w:rPr>
        <w:t xml:space="preserve"> في </w:t>
      </w:r>
      <w:r>
        <w:rPr>
          <w:rFonts w:hint="cs"/>
          <w:rtl/>
          <w:lang w:bidi="ar"/>
        </w:rPr>
        <w:t>ميثاق الأمم المتحدة واتفاقية الويبو. و</w:t>
      </w:r>
      <w:r w:rsidR="00E11F6A" w:rsidRPr="00E11F6A">
        <w:rPr>
          <w:rFonts w:hint="cs"/>
          <w:rtl/>
          <w:lang w:bidi="ar"/>
        </w:rPr>
        <w:t>اقترح</w:t>
      </w:r>
      <w:r>
        <w:rPr>
          <w:rFonts w:hint="cs"/>
          <w:rtl/>
          <w:lang w:bidi="ar"/>
        </w:rPr>
        <w:t>ت</w:t>
      </w:r>
      <w:r w:rsidR="00E11F6A" w:rsidRPr="00E11F6A">
        <w:rPr>
          <w:rFonts w:hint="cs"/>
          <w:rtl/>
          <w:lang w:bidi="ar"/>
        </w:rPr>
        <w:t xml:space="preserve"> </w:t>
      </w:r>
      <w:r>
        <w:rPr>
          <w:rFonts w:hint="cs"/>
          <w:rtl/>
          <w:lang w:bidi="ar"/>
        </w:rPr>
        <w:t>المجموعة</w:t>
      </w:r>
      <w:r w:rsidR="00E11F6A" w:rsidRPr="00E11F6A">
        <w:rPr>
          <w:rFonts w:hint="cs"/>
          <w:rtl/>
          <w:lang w:bidi="ar"/>
        </w:rPr>
        <w:t xml:space="preserve"> </w:t>
      </w:r>
      <w:r>
        <w:rPr>
          <w:rFonts w:hint="cs"/>
          <w:rtl/>
          <w:lang w:bidi="ar"/>
        </w:rPr>
        <w:t>أن تضع الأمانة مؤشراتٍ و</w:t>
      </w:r>
      <w:r w:rsidR="00E11F6A" w:rsidRPr="00E11F6A">
        <w:rPr>
          <w:rFonts w:hint="cs"/>
          <w:rtl/>
          <w:lang w:bidi="ar"/>
        </w:rPr>
        <w:t>أهداف</w:t>
      </w:r>
      <w:r>
        <w:rPr>
          <w:rFonts w:hint="cs"/>
          <w:rtl/>
          <w:lang w:bidi="ar"/>
        </w:rPr>
        <w:t>اً</w:t>
      </w:r>
      <w:r w:rsidR="00E11F6A" w:rsidRPr="00E11F6A">
        <w:rPr>
          <w:rFonts w:hint="cs"/>
          <w:rtl/>
          <w:lang w:bidi="ar"/>
        </w:rPr>
        <w:t xml:space="preserve"> في تقرير أداء البرنامج (</w:t>
      </w:r>
      <w:r w:rsidR="00E11F6A" w:rsidRPr="00E11F6A">
        <w:rPr>
          <w:rFonts w:hint="cs"/>
          <w:lang w:bidi="ar"/>
        </w:rPr>
        <w:t>PPR</w:t>
      </w:r>
      <w:r w:rsidR="00E11F6A" w:rsidRPr="00E11F6A">
        <w:rPr>
          <w:rFonts w:hint="cs"/>
          <w:rtl/>
          <w:lang w:bidi="ar"/>
        </w:rPr>
        <w:t xml:space="preserve">) لتحسين نسبة الموظفين من الدول الأعضاء غير الممثلة والمناطق </w:t>
      </w:r>
      <w:r>
        <w:rPr>
          <w:rFonts w:hint="cs"/>
          <w:rtl/>
          <w:lang w:bidi="ar"/>
        </w:rPr>
        <w:t>الممثلة تمثيلا ناقصا. و</w:t>
      </w:r>
      <w:r w:rsidR="00E11F6A" w:rsidRPr="00E11F6A">
        <w:rPr>
          <w:rFonts w:hint="cs"/>
          <w:rtl/>
          <w:lang w:bidi="ar"/>
        </w:rPr>
        <w:t>اقترح</w:t>
      </w:r>
      <w:r>
        <w:rPr>
          <w:rFonts w:hint="cs"/>
          <w:rtl/>
          <w:lang w:bidi="ar"/>
        </w:rPr>
        <w:t>ت</w:t>
      </w:r>
      <w:r w:rsidR="00E11F6A" w:rsidRPr="00E11F6A">
        <w:rPr>
          <w:rFonts w:hint="cs"/>
          <w:rtl/>
          <w:lang w:bidi="ar"/>
        </w:rPr>
        <w:t xml:space="preserve"> </w:t>
      </w:r>
      <w:r>
        <w:rPr>
          <w:rFonts w:hint="cs"/>
          <w:rtl/>
          <w:lang w:bidi="ar"/>
        </w:rPr>
        <w:t>أيضا</w:t>
      </w:r>
      <w:r w:rsidR="00E11F6A" w:rsidRPr="00E11F6A">
        <w:rPr>
          <w:rFonts w:hint="cs"/>
          <w:rtl/>
          <w:lang w:bidi="ar"/>
        </w:rPr>
        <w:t xml:space="preserve"> </w:t>
      </w:r>
      <w:r>
        <w:rPr>
          <w:rFonts w:hint="cs"/>
          <w:rtl/>
          <w:lang w:bidi="ar"/>
        </w:rPr>
        <w:t xml:space="preserve">مسائلة </w:t>
      </w:r>
      <w:r w:rsidRPr="00F43D10">
        <w:rPr>
          <w:rtl/>
          <w:lang w:bidi="ar"/>
        </w:rPr>
        <w:t xml:space="preserve">المديرين المكلّفين بالتوظيف </w:t>
      </w:r>
      <w:r>
        <w:rPr>
          <w:rFonts w:hint="cs"/>
          <w:rtl/>
          <w:lang w:bidi="ar"/>
        </w:rPr>
        <w:t>عن النتائج، وتضمينه كجزء من تقييم الأداء السنوي، وإ</w:t>
      </w:r>
      <w:r w:rsidR="00E11F6A" w:rsidRPr="00E11F6A">
        <w:rPr>
          <w:rFonts w:hint="cs"/>
          <w:rtl/>
          <w:lang w:bidi="ar"/>
        </w:rPr>
        <w:t>صد</w:t>
      </w:r>
      <w:r>
        <w:rPr>
          <w:rFonts w:hint="cs"/>
          <w:rtl/>
          <w:lang w:bidi="ar"/>
        </w:rPr>
        <w:t xml:space="preserve">ار "تقرير استثنائي" عند توظيف </w:t>
      </w:r>
      <w:r w:rsidR="00E11F6A" w:rsidRPr="00E11F6A">
        <w:rPr>
          <w:rFonts w:hint="cs"/>
          <w:rtl/>
          <w:lang w:bidi="ar"/>
        </w:rPr>
        <w:t xml:space="preserve">مواطنين من مناطق </w:t>
      </w:r>
      <w:r>
        <w:rPr>
          <w:rFonts w:hint="cs"/>
          <w:rtl/>
          <w:lang w:bidi="ar"/>
        </w:rPr>
        <w:t xml:space="preserve">ممثلة </w:t>
      </w:r>
      <w:r w:rsidR="00E11F6A" w:rsidRPr="00E11F6A">
        <w:rPr>
          <w:rFonts w:hint="cs"/>
          <w:rtl/>
          <w:lang w:bidi="ar"/>
        </w:rPr>
        <w:t>تمثيل</w:t>
      </w:r>
      <w:r>
        <w:rPr>
          <w:rFonts w:hint="cs"/>
          <w:rtl/>
          <w:lang w:bidi="ar"/>
        </w:rPr>
        <w:t>ا</w:t>
      </w:r>
      <w:r w:rsidR="00E11F6A" w:rsidRPr="00E11F6A">
        <w:rPr>
          <w:rFonts w:hint="cs"/>
          <w:rtl/>
          <w:lang w:bidi="ar"/>
        </w:rPr>
        <w:t xml:space="preserve"> زائد</w:t>
      </w:r>
      <w:r>
        <w:rPr>
          <w:rFonts w:hint="cs"/>
          <w:rtl/>
          <w:lang w:bidi="ar"/>
        </w:rPr>
        <w:t>ا</w:t>
      </w:r>
      <w:r w:rsidR="00E11F6A" w:rsidRPr="00E11F6A">
        <w:rPr>
          <w:rFonts w:hint="cs"/>
          <w:rtl/>
          <w:lang w:bidi="ar"/>
        </w:rPr>
        <w:t xml:space="preserve">. </w:t>
      </w:r>
      <w:r w:rsidR="002D542F">
        <w:rPr>
          <w:rFonts w:hint="cs"/>
          <w:rtl/>
          <w:lang w:bidi="ar"/>
        </w:rPr>
        <w:t xml:space="preserve">وقدمت المجموعة </w:t>
      </w:r>
      <w:r w:rsidR="00E11F6A" w:rsidRPr="00E11F6A">
        <w:rPr>
          <w:rFonts w:hint="cs"/>
          <w:rtl/>
          <w:lang w:bidi="ar"/>
        </w:rPr>
        <w:t>اقتراح</w:t>
      </w:r>
      <w:r w:rsidR="002D542F">
        <w:rPr>
          <w:rFonts w:hint="cs"/>
          <w:rtl/>
          <w:lang w:bidi="ar"/>
        </w:rPr>
        <w:t xml:space="preserve">ا آخر بمراعاة التوزيع الجغرافي </w:t>
      </w:r>
      <w:r w:rsidR="000227F1">
        <w:rPr>
          <w:rFonts w:hint="cs"/>
          <w:rtl/>
          <w:lang w:bidi="ar"/>
        </w:rPr>
        <w:t xml:space="preserve">في استخدام الموارد خلاف </w:t>
      </w:r>
      <w:r w:rsidR="00E11F6A" w:rsidRPr="00E11F6A">
        <w:rPr>
          <w:rFonts w:hint="cs"/>
          <w:rtl/>
          <w:lang w:bidi="ar"/>
        </w:rPr>
        <w:t>الموظفين (</w:t>
      </w:r>
      <w:r w:rsidR="002D542F">
        <w:rPr>
          <w:rFonts w:hint="cs"/>
          <w:rtl/>
          <w:lang w:bidi="ar"/>
        </w:rPr>
        <w:t xml:space="preserve">وضربت </w:t>
      </w:r>
      <w:r w:rsidR="00E11F6A" w:rsidRPr="00E11F6A">
        <w:rPr>
          <w:rFonts w:hint="cs"/>
          <w:rtl/>
          <w:lang w:bidi="ar"/>
        </w:rPr>
        <w:t>منظمة الأغ</w:t>
      </w:r>
      <w:r w:rsidR="002D542F">
        <w:rPr>
          <w:rFonts w:hint="cs"/>
          <w:rtl/>
          <w:lang w:bidi="ar"/>
        </w:rPr>
        <w:t xml:space="preserve">ذية والزراعة </w:t>
      </w:r>
      <w:r w:rsidR="00B7402A">
        <w:rPr>
          <w:rFonts w:hint="cs"/>
          <w:rtl/>
          <w:lang w:bidi="ar"/>
        </w:rPr>
        <w:t xml:space="preserve">للأمم المتحدة </w:t>
      </w:r>
      <w:r w:rsidR="002D542F">
        <w:rPr>
          <w:rFonts w:hint="cs"/>
          <w:rtl/>
          <w:lang w:bidi="ar"/>
        </w:rPr>
        <w:t>كمثال). وأضافت المجموعة ا</w:t>
      </w:r>
      <w:r w:rsidR="00E11F6A" w:rsidRPr="00E11F6A">
        <w:rPr>
          <w:rFonts w:hint="cs"/>
          <w:rtl/>
          <w:lang w:bidi="ar"/>
        </w:rPr>
        <w:t>قتر</w:t>
      </w:r>
      <w:r w:rsidR="002D542F">
        <w:rPr>
          <w:rFonts w:hint="cs"/>
          <w:rtl/>
          <w:lang w:bidi="ar"/>
        </w:rPr>
        <w:t>ا</w:t>
      </w:r>
      <w:r w:rsidR="00E11F6A" w:rsidRPr="00E11F6A">
        <w:rPr>
          <w:rFonts w:hint="cs"/>
          <w:rtl/>
          <w:lang w:bidi="ar"/>
        </w:rPr>
        <w:t>ح</w:t>
      </w:r>
      <w:r w:rsidR="002D542F">
        <w:rPr>
          <w:rFonts w:hint="cs"/>
          <w:rtl/>
          <w:lang w:bidi="ar"/>
        </w:rPr>
        <w:t>ا</w:t>
      </w:r>
      <w:r w:rsidR="00E11F6A" w:rsidRPr="00E11F6A">
        <w:rPr>
          <w:rFonts w:hint="cs"/>
          <w:rtl/>
          <w:lang w:bidi="ar"/>
        </w:rPr>
        <w:t xml:space="preserve"> </w:t>
      </w:r>
      <w:r w:rsidR="002D542F">
        <w:rPr>
          <w:rFonts w:hint="cs"/>
          <w:rtl/>
          <w:lang w:bidi="ar"/>
        </w:rPr>
        <w:t xml:space="preserve">بتنفيذ </w:t>
      </w:r>
      <w:r w:rsidR="00E11F6A" w:rsidRPr="00E11F6A">
        <w:rPr>
          <w:rFonts w:hint="cs"/>
          <w:rtl/>
          <w:lang w:bidi="ar"/>
        </w:rPr>
        <w:t>برنامج المهنيين الشباب (</w:t>
      </w:r>
      <w:r w:rsidR="00E11F6A" w:rsidRPr="00E11F6A">
        <w:rPr>
          <w:rFonts w:hint="cs"/>
          <w:lang w:bidi="ar"/>
        </w:rPr>
        <w:t>YPP</w:t>
      </w:r>
      <w:r w:rsidR="00E11F6A" w:rsidRPr="00E11F6A">
        <w:rPr>
          <w:rFonts w:hint="cs"/>
          <w:rtl/>
          <w:lang w:bidi="ar"/>
        </w:rPr>
        <w:t>) لاستهداف ا</w:t>
      </w:r>
      <w:r w:rsidR="002D542F">
        <w:rPr>
          <w:rFonts w:hint="cs"/>
          <w:rtl/>
          <w:lang w:bidi="ar"/>
        </w:rPr>
        <w:t>لدول الأعضاء غير الممثلة</w:t>
      </w:r>
      <w:r w:rsidR="00E11F6A" w:rsidRPr="00E11F6A">
        <w:rPr>
          <w:rFonts w:hint="cs"/>
          <w:rtl/>
          <w:lang w:bidi="ar"/>
        </w:rPr>
        <w:t xml:space="preserve"> والمناطق </w:t>
      </w:r>
      <w:r w:rsidR="002D542F">
        <w:rPr>
          <w:rFonts w:hint="cs"/>
          <w:rtl/>
          <w:lang w:bidi="ar"/>
        </w:rPr>
        <w:t>ال</w:t>
      </w:r>
      <w:r w:rsidR="00E11F6A" w:rsidRPr="00E11F6A">
        <w:rPr>
          <w:rFonts w:hint="cs"/>
          <w:rtl/>
          <w:lang w:bidi="ar"/>
        </w:rPr>
        <w:t>ممثلة تمثيلا ناقصا و</w:t>
      </w:r>
      <w:r w:rsidR="00EC4BA1">
        <w:rPr>
          <w:rFonts w:hint="cs"/>
          <w:rtl/>
          <w:lang w:bidi="ar"/>
        </w:rPr>
        <w:t>السعي</w:t>
      </w:r>
      <w:r w:rsidR="00E11F6A" w:rsidRPr="00E11F6A">
        <w:rPr>
          <w:rFonts w:hint="cs"/>
          <w:rtl/>
          <w:lang w:bidi="ar"/>
        </w:rPr>
        <w:t xml:space="preserve"> </w:t>
      </w:r>
      <w:r w:rsidR="00EC4BA1">
        <w:rPr>
          <w:rFonts w:hint="cs"/>
          <w:rtl/>
          <w:lang w:bidi="ar"/>
        </w:rPr>
        <w:t>إلى</w:t>
      </w:r>
      <w:r w:rsidR="00E11F6A" w:rsidRPr="00E11F6A">
        <w:rPr>
          <w:rFonts w:hint="cs"/>
          <w:rtl/>
          <w:lang w:bidi="ar"/>
        </w:rPr>
        <w:t xml:space="preserve"> </w:t>
      </w:r>
      <w:r w:rsidR="00EC4BA1">
        <w:rPr>
          <w:rFonts w:hint="cs"/>
          <w:rtl/>
          <w:lang w:bidi="ar"/>
        </w:rPr>
        <w:t>فصل ال</w:t>
      </w:r>
      <w:r w:rsidR="00E11F6A" w:rsidRPr="00E11F6A">
        <w:rPr>
          <w:rFonts w:hint="cs"/>
          <w:rtl/>
          <w:lang w:bidi="ar"/>
        </w:rPr>
        <w:t xml:space="preserve">توظيف </w:t>
      </w:r>
      <w:r w:rsidR="00EC4BA1">
        <w:rPr>
          <w:rFonts w:hint="cs"/>
          <w:rtl/>
          <w:lang w:bidi="ar"/>
        </w:rPr>
        <w:t>المحدد</w:t>
      </w:r>
      <w:r w:rsidR="00E11F6A" w:rsidRPr="00E11F6A">
        <w:rPr>
          <w:rFonts w:hint="cs"/>
          <w:rtl/>
          <w:lang w:bidi="ar"/>
        </w:rPr>
        <w:t xml:space="preserve"> من </w:t>
      </w:r>
      <w:r w:rsidR="00EC4BA1">
        <w:rPr>
          <w:rFonts w:hint="cs"/>
          <w:rtl/>
          <w:lang w:bidi="ar"/>
        </w:rPr>
        <w:t>صفوف مواطني</w:t>
      </w:r>
      <w:r w:rsidR="00E11F6A" w:rsidRPr="00E11F6A">
        <w:rPr>
          <w:rFonts w:hint="cs"/>
          <w:rtl/>
          <w:lang w:bidi="ar"/>
        </w:rPr>
        <w:t xml:space="preserve"> </w:t>
      </w:r>
      <w:r w:rsidR="00EC4BA1">
        <w:rPr>
          <w:rFonts w:hint="cs"/>
          <w:rtl/>
          <w:lang w:bidi="ar"/>
        </w:rPr>
        <w:t xml:space="preserve">الدول المانحة </w:t>
      </w:r>
      <w:r w:rsidR="00E11F6A" w:rsidRPr="00E11F6A">
        <w:rPr>
          <w:rFonts w:hint="cs"/>
          <w:rtl/>
          <w:lang w:bidi="ar"/>
        </w:rPr>
        <w:t xml:space="preserve">عن </w:t>
      </w:r>
      <w:r w:rsidR="00EC4BA1">
        <w:rPr>
          <w:rFonts w:hint="cs"/>
          <w:rtl/>
          <w:lang w:bidi="ar"/>
        </w:rPr>
        <w:t xml:space="preserve">المساهمات الطوعية وتجنّب قبول خدمات </w:t>
      </w:r>
      <w:r w:rsidR="00E11F6A" w:rsidRPr="00E11F6A">
        <w:rPr>
          <w:rFonts w:hint="cs"/>
          <w:rtl/>
          <w:lang w:bidi="ar"/>
        </w:rPr>
        <w:t>مج</w:t>
      </w:r>
      <w:r w:rsidR="00EC4BA1">
        <w:rPr>
          <w:rFonts w:hint="cs"/>
          <w:rtl/>
          <w:lang w:bidi="ar"/>
        </w:rPr>
        <w:t>انية، تمهيدا للتعيين، من أي جنسية. و</w:t>
      </w:r>
      <w:r w:rsidR="00E11F6A" w:rsidRPr="00E11F6A">
        <w:rPr>
          <w:rFonts w:hint="cs"/>
          <w:rtl/>
          <w:lang w:bidi="ar"/>
        </w:rPr>
        <w:t>اقترحت مجموع</w:t>
      </w:r>
      <w:r w:rsidR="00EC4BA1">
        <w:rPr>
          <w:rFonts w:hint="cs"/>
          <w:rtl/>
          <w:lang w:bidi="ar"/>
        </w:rPr>
        <w:t xml:space="preserve">تان اعتماد نظام </w:t>
      </w:r>
      <w:r w:rsidR="009164FF">
        <w:rPr>
          <w:rFonts w:hint="cs"/>
          <w:rtl/>
          <w:lang w:bidi="ar"/>
        </w:rPr>
        <w:t>لقياس أهمية المن</w:t>
      </w:r>
      <w:r w:rsidR="00EC4BA1">
        <w:rPr>
          <w:rFonts w:hint="cs"/>
          <w:rtl/>
          <w:lang w:bidi="ar"/>
        </w:rPr>
        <w:t>صب</w:t>
      </w:r>
      <w:r w:rsidR="00E11F6A" w:rsidRPr="00E11F6A">
        <w:rPr>
          <w:rFonts w:hint="cs"/>
          <w:rtl/>
          <w:lang w:bidi="ar"/>
        </w:rPr>
        <w:t xml:space="preserve">، </w:t>
      </w:r>
      <w:r w:rsidR="00873529">
        <w:rPr>
          <w:rFonts w:hint="cs"/>
          <w:rtl/>
          <w:lang w:bidi="ar"/>
        </w:rPr>
        <w:t xml:space="preserve">وضربت إحداهما مثالا على ذلك </w:t>
      </w:r>
      <w:r w:rsidR="00E11F6A" w:rsidRPr="00E11F6A">
        <w:rPr>
          <w:rFonts w:hint="cs"/>
          <w:rtl/>
          <w:lang w:bidi="ar"/>
        </w:rPr>
        <w:t xml:space="preserve">منظمة </w:t>
      </w:r>
      <w:r w:rsidR="00873529">
        <w:rPr>
          <w:rFonts w:hint="cs"/>
          <w:rtl/>
          <w:lang w:bidi="ar"/>
        </w:rPr>
        <w:t>الأغذية والزراعة</w:t>
      </w:r>
      <w:r w:rsidR="00B7402A">
        <w:rPr>
          <w:rFonts w:hint="cs"/>
          <w:rtl/>
          <w:lang w:bidi="ar"/>
        </w:rPr>
        <w:t xml:space="preserve"> للأمم المتحدة</w:t>
      </w:r>
      <w:bookmarkStart w:id="2" w:name="_GoBack"/>
      <w:bookmarkEnd w:id="2"/>
      <w:r w:rsidR="00E11F6A" w:rsidRPr="00E11F6A">
        <w:rPr>
          <w:rFonts w:hint="cs"/>
          <w:rtl/>
          <w:lang w:bidi="ar"/>
        </w:rPr>
        <w:t>.</w:t>
      </w:r>
    </w:p>
    <w:p w:rsidR="00E11F6A" w:rsidRDefault="00873529" w:rsidP="00D836AB">
      <w:pPr>
        <w:pStyle w:val="NumberedParaAR"/>
        <w:numPr>
          <w:ilvl w:val="0"/>
          <w:numId w:val="27"/>
        </w:numPr>
        <w:ind w:left="567" w:firstLine="0"/>
        <w:rPr>
          <w:lang w:bidi="ar"/>
        </w:rPr>
      </w:pPr>
      <w:r>
        <w:rPr>
          <w:rFonts w:hint="cs"/>
          <w:rtl/>
          <w:lang w:bidi="ar"/>
        </w:rPr>
        <w:t>س</w:t>
      </w:r>
      <w:r w:rsidR="00D42C49">
        <w:rPr>
          <w:rFonts w:hint="cs"/>
          <w:rtl/>
          <w:lang w:bidi="ar"/>
        </w:rPr>
        <w:t>ي</w:t>
      </w:r>
      <w:r>
        <w:rPr>
          <w:rFonts w:hint="cs"/>
          <w:rtl/>
          <w:lang w:bidi="ar"/>
        </w:rPr>
        <w:t xml:space="preserve">شكل </w:t>
      </w:r>
      <w:r w:rsidR="00D42C49">
        <w:rPr>
          <w:rFonts w:hint="cs"/>
          <w:rtl/>
          <w:lang w:bidi="ar"/>
        </w:rPr>
        <w:t xml:space="preserve">البتّ في </w:t>
      </w:r>
      <w:r>
        <w:rPr>
          <w:rFonts w:hint="cs"/>
          <w:rtl/>
          <w:lang w:bidi="ar"/>
        </w:rPr>
        <w:t>مسأل</w:t>
      </w:r>
      <w:r w:rsidR="00D42C49">
        <w:rPr>
          <w:rFonts w:hint="cs"/>
          <w:rtl/>
          <w:lang w:bidi="ar"/>
        </w:rPr>
        <w:t xml:space="preserve">ة </w:t>
      </w:r>
      <w:r>
        <w:rPr>
          <w:rFonts w:hint="cs"/>
          <w:rtl/>
          <w:lang w:bidi="ar"/>
        </w:rPr>
        <w:t>تحديث</w:t>
      </w:r>
      <w:r w:rsidR="00E11F6A" w:rsidRPr="00E11F6A">
        <w:rPr>
          <w:rFonts w:hint="cs"/>
          <w:rtl/>
          <w:lang w:bidi="ar"/>
        </w:rPr>
        <w:t xml:space="preserve"> مبادئ </w:t>
      </w:r>
      <w:r>
        <w:rPr>
          <w:rFonts w:hint="cs"/>
          <w:rtl/>
          <w:lang w:bidi="ar"/>
        </w:rPr>
        <w:t>سنة 1975 أو تعديلها جزئيا أو استبدالها بالكامل، جزءا من القرار النهائي ل</w:t>
      </w:r>
      <w:r w:rsidR="00E11F6A" w:rsidRPr="00E11F6A">
        <w:rPr>
          <w:rFonts w:hint="cs"/>
          <w:rtl/>
          <w:lang w:bidi="ar"/>
        </w:rPr>
        <w:t>لدول الأعضاء.</w:t>
      </w:r>
    </w:p>
    <w:p w:rsidR="00E11F6A" w:rsidRDefault="00D42C49" w:rsidP="00D836AB">
      <w:pPr>
        <w:pStyle w:val="NumberedParaAR"/>
        <w:numPr>
          <w:ilvl w:val="0"/>
          <w:numId w:val="27"/>
        </w:numPr>
        <w:ind w:left="567" w:firstLine="0"/>
        <w:rPr>
          <w:lang w:bidi="ar"/>
        </w:rPr>
      </w:pPr>
      <w:r>
        <w:rPr>
          <w:rFonts w:hint="cs"/>
          <w:rtl/>
          <w:lang w:bidi="ar"/>
        </w:rPr>
        <w:t xml:space="preserve">وأمّا </w:t>
      </w:r>
      <w:r w:rsidR="00241843" w:rsidRPr="00241843">
        <w:rPr>
          <w:rFonts w:hint="cs"/>
          <w:rtl/>
          <w:lang w:bidi="ar"/>
        </w:rPr>
        <w:t xml:space="preserve">اقتراح </w:t>
      </w:r>
      <w:r>
        <w:rPr>
          <w:rFonts w:hint="cs"/>
          <w:rtl/>
          <w:lang w:bidi="ar"/>
        </w:rPr>
        <w:t>اعتماد نظام لقياس أهمية المنصب</w:t>
      </w:r>
      <w:r w:rsidRPr="00241843">
        <w:rPr>
          <w:rFonts w:hint="cs"/>
          <w:rtl/>
          <w:lang w:bidi="ar"/>
        </w:rPr>
        <w:t xml:space="preserve"> </w:t>
      </w:r>
      <w:r w:rsidR="00241843" w:rsidRPr="00241843">
        <w:rPr>
          <w:rFonts w:hint="cs"/>
          <w:rtl/>
          <w:lang w:bidi="ar"/>
        </w:rPr>
        <w:t>في الو</w:t>
      </w:r>
      <w:r>
        <w:rPr>
          <w:rFonts w:hint="cs"/>
          <w:rtl/>
          <w:lang w:bidi="ar"/>
        </w:rPr>
        <w:t>يبو، فيستدعي</w:t>
      </w:r>
      <w:r w:rsidR="00241843" w:rsidRPr="00241843">
        <w:rPr>
          <w:rFonts w:hint="cs"/>
          <w:rtl/>
          <w:lang w:bidi="ar"/>
        </w:rPr>
        <w:t xml:space="preserve"> </w:t>
      </w:r>
      <w:r>
        <w:rPr>
          <w:rFonts w:hint="cs"/>
          <w:rtl/>
          <w:lang w:bidi="ar"/>
        </w:rPr>
        <w:t>إجراء الأمانة ل</w:t>
      </w:r>
      <w:r w:rsidR="00241843" w:rsidRPr="00241843">
        <w:rPr>
          <w:rFonts w:hint="cs"/>
          <w:rtl/>
          <w:lang w:bidi="ar"/>
        </w:rPr>
        <w:t>مزيد</w:t>
      </w:r>
      <w:r>
        <w:rPr>
          <w:rFonts w:hint="cs"/>
          <w:rtl/>
          <w:lang w:bidi="ar"/>
        </w:rPr>
        <w:t xml:space="preserve"> من البحث</w:t>
      </w:r>
      <w:r w:rsidR="00241843" w:rsidRPr="00241843">
        <w:rPr>
          <w:rFonts w:hint="cs"/>
          <w:rtl/>
          <w:lang w:bidi="ar"/>
        </w:rPr>
        <w:t xml:space="preserve"> و</w:t>
      </w:r>
      <w:r>
        <w:rPr>
          <w:rFonts w:hint="cs"/>
          <w:rtl/>
          <w:lang w:bidi="ar"/>
        </w:rPr>
        <w:t xml:space="preserve">جمع المعلومات </w:t>
      </w:r>
      <w:r w:rsidR="00241843" w:rsidRPr="00241843">
        <w:rPr>
          <w:rFonts w:hint="cs"/>
          <w:rtl/>
          <w:lang w:bidi="ar"/>
        </w:rPr>
        <w:t>بشأن هذه الآلية ب</w:t>
      </w:r>
      <w:r>
        <w:rPr>
          <w:rFonts w:hint="cs"/>
          <w:rtl/>
          <w:lang w:bidi="ar"/>
        </w:rPr>
        <w:t>غرض عقد مناقشات هادفة</w:t>
      </w:r>
      <w:r w:rsidR="00241843" w:rsidRPr="00241843">
        <w:rPr>
          <w:rFonts w:hint="cs"/>
          <w:rtl/>
          <w:lang w:bidi="ar"/>
        </w:rPr>
        <w:t xml:space="preserve"> </w:t>
      </w:r>
      <w:r>
        <w:rPr>
          <w:rFonts w:hint="cs"/>
          <w:rtl/>
          <w:lang w:bidi="ar"/>
        </w:rPr>
        <w:t xml:space="preserve">في </w:t>
      </w:r>
      <w:r w:rsidR="00241843" w:rsidRPr="00241843">
        <w:rPr>
          <w:rFonts w:hint="cs"/>
          <w:rtl/>
          <w:lang w:bidi="ar"/>
        </w:rPr>
        <w:t>اجتماعات تشاورية لاحقة.</w:t>
      </w:r>
    </w:p>
    <w:p w:rsidR="00241843" w:rsidRPr="00241843" w:rsidRDefault="00241843" w:rsidP="00D836AB">
      <w:pPr>
        <w:pStyle w:val="NumberedParaAR"/>
        <w:numPr>
          <w:ilvl w:val="0"/>
          <w:numId w:val="0"/>
        </w:numPr>
        <w:ind w:left="567"/>
        <w:rPr>
          <w:lang w:bidi="ar"/>
        </w:rPr>
      </w:pPr>
      <w:r>
        <w:rPr>
          <w:rFonts w:hint="cs"/>
          <w:rtl/>
          <w:lang w:bidi="ar"/>
        </w:rPr>
        <w:t>(ج)</w:t>
      </w:r>
      <w:r>
        <w:rPr>
          <w:rFonts w:hint="cs"/>
          <w:rtl/>
          <w:lang w:bidi="ar"/>
        </w:rPr>
        <w:tab/>
      </w:r>
      <w:r w:rsidRPr="00241843">
        <w:rPr>
          <w:rFonts w:hint="cs"/>
          <w:rtl/>
          <w:lang w:bidi="ar"/>
        </w:rPr>
        <w:t>وفيما</w:t>
      </w:r>
      <w:r w:rsidR="00D42C49">
        <w:rPr>
          <w:rFonts w:hint="cs"/>
          <w:rtl/>
          <w:lang w:bidi="ar"/>
        </w:rPr>
        <w:t xml:space="preserve"> يتعلق بمبدأ المساءلة بشأن التعيين</w:t>
      </w:r>
      <w:r w:rsidRPr="00241843">
        <w:rPr>
          <w:rFonts w:hint="cs"/>
          <w:rtl/>
          <w:lang w:bidi="ar"/>
        </w:rPr>
        <w:t xml:space="preserve">، توضح الأمانة </w:t>
      </w:r>
      <w:r w:rsidR="00D42C49">
        <w:rPr>
          <w:rFonts w:hint="cs"/>
          <w:rtl/>
          <w:lang w:bidi="ar"/>
        </w:rPr>
        <w:t>ب</w:t>
      </w:r>
      <w:r w:rsidRPr="00241843">
        <w:rPr>
          <w:rFonts w:hint="cs"/>
          <w:rtl/>
          <w:lang w:bidi="ar"/>
        </w:rPr>
        <w:t xml:space="preserve">أن </w:t>
      </w:r>
      <w:r w:rsidR="00D42C49">
        <w:rPr>
          <w:rFonts w:hint="cs"/>
          <w:rtl/>
          <w:lang w:bidi="ar"/>
        </w:rPr>
        <w:t>ال</w:t>
      </w:r>
      <w:r w:rsidRPr="00241843">
        <w:rPr>
          <w:rFonts w:hint="cs"/>
          <w:rtl/>
          <w:lang w:bidi="ar"/>
        </w:rPr>
        <w:t xml:space="preserve">مدير </w:t>
      </w:r>
      <w:r w:rsidR="00D42C49">
        <w:rPr>
          <w:rFonts w:hint="cs"/>
          <w:rtl/>
          <w:lang w:bidi="ar"/>
        </w:rPr>
        <w:t>المكلّف ب</w:t>
      </w:r>
      <w:r w:rsidRPr="00241843">
        <w:rPr>
          <w:rFonts w:hint="cs"/>
          <w:rtl/>
          <w:lang w:bidi="ar"/>
        </w:rPr>
        <w:t xml:space="preserve">التوظيف عضو </w:t>
      </w:r>
      <w:r w:rsidR="00D42C49">
        <w:rPr>
          <w:rFonts w:hint="cs"/>
          <w:rtl/>
          <w:lang w:bidi="ar"/>
        </w:rPr>
        <w:t>في مجلس</w:t>
      </w:r>
      <w:r w:rsidRPr="00241843">
        <w:rPr>
          <w:rFonts w:hint="cs"/>
          <w:rtl/>
          <w:lang w:bidi="ar"/>
        </w:rPr>
        <w:t xml:space="preserve"> </w:t>
      </w:r>
      <w:r w:rsidR="00D42C49">
        <w:rPr>
          <w:rFonts w:hint="cs"/>
          <w:rtl/>
          <w:lang w:bidi="ar"/>
        </w:rPr>
        <w:t>التعيين الذي يضطلع</w:t>
      </w:r>
      <w:r w:rsidRPr="00241843">
        <w:rPr>
          <w:rFonts w:hint="cs"/>
          <w:rtl/>
          <w:lang w:bidi="ar"/>
        </w:rPr>
        <w:t xml:space="preserve"> </w:t>
      </w:r>
      <w:r w:rsidR="00D42C49">
        <w:rPr>
          <w:rFonts w:hint="cs"/>
          <w:rtl/>
          <w:lang w:bidi="ar"/>
        </w:rPr>
        <w:t>بمهمة فحص المتقدمين للحصول على</w:t>
      </w:r>
      <w:r w:rsidRPr="00241843">
        <w:rPr>
          <w:rFonts w:hint="cs"/>
          <w:rtl/>
          <w:lang w:bidi="ar"/>
        </w:rPr>
        <w:t xml:space="preserve"> </w:t>
      </w:r>
      <w:r w:rsidR="00D42C49">
        <w:rPr>
          <w:rFonts w:hint="cs"/>
          <w:rtl/>
          <w:lang w:bidi="ar"/>
        </w:rPr>
        <w:t xml:space="preserve">المنصب </w:t>
      </w:r>
      <w:r w:rsidRPr="00241843">
        <w:rPr>
          <w:rFonts w:hint="cs"/>
          <w:rtl/>
          <w:lang w:bidi="ar"/>
        </w:rPr>
        <w:t xml:space="preserve">المعلن عنه. </w:t>
      </w:r>
      <w:r w:rsidR="00D42C49">
        <w:rPr>
          <w:rFonts w:hint="cs"/>
          <w:rtl/>
          <w:lang w:bidi="ar"/>
        </w:rPr>
        <w:t>ويوجّه مجلس التعيين توصياته</w:t>
      </w:r>
      <w:r w:rsidR="00EA6653">
        <w:rPr>
          <w:rFonts w:hint="cs"/>
          <w:rtl/>
          <w:lang w:bidi="ar"/>
        </w:rPr>
        <w:t xml:space="preserve"> إلى المدير العام</w:t>
      </w:r>
      <w:r w:rsidRPr="00241843">
        <w:rPr>
          <w:rFonts w:hint="cs"/>
          <w:rtl/>
          <w:lang w:bidi="ar"/>
        </w:rPr>
        <w:t xml:space="preserve"> </w:t>
      </w:r>
      <w:r w:rsidR="00EA6653">
        <w:rPr>
          <w:rFonts w:hint="cs"/>
          <w:rtl/>
          <w:lang w:bidi="ar"/>
        </w:rPr>
        <w:t xml:space="preserve">صاحب السلطة الوحيدة </w:t>
      </w:r>
      <w:r w:rsidRPr="00241843">
        <w:rPr>
          <w:rFonts w:hint="cs"/>
          <w:rtl/>
          <w:lang w:bidi="ar"/>
        </w:rPr>
        <w:t xml:space="preserve">في تعيين الموظفين في الويبو. </w:t>
      </w:r>
      <w:r w:rsidR="00D42C49">
        <w:rPr>
          <w:rFonts w:hint="cs"/>
          <w:rtl/>
          <w:lang w:bidi="ar"/>
        </w:rPr>
        <w:t>وتشير</w:t>
      </w:r>
      <w:r w:rsidRPr="00241843">
        <w:rPr>
          <w:rFonts w:hint="cs"/>
          <w:rtl/>
          <w:lang w:bidi="ar"/>
        </w:rPr>
        <w:t xml:space="preserve"> الأمانة </w:t>
      </w:r>
      <w:r w:rsidR="00D42C49">
        <w:rPr>
          <w:rFonts w:hint="cs"/>
          <w:rtl/>
          <w:lang w:bidi="ar"/>
        </w:rPr>
        <w:t xml:space="preserve">إلى </w:t>
      </w:r>
      <w:r w:rsidR="00EA6653">
        <w:rPr>
          <w:rFonts w:hint="cs"/>
          <w:rtl/>
          <w:lang w:bidi="ar"/>
        </w:rPr>
        <w:t>وجود مدرستين فك</w:t>
      </w:r>
      <w:r w:rsidRPr="00241843">
        <w:rPr>
          <w:rFonts w:hint="cs"/>
          <w:rtl/>
          <w:lang w:bidi="ar"/>
        </w:rPr>
        <w:t>ر</w:t>
      </w:r>
      <w:r w:rsidR="00EA6653">
        <w:rPr>
          <w:rFonts w:hint="cs"/>
          <w:rtl/>
          <w:lang w:bidi="ar"/>
        </w:rPr>
        <w:t>يتين</w:t>
      </w:r>
      <w:r w:rsidRPr="00241843">
        <w:rPr>
          <w:rFonts w:hint="cs"/>
          <w:rtl/>
          <w:lang w:bidi="ar"/>
        </w:rPr>
        <w:t xml:space="preserve"> بشأن مشاركة </w:t>
      </w:r>
      <w:r w:rsidR="00EA6653">
        <w:rPr>
          <w:rFonts w:hint="cs"/>
          <w:rtl/>
          <w:lang w:bidi="ar"/>
        </w:rPr>
        <w:t>ال</w:t>
      </w:r>
      <w:r w:rsidRPr="00241843">
        <w:rPr>
          <w:rFonts w:hint="cs"/>
          <w:rtl/>
          <w:lang w:bidi="ar"/>
        </w:rPr>
        <w:t>مديري</w:t>
      </w:r>
      <w:r w:rsidR="00EA6653">
        <w:rPr>
          <w:rFonts w:hint="cs"/>
          <w:rtl/>
          <w:lang w:bidi="ar"/>
        </w:rPr>
        <w:t>ن</w:t>
      </w:r>
      <w:r w:rsidRPr="00241843">
        <w:rPr>
          <w:rFonts w:hint="cs"/>
          <w:rtl/>
          <w:lang w:bidi="ar"/>
        </w:rPr>
        <w:t xml:space="preserve"> </w:t>
      </w:r>
      <w:r w:rsidR="00EA6653">
        <w:rPr>
          <w:rFonts w:hint="cs"/>
          <w:rtl/>
          <w:lang w:bidi="ar"/>
        </w:rPr>
        <w:t>المكلّفين ب</w:t>
      </w:r>
      <w:r w:rsidRPr="00241843">
        <w:rPr>
          <w:rFonts w:hint="cs"/>
          <w:rtl/>
          <w:lang w:bidi="ar"/>
        </w:rPr>
        <w:t xml:space="preserve">التوظيف في عملية الاختيار. </w:t>
      </w:r>
      <w:r w:rsidR="00EA6653">
        <w:rPr>
          <w:rFonts w:hint="cs"/>
          <w:rtl/>
          <w:lang w:bidi="ar"/>
        </w:rPr>
        <w:t>تقول إحداهما</w:t>
      </w:r>
      <w:r w:rsidRPr="00241843">
        <w:rPr>
          <w:rFonts w:hint="cs"/>
          <w:rtl/>
          <w:lang w:bidi="ar"/>
        </w:rPr>
        <w:t xml:space="preserve"> </w:t>
      </w:r>
      <w:r w:rsidR="00EA6653">
        <w:rPr>
          <w:rFonts w:hint="cs"/>
          <w:rtl/>
          <w:lang w:bidi="ar"/>
        </w:rPr>
        <w:t>بإ</w:t>
      </w:r>
      <w:r w:rsidRPr="00241843">
        <w:rPr>
          <w:rFonts w:hint="cs"/>
          <w:rtl/>
          <w:lang w:bidi="ar"/>
        </w:rPr>
        <w:t xml:space="preserve">بعاد </w:t>
      </w:r>
      <w:r w:rsidR="00EA6653">
        <w:rPr>
          <w:rFonts w:hint="cs"/>
          <w:rtl/>
          <w:lang w:bidi="ar"/>
        </w:rPr>
        <w:t>ال</w:t>
      </w:r>
      <w:r w:rsidRPr="00241843">
        <w:rPr>
          <w:rFonts w:hint="cs"/>
          <w:rtl/>
          <w:lang w:bidi="ar"/>
        </w:rPr>
        <w:t xml:space="preserve">مدير </w:t>
      </w:r>
      <w:r w:rsidR="00EA6653">
        <w:rPr>
          <w:rFonts w:hint="cs"/>
          <w:rtl/>
          <w:lang w:bidi="ar"/>
        </w:rPr>
        <w:t>المكلّف ب</w:t>
      </w:r>
      <w:r w:rsidRPr="00241843">
        <w:rPr>
          <w:rFonts w:hint="cs"/>
          <w:rtl/>
          <w:lang w:bidi="ar"/>
        </w:rPr>
        <w:t xml:space="preserve">التوظيف من العملية لأسباب </w:t>
      </w:r>
      <w:r w:rsidR="00EA6653">
        <w:rPr>
          <w:rFonts w:hint="cs"/>
          <w:rtl/>
          <w:lang w:bidi="ar"/>
        </w:rPr>
        <w:t>تتعلق ب</w:t>
      </w:r>
      <w:r w:rsidRPr="00241843">
        <w:rPr>
          <w:rFonts w:hint="cs"/>
          <w:rtl/>
          <w:lang w:bidi="ar"/>
        </w:rPr>
        <w:t xml:space="preserve">تضارب المصالح. </w:t>
      </w:r>
      <w:r w:rsidR="00EA6653">
        <w:rPr>
          <w:rFonts w:hint="cs"/>
          <w:rtl/>
          <w:lang w:bidi="ar"/>
        </w:rPr>
        <w:t xml:space="preserve">وهو ما قد يحدث في </w:t>
      </w:r>
      <w:r w:rsidR="003E3511">
        <w:rPr>
          <w:rFonts w:hint="cs"/>
          <w:rtl/>
          <w:lang w:bidi="ar"/>
        </w:rPr>
        <w:t>حالات</w:t>
      </w:r>
      <w:r w:rsidR="00EA6653">
        <w:rPr>
          <w:rFonts w:hint="cs"/>
          <w:rtl/>
          <w:lang w:bidi="ar"/>
        </w:rPr>
        <w:t xml:space="preserve"> يتنافس فيها صاحب المنصب (المعي</w:t>
      </w:r>
      <w:r w:rsidRPr="00241843">
        <w:rPr>
          <w:rFonts w:hint="cs"/>
          <w:rtl/>
          <w:lang w:bidi="ar"/>
        </w:rPr>
        <w:t xml:space="preserve">ن </w:t>
      </w:r>
      <w:r w:rsidR="00EA6653">
        <w:rPr>
          <w:rFonts w:hint="cs"/>
          <w:rtl/>
          <w:lang w:bidi="ar"/>
        </w:rPr>
        <w:t xml:space="preserve">تعيينا </w:t>
      </w:r>
      <w:r w:rsidRPr="00241843">
        <w:rPr>
          <w:rFonts w:hint="cs"/>
          <w:rtl/>
          <w:lang w:bidi="ar"/>
        </w:rPr>
        <w:t>مؤقت</w:t>
      </w:r>
      <w:r w:rsidR="00EA6653">
        <w:rPr>
          <w:rFonts w:hint="cs"/>
          <w:rtl/>
          <w:lang w:bidi="ar"/>
        </w:rPr>
        <w:t xml:space="preserve">ا، مثلا) </w:t>
      </w:r>
      <w:r w:rsidRPr="00241843">
        <w:rPr>
          <w:rFonts w:hint="cs"/>
          <w:rtl/>
          <w:lang w:bidi="ar"/>
        </w:rPr>
        <w:t xml:space="preserve">لشغل وظيفة محددة </w:t>
      </w:r>
      <w:r w:rsidR="003E3511">
        <w:rPr>
          <w:rFonts w:hint="cs"/>
          <w:rtl/>
          <w:lang w:bidi="ar"/>
        </w:rPr>
        <w:t>الأجل</w:t>
      </w:r>
      <w:r w:rsidR="006B4034">
        <w:rPr>
          <w:rFonts w:hint="cs"/>
          <w:rtl/>
          <w:lang w:bidi="ar"/>
        </w:rPr>
        <w:t>. فقد ينظر في هذه الحالة</w:t>
      </w:r>
      <w:r w:rsidRPr="00241843">
        <w:rPr>
          <w:rFonts w:hint="cs"/>
          <w:rtl/>
          <w:lang w:bidi="ar"/>
        </w:rPr>
        <w:t xml:space="preserve"> إلى </w:t>
      </w:r>
      <w:r w:rsidR="006B4034">
        <w:rPr>
          <w:rFonts w:hint="cs"/>
          <w:rtl/>
          <w:lang w:bidi="ar"/>
        </w:rPr>
        <w:t>ال</w:t>
      </w:r>
      <w:r w:rsidRPr="00241843">
        <w:rPr>
          <w:rFonts w:hint="cs"/>
          <w:rtl/>
          <w:lang w:bidi="ar"/>
        </w:rPr>
        <w:t xml:space="preserve">مدير </w:t>
      </w:r>
      <w:r w:rsidR="006B4034">
        <w:rPr>
          <w:rFonts w:hint="cs"/>
          <w:rtl/>
          <w:lang w:bidi="ar"/>
        </w:rPr>
        <w:t>المكلّف بالتوظيف</w:t>
      </w:r>
      <w:r w:rsidRPr="00241843">
        <w:rPr>
          <w:rFonts w:hint="cs"/>
          <w:rtl/>
          <w:lang w:bidi="ar"/>
        </w:rPr>
        <w:t xml:space="preserve"> </w:t>
      </w:r>
      <w:r w:rsidR="006B4034">
        <w:rPr>
          <w:rFonts w:hint="cs"/>
          <w:rtl/>
          <w:lang w:bidi="ar"/>
        </w:rPr>
        <w:t>كطرف متحيّز وغير محايد</w:t>
      </w:r>
      <w:r w:rsidRPr="00241843">
        <w:rPr>
          <w:rFonts w:hint="cs"/>
          <w:rtl/>
          <w:lang w:bidi="ar"/>
        </w:rPr>
        <w:t xml:space="preserve"> </w:t>
      </w:r>
      <w:r w:rsidR="006B4034">
        <w:rPr>
          <w:rFonts w:hint="cs"/>
          <w:rtl/>
          <w:lang w:bidi="ar"/>
        </w:rPr>
        <w:t>بناء على تجربة العمل السابقة مع أحد المرشحين. وفي ما مضى، وتوافقا مع</w:t>
      </w:r>
      <w:r w:rsidRPr="00241843">
        <w:rPr>
          <w:rFonts w:hint="cs"/>
          <w:rtl/>
          <w:lang w:bidi="ar"/>
        </w:rPr>
        <w:t xml:space="preserve"> هذا النهج، </w:t>
      </w:r>
      <w:r w:rsidR="006B4034">
        <w:rPr>
          <w:rFonts w:hint="cs"/>
          <w:rtl/>
          <w:lang w:bidi="ar"/>
        </w:rPr>
        <w:t>شغل المديرون المكلفون</w:t>
      </w:r>
      <w:r w:rsidRPr="00241843">
        <w:rPr>
          <w:rFonts w:hint="cs"/>
          <w:rtl/>
          <w:lang w:bidi="ar"/>
        </w:rPr>
        <w:t xml:space="preserve"> </w:t>
      </w:r>
      <w:r w:rsidR="006B4034">
        <w:rPr>
          <w:rFonts w:hint="cs"/>
          <w:rtl/>
          <w:lang w:bidi="ar"/>
        </w:rPr>
        <w:t>ب</w:t>
      </w:r>
      <w:r w:rsidRPr="00241843">
        <w:rPr>
          <w:rFonts w:hint="cs"/>
          <w:rtl/>
          <w:lang w:bidi="ar"/>
        </w:rPr>
        <w:t>ا</w:t>
      </w:r>
      <w:r w:rsidR="006B4034">
        <w:rPr>
          <w:rFonts w:hint="cs"/>
          <w:rtl/>
          <w:lang w:bidi="ar"/>
        </w:rPr>
        <w:t xml:space="preserve">لتوظيف في الويبو صفة مراقب في مجالس التعيين </w:t>
      </w:r>
      <w:r w:rsidR="008673B8">
        <w:rPr>
          <w:rFonts w:hint="cs"/>
          <w:rtl/>
          <w:lang w:bidi="ar"/>
        </w:rPr>
        <w:t>ل</w:t>
      </w:r>
      <w:r w:rsidRPr="00241843">
        <w:rPr>
          <w:rFonts w:hint="cs"/>
          <w:rtl/>
          <w:lang w:bidi="ar"/>
        </w:rPr>
        <w:t xml:space="preserve">تقديم معلومات عن </w:t>
      </w:r>
      <w:r w:rsidR="006B4034">
        <w:rPr>
          <w:rFonts w:hint="cs"/>
          <w:rtl/>
          <w:lang w:bidi="ar"/>
        </w:rPr>
        <w:t>متطلبات المنصب، إن طلب</w:t>
      </w:r>
      <w:r w:rsidR="008673B8">
        <w:rPr>
          <w:rFonts w:hint="cs"/>
          <w:rtl/>
          <w:lang w:bidi="ar"/>
        </w:rPr>
        <w:t>ها</w:t>
      </w:r>
      <w:r w:rsidRPr="00241843">
        <w:rPr>
          <w:rFonts w:hint="cs"/>
          <w:rtl/>
          <w:lang w:bidi="ar"/>
        </w:rPr>
        <w:t xml:space="preserve"> أعضاء </w:t>
      </w:r>
      <w:r w:rsidR="008673B8">
        <w:rPr>
          <w:rFonts w:hint="cs"/>
          <w:rtl/>
          <w:lang w:bidi="ar"/>
        </w:rPr>
        <w:t>المجلس</w:t>
      </w:r>
      <w:r w:rsidR="006B4034">
        <w:rPr>
          <w:rFonts w:hint="cs"/>
          <w:rtl/>
          <w:lang w:bidi="ar"/>
        </w:rPr>
        <w:t xml:space="preserve">، ودون </w:t>
      </w:r>
      <w:r w:rsidR="005679E8">
        <w:rPr>
          <w:rFonts w:hint="cs"/>
          <w:rtl/>
          <w:lang w:bidi="ar"/>
        </w:rPr>
        <w:t xml:space="preserve">منحهم </w:t>
      </w:r>
      <w:r w:rsidRPr="00241843">
        <w:rPr>
          <w:rFonts w:hint="cs"/>
          <w:rtl/>
          <w:lang w:bidi="ar"/>
        </w:rPr>
        <w:lastRenderedPageBreak/>
        <w:t xml:space="preserve">حق التصويت على الإطلاق. </w:t>
      </w:r>
      <w:r w:rsidR="005679E8">
        <w:rPr>
          <w:rFonts w:hint="cs"/>
          <w:rtl/>
          <w:lang w:bidi="ar"/>
        </w:rPr>
        <w:t>وتنطلق ال</w:t>
      </w:r>
      <w:r w:rsidRPr="00241843">
        <w:rPr>
          <w:rFonts w:hint="cs"/>
          <w:rtl/>
          <w:lang w:bidi="ar"/>
        </w:rPr>
        <w:t xml:space="preserve">مدرسة </w:t>
      </w:r>
      <w:r w:rsidR="005679E8">
        <w:rPr>
          <w:rFonts w:hint="cs"/>
          <w:rtl/>
          <w:lang w:bidi="ar"/>
        </w:rPr>
        <w:t xml:space="preserve">الأخرى من </w:t>
      </w:r>
      <w:r w:rsidR="005A4C43">
        <w:rPr>
          <w:rFonts w:hint="cs"/>
          <w:rtl/>
          <w:lang w:bidi="ar"/>
        </w:rPr>
        <w:t>فر</w:t>
      </w:r>
      <w:r w:rsidR="005679E8">
        <w:rPr>
          <w:rFonts w:hint="cs"/>
          <w:rtl/>
          <w:lang w:bidi="ar"/>
        </w:rPr>
        <w:t>ض</w:t>
      </w:r>
      <w:r w:rsidR="005A4C43">
        <w:rPr>
          <w:rFonts w:hint="cs"/>
          <w:rtl/>
          <w:lang w:bidi="ar"/>
        </w:rPr>
        <w:t>ية</w:t>
      </w:r>
      <w:r w:rsidR="005A4C43">
        <w:rPr>
          <w:rFonts w:hint="cs"/>
          <w:rtl/>
        </w:rPr>
        <w:t xml:space="preserve"> </w:t>
      </w:r>
      <w:r w:rsidRPr="00241843">
        <w:rPr>
          <w:rFonts w:hint="cs"/>
          <w:rtl/>
          <w:lang w:bidi="ar"/>
        </w:rPr>
        <w:t>(</w:t>
      </w:r>
      <w:r w:rsidR="005679E8">
        <w:rPr>
          <w:rFonts w:hint="cs"/>
          <w:rtl/>
          <w:lang w:bidi="ar"/>
        </w:rPr>
        <w:t>منطقيّ</w:t>
      </w:r>
      <w:r w:rsidR="005A4C43">
        <w:rPr>
          <w:rFonts w:hint="cs"/>
          <w:rtl/>
          <w:lang w:bidi="ar"/>
        </w:rPr>
        <w:t>ة</w:t>
      </w:r>
      <w:r w:rsidR="005679E8">
        <w:rPr>
          <w:rFonts w:hint="cs"/>
          <w:rtl/>
          <w:lang w:bidi="ar"/>
        </w:rPr>
        <w:t xml:space="preserve">) </w:t>
      </w:r>
      <w:r w:rsidR="005A4C43">
        <w:rPr>
          <w:rFonts w:hint="cs"/>
          <w:rtl/>
          <w:lang w:bidi="ar"/>
        </w:rPr>
        <w:t xml:space="preserve">ترى </w:t>
      </w:r>
      <w:r w:rsidRPr="00241843">
        <w:rPr>
          <w:rFonts w:hint="cs"/>
          <w:rtl/>
          <w:lang w:bidi="ar"/>
        </w:rPr>
        <w:t xml:space="preserve">أن </w:t>
      </w:r>
      <w:r w:rsidR="005679E8">
        <w:rPr>
          <w:rFonts w:hint="cs"/>
          <w:rtl/>
          <w:lang w:bidi="ar"/>
        </w:rPr>
        <w:t>ال</w:t>
      </w:r>
      <w:r w:rsidRPr="00241843">
        <w:rPr>
          <w:rFonts w:hint="cs"/>
          <w:rtl/>
          <w:lang w:bidi="ar"/>
        </w:rPr>
        <w:t xml:space="preserve">مدير </w:t>
      </w:r>
      <w:r w:rsidR="005679E8">
        <w:rPr>
          <w:rFonts w:hint="cs"/>
          <w:rtl/>
          <w:lang w:bidi="ar"/>
        </w:rPr>
        <w:t>المكلّف ب</w:t>
      </w:r>
      <w:r w:rsidRPr="00241843">
        <w:rPr>
          <w:rFonts w:hint="cs"/>
          <w:rtl/>
          <w:lang w:bidi="ar"/>
        </w:rPr>
        <w:t>التوظيف هو الأ</w:t>
      </w:r>
      <w:r w:rsidR="005679E8">
        <w:rPr>
          <w:rFonts w:hint="cs"/>
          <w:rtl/>
          <w:lang w:bidi="ar"/>
        </w:rPr>
        <w:t xml:space="preserve">قدر على معرفة احتياجات </w:t>
      </w:r>
      <w:r w:rsidRPr="00241843">
        <w:rPr>
          <w:rFonts w:hint="cs"/>
          <w:rtl/>
          <w:lang w:bidi="ar"/>
        </w:rPr>
        <w:t xml:space="preserve">الوظيفة </w:t>
      </w:r>
      <w:r w:rsidR="005679E8">
        <w:rPr>
          <w:rFonts w:hint="cs"/>
          <w:rtl/>
          <w:lang w:bidi="ar"/>
        </w:rPr>
        <w:t>المحددة المعلن عنها ومتطلباتها، وبالتالي ينبغي أن يشت</w:t>
      </w:r>
      <w:r w:rsidRPr="00241843">
        <w:rPr>
          <w:rFonts w:hint="cs"/>
          <w:rtl/>
          <w:lang w:bidi="ar"/>
        </w:rPr>
        <w:t xml:space="preserve">رك مباشرة في تقييم المتقدمين وتقديم </w:t>
      </w:r>
      <w:r w:rsidR="005679E8">
        <w:rPr>
          <w:rFonts w:hint="cs"/>
          <w:rtl/>
          <w:lang w:bidi="ar"/>
        </w:rPr>
        <w:t>ال</w:t>
      </w:r>
      <w:r w:rsidRPr="00241843">
        <w:rPr>
          <w:rFonts w:hint="cs"/>
          <w:rtl/>
          <w:lang w:bidi="ar"/>
        </w:rPr>
        <w:t xml:space="preserve">توصيات إلى المدير العام. </w:t>
      </w:r>
      <w:r w:rsidR="005679E8">
        <w:rPr>
          <w:rFonts w:hint="cs"/>
          <w:rtl/>
          <w:lang w:bidi="ar"/>
        </w:rPr>
        <w:t>و</w:t>
      </w:r>
      <w:r w:rsidRPr="00241843">
        <w:rPr>
          <w:rFonts w:hint="cs"/>
          <w:rtl/>
          <w:lang w:bidi="ar"/>
        </w:rPr>
        <w:t xml:space="preserve">هذا هو الإجراء الحالي </w:t>
      </w:r>
      <w:r w:rsidR="005679E8">
        <w:rPr>
          <w:rFonts w:hint="cs"/>
          <w:rtl/>
          <w:lang w:bidi="ar"/>
        </w:rPr>
        <w:t xml:space="preserve">المتّبع </w:t>
      </w:r>
      <w:r w:rsidRPr="00241843">
        <w:rPr>
          <w:rFonts w:hint="cs"/>
          <w:rtl/>
          <w:lang w:bidi="ar"/>
        </w:rPr>
        <w:t>في الويبو</w:t>
      </w:r>
      <w:r w:rsidR="005679E8">
        <w:rPr>
          <w:rFonts w:hint="cs"/>
          <w:rtl/>
          <w:lang w:bidi="ar"/>
        </w:rPr>
        <w:t xml:space="preserve">، إذ إن </w:t>
      </w:r>
      <w:r w:rsidRPr="00241843">
        <w:rPr>
          <w:rFonts w:hint="cs"/>
          <w:rtl/>
          <w:lang w:bidi="ar"/>
        </w:rPr>
        <w:t>مدير التوظيف هو واحد</w:t>
      </w:r>
      <w:r w:rsidR="005679E8">
        <w:rPr>
          <w:rFonts w:hint="cs"/>
          <w:rtl/>
          <w:lang w:bidi="ar"/>
        </w:rPr>
        <w:t xml:space="preserve"> من أربعة أعضاء في مجلس ال</w:t>
      </w:r>
      <w:r w:rsidRPr="00241843">
        <w:rPr>
          <w:rFonts w:hint="cs"/>
          <w:rtl/>
          <w:lang w:bidi="ar"/>
        </w:rPr>
        <w:t xml:space="preserve">تعيين. </w:t>
      </w:r>
      <w:r w:rsidR="005679E8">
        <w:rPr>
          <w:rFonts w:hint="cs"/>
          <w:rtl/>
          <w:lang w:bidi="ar"/>
        </w:rPr>
        <w:t>أمّا الثلاثة الأخرون فهم ممثل عن الموظفين</w:t>
      </w:r>
      <w:r w:rsidRPr="00241843">
        <w:rPr>
          <w:rFonts w:hint="cs"/>
          <w:rtl/>
          <w:lang w:bidi="ar"/>
        </w:rPr>
        <w:t xml:space="preserve"> </w:t>
      </w:r>
      <w:r w:rsidR="005679E8">
        <w:rPr>
          <w:rFonts w:hint="cs"/>
          <w:rtl/>
          <w:lang w:bidi="ar"/>
        </w:rPr>
        <w:t>وممثل ع</w:t>
      </w:r>
      <w:r w:rsidRPr="00241843">
        <w:rPr>
          <w:rFonts w:hint="cs"/>
          <w:rtl/>
          <w:lang w:bidi="ar"/>
        </w:rPr>
        <w:t>ن إدارة الموارد البشرية، ورئيس</w:t>
      </w:r>
      <w:r w:rsidR="005679E8">
        <w:rPr>
          <w:rFonts w:hint="cs"/>
          <w:rtl/>
          <w:lang w:bidi="ar"/>
        </w:rPr>
        <w:t xml:space="preserve"> المجلس</w:t>
      </w:r>
      <w:r w:rsidRPr="00241843">
        <w:rPr>
          <w:rFonts w:hint="cs"/>
          <w:rtl/>
          <w:lang w:bidi="ar"/>
        </w:rPr>
        <w:t xml:space="preserve">؛ </w:t>
      </w:r>
      <w:r w:rsidR="005679E8">
        <w:rPr>
          <w:rFonts w:hint="cs"/>
          <w:rtl/>
          <w:lang w:bidi="ar"/>
        </w:rPr>
        <w:t xml:space="preserve">وهم مسؤولون بشكل جماعي </w:t>
      </w:r>
      <w:r w:rsidRPr="00241843">
        <w:rPr>
          <w:rFonts w:hint="cs"/>
          <w:rtl/>
          <w:lang w:bidi="ar"/>
        </w:rPr>
        <w:t>عن التو</w:t>
      </w:r>
      <w:r w:rsidR="005679E8">
        <w:rPr>
          <w:rFonts w:hint="cs"/>
          <w:rtl/>
          <w:lang w:bidi="ar"/>
        </w:rPr>
        <w:t>صيات المقدمة إلى المدير العام. وإن نقل</w:t>
      </w:r>
      <w:r w:rsidRPr="00241843">
        <w:rPr>
          <w:rFonts w:hint="cs"/>
          <w:rtl/>
          <w:lang w:bidi="ar"/>
        </w:rPr>
        <w:t xml:space="preserve"> المساءلة إلى </w:t>
      </w:r>
      <w:r w:rsidR="005679E8">
        <w:rPr>
          <w:rFonts w:hint="cs"/>
          <w:rtl/>
          <w:lang w:bidi="ar"/>
        </w:rPr>
        <w:t>عاتق ال</w:t>
      </w:r>
      <w:r w:rsidRPr="00241843">
        <w:rPr>
          <w:rFonts w:hint="cs"/>
          <w:rtl/>
          <w:lang w:bidi="ar"/>
        </w:rPr>
        <w:t xml:space="preserve">مدير </w:t>
      </w:r>
      <w:r w:rsidR="005679E8">
        <w:rPr>
          <w:rFonts w:hint="cs"/>
          <w:rtl/>
          <w:lang w:bidi="ar"/>
        </w:rPr>
        <w:t>المكلّف بالتوظيف، وتضمينه كجزء من تقييم</w:t>
      </w:r>
      <w:r w:rsidR="00CB7F8C">
        <w:rPr>
          <w:rFonts w:hint="cs"/>
          <w:rtl/>
          <w:lang w:bidi="ar"/>
        </w:rPr>
        <w:t xml:space="preserve"> </w:t>
      </w:r>
      <w:r w:rsidR="005679E8">
        <w:rPr>
          <w:rFonts w:hint="cs"/>
          <w:rtl/>
          <w:lang w:bidi="ar"/>
        </w:rPr>
        <w:t xml:space="preserve">أداء </w:t>
      </w:r>
      <w:r w:rsidR="00CB7F8C">
        <w:rPr>
          <w:rFonts w:hint="cs"/>
          <w:rtl/>
          <w:lang w:bidi="ar"/>
        </w:rPr>
        <w:t>ا</w:t>
      </w:r>
      <w:r w:rsidR="005679E8">
        <w:rPr>
          <w:rFonts w:hint="cs"/>
          <w:rtl/>
          <w:lang w:bidi="ar"/>
        </w:rPr>
        <w:t>لمدير</w:t>
      </w:r>
      <w:r w:rsidRPr="00241843">
        <w:rPr>
          <w:rFonts w:hint="cs"/>
          <w:rtl/>
          <w:lang w:bidi="ar"/>
        </w:rPr>
        <w:t xml:space="preserve">، سيعني </w:t>
      </w:r>
      <w:r w:rsidR="005679E8">
        <w:rPr>
          <w:rFonts w:hint="cs"/>
          <w:rtl/>
          <w:lang w:bidi="ar"/>
        </w:rPr>
        <w:t>إدخال إصلاحات</w:t>
      </w:r>
      <w:r w:rsidRPr="00241843">
        <w:rPr>
          <w:rFonts w:hint="cs"/>
          <w:rtl/>
          <w:lang w:bidi="ar"/>
        </w:rPr>
        <w:t xml:space="preserve"> </w:t>
      </w:r>
      <w:r w:rsidR="005679E8">
        <w:rPr>
          <w:rFonts w:hint="cs"/>
          <w:rtl/>
          <w:lang w:bidi="ar"/>
        </w:rPr>
        <w:t xml:space="preserve">على </w:t>
      </w:r>
      <w:r w:rsidRPr="00241843">
        <w:rPr>
          <w:rFonts w:hint="cs"/>
          <w:rtl/>
          <w:lang w:bidi="ar"/>
        </w:rPr>
        <w:t>الإجراءات الحالية.</w:t>
      </w:r>
    </w:p>
    <w:p w:rsidR="00241843" w:rsidRDefault="00241843" w:rsidP="00D836AB">
      <w:pPr>
        <w:pStyle w:val="NumberedParaAR"/>
        <w:numPr>
          <w:ilvl w:val="0"/>
          <w:numId w:val="0"/>
        </w:numPr>
        <w:ind w:left="567"/>
        <w:rPr>
          <w:rtl/>
          <w:lang w:bidi="ar"/>
        </w:rPr>
      </w:pPr>
      <w:r>
        <w:rPr>
          <w:rFonts w:hint="cs"/>
          <w:rtl/>
          <w:lang w:bidi="ar"/>
        </w:rPr>
        <w:t>(د)</w:t>
      </w:r>
      <w:r>
        <w:rPr>
          <w:rFonts w:hint="cs"/>
          <w:rtl/>
          <w:lang w:bidi="ar"/>
        </w:rPr>
        <w:tab/>
      </w:r>
      <w:r w:rsidR="00CB7F8C">
        <w:rPr>
          <w:rFonts w:hint="cs"/>
          <w:rtl/>
          <w:lang w:bidi="ar"/>
        </w:rPr>
        <w:t>وتعقيبا على الاقتراح السابقة، تبلغ الأمانة بأن</w:t>
      </w:r>
      <w:r w:rsidRPr="00241843">
        <w:rPr>
          <w:rFonts w:hint="cs"/>
          <w:rtl/>
          <w:lang w:bidi="ar"/>
        </w:rPr>
        <w:t xml:space="preserve"> </w:t>
      </w:r>
      <w:r w:rsidR="00CB7F8C">
        <w:rPr>
          <w:rFonts w:hint="cs"/>
          <w:rtl/>
          <w:lang w:bidi="ar"/>
        </w:rPr>
        <w:t>مجالس ال</w:t>
      </w:r>
      <w:r w:rsidRPr="00241843">
        <w:rPr>
          <w:rFonts w:hint="cs"/>
          <w:rtl/>
          <w:lang w:bidi="ar"/>
        </w:rPr>
        <w:t xml:space="preserve">تعيين </w:t>
      </w:r>
      <w:r w:rsidR="00CB7F8C">
        <w:rPr>
          <w:rFonts w:hint="cs"/>
          <w:rtl/>
          <w:lang w:bidi="ar"/>
        </w:rPr>
        <w:t xml:space="preserve">تتلقى </w:t>
      </w:r>
      <w:r w:rsidRPr="00241843">
        <w:rPr>
          <w:rFonts w:hint="cs"/>
          <w:rtl/>
          <w:lang w:bidi="ar"/>
        </w:rPr>
        <w:t>معلومات محدثة عن قائمة ال</w:t>
      </w:r>
      <w:r w:rsidR="00CB7F8C">
        <w:rPr>
          <w:rFonts w:hint="cs"/>
          <w:rtl/>
          <w:lang w:bidi="ar"/>
        </w:rPr>
        <w:t>دول الأعضاء غير الممثلة</w:t>
      </w:r>
      <w:r w:rsidRPr="00241843">
        <w:rPr>
          <w:rFonts w:hint="cs"/>
          <w:rtl/>
          <w:lang w:bidi="ar"/>
        </w:rPr>
        <w:t xml:space="preserve"> </w:t>
      </w:r>
      <w:r w:rsidR="00CB7F8C">
        <w:rPr>
          <w:rFonts w:hint="cs"/>
          <w:rtl/>
          <w:lang w:bidi="ar"/>
        </w:rPr>
        <w:t>وقت عملية الاختيار. وت</w:t>
      </w:r>
      <w:r w:rsidR="000A2A96">
        <w:rPr>
          <w:rFonts w:hint="cs"/>
          <w:rtl/>
          <w:lang w:bidi="ar"/>
        </w:rPr>
        <w:t>ُدرج</w:t>
      </w:r>
      <w:r w:rsidR="00CB7F8C">
        <w:rPr>
          <w:rFonts w:hint="cs"/>
          <w:rtl/>
          <w:lang w:bidi="ar"/>
        </w:rPr>
        <w:t xml:space="preserve"> المجالس، بشكل خاص، </w:t>
      </w:r>
      <w:r w:rsidRPr="00241843">
        <w:rPr>
          <w:rFonts w:hint="cs"/>
          <w:rtl/>
          <w:lang w:bidi="ar"/>
        </w:rPr>
        <w:t>في تقاريرها نتائج النظر في التوزيع الجغرافي وال</w:t>
      </w:r>
      <w:r w:rsidR="00CB7F8C">
        <w:rPr>
          <w:rFonts w:hint="cs"/>
          <w:rtl/>
          <w:lang w:bidi="ar"/>
        </w:rPr>
        <w:t>توازن بين الجنسين في فرز</w:t>
      </w:r>
      <w:r w:rsidRPr="00241843">
        <w:rPr>
          <w:rFonts w:hint="cs"/>
          <w:rtl/>
          <w:lang w:bidi="ar"/>
        </w:rPr>
        <w:t xml:space="preserve"> المرشحين</w:t>
      </w:r>
      <w:r w:rsidR="00CB7F8C">
        <w:rPr>
          <w:rFonts w:hint="cs"/>
          <w:rtl/>
          <w:lang w:bidi="ar"/>
        </w:rPr>
        <w:t xml:space="preserve"> واختيارهم</w:t>
      </w:r>
      <w:r w:rsidRPr="00241843">
        <w:rPr>
          <w:rFonts w:hint="cs"/>
          <w:rtl/>
          <w:lang w:bidi="ar"/>
        </w:rPr>
        <w:t>.</w:t>
      </w:r>
    </w:p>
    <w:p w:rsidR="00241843" w:rsidRPr="00241843" w:rsidRDefault="00241843" w:rsidP="00D836AB">
      <w:pPr>
        <w:pStyle w:val="NumberedParaAR"/>
        <w:numPr>
          <w:ilvl w:val="0"/>
          <w:numId w:val="0"/>
        </w:numPr>
        <w:ind w:left="567"/>
        <w:rPr>
          <w:lang w:bidi="ar"/>
        </w:rPr>
      </w:pPr>
      <w:r>
        <w:rPr>
          <w:rFonts w:hint="cs"/>
          <w:rtl/>
          <w:lang w:bidi="ar"/>
        </w:rPr>
        <w:t>(ه)</w:t>
      </w:r>
      <w:r>
        <w:rPr>
          <w:rFonts w:hint="cs"/>
          <w:rtl/>
          <w:lang w:bidi="ar"/>
        </w:rPr>
        <w:tab/>
      </w:r>
      <w:r w:rsidR="00CB7F8C">
        <w:rPr>
          <w:rFonts w:hint="cs"/>
          <w:rtl/>
          <w:lang w:bidi="ar"/>
        </w:rPr>
        <w:t>و</w:t>
      </w:r>
      <w:r w:rsidR="005A4C43">
        <w:rPr>
          <w:rFonts w:hint="cs"/>
          <w:rtl/>
          <w:lang w:bidi="ar"/>
        </w:rPr>
        <w:t xml:space="preserve">يمكن أن يدمج </w:t>
      </w:r>
      <w:r w:rsidRPr="00241843">
        <w:rPr>
          <w:rFonts w:hint="cs"/>
          <w:rtl/>
          <w:lang w:bidi="ar"/>
        </w:rPr>
        <w:t xml:space="preserve">الدافع وراء </w:t>
      </w:r>
      <w:r w:rsidR="005A4C43">
        <w:rPr>
          <w:rFonts w:hint="cs"/>
          <w:rtl/>
          <w:lang w:bidi="ar"/>
        </w:rPr>
        <w:t>ال</w:t>
      </w:r>
      <w:r w:rsidRPr="00241843">
        <w:rPr>
          <w:rFonts w:hint="cs"/>
          <w:rtl/>
          <w:lang w:bidi="ar"/>
        </w:rPr>
        <w:t xml:space="preserve">اقتراح </w:t>
      </w:r>
      <w:r w:rsidR="005A4C43">
        <w:rPr>
          <w:rFonts w:hint="cs"/>
          <w:rtl/>
          <w:lang w:bidi="ar"/>
        </w:rPr>
        <w:t xml:space="preserve">بتنفيذ </w:t>
      </w:r>
      <w:r w:rsidR="005A4C43" w:rsidRPr="00E11F6A">
        <w:rPr>
          <w:rFonts w:hint="cs"/>
          <w:rtl/>
          <w:lang w:bidi="ar"/>
        </w:rPr>
        <w:t>برنامج</w:t>
      </w:r>
      <w:r w:rsidR="005A4C43">
        <w:rPr>
          <w:rFonts w:hint="cs"/>
          <w:rtl/>
          <w:lang w:bidi="ar"/>
        </w:rPr>
        <w:t xml:space="preserve"> المهنيين الشباب</w:t>
      </w:r>
      <w:r w:rsidRPr="00241843">
        <w:rPr>
          <w:rFonts w:hint="cs"/>
          <w:rtl/>
          <w:lang w:bidi="ar"/>
        </w:rPr>
        <w:t xml:space="preserve"> </w:t>
      </w:r>
      <w:r w:rsidR="005A4C43">
        <w:rPr>
          <w:rFonts w:hint="cs"/>
          <w:rtl/>
          <w:lang w:bidi="ar"/>
        </w:rPr>
        <w:t>بطريقة فعالة في برنامج الموظفين الفنيين المبتدئين</w:t>
      </w:r>
      <w:r w:rsidRPr="00241843">
        <w:rPr>
          <w:rFonts w:hint="cs"/>
          <w:rtl/>
          <w:lang w:bidi="ar"/>
        </w:rPr>
        <w:t xml:space="preserve"> </w:t>
      </w:r>
      <w:r w:rsidR="005A4C43">
        <w:rPr>
          <w:rFonts w:hint="cs"/>
          <w:rtl/>
          <w:lang w:bidi="ar"/>
        </w:rPr>
        <w:t>القائم</w:t>
      </w:r>
      <w:r w:rsidRPr="00241843">
        <w:rPr>
          <w:rFonts w:hint="cs"/>
          <w:rtl/>
          <w:lang w:bidi="ar"/>
        </w:rPr>
        <w:t xml:space="preserve"> </w:t>
      </w:r>
      <w:r w:rsidR="005A4C43">
        <w:rPr>
          <w:rFonts w:hint="cs"/>
          <w:rtl/>
          <w:lang w:bidi="ar"/>
        </w:rPr>
        <w:t xml:space="preserve">الذي يديره </w:t>
      </w:r>
      <w:r w:rsidRPr="00241843">
        <w:rPr>
          <w:rFonts w:hint="cs"/>
          <w:rtl/>
          <w:lang w:bidi="ar"/>
        </w:rPr>
        <w:t>برن</w:t>
      </w:r>
      <w:r w:rsidR="005A4C43">
        <w:rPr>
          <w:rFonts w:hint="cs"/>
          <w:rtl/>
          <w:lang w:bidi="ar"/>
        </w:rPr>
        <w:t>امج الأمم المتحدة الإنمائي</w:t>
      </w:r>
      <w:r w:rsidRPr="00241843">
        <w:rPr>
          <w:rFonts w:hint="cs"/>
          <w:rtl/>
          <w:lang w:bidi="ar"/>
        </w:rPr>
        <w:t xml:space="preserve"> </w:t>
      </w:r>
      <w:r w:rsidR="005A4C43">
        <w:rPr>
          <w:rFonts w:hint="cs"/>
          <w:rtl/>
          <w:lang w:bidi="ar"/>
        </w:rPr>
        <w:t>و</w:t>
      </w:r>
      <w:r w:rsidR="00797BD4">
        <w:rPr>
          <w:rFonts w:hint="cs"/>
          <w:rtl/>
          <w:lang w:bidi="ar"/>
        </w:rPr>
        <w:t xml:space="preserve">تعدّ الويبو </w:t>
      </w:r>
      <w:r w:rsidRPr="00241843">
        <w:rPr>
          <w:rFonts w:hint="cs"/>
          <w:rtl/>
          <w:lang w:bidi="ar"/>
        </w:rPr>
        <w:t>منظمة مشاركة</w:t>
      </w:r>
      <w:r w:rsidR="00797BD4">
        <w:rPr>
          <w:rFonts w:hint="cs"/>
          <w:rtl/>
          <w:lang w:bidi="ar"/>
        </w:rPr>
        <w:t xml:space="preserve"> فيه</w:t>
      </w:r>
      <w:r w:rsidRPr="00241843">
        <w:rPr>
          <w:rFonts w:hint="cs"/>
          <w:rtl/>
          <w:lang w:bidi="ar"/>
        </w:rPr>
        <w:t xml:space="preserve">. </w:t>
      </w:r>
      <w:r w:rsidR="00797BD4">
        <w:rPr>
          <w:rFonts w:hint="cs"/>
          <w:rtl/>
          <w:lang w:bidi="ar"/>
        </w:rPr>
        <w:t>و</w:t>
      </w:r>
      <w:r w:rsidRPr="00241843">
        <w:rPr>
          <w:rFonts w:hint="cs"/>
          <w:rtl/>
          <w:lang w:bidi="ar"/>
        </w:rPr>
        <w:t xml:space="preserve">يمكن لأية دولة من الدول الأعضاء في الويبو </w:t>
      </w:r>
      <w:r w:rsidR="00797BD4">
        <w:rPr>
          <w:rFonts w:hint="cs"/>
          <w:rtl/>
          <w:lang w:bidi="ar"/>
        </w:rPr>
        <w:t xml:space="preserve">أن توافق على تمويل موظف فني مبتدئ في الويبو </w:t>
      </w:r>
      <w:r w:rsidRPr="00241843">
        <w:rPr>
          <w:rFonts w:hint="cs"/>
          <w:rtl/>
          <w:lang w:bidi="ar"/>
        </w:rPr>
        <w:t>يحمل جنسية إحدى الد</w:t>
      </w:r>
      <w:r w:rsidR="00797BD4">
        <w:rPr>
          <w:rFonts w:hint="cs"/>
          <w:rtl/>
          <w:lang w:bidi="ar"/>
        </w:rPr>
        <w:t xml:space="preserve">ول الأعضاء غير الممثلة أو ينحدر من </w:t>
      </w:r>
      <w:r w:rsidRPr="00241843">
        <w:rPr>
          <w:rFonts w:hint="cs"/>
          <w:rtl/>
          <w:lang w:bidi="ar"/>
        </w:rPr>
        <w:t>منطقة ممثلة تمثيلا ناقصا، لفت</w:t>
      </w:r>
      <w:r w:rsidR="00797BD4">
        <w:rPr>
          <w:rFonts w:hint="cs"/>
          <w:rtl/>
          <w:lang w:bidi="ar"/>
        </w:rPr>
        <w:t>رة محددة من الزمن. وقد</w:t>
      </w:r>
      <w:r w:rsidRPr="00241843">
        <w:rPr>
          <w:rFonts w:hint="cs"/>
          <w:rtl/>
          <w:lang w:bidi="ar"/>
        </w:rPr>
        <w:t xml:space="preserve"> </w:t>
      </w:r>
      <w:r w:rsidR="00797BD4">
        <w:rPr>
          <w:rFonts w:hint="cs"/>
          <w:rtl/>
          <w:lang w:bidi="ar"/>
        </w:rPr>
        <w:t xml:space="preserve">نفذت </w:t>
      </w:r>
      <w:r w:rsidRPr="00241843">
        <w:rPr>
          <w:rFonts w:hint="cs"/>
          <w:rtl/>
          <w:lang w:bidi="ar"/>
        </w:rPr>
        <w:t xml:space="preserve">ترتيبات </w:t>
      </w:r>
      <w:r w:rsidR="00797BD4">
        <w:rPr>
          <w:rFonts w:hint="cs"/>
          <w:rtl/>
          <w:lang w:bidi="ar"/>
        </w:rPr>
        <w:t xml:space="preserve">مشابهة </w:t>
      </w:r>
      <w:r w:rsidRPr="00241843">
        <w:rPr>
          <w:rFonts w:hint="cs"/>
          <w:rtl/>
          <w:lang w:bidi="ar"/>
        </w:rPr>
        <w:t>في منظمات أخ</w:t>
      </w:r>
      <w:r w:rsidR="00797BD4">
        <w:rPr>
          <w:rFonts w:hint="cs"/>
          <w:rtl/>
          <w:lang w:bidi="ar"/>
        </w:rPr>
        <w:t>رى لغرض بناء القدرات. وسيتيح</w:t>
      </w:r>
      <w:r w:rsidRPr="00241843">
        <w:rPr>
          <w:rFonts w:hint="cs"/>
          <w:rtl/>
          <w:lang w:bidi="ar"/>
        </w:rPr>
        <w:t xml:space="preserve"> </w:t>
      </w:r>
      <w:r w:rsidR="000227F1">
        <w:rPr>
          <w:rFonts w:hint="cs"/>
          <w:rtl/>
          <w:lang w:bidi="ar"/>
        </w:rPr>
        <w:t>برنامج الموظفين الفنيين المبتدئين لمواطني دول أعضاء محددة</w:t>
      </w:r>
      <w:r w:rsidRPr="00241843">
        <w:rPr>
          <w:rFonts w:hint="cs"/>
          <w:rtl/>
          <w:lang w:bidi="ar"/>
        </w:rPr>
        <w:t xml:space="preserve"> </w:t>
      </w:r>
      <w:r w:rsidR="000227F1">
        <w:rPr>
          <w:rFonts w:hint="cs"/>
          <w:rtl/>
          <w:lang w:bidi="ar"/>
        </w:rPr>
        <w:t>بالحصول على تدريب عملي وتكوين معرفة ب</w:t>
      </w:r>
      <w:r w:rsidRPr="00241843">
        <w:rPr>
          <w:rFonts w:hint="cs"/>
          <w:rtl/>
          <w:lang w:bidi="ar"/>
        </w:rPr>
        <w:t xml:space="preserve">ولاية الويبو وبرامجها وأنشطتها، مما يساعد الموظفين الفنيين المبتدئين </w:t>
      </w:r>
      <w:r w:rsidR="000227F1">
        <w:rPr>
          <w:rFonts w:hint="cs"/>
          <w:rtl/>
          <w:lang w:bidi="ar"/>
        </w:rPr>
        <w:t>على اكتساب فهم أعمق للمنظمة وتنمية</w:t>
      </w:r>
      <w:r w:rsidRPr="00241843">
        <w:rPr>
          <w:rFonts w:hint="cs"/>
          <w:rtl/>
          <w:lang w:bidi="ar"/>
        </w:rPr>
        <w:t xml:space="preserve"> (أو تطوير) الكفاءات المطلوبة لشغل </w:t>
      </w:r>
      <w:r w:rsidR="000227F1">
        <w:rPr>
          <w:rFonts w:hint="cs"/>
          <w:rtl/>
          <w:lang w:bidi="ar"/>
        </w:rPr>
        <w:t>الوظائف الشاغرة في المناصب محددة الأجل</w:t>
      </w:r>
      <w:r w:rsidRPr="00241843">
        <w:rPr>
          <w:rFonts w:hint="cs"/>
          <w:rtl/>
          <w:lang w:bidi="ar"/>
        </w:rPr>
        <w:t>.</w:t>
      </w:r>
    </w:p>
    <w:p w:rsidR="00241843" w:rsidRDefault="00241843" w:rsidP="00D836AB">
      <w:pPr>
        <w:pStyle w:val="NumberedParaAR"/>
        <w:numPr>
          <w:ilvl w:val="0"/>
          <w:numId w:val="0"/>
        </w:numPr>
        <w:ind w:left="567"/>
        <w:rPr>
          <w:rtl/>
          <w:lang w:bidi="ar"/>
        </w:rPr>
      </w:pPr>
      <w:r>
        <w:rPr>
          <w:rFonts w:hint="cs"/>
          <w:rtl/>
          <w:lang w:bidi="ar"/>
        </w:rPr>
        <w:t>(و)</w:t>
      </w:r>
      <w:r>
        <w:rPr>
          <w:rFonts w:hint="cs"/>
          <w:rtl/>
          <w:lang w:bidi="ar"/>
        </w:rPr>
        <w:tab/>
      </w:r>
      <w:r w:rsidR="000227F1">
        <w:rPr>
          <w:rFonts w:hint="cs"/>
          <w:rtl/>
          <w:lang w:bidi="ar"/>
        </w:rPr>
        <w:t>وفيما يخص اقتراح مراعاة</w:t>
      </w:r>
      <w:r w:rsidRPr="00241843">
        <w:rPr>
          <w:rFonts w:hint="cs"/>
          <w:rtl/>
          <w:lang w:bidi="ar"/>
        </w:rPr>
        <w:t xml:space="preserve"> التوزيع الجغرافي في </w:t>
      </w:r>
      <w:r w:rsidR="00C66E88">
        <w:rPr>
          <w:rFonts w:hint="cs"/>
          <w:rtl/>
          <w:lang w:bidi="ar"/>
        </w:rPr>
        <w:t>تعيين غير</w:t>
      </w:r>
      <w:r w:rsidRPr="00241843">
        <w:rPr>
          <w:rFonts w:hint="cs"/>
          <w:rtl/>
          <w:lang w:bidi="ar"/>
        </w:rPr>
        <w:t xml:space="preserve"> </w:t>
      </w:r>
      <w:r w:rsidR="000227F1">
        <w:rPr>
          <w:rFonts w:hint="cs"/>
          <w:rtl/>
          <w:lang w:bidi="ar"/>
        </w:rPr>
        <w:t>الموظفين</w:t>
      </w:r>
      <w:r w:rsidR="00DD5306">
        <w:rPr>
          <w:rFonts w:hint="cs"/>
          <w:rtl/>
          <w:lang w:bidi="ar"/>
        </w:rPr>
        <w:t>،</w:t>
      </w:r>
      <w:r w:rsidRPr="00241843">
        <w:rPr>
          <w:rFonts w:hint="cs"/>
          <w:rtl/>
          <w:lang w:bidi="ar"/>
        </w:rPr>
        <w:t xml:space="preserve"> </w:t>
      </w:r>
      <w:r w:rsidR="00DD5306">
        <w:rPr>
          <w:rFonts w:hint="cs"/>
          <w:rtl/>
          <w:lang w:bidi="ar"/>
        </w:rPr>
        <w:t xml:space="preserve">تشير </w:t>
      </w:r>
      <w:r w:rsidRPr="00241843">
        <w:rPr>
          <w:rFonts w:hint="cs"/>
          <w:rtl/>
          <w:lang w:bidi="ar"/>
        </w:rPr>
        <w:t xml:space="preserve">الأمانة </w:t>
      </w:r>
      <w:r w:rsidR="00DD5306">
        <w:rPr>
          <w:rFonts w:hint="cs"/>
          <w:rtl/>
          <w:lang w:bidi="ar"/>
        </w:rPr>
        <w:t>إلى أن البيانات</w:t>
      </w:r>
      <w:r w:rsidRPr="00241843">
        <w:rPr>
          <w:rFonts w:hint="cs"/>
          <w:rtl/>
          <w:lang w:bidi="ar"/>
        </w:rPr>
        <w:t xml:space="preserve"> </w:t>
      </w:r>
      <w:r w:rsidR="00DD5306">
        <w:rPr>
          <w:rFonts w:hint="cs"/>
          <w:rtl/>
          <w:lang w:bidi="ar"/>
        </w:rPr>
        <w:t xml:space="preserve">بشأن جنسية وجنس </w:t>
      </w:r>
      <w:r w:rsidR="00C66E88">
        <w:rPr>
          <w:rFonts w:hint="cs"/>
          <w:rtl/>
          <w:lang w:bidi="ar"/>
        </w:rPr>
        <w:t>غير</w:t>
      </w:r>
      <w:r w:rsidR="00DD5306">
        <w:rPr>
          <w:rFonts w:hint="cs"/>
          <w:rtl/>
          <w:lang w:bidi="ar"/>
        </w:rPr>
        <w:t xml:space="preserve"> </w:t>
      </w:r>
      <w:r w:rsidRPr="00241843">
        <w:rPr>
          <w:rFonts w:hint="cs"/>
          <w:rtl/>
          <w:lang w:bidi="ar"/>
        </w:rPr>
        <w:t xml:space="preserve">الموظفين المعينين بموجب عقد </w:t>
      </w:r>
      <w:r w:rsidR="00DD5306">
        <w:rPr>
          <w:rFonts w:hint="cs"/>
          <w:rtl/>
          <w:lang w:bidi="ar"/>
        </w:rPr>
        <w:t>الخدمات التعاقدية الفردية متوفرة اعتبارا من 1 يناير</w:t>
      </w:r>
      <w:r w:rsidRPr="00241843">
        <w:rPr>
          <w:rFonts w:hint="cs"/>
          <w:rtl/>
          <w:lang w:bidi="ar"/>
        </w:rPr>
        <w:t xml:space="preserve"> 2015. </w:t>
      </w:r>
      <w:r w:rsidR="00C66E88">
        <w:rPr>
          <w:rFonts w:hint="cs"/>
          <w:rtl/>
          <w:lang w:bidi="ar"/>
        </w:rPr>
        <w:t>ويتطلب إمعان النظر في هذا الاقتراح،</w:t>
      </w:r>
      <w:r w:rsidRPr="00241843">
        <w:rPr>
          <w:rFonts w:hint="cs"/>
          <w:rtl/>
          <w:lang w:bidi="ar"/>
        </w:rPr>
        <w:t xml:space="preserve"> </w:t>
      </w:r>
      <w:r w:rsidR="00C66E88">
        <w:rPr>
          <w:rFonts w:hint="cs"/>
          <w:rtl/>
          <w:lang w:bidi="ar"/>
        </w:rPr>
        <w:t>إعداد الأمانة لدراسة بشأن الأساس القانوني و</w:t>
      </w:r>
      <w:r w:rsidRPr="00241843">
        <w:rPr>
          <w:rFonts w:hint="cs"/>
          <w:rtl/>
          <w:lang w:bidi="ar"/>
        </w:rPr>
        <w:t>آلية</w:t>
      </w:r>
      <w:r w:rsidR="00C66E88">
        <w:rPr>
          <w:rFonts w:hint="cs"/>
          <w:rtl/>
          <w:lang w:bidi="ar"/>
        </w:rPr>
        <w:t xml:space="preserve"> التنفيذ اللازمين</w:t>
      </w:r>
      <w:r w:rsidRPr="00241843">
        <w:rPr>
          <w:rFonts w:hint="cs"/>
          <w:rtl/>
          <w:lang w:bidi="ar"/>
        </w:rPr>
        <w:t>، والآثار المترتبة عل</w:t>
      </w:r>
      <w:r w:rsidR="00C66E88">
        <w:rPr>
          <w:rFonts w:hint="cs"/>
          <w:rtl/>
          <w:lang w:bidi="ar"/>
        </w:rPr>
        <w:t>ى توسيع نطاق التغطية في حساب التوزيع الجغرافي ليشمل غير</w:t>
      </w:r>
      <w:r w:rsidRPr="00241843">
        <w:rPr>
          <w:rFonts w:hint="cs"/>
          <w:rtl/>
          <w:lang w:bidi="ar"/>
        </w:rPr>
        <w:t xml:space="preserve"> الموظفين.</w:t>
      </w:r>
    </w:p>
    <w:p w:rsidR="00241843" w:rsidRDefault="00241843" w:rsidP="00D836AB">
      <w:pPr>
        <w:pStyle w:val="NumberedParaAR"/>
        <w:numPr>
          <w:ilvl w:val="0"/>
          <w:numId w:val="0"/>
        </w:numPr>
        <w:ind w:left="567"/>
        <w:rPr>
          <w:rtl/>
          <w:lang w:bidi="ar"/>
        </w:rPr>
      </w:pPr>
      <w:r>
        <w:rPr>
          <w:rFonts w:hint="cs"/>
          <w:rtl/>
          <w:lang w:bidi="ar"/>
        </w:rPr>
        <w:t>(ز)</w:t>
      </w:r>
      <w:r>
        <w:rPr>
          <w:rFonts w:hint="cs"/>
          <w:rtl/>
          <w:lang w:bidi="ar"/>
        </w:rPr>
        <w:tab/>
      </w:r>
      <w:r w:rsidR="00C66E88">
        <w:rPr>
          <w:rFonts w:hint="cs"/>
          <w:rtl/>
          <w:lang w:bidi="ar"/>
        </w:rPr>
        <w:t>وبالنسبة لاقتراح الفصل بين المساهمات و</w:t>
      </w:r>
      <w:r w:rsidR="00D36031">
        <w:rPr>
          <w:rFonts w:hint="cs"/>
          <w:rtl/>
          <w:lang w:bidi="ar"/>
        </w:rPr>
        <w:t>توظيف مواطنين</w:t>
      </w:r>
      <w:r w:rsidRPr="00241843">
        <w:rPr>
          <w:rFonts w:hint="cs"/>
          <w:rtl/>
          <w:lang w:bidi="ar"/>
        </w:rPr>
        <w:t xml:space="preserve"> من الدول المانحة </w:t>
      </w:r>
      <w:r w:rsidR="00C66E88">
        <w:rPr>
          <w:rFonts w:hint="cs"/>
          <w:rtl/>
          <w:lang w:bidi="ar"/>
        </w:rPr>
        <w:t>ب</w:t>
      </w:r>
      <w:r w:rsidRPr="00241843">
        <w:rPr>
          <w:rFonts w:hint="cs"/>
          <w:rtl/>
          <w:lang w:bidi="ar"/>
        </w:rPr>
        <w:t>استخدام هذه</w:t>
      </w:r>
      <w:r w:rsidR="00C66E88">
        <w:rPr>
          <w:rFonts w:hint="cs"/>
          <w:rtl/>
          <w:lang w:bidi="ar"/>
        </w:rPr>
        <w:t xml:space="preserve"> الأموال</w:t>
      </w:r>
      <w:r w:rsidR="00D36031">
        <w:rPr>
          <w:rFonts w:hint="cs"/>
          <w:rtl/>
          <w:lang w:bidi="ar"/>
        </w:rPr>
        <w:t>، فيحال لتنظر فيه الدول الأعضاء</w:t>
      </w:r>
      <w:r w:rsidRPr="00241843">
        <w:rPr>
          <w:rFonts w:hint="cs"/>
          <w:rtl/>
          <w:lang w:bidi="ar"/>
        </w:rPr>
        <w:t xml:space="preserve">، ولا </w:t>
      </w:r>
      <w:r w:rsidR="00D36031">
        <w:rPr>
          <w:rFonts w:hint="cs"/>
          <w:rtl/>
          <w:lang w:bidi="ar"/>
        </w:rPr>
        <w:t>سيما الدول الأعضاء المانحة. وتشدد الأمانة</w:t>
      </w:r>
      <w:r w:rsidRPr="00241843">
        <w:rPr>
          <w:rFonts w:hint="cs"/>
          <w:rtl/>
          <w:lang w:bidi="ar"/>
        </w:rPr>
        <w:t xml:space="preserve"> </w:t>
      </w:r>
      <w:r w:rsidR="00D36031">
        <w:rPr>
          <w:rFonts w:hint="cs"/>
          <w:rtl/>
          <w:lang w:bidi="ar"/>
        </w:rPr>
        <w:t xml:space="preserve">على </w:t>
      </w:r>
      <w:r w:rsidRPr="00241843">
        <w:rPr>
          <w:rFonts w:hint="cs"/>
          <w:rtl/>
          <w:lang w:bidi="ar"/>
        </w:rPr>
        <w:t>أن أ</w:t>
      </w:r>
      <w:r w:rsidR="00D36031">
        <w:rPr>
          <w:rFonts w:hint="cs"/>
          <w:rtl/>
          <w:lang w:bidi="ar"/>
        </w:rPr>
        <w:t xml:space="preserve">ي ترتيب لقبول خدمات </w:t>
      </w:r>
      <w:r w:rsidRPr="00241843">
        <w:rPr>
          <w:rFonts w:hint="cs"/>
          <w:rtl/>
          <w:lang w:bidi="ar"/>
        </w:rPr>
        <w:t xml:space="preserve">مجانية </w:t>
      </w:r>
      <w:r w:rsidR="00D36031">
        <w:rPr>
          <w:rFonts w:hint="cs"/>
          <w:rtl/>
          <w:lang w:bidi="ar"/>
        </w:rPr>
        <w:t xml:space="preserve">من </w:t>
      </w:r>
      <w:r w:rsidRPr="00241843">
        <w:rPr>
          <w:rFonts w:hint="cs"/>
          <w:rtl/>
          <w:lang w:bidi="ar"/>
        </w:rPr>
        <w:t>موا</w:t>
      </w:r>
      <w:r w:rsidR="00D36031">
        <w:rPr>
          <w:rFonts w:hint="cs"/>
          <w:rtl/>
          <w:lang w:bidi="ar"/>
        </w:rPr>
        <w:t>طني الدول الأعضاء المانحة لا يدخل</w:t>
      </w:r>
      <w:r w:rsidRPr="00241843">
        <w:rPr>
          <w:rFonts w:hint="cs"/>
          <w:rtl/>
          <w:lang w:bidi="ar"/>
        </w:rPr>
        <w:t xml:space="preserve"> </w:t>
      </w:r>
      <w:r w:rsidR="00D36031">
        <w:rPr>
          <w:rFonts w:hint="cs"/>
          <w:rtl/>
          <w:lang w:bidi="ar"/>
        </w:rPr>
        <w:t>أبدا في عمليات</w:t>
      </w:r>
      <w:r w:rsidRPr="00241843">
        <w:rPr>
          <w:rFonts w:hint="cs"/>
          <w:rtl/>
          <w:lang w:bidi="ar"/>
        </w:rPr>
        <w:t xml:space="preserve"> </w:t>
      </w:r>
      <w:r w:rsidR="00D36031">
        <w:rPr>
          <w:rFonts w:hint="cs"/>
          <w:rtl/>
          <w:lang w:bidi="ar"/>
        </w:rPr>
        <w:t>التوظيف في الويبو</w:t>
      </w:r>
      <w:r w:rsidRPr="00241843">
        <w:rPr>
          <w:rFonts w:hint="cs"/>
          <w:rtl/>
          <w:lang w:bidi="ar"/>
        </w:rPr>
        <w:t>.</w:t>
      </w:r>
      <w:r w:rsidR="00D36031">
        <w:rPr>
          <w:rFonts w:hint="cs"/>
          <w:rtl/>
          <w:lang w:bidi="ar"/>
        </w:rPr>
        <w:t xml:space="preserve"> كما أن إجراءات اختيار موظف لأي منصب، سواء كان محدد الأجل أو مؤقتا، م</w:t>
      </w:r>
      <w:r w:rsidRPr="00241843">
        <w:rPr>
          <w:rFonts w:hint="cs"/>
          <w:rtl/>
          <w:lang w:bidi="ar"/>
        </w:rPr>
        <w:t>حد</w:t>
      </w:r>
      <w:r w:rsidR="00D36031">
        <w:rPr>
          <w:rFonts w:hint="cs"/>
          <w:rtl/>
          <w:lang w:bidi="ar"/>
        </w:rPr>
        <w:t>ّ</w:t>
      </w:r>
      <w:r w:rsidRPr="00241843">
        <w:rPr>
          <w:rFonts w:hint="cs"/>
          <w:rtl/>
          <w:lang w:bidi="ar"/>
        </w:rPr>
        <w:t>د</w:t>
      </w:r>
      <w:r w:rsidR="00D36031">
        <w:rPr>
          <w:rFonts w:hint="cs"/>
          <w:rtl/>
          <w:lang w:bidi="ar"/>
        </w:rPr>
        <w:t>ة</w:t>
      </w:r>
      <w:r w:rsidRPr="00241843">
        <w:rPr>
          <w:rFonts w:hint="cs"/>
          <w:rtl/>
          <w:lang w:bidi="ar"/>
        </w:rPr>
        <w:t xml:space="preserve"> و</w:t>
      </w:r>
      <w:r w:rsidR="00D36031">
        <w:rPr>
          <w:rFonts w:hint="cs"/>
          <w:rtl/>
          <w:lang w:bidi="ar"/>
        </w:rPr>
        <w:t>فقا لنظام موظفي الويبو ولائحته وتخضع لمراقبة وثيقة</w:t>
      </w:r>
      <w:r w:rsidRPr="00241843">
        <w:rPr>
          <w:rFonts w:hint="cs"/>
          <w:rtl/>
          <w:lang w:bidi="ar"/>
        </w:rPr>
        <w:t xml:space="preserve"> من قبل الأمانة. </w:t>
      </w:r>
      <w:r w:rsidR="00D36031">
        <w:rPr>
          <w:rFonts w:hint="cs"/>
          <w:rtl/>
          <w:lang w:bidi="ar"/>
        </w:rPr>
        <w:t>وإن عملية تنافسية تشمل</w:t>
      </w:r>
      <w:r w:rsidRPr="00241843">
        <w:rPr>
          <w:rFonts w:hint="cs"/>
          <w:rtl/>
          <w:lang w:bidi="ar"/>
        </w:rPr>
        <w:t xml:space="preserve"> </w:t>
      </w:r>
      <w:r w:rsidR="00D36031">
        <w:rPr>
          <w:rFonts w:hint="cs"/>
          <w:rtl/>
          <w:lang w:bidi="ar"/>
        </w:rPr>
        <w:t>فرزا</w:t>
      </w:r>
      <w:r w:rsidRPr="00241843">
        <w:rPr>
          <w:rFonts w:hint="cs"/>
          <w:rtl/>
          <w:lang w:bidi="ar"/>
        </w:rPr>
        <w:t xml:space="preserve"> دقيق</w:t>
      </w:r>
      <w:r w:rsidR="00D36031">
        <w:rPr>
          <w:rFonts w:hint="cs"/>
          <w:rtl/>
          <w:lang w:bidi="ar"/>
        </w:rPr>
        <w:t>ا</w:t>
      </w:r>
      <w:r w:rsidRPr="00241843">
        <w:rPr>
          <w:rFonts w:hint="cs"/>
          <w:rtl/>
          <w:lang w:bidi="ar"/>
        </w:rPr>
        <w:t xml:space="preserve"> للمرشحين هي سمة أساسية من سمات إجراءات الاختيار هذه.</w:t>
      </w:r>
    </w:p>
    <w:p w:rsidR="00241843" w:rsidRDefault="00241843" w:rsidP="00D836AB">
      <w:pPr>
        <w:pStyle w:val="NumberedParaAR"/>
        <w:numPr>
          <w:ilvl w:val="0"/>
          <w:numId w:val="0"/>
        </w:numPr>
        <w:ind w:left="567"/>
        <w:rPr>
          <w:rtl/>
          <w:lang w:bidi="ar"/>
        </w:rPr>
      </w:pPr>
      <w:r>
        <w:rPr>
          <w:rFonts w:hint="cs"/>
          <w:rtl/>
          <w:lang w:bidi="ar"/>
        </w:rPr>
        <w:t>(ح)</w:t>
      </w:r>
      <w:r>
        <w:rPr>
          <w:rFonts w:hint="cs"/>
          <w:rtl/>
          <w:lang w:bidi="ar"/>
        </w:rPr>
        <w:tab/>
      </w:r>
      <w:r w:rsidR="006B4034">
        <w:rPr>
          <w:rFonts w:hint="cs"/>
          <w:rtl/>
          <w:lang w:bidi="ar"/>
        </w:rPr>
        <w:t>و</w:t>
      </w:r>
      <w:r w:rsidR="002777B8">
        <w:rPr>
          <w:rFonts w:hint="cs"/>
          <w:rtl/>
          <w:lang w:bidi="ar"/>
        </w:rPr>
        <w:t xml:space="preserve">أخيراً، </w:t>
      </w:r>
      <w:r w:rsidR="00D36031">
        <w:rPr>
          <w:rFonts w:hint="cs"/>
          <w:rtl/>
          <w:lang w:bidi="ar"/>
        </w:rPr>
        <w:t xml:space="preserve">سيعتمد </w:t>
      </w:r>
      <w:r w:rsidR="006B4034">
        <w:rPr>
          <w:rFonts w:hint="cs"/>
          <w:rtl/>
          <w:lang w:bidi="ar"/>
        </w:rPr>
        <w:t>وضع أهداف ومؤشرات في تقرير أداء البرنامج</w:t>
      </w:r>
      <w:r w:rsidR="00D36031">
        <w:rPr>
          <w:rFonts w:hint="cs"/>
          <w:rtl/>
          <w:lang w:bidi="ar"/>
        </w:rPr>
        <w:t xml:space="preserve">، </w:t>
      </w:r>
      <w:r w:rsidRPr="00241843">
        <w:rPr>
          <w:rFonts w:hint="cs"/>
          <w:rtl/>
          <w:lang w:bidi="ar"/>
        </w:rPr>
        <w:t xml:space="preserve">على اتفاق الدول الأعضاء على </w:t>
      </w:r>
      <w:r w:rsidR="006B4034">
        <w:rPr>
          <w:rFonts w:hint="cs"/>
          <w:rtl/>
          <w:lang w:bidi="ar"/>
        </w:rPr>
        <w:t xml:space="preserve">أسلوب </w:t>
      </w:r>
      <w:r w:rsidRPr="00241843">
        <w:rPr>
          <w:rFonts w:hint="cs"/>
          <w:rtl/>
          <w:lang w:bidi="ar"/>
        </w:rPr>
        <w:t>المضي قدما في مسألة التوزيع الجغرافي.</w:t>
      </w:r>
    </w:p>
    <w:p w:rsidR="001B0226" w:rsidRPr="00331E52" w:rsidRDefault="001B0226" w:rsidP="001B0226">
      <w:pPr>
        <w:pStyle w:val="NormalParaAR"/>
        <w:numPr>
          <w:ilvl w:val="0"/>
          <w:numId w:val="28"/>
        </w:numPr>
        <w:ind w:left="0" w:firstLine="0"/>
      </w:pPr>
      <w:r>
        <w:rPr>
          <w:rFonts w:hint="cs"/>
          <w:rtl/>
          <w:lang w:val="fr-CH" w:bidi="ar-MA"/>
        </w:rPr>
        <w:t>وأشارت إحدى المجموعات إلى محدودية فرص شواغر الوظائف رهناً بالتوزيع الجغرافي. وحثت على التركيز على تنفيذ السياسة القائمة بدل إعداد سياسة جديدة يحتمل أن يكون أثرها محدوداً على النتائج المتوخاة، وأكدت على أهمية تطبيق مبدأ التمثيل الجغرافي العادل أثناء التوظيف. واقترحت مراعاة التوازن الجغرافي في مناصب الإدارة العليا وأشارت إلى إرشادات وحدة التفتيش المشتركة بشأن كيفية ترسيخ مبدأ التوزيع الجغرافي العادل في الثقافة التنظيمية، والإطار التنظيمي والسياسي، والأنشطة والبرامج، وعمليات الرصد والإبلاغ.</w:t>
      </w:r>
    </w:p>
    <w:p w:rsidR="001B0226" w:rsidRDefault="001B0226" w:rsidP="001B0226">
      <w:pPr>
        <w:pStyle w:val="NormalParaAR"/>
        <w:ind w:left="567"/>
      </w:pPr>
      <w:r>
        <w:rPr>
          <w:rFonts w:hint="cs"/>
          <w:rtl/>
        </w:rPr>
        <w:t>(أ)</w:t>
      </w:r>
      <w:r>
        <w:rPr>
          <w:rFonts w:hint="cs"/>
          <w:rtl/>
        </w:rPr>
        <w:tab/>
        <w:t>في انتظار اتخاذ قرار من جانب الدول الأعضاء للتخلي عن مبادئ عام 1975، ستبقى عملية التنفيذ المتواصل منصبة على مبادرات الأمانة وأنشطتها الرامية إلى تحسين التوزيع الجغرافي، في إطار مبادئ عام 1975.</w:t>
      </w:r>
    </w:p>
    <w:p w:rsidR="001B0226" w:rsidRPr="00331E52" w:rsidRDefault="001B0226" w:rsidP="001B0226">
      <w:pPr>
        <w:pStyle w:val="NormalParaAR"/>
        <w:ind w:left="567"/>
      </w:pPr>
      <w:r>
        <w:rPr>
          <w:rFonts w:hint="cs"/>
          <w:rtl/>
        </w:rPr>
        <w:lastRenderedPageBreak/>
        <w:t>(ب)</w:t>
      </w:r>
      <w:r>
        <w:rPr>
          <w:rFonts w:hint="cs"/>
          <w:rtl/>
        </w:rPr>
        <w:tab/>
        <w:t xml:space="preserve">تبلغ الأمانة بتنظيم برامج وحلقات عمل تدريبية والاستمرار في الاضطلاع بها للتوعية في صفوف أعضاء لجان التعيين، والمديرين، والموظفين عامةً، بجدوى التنوع التنظيمي، لا سيما التنوع الجغرافي والتوازن بين الجنسين. إضافة إلى ذلك، فإن مبادئ التوزيع الجغرافي والتوازن بين الجنسين مؤكدة صراحة في المادة 4-2 من نظام الموظفين. ويجري على نحو مستمر تحليل أثر البعثات الترويجية، والتدابير التحسيسية، ونشر المعلومات على نطاق أوسع، وحملات الدعاية للارتقاء بالوظائف في الويبو على الصعيد العالمي، لا سيما إزاء الدول الأعضاء غير الممثلة، كما يتم رصد البيانات المتعلقة بالتمثيل الجغرافي في موظفي الويبو والإبلاغ عنها على أساس منتظم. وثمة بعض الطرق التي يمكن بواسطتها إدراج التنوع، لا سيما التنوع الجغرافي </w:t>
      </w:r>
      <w:proofErr w:type="spellStart"/>
      <w:r>
        <w:rPr>
          <w:rFonts w:hint="cs"/>
          <w:rtl/>
        </w:rPr>
        <w:t>والجنساني</w:t>
      </w:r>
      <w:proofErr w:type="spellEnd"/>
      <w:r>
        <w:rPr>
          <w:rFonts w:hint="cs"/>
          <w:rtl/>
        </w:rPr>
        <w:t>، في الثقافة التنظيمية، والإطار التنظيمي والسياسي، وبرامج الويبو وأنشطتها. ويتحقق تحسن مطرد في مسألة التوزيع الجغرافي لمناصب الإدارة الوسطى والعليا.</w:t>
      </w:r>
    </w:p>
    <w:p w:rsidR="001B0226" w:rsidRPr="0033122F" w:rsidRDefault="001B0226" w:rsidP="001B0226">
      <w:pPr>
        <w:pStyle w:val="NormalParaAR"/>
        <w:numPr>
          <w:ilvl w:val="0"/>
          <w:numId w:val="28"/>
        </w:numPr>
        <w:ind w:left="0" w:firstLine="0"/>
      </w:pPr>
      <w:r>
        <w:rPr>
          <w:rFonts w:hint="cs"/>
          <w:rtl/>
          <w:lang w:val="fr-CH" w:bidi="ar-MA"/>
        </w:rPr>
        <w:t xml:space="preserve">وأخيراً، أعربت مجموعة أخرى عن تأييدها للنشر الإلكتروني لمزيد من البيانات عن التوزيع الجغرافي </w:t>
      </w:r>
      <w:proofErr w:type="spellStart"/>
      <w:r>
        <w:rPr>
          <w:rFonts w:hint="cs"/>
          <w:rtl/>
          <w:lang w:val="fr-CH" w:bidi="ar-MA"/>
        </w:rPr>
        <w:t>ودينامياتها</w:t>
      </w:r>
      <w:proofErr w:type="spellEnd"/>
      <w:r>
        <w:rPr>
          <w:rFonts w:hint="cs"/>
          <w:rtl/>
          <w:lang w:val="fr-CH" w:bidi="ar-MA"/>
        </w:rPr>
        <w:t xml:space="preserve"> لمزيد من الشفافية. واقترحت الاضطلاع بعملية التوظيف على مرحلتين: أولاً، تنظيم منافسة على منصب ما وجعلها تقتصر على الأقاليم غير الممثلة بالقدر الكافي، وعدم فتح باب المنافسة أمام الجمهور عامة إلا في حال عدم تقدم مرشحين ملائمين من الأقاليم المستهدفة. كما اقترحت موافاة المرشحين غير الناجحين من تلك الأقاليم بردود نقدية فردية، وأكدت على التوازن الجغرافي ليس فقط بين الأقاليم بل أيضاً بين البلدان داخل إقليم معين.</w:t>
      </w:r>
    </w:p>
    <w:p w:rsidR="001B0226" w:rsidRDefault="001B0226" w:rsidP="001B0226">
      <w:pPr>
        <w:pStyle w:val="NormalParaAR"/>
        <w:ind w:left="567"/>
      </w:pPr>
      <w:r>
        <w:rPr>
          <w:rFonts w:hint="cs"/>
          <w:rtl/>
        </w:rPr>
        <w:t>(أ)</w:t>
      </w:r>
      <w:r>
        <w:rPr>
          <w:rFonts w:hint="cs"/>
          <w:rtl/>
        </w:rPr>
        <w:tab/>
        <w:t>تبلغ الأمانة بأن البيانات المتعلقة بالتوزيع الجغرافي تقدم للدول الأعضاء مرتين في السنة، إلى جانب الوثائق الصادرة خلال الدورات السنوية للجمعيات. كما أن البيانات والمعلومات ذات الصلة تتاح بدورها لأي دولة عضو بناء على طلب من الأمانة.</w:t>
      </w:r>
    </w:p>
    <w:p w:rsidR="001B0226" w:rsidRDefault="001B0226" w:rsidP="001B0226">
      <w:pPr>
        <w:pStyle w:val="NormalParaAR"/>
        <w:ind w:left="567"/>
      </w:pPr>
      <w:r>
        <w:rPr>
          <w:rFonts w:hint="cs"/>
          <w:rtl/>
        </w:rPr>
        <w:t>(ب)</w:t>
      </w:r>
      <w:r>
        <w:rPr>
          <w:rFonts w:hint="cs"/>
          <w:rtl/>
        </w:rPr>
        <w:tab/>
        <w:t>تشعِر الأمانة كذلك بأنه ثمة، في المتوسط، أكثر من 100 طلب ترشيح عن كل إعلان للشواغر. ويُظهر الجدول أدناه مباشرة متوسط عدد الطلبات بالنسبة للوظائف الشاغرة في فئتي المهنيين والمديرين في عامَي 2014 و2015 والعدد الإجمالي لإعلانات الشواغر الصادرة في تلك الفترة.</w:t>
      </w:r>
    </w:p>
    <w:tbl>
      <w:tblPr>
        <w:tblStyle w:val="TableGrid"/>
        <w:bidiVisual/>
        <w:tblW w:w="0" w:type="auto"/>
        <w:tblInd w:w="1242" w:type="dxa"/>
        <w:tblLook w:val="04A0" w:firstRow="1" w:lastRow="0" w:firstColumn="1" w:lastColumn="0" w:noHBand="0" w:noVBand="1"/>
      </w:tblPr>
      <w:tblGrid>
        <w:gridCol w:w="3085"/>
        <w:gridCol w:w="1593"/>
        <w:gridCol w:w="1701"/>
      </w:tblGrid>
      <w:tr w:rsidR="001B0226" w:rsidRPr="003762AC" w:rsidTr="00980890">
        <w:tc>
          <w:tcPr>
            <w:tcW w:w="3085" w:type="dxa"/>
          </w:tcPr>
          <w:p w:rsidR="001B0226" w:rsidRPr="003762AC" w:rsidRDefault="001B0226" w:rsidP="00980890">
            <w:pPr>
              <w:pStyle w:val="ListParagraph"/>
              <w:tabs>
                <w:tab w:val="left" w:pos="567"/>
              </w:tabs>
              <w:bidi/>
              <w:spacing w:line="240" w:lineRule="auto"/>
              <w:ind w:left="0"/>
              <w:rPr>
                <w:rFonts w:ascii="Arabic Typesetting" w:hAnsi="Arabic Typesetting" w:cs="Arabic Typesetting"/>
                <w:sz w:val="36"/>
                <w:szCs w:val="36"/>
              </w:rPr>
            </w:pPr>
          </w:p>
        </w:tc>
        <w:tc>
          <w:tcPr>
            <w:tcW w:w="1593" w:type="dxa"/>
          </w:tcPr>
          <w:p w:rsidR="001B0226" w:rsidRPr="003762AC" w:rsidRDefault="001B0226" w:rsidP="00980890">
            <w:pPr>
              <w:pStyle w:val="ListParagraph"/>
              <w:tabs>
                <w:tab w:val="left" w:pos="567"/>
              </w:tabs>
              <w:spacing w:line="240" w:lineRule="auto"/>
              <w:ind w:left="0"/>
              <w:jc w:val="center"/>
              <w:rPr>
                <w:rFonts w:ascii="Arabic Typesetting" w:hAnsi="Arabic Typesetting" w:cs="Arabic Typesetting"/>
                <w:b/>
                <w:sz w:val="36"/>
                <w:szCs w:val="36"/>
              </w:rPr>
            </w:pPr>
            <w:r w:rsidRPr="003762AC">
              <w:rPr>
                <w:rFonts w:ascii="Arabic Typesetting" w:hAnsi="Arabic Typesetting" w:cs="Arabic Typesetting"/>
                <w:b/>
                <w:sz w:val="36"/>
                <w:szCs w:val="36"/>
              </w:rPr>
              <w:t>2014</w:t>
            </w:r>
          </w:p>
        </w:tc>
        <w:tc>
          <w:tcPr>
            <w:tcW w:w="1701" w:type="dxa"/>
          </w:tcPr>
          <w:p w:rsidR="001B0226" w:rsidRPr="003762AC" w:rsidRDefault="001B0226" w:rsidP="00980890">
            <w:pPr>
              <w:pStyle w:val="ListParagraph"/>
              <w:tabs>
                <w:tab w:val="left" w:pos="567"/>
              </w:tabs>
              <w:spacing w:line="240" w:lineRule="auto"/>
              <w:ind w:left="0"/>
              <w:jc w:val="center"/>
              <w:rPr>
                <w:rFonts w:ascii="Arabic Typesetting" w:hAnsi="Arabic Typesetting" w:cs="Arabic Typesetting"/>
                <w:b/>
                <w:sz w:val="36"/>
                <w:szCs w:val="36"/>
              </w:rPr>
            </w:pPr>
            <w:r w:rsidRPr="003762AC">
              <w:rPr>
                <w:rFonts w:ascii="Arabic Typesetting" w:hAnsi="Arabic Typesetting" w:cs="Arabic Typesetting"/>
                <w:b/>
                <w:sz w:val="36"/>
                <w:szCs w:val="36"/>
              </w:rPr>
              <w:t>2015</w:t>
            </w:r>
          </w:p>
        </w:tc>
      </w:tr>
      <w:tr w:rsidR="001B0226" w:rsidRPr="003762AC" w:rsidTr="00980890">
        <w:tc>
          <w:tcPr>
            <w:tcW w:w="3085" w:type="dxa"/>
          </w:tcPr>
          <w:p w:rsidR="001B0226" w:rsidRPr="003762AC" w:rsidRDefault="001B0226" w:rsidP="00980890">
            <w:pPr>
              <w:pStyle w:val="ListParagraph"/>
              <w:tabs>
                <w:tab w:val="left" w:pos="567"/>
              </w:tabs>
              <w:bidi/>
              <w:spacing w:line="240" w:lineRule="auto"/>
              <w:ind w:left="0"/>
              <w:rPr>
                <w:rFonts w:ascii="Arabic Typesetting" w:hAnsi="Arabic Typesetting" w:cs="Arabic Typesetting"/>
                <w:sz w:val="36"/>
                <w:szCs w:val="36"/>
              </w:rPr>
            </w:pPr>
            <w:r w:rsidRPr="003762AC">
              <w:rPr>
                <w:rFonts w:ascii="Arabic Typesetting" w:hAnsi="Arabic Typesetting" w:cs="Arabic Typesetting"/>
                <w:sz w:val="36"/>
                <w:szCs w:val="36"/>
                <w:rtl/>
              </w:rPr>
              <w:t xml:space="preserve">متوسط </w:t>
            </w:r>
            <w:r>
              <w:rPr>
                <w:rFonts w:ascii="Arabic Typesetting" w:hAnsi="Arabic Typesetting" w:cs="Arabic Typesetting" w:hint="cs"/>
                <w:sz w:val="36"/>
                <w:szCs w:val="36"/>
                <w:rtl/>
              </w:rPr>
              <w:t xml:space="preserve">عدد الطلبات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فئة المديرين والفئات العليا</w:t>
            </w:r>
          </w:p>
        </w:tc>
        <w:tc>
          <w:tcPr>
            <w:tcW w:w="1593" w:type="dxa"/>
            <w:vAlign w:val="center"/>
          </w:tcPr>
          <w:p w:rsidR="001B0226" w:rsidRPr="003762AC" w:rsidRDefault="001B0226" w:rsidP="00980890">
            <w:pPr>
              <w:pStyle w:val="ListParagraph"/>
              <w:tabs>
                <w:tab w:val="left" w:pos="567"/>
              </w:tabs>
              <w:spacing w:line="240" w:lineRule="auto"/>
              <w:ind w:left="0"/>
              <w:jc w:val="center"/>
              <w:rPr>
                <w:rFonts w:ascii="Arabic Typesetting" w:hAnsi="Arabic Typesetting" w:cs="Arabic Typesetting"/>
                <w:sz w:val="36"/>
                <w:szCs w:val="36"/>
              </w:rPr>
            </w:pPr>
            <w:r w:rsidRPr="003762AC">
              <w:rPr>
                <w:rFonts w:ascii="Arabic Typesetting" w:hAnsi="Arabic Typesetting" w:cs="Arabic Typesetting"/>
                <w:sz w:val="36"/>
                <w:szCs w:val="36"/>
              </w:rPr>
              <w:t>85</w:t>
            </w:r>
          </w:p>
        </w:tc>
        <w:tc>
          <w:tcPr>
            <w:tcW w:w="1701" w:type="dxa"/>
            <w:vAlign w:val="center"/>
          </w:tcPr>
          <w:p w:rsidR="001B0226" w:rsidRPr="003762AC" w:rsidRDefault="00B7402A" w:rsidP="00980890">
            <w:pPr>
              <w:pStyle w:val="ListParagraph"/>
              <w:tabs>
                <w:tab w:val="left" w:pos="567"/>
              </w:tabs>
              <w:spacing w:after="0" w:line="240" w:lineRule="auto"/>
              <w:ind w:left="0"/>
              <w:jc w:val="center"/>
              <w:rPr>
                <w:rFonts w:ascii="Arabic Typesetting" w:hAnsi="Arabic Typesetting" w:cs="Arabic Typesetting"/>
                <w:sz w:val="36"/>
                <w:szCs w:val="36"/>
              </w:rPr>
            </w:pPr>
            <w:r>
              <w:rPr>
                <w:rFonts w:ascii="Arabic Typesetting" w:hAnsi="Arabic Typesetting" w:cs="Arabic Typesetting" w:hint="cs"/>
                <w:sz w:val="36"/>
                <w:szCs w:val="36"/>
                <w:rtl/>
              </w:rPr>
              <w:t>110</w:t>
            </w:r>
          </w:p>
        </w:tc>
      </w:tr>
      <w:tr w:rsidR="001B0226" w:rsidRPr="003762AC" w:rsidTr="00980890">
        <w:tc>
          <w:tcPr>
            <w:tcW w:w="3085" w:type="dxa"/>
          </w:tcPr>
          <w:p w:rsidR="001B0226" w:rsidRPr="003762AC" w:rsidRDefault="001B0226" w:rsidP="00980890">
            <w:pPr>
              <w:pStyle w:val="ListParagraph"/>
              <w:tabs>
                <w:tab w:val="left" w:pos="567"/>
              </w:tabs>
              <w:bidi/>
              <w:spacing w:line="240" w:lineRule="auto"/>
              <w:ind w:left="0"/>
              <w:rPr>
                <w:rFonts w:ascii="Arabic Typesetting" w:hAnsi="Arabic Typesetting" w:cs="Arabic Typesetting"/>
                <w:sz w:val="36"/>
                <w:szCs w:val="36"/>
              </w:rPr>
            </w:pPr>
            <w:r w:rsidRPr="003762AC">
              <w:rPr>
                <w:rFonts w:ascii="Arabic Typesetting" w:hAnsi="Arabic Typesetting" w:cs="Arabic Typesetting"/>
                <w:sz w:val="36"/>
                <w:szCs w:val="36"/>
                <w:rtl/>
              </w:rPr>
              <w:t xml:space="preserve">متوسط </w:t>
            </w:r>
            <w:r>
              <w:rPr>
                <w:rFonts w:ascii="Arabic Typesetting" w:hAnsi="Arabic Typesetting" w:cs="Arabic Typesetting" w:hint="cs"/>
                <w:sz w:val="36"/>
                <w:szCs w:val="36"/>
                <w:rtl/>
              </w:rPr>
              <w:t xml:space="preserve">عدد الطلبات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فئة المهنيين</w:t>
            </w:r>
          </w:p>
        </w:tc>
        <w:tc>
          <w:tcPr>
            <w:tcW w:w="1593" w:type="dxa"/>
            <w:vAlign w:val="center"/>
          </w:tcPr>
          <w:p w:rsidR="001B0226" w:rsidRPr="003762AC" w:rsidRDefault="001B0226" w:rsidP="00980890">
            <w:pPr>
              <w:pStyle w:val="ListParagraph"/>
              <w:tabs>
                <w:tab w:val="left" w:pos="567"/>
              </w:tabs>
              <w:spacing w:line="240" w:lineRule="auto"/>
              <w:ind w:left="0"/>
              <w:jc w:val="center"/>
              <w:rPr>
                <w:rFonts w:ascii="Arabic Typesetting" w:hAnsi="Arabic Typesetting" w:cs="Arabic Typesetting"/>
                <w:sz w:val="36"/>
                <w:szCs w:val="36"/>
              </w:rPr>
            </w:pPr>
            <w:r w:rsidRPr="003762AC">
              <w:rPr>
                <w:rFonts w:ascii="Arabic Typesetting" w:hAnsi="Arabic Typesetting" w:cs="Arabic Typesetting"/>
                <w:sz w:val="36"/>
                <w:szCs w:val="36"/>
              </w:rPr>
              <w:t>152</w:t>
            </w:r>
          </w:p>
        </w:tc>
        <w:tc>
          <w:tcPr>
            <w:tcW w:w="1701" w:type="dxa"/>
            <w:vAlign w:val="center"/>
          </w:tcPr>
          <w:p w:rsidR="001B0226" w:rsidRPr="003762AC" w:rsidRDefault="00B7402A" w:rsidP="00980890">
            <w:pPr>
              <w:pStyle w:val="ListParagraph"/>
              <w:tabs>
                <w:tab w:val="left" w:pos="567"/>
              </w:tabs>
              <w:spacing w:after="0" w:line="240" w:lineRule="auto"/>
              <w:ind w:left="0"/>
              <w:jc w:val="center"/>
              <w:rPr>
                <w:rFonts w:ascii="Arabic Typesetting" w:hAnsi="Arabic Typesetting" w:cs="Arabic Typesetting"/>
                <w:sz w:val="36"/>
                <w:szCs w:val="36"/>
              </w:rPr>
            </w:pPr>
            <w:r>
              <w:rPr>
                <w:rFonts w:ascii="Arabic Typesetting" w:hAnsi="Arabic Typesetting" w:cs="Arabic Typesetting" w:hint="cs"/>
                <w:sz w:val="36"/>
                <w:szCs w:val="36"/>
                <w:rtl/>
              </w:rPr>
              <w:t>140</w:t>
            </w:r>
          </w:p>
        </w:tc>
      </w:tr>
      <w:tr w:rsidR="001B0226" w:rsidRPr="003762AC" w:rsidTr="00980890">
        <w:tc>
          <w:tcPr>
            <w:tcW w:w="3085" w:type="dxa"/>
          </w:tcPr>
          <w:p w:rsidR="001B0226" w:rsidRPr="003762AC" w:rsidRDefault="001B0226" w:rsidP="00980890">
            <w:pPr>
              <w:pStyle w:val="ListParagraph"/>
              <w:tabs>
                <w:tab w:val="left" w:pos="567"/>
              </w:tabs>
              <w:bidi/>
              <w:spacing w:line="240" w:lineRule="auto"/>
              <w:ind w:left="0"/>
              <w:rPr>
                <w:rFonts w:ascii="Arabic Typesetting" w:hAnsi="Arabic Typesetting" w:cs="Arabic Typesetting"/>
                <w:sz w:val="36"/>
                <w:szCs w:val="36"/>
              </w:rPr>
            </w:pPr>
            <w:r>
              <w:rPr>
                <w:rFonts w:ascii="Arabic Typesetting" w:hAnsi="Arabic Typesetting" w:cs="Arabic Typesetting" w:hint="cs"/>
                <w:sz w:val="36"/>
                <w:szCs w:val="36"/>
                <w:rtl/>
              </w:rPr>
              <w:t>العدد الإجمالي لإعلانات الشواغر</w:t>
            </w:r>
          </w:p>
        </w:tc>
        <w:tc>
          <w:tcPr>
            <w:tcW w:w="1593" w:type="dxa"/>
            <w:vAlign w:val="center"/>
          </w:tcPr>
          <w:p w:rsidR="001B0226" w:rsidRPr="003762AC" w:rsidRDefault="001B0226" w:rsidP="00980890">
            <w:pPr>
              <w:pStyle w:val="ListParagraph"/>
              <w:tabs>
                <w:tab w:val="left" w:pos="567"/>
              </w:tabs>
              <w:spacing w:line="240" w:lineRule="auto"/>
              <w:ind w:left="0"/>
              <w:jc w:val="center"/>
              <w:rPr>
                <w:rFonts w:ascii="Arabic Typesetting" w:hAnsi="Arabic Typesetting" w:cs="Arabic Typesetting"/>
                <w:sz w:val="36"/>
                <w:szCs w:val="36"/>
              </w:rPr>
            </w:pPr>
            <w:r w:rsidRPr="003762AC">
              <w:rPr>
                <w:rFonts w:ascii="Arabic Typesetting" w:hAnsi="Arabic Typesetting" w:cs="Arabic Typesetting"/>
                <w:sz w:val="36"/>
                <w:szCs w:val="36"/>
              </w:rPr>
              <w:t>89</w:t>
            </w:r>
          </w:p>
        </w:tc>
        <w:tc>
          <w:tcPr>
            <w:tcW w:w="1701" w:type="dxa"/>
            <w:vAlign w:val="center"/>
          </w:tcPr>
          <w:p w:rsidR="001B0226" w:rsidRPr="003762AC" w:rsidRDefault="00B7402A" w:rsidP="00980890">
            <w:pPr>
              <w:pStyle w:val="ListParagraph"/>
              <w:tabs>
                <w:tab w:val="left" w:pos="567"/>
              </w:tabs>
              <w:spacing w:after="0" w:line="240" w:lineRule="auto"/>
              <w:ind w:left="0"/>
              <w:jc w:val="center"/>
              <w:rPr>
                <w:rFonts w:ascii="Arabic Typesetting" w:hAnsi="Arabic Typesetting" w:cs="Arabic Typesetting"/>
                <w:sz w:val="36"/>
                <w:szCs w:val="36"/>
              </w:rPr>
            </w:pPr>
            <w:r>
              <w:rPr>
                <w:rFonts w:ascii="Arabic Typesetting" w:hAnsi="Arabic Typesetting" w:cs="Arabic Typesetting" w:hint="cs"/>
                <w:sz w:val="36"/>
                <w:szCs w:val="36"/>
                <w:rtl/>
              </w:rPr>
              <w:t>90</w:t>
            </w:r>
          </w:p>
        </w:tc>
      </w:tr>
    </w:tbl>
    <w:p w:rsidR="001B0226" w:rsidRDefault="001B0226" w:rsidP="001B0226">
      <w:pPr>
        <w:pStyle w:val="NormalParaAR"/>
        <w:ind w:left="720"/>
      </w:pPr>
    </w:p>
    <w:p w:rsidR="001B0226" w:rsidRDefault="001B0226" w:rsidP="001B0226">
      <w:pPr>
        <w:pStyle w:val="NormalParaAR"/>
        <w:ind w:left="567"/>
      </w:pPr>
      <w:r>
        <w:rPr>
          <w:rFonts w:hint="cs"/>
          <w:rtl/>
        </w:rPr>
        <w:t>(ج)</w:t>
      </w:r>
      <w:r>
        <w:rPr>
          <w:rFonts w:hint="cs"/>
          <w:rtl/>
        </w:rPr>
        <w:tab/>
        <w:t>تشير البيانات أعلاه إلى ارتفاع حجم الطلبات المستلمة على مدى السنة، التي يتجاوز عددها 000 10. ونظراً لارتفاع العدد المسجل، فإن التعليقات لا تقدم سوى للمترشحين، غير المختارين، المدرجين في القائمة المختصرة</w:t>
      </w:r>
      <w:r>
        <w:t xml:space="preserve"> </w:t>
      </w:r>
      <w:r>
        <w:rPr>
          <w:rFonts w:hint="cs"/>
          <w:rtl/>
        </w:rPr>
        <w:t>في منافسة معينة. وللأسف، يتعذر تزويد جميع المترشحين غير الناجحين بردود نقدية فردية. إضافة إلى ذلك، فإنه قد يُنظر على نحو سلبي إلى مسألة عزل المترشحين من الدول الأعضاء غير الممثلة أو المترشحين من أقاليم غير ممثلة بالقدر الكافي لتزيدهم بردود نقدية فرية باعتبارها تمييزاً في المعاملة (أو أسوأ من ذلك معاملة تمييزية) إزاء المترشحين غير الناجحين ومن ثم قد تطرح خطراً يهدد سمعة المنظمة.</w:t>
      </w:r>
    </w:p>
    <w:p w:rsidR="001B0226" w:rsidRDefault="001B0226" w:rsidP="001B0226">
      <w:pPr>
        <w:pStyle w:val="NormalParaAR"/>
        <w:ind w:left="567"/>
        <w:rPr>
          <w:rtl/>
          <w:lang w:val="fr-CH" w:bidi="ar-MA"/>
        </w:rPr>
      </w:pPr>
      <w:r>
        <w:rPr>
          <w:rFonts w:hint="cs"/>
          <w:rtl/>
        </w:rPr>
        <w:t>(د)</w:t>
      </w:r>
      <w:r>
        <w:rPr>
          <w:rFonts w:hint="cs"/>
          <w:rtl/>
        </w:rPr>
        <w:tab/>
        <w:t xml:space="preserve">تفيد الأمانة أيضاً بأن أي عملية اختيار تتبع "عملية الفرز على مرحلتين" الواردة في الفقرة 13 أعلاه ستكون غير قانونية. وستكون تمييزية وغير متسقة مع ميثاق الأمم المتحدة، واتفاقية الويبو، ونظام الويبو ولائحته، التي تنص </w:t>
      </w:r>
      <w:r>
        <w:rPr>
          <w:rFonts w:hint="cs"/>
          <w:rtl/>
        </w:rPr>
        <w:lastRenderedPageBreak/>
        <w:t>جميعها (مع اختلاف ضئيل من حيث الصياغة) على ما يلي: "</w:t>
      </w:r>
      <w:r w:rsidRPr="00303CB3">
        <w:rPr>
          <w:rtl/>
        </w:rPr>
        <w:t xml:space="preserve">الاعتبار </w:t>
      </w:r>
      <w:r>
        <w:rPr>
          <w:rtl/>
        </w:rPr>
        <w:t>الأول في توظيف الموظفين</w:t>
      </w:r>
      <w:r w:rsidRPr="00303CB3">
        <w:rPr>
          <w:rtl/>
        </w:rPr>
        <w:t xml:space="preserve"> هو ضرورة إحراز أعلى مستويات الكفاءة والمقدرة والنزاهة. </w:t>
      </w:r>
      <w:r>
        <w:rPr>
          <w:rFonts w:hint="cs"/>
          <w:rtl/>
        </w:rPr>
        <w:t>و</w:t>
      </w:r>
      <w:r w:rsidRPr="002D6F78">
        <w:rPr>
          <w:rtl/>
        </w:rPr>
        <w:t>يجب إيلاء الاعتبار الواجب لأهمية أن يكون التوظيف ع</w:t>
      </w:r>
      <w:r>
        <w:rPr>
          <w:rtl/>
        </w:rPr>
        <w:t>لى أوسع نطاق جغرافي ممكن</w:t>
      </w:r>
      <w:r>
        <w:rPr>
          <w:rFonts w:hint="cs"/>
          <w:rtl/>
        </w:rPr>
        <w:t xml:space="preserve">." وتضيف المادة 4-1 من نظام موظفي الويبو ما يلي: "[...] </w:t>
      </w:r>
      <w:r w:rsidRPr="00303CB3">
        <w:rPr>
          <w:rtl/>
        </w:rPr>
        <w:t xml:space="preserve">يجري توظيف الموظفين وتعيينهم </w:t>
      </w:r>
      <w:r w:rsidRPr="007F4627">
        <w:rPr>
          <w:u w:val="single"/>
          <w:rtl/>
        </w:rPr>
        <w:t>دون تمييز بسبب العرق، أو الأصل العرقي</w:t>
      </w:r>
      <w:r w:rsidRPr="00303CB3">
        <w:rPr>
          <w:rtl/>
        </w:rPr>
        <w:t>، أو الجنس</w:t>
      </w:r>
      <w:r>
        <w:rPr>
          <w:rFonts w:hint="cs"/>
          <w:rtl/>
        </w:rPr>
        <w:t xml:space="preserve"> [...]"</w:t>
      </w:r>
      <w:r>
        <w:rPr>
          <w:lang w:val="fr-CH"/>
        </w:rPr>
        <w:t xml:space="preserve"> </w:t>
      </w:r>
      <w:r>
        <w:rPr>
          <w:rFonts w:hint="cs"/>
          <w:rtl/>
          <w:lang w:val="fr-CH" w:bidi="ar-MA"/>
        </w:rPr>
        <w:t xml:space="preserve"> (إضافة التسطير). وفي هذا الصدد، فإن الأحكام التالية الصادرة عن المحكمة الإدارية التابعة لمنظمة العمل الدولية مهمة (جميع حالات التسطير والكتابة بالبنط العريض مضافة):</w:t>
      </w:r>
    </w:p>
    <w:p w:rsidR="001B0226" w:rsidRDefault="001B0226" w:rsidP="001B0226">
      <w:pPr>
        <w:pStyle w:val="ListParagraph"/>
        <w:numPr>
          <w:ilvl w:val="0"/>
          <w:numId w:val="29"/>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الحكم رقم 3652 (2016) في الاعتبار 25:</w:t>
      </w:r>
    </w:p>
    <w:p w:rsidR="001B0226" w:rsidRDefault="001B0226" w:rsidP="001B0226">
      <w:pPr>
        <w:pStyle w:val="ListParagraph"/>
        <w:bidi/>
        <w:spacing w:after="240" w:line="360" w:lineRule="exact"/>
        <w:ind w:left="1134"/>
        <w:contextualSpacing w:val="0"/>
        <w:rPr>
          <w:rFonts w:ascii="Arabic Typesetting" w:hAnsi="Arabic Typesetting" w:cs="Arabic Typesetting"/>
          <w:sz w:val="36"/>
          <w:szCs w:val="36"/>
        </w:rPr>
      </w:pPr>
      <w:r>
        <w:rPr>
          <w:rFonts w:ascii="Arabic Typesetting" w:hAnsi="Arabic Typesetting" w:cs="Arabic Typesetting" w:hint="cs"/>
          <w:sz w:val="36"/>
          <w:szCs w:val="36"/>
          <w:rtl/>
        </w:rPr>
        <w:t xml:space="preserve">"ينص المبدأ المؤكد على أن </w:t>
      </w:r>
      <w:r w:rsidRPr="001D64AB">
        <w:rPr>
          <w:rFonts w:ascii="Arabic Typesetting" w:hAnsi="Arabic Typesetting" w:cs="Arabic Typesetting" w:hint="cs"/>
          <w:sz w:val="36"/>
          <w:szCs w:val="36"/>
          <w:u w:val="single"/>
          <w:rtl/>
        </w:rPr>
        <w:t>جنسية بلد غير ممثل بالقدر الكافي أو غير ممثل إطلاقاً في التوزيع الجغرافي للموظفين لا يراعى إلا في الحالات التي يتساوى فيها المترشحون من حيث الكفاءة. وقد كان من الخطأ منح الكفاءات والجنسية والتوزيع الجغرافي أهمية متساوية في تلك المرحلة المبكرة من العملية</w:t>
      </w:r>
      <w:r>
        <w:rPr>
          <w:rFonts w:ascii="Arabic Typesetting" w:hAnsi="Arabic Typesetting" w:cs="Arabic Typesetting" w:hint="cs"/>
          <w:sz w:val="36"/>
          <w:szCs w:val="36"/>
          <w:rtl/>
        </w:rPr>
        <w:t xml:space="preserve"> [...]."</w:t>
      </w:r>
    </w:p>
    <w:p w:rsidR="001B0226" w:rsidRDefault="001B0226" w:rsidP="001B0226">
      <w:pPr>
        <w:pStyle w:val="ListParagraph"/>
        <w:numPr>
          <w:ilvl w:val="0"/>
          <w:numId w:val="29"/>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الحكم رقم 3103 (2012) في الاعتبار 10:</w:t>
      </w:r>
    </w:p>
    <w:p w:rsidR="001B0226" w:rsidRPr="00974320" w:rsidRDefault="001B0226" w:rsidP="001B0226">
      <w:pPr>
        <w:bidi/>
        <w:spacing w:after="240" w:line="360" w:lineRule="exact"/>
        <w:ind w:left="1134"/>
        <w:rPr>
          <w:rFonts w:ascii="Arabic Typesetting" w:hAnsi="Arabic Typesetting" w:cs="Arabic Typesetting"/>
          <w:sz w:val="36"/>
          <w:szCs w:val="36"/>
        </w:rPr>
      </w:pPr>
      <w:r>
        <w:rPr>
          <w:rFonts w:ascii="Arabic Typesetting" w:hAnsi="Arabic Typesetting" w:cs="Arabic Typesetting" w:hint="cs"/>
          <w:sz w:val="36"/>
          <w:szCs w:val="36"/>
          <w:rtl/>
        </w:rPr>
        <w:t xml:space="preserve">"يتعين على المنظمة أن تتبع قواعدها الخاصة توخياً للمنافسة الشريفة، ومحاباتها نظراً لانقضاء فترة عقدها، أو جنسها، أو جنسيتها، تصرف مجحف إزاء جميع المترشحين الآخرين. وتشير المدعية في بلاغاتها مراراً وتكراراً إلى جنسها وجنسيتها باعتبارهما اعتبارين خاصين يبرران تلقيها معاملة على سبيل الأولوية كانت تنتظرها من جانب المنظمة. ويبدو أنها أساءت فهم الفكرة الكامنة وراء نظام الحصص. فلئن كان صحيحاً أن المنظمة تبذل جهوداً خاصة لاستقطاب النساء والموظفين من بلدان غير ممثلة بالقدر الكافي أو غير ممثلة إطلاقاً لتوظيف واستبقاء "موظف مختار على أساس جغرافي واسع، مع الإقرار كذلك بضرورة مراعاة اعتبارات الجنس والسن"، </w:t>
      </w:r>
      <w:r w:rsidRPr="00A810E2">
        <w:rPr>
          <w:rFonts w:ascii="Arabic Typesetting" w:hAnsi="Arabic Typesetting" w:cs="Arabic Typesetting" w:hint="cs"/>
          <w:sz w:val="36"/>
          <w:szCs w:val="36"/>
          <w:u w:val="single"/>
          <w:rtl/>
        </w:rPr>
        <w:t>فإنه يتعين عليها أن تراعي عوامل من قبيل</w:t>
      </w:r>
      <w:r>
        <w:rPr>
          <w:rFonts w:ascii="Arabic Typesetting" w:hAnsi="Arabic Typesetting" w:cs="Arabic Typesetting" w:hint="cs"/>
          <w:sz w:val="36"/>
          <w:szCs w:val="36"/>
          <w:rtl/>
        </w:rPr>
        <w:t xml:space="preserve"> السن والجنس </w:t>
      </w:r>
      <w:r w:rsidRPr="00887AA4">
        <w:rPr>
          <w:rFonts w:ascii="Arabic Typesetting" w:hAnsi="Arabic Typesetting" w:cs="Arabic Typesetting" w:hint="cs"/>
          <w:sz w:val="36"/>
          <w:szCs w:val="36"/>
          <w:u w:val="single"/>
          <w:rtl/>
        </w:rPr>
        <w:t xml:space="preserve">والجنسية </w:t>
      </w:r>
      <w:r w:rsidRPr="00887AA4">
        <w:rPr>
          <w:rFonts w:ascii="Arabic Typesetting" w:hAnsi="Arabic Typesetting" w:cs="Arabic Typesetting" w:hint="cs"/>
          <w:b/>
          <w:bCs/>
          <w:sz w:val="36"/>
          <w:szCs w:val="36"/>
          <w:u w:val="single"/>
          <w:rtl/>
        </w:rPr>
        <w:t>فقط عند البت في مسألة اختيار مرشح من بين مرشحين متساوين من حيث الكفاءة</w:t>
      </w:r>
      <w:r>
        <w:rPr>
          <w:rFonts w:ascii="Arabic Typesetting" w:hAnsi="Arabic Typesetting" w:cs="Arabic Typesetting" w:hint="cs"/>
          <w:sz w:val="36"/>
          <w:szCs w:val="36"/>
          <w:rtl/>
        </w:rPr>
        <w:t>."</w:t>
      </w:r>
    </w:p>
    <w:p w:rsidR="001B0226" w:rsidRDefault="001B0226" w:rsidP="001B0226">
      <w:pPr>
        <w:pStyle w:val="ListParagraph"/>
        <w:numPr>
          <w:ilvl w:val="0"/>
          <w:numId w:val="29"/>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الحكم رقم 1871 (1999) في الاعتبارين 9 و10:</w:t>
      </w:r>
    </w:p>
    <w:p w:rsidR="001B0226" w:rsidRDefault="001B0226" w:rsidP="001B0226">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"9.</w:t>
      </w:r>
      <w:r>
        <w:rPr>
          <w:rFonts w:ascii="Arabic Typesetting" w:hAnsi="Arabic Typesetting" w:cs="Arabic Typesetting" w:hint="cs"/>
          <w:sz w:val="36"/>
          <w:szCs w:val="36"/>
          <w:rtl/>
        </w:rPr>
        <w:tab/>
        <w:t>تلاحظ المحكمة أن المدير العام قد أولى أهمية كبرى لمبدأ التوزيع الجغرافي، مما أدى به إلى اختيار المرشح ذي الرتبة الثانية في القائمة التي أوصت بها لجنة الانتقاء لأن هذا المترشح كان من بلد "غير ممثل بالقدر الكافي"، بينما كان المدعي، صاحب الرتبة الأولى، من بلد "ممثل بالتساوي".</w:t>
      </w:r>
    </w:p>
    <w:p w:rsidR="001B0226" w:rsidRDefault="001B0226" w:rsidP="001B0226">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"10.</w:t>
      </w:r>
      <w:r>
        <w:rPr>
          <w:rFonts w:ascii="Arabic Typesetting" w:hAnsi="Arabic Typesetting" w:cs="Arabic Typesetting" w:hint="cs"/>
          <w:sz w:val="36"/>
          <w:szCs w:val="36"/>
          <w:rtl/>
        </w:rPr>
        <w:tab/>
        <w:t xml:space="preserve">ويُظهر تحليل الأحكام أعلاه ووقائع القضية أن المدير العام كان مخطئاً في تفسيره لتلك الأحكام. وينص دستور الفاو بوضوح على أن "أعلى معايير الفعالية والكفاءة التقنية" تحتل أهمية قصوى في تعيين الموظفين. ويتعين على لجنة الانتقاء أن توصي باختيار المرشح الذي تستجيب كفاءاته إلى أقرب حد ممكن لمتطلبات المنصب. </w:t>
      </w:r>
      <w:r w:rsidRPr="00810C78">
        <w:rPr>
          <w:rFonts w:ascii="Arabic Typesetting" w:hAnsi="Arabic Typesetting" w:cs="Arabic Typesetting" w:hint="cs"/>
          <w:sz w:val="36"/>
          <w:szCs w:val="36"/>
          <w:u w:val="single"/>
          <w:rtl/>
        </w:rPr>
        <w:t>لذا، فإن الكفاءات الأساسية المطلوبة هي المعيار ذو الأولوية. اما النظر إلى المعايير الأخرى، بما فيها</w:t>
      </w:r>
      <w:r>
        <w:rPr>
          <w:rFonts w:ascii="Arabic Typesetting" w:hAnsi="Arabic Typesetting" w:cs="Arabic Typesetting" w:hint="cs"/>
          <w:sz w:val="36"/>
          <w:szCs w:val="36"/>
          <w:rtl/>
        </w:rPr>
        <w:t xml:space="preserve"> أقدمية الخدمة </w:t>
      </w:r>
      <w:r w:rsidRPr="00810C78">
        <w:rPr>
          <w:rFonts w:ascii="Arabic Typesetting" w:hAnsi="Arabic Typesetting" w:cs="Arabic Typesetting" w:hint="cs"/>
          <w:sz w:val="36"/>
          <w:szCs w:val="36"/>
          <w:u w:val="single"/>
          <w:rtl/>
        </w:rPr>
        <w:t>والتوزيع الجغرافي، التي يبدو أنها ذات طابع تكميلي، فلا يُتَوخى إلا في الحالات التي يتساوى فيها عدة مرشحين من حيث الكفاءة</w:t>
      </w:r>
      <w:r>
        <w:rPr>
          <w:rFonts w:ascii="Arabic Typesetting" w:hAnsi="Arabic Typesetting" w:cs="Arabic Typesetting" w:hint="cs"/>
          <w:sz w:val="36"/>
          <w:szCs w:val="36"/>
          <w:rtl/>
        </w:rPr>
        <w:t>." [مُنح المدعي في هذه القضية مبلغ 000 100 دولار أمريكي تعويضاً عن الضرر الذي لحق به.]</w:t>
      </w:r>
    </w:p>
    <w:p w:rsidR="001B0226" w:rsidRPr="00B912F0" w:rsidRDefault="001B0226" w:rsidP="000B6969">
      <w:pPr>
        <w:pStyle w:val="NormalParaAR"/>
        <w:keepNext/>
        <w:keepLines/>
        <w:rPr>
          <w:b/>
          <w:bCs/>
          <w:i/>
          <w:iCs/>
          <w:rtl/>
          <w:lang w:val="fr-CH" w:bidi="ar-MA"/>
        </w:rPr>
      </w:pPr>
      <w:r w:rsidRPr="00B912F0">
        <w:rPr>
          <w:rFonts w:hint="cs"/>
          <w:b/>
          <w:bCs/>
          <w:i/>
          <w:iCs/>
          <w:rtl/>
          <w:lang w:val="fr-CH" w:bidi="ar-MA"/>
        </w:rPr>
        <w:lastRenderedPageBreak/>
        <w:t>العمل المزمع</w:t>
      </w:r>
    </w:p>
    <w:p w:rsidR="001B0226" w:rsidRPr="000D0696" w:rsidRDefault="001B0226" w:rsidP="001B0226">
      <w:pPr>
        <w:pStyle w:val="NormalParaAR"/>
        <w:numPr>
          <w:ilvl w:val="0"/>
          <w:numId w:val="28"/>
        </w:numPr>
        <w:ind w:left="0" w:firstLine="0"/>
      </w:pPr>
      <w:r>
        <w:rPr>
          <w:rFonts w:hint="cs"/>
          <w:rtl/>
          <w:lang w:val="fr-CH" w:bidi="ar-MA"/>
        </w:rPr>
        <w:t>سوف ينظم مزيد من المناقشات والاجتماعات التشاورية مع المجموعات الإقليمية في الفترة ما بين 2016 و2017 للبت في مسألة التوصية بالحيد عن مبادئ 1975 بشأن التوزيع الجغرافي أم لا، ومن ثم اقتراح صياغة سياسة رسمية أو نظام جديد بشأن التوزيع الجغرافي العادل في موظفي الويبو.</w:t>
      </w:r>
    </w:p>
    <w:p w:rsidR="001B0226" w:rsidRPr="000D0696" w:rsidRDefault="001B0226" w:rsidP="001B0226">
      <w:pPr>
        <w:pStyle w:val="NormalParaAR"/>
        <w:rPr>
          <w:b/>
          <w:bCs/>
          <w:i/>
          <w:iCs/>
          <w:lang w:val="fr-CH" w:bidi="ar-MA"/>
        </w:rPr>
      </w:pPr>
      <w:r w:rsidRPr="000D0696">
        <w:rPr>
          <w:rFonts w:hint="cs"/>
          <w:b/>
          <w:bCs/>
          <w:i/>
          <w:iCs/>
          <w:rtl/>
          <w:lang w:val="fr-CH" w:bidi="ar-MA"/>
        </w:rPr>
        <w:t xml:space="preserve">الدراسات </w:t>
      </w:r>
      <w:r>
        <w:rPr>
          <w:rFonts w:hint="cs"/>
          <w:b/>
          <w:bCs/>
          <w:i/>
          <w:iCs/>
          <w:rtl/>
          <w:lang w:val="fr-CH" w:bidi="ar-MA"/>
        </w:rPr>
        <w:t>المزمعة</w:t>
      </w:r>
    </w:p>
    <w:p w:rsidR="001B0226" w:rsidRDefault="001B0226" w:rsidP="001B0226">
      <w:pPr>
        <w:pStyle w:val="NormalParaAR"/>
        <w:numPr>
          <w:ilvl w:val="0"/>
          <w:numId w:val="28"/>
        </w:numPr>
        <w:ind w:left="0" w:firstLine="0"/>
      </w:pPr>
      <w:r>
        <w:rPr>
          <w:rFonts w:hint="cs"/>
          <w:rtl/>
        </w:rPr>
        <w:t>قد تجري الأمانة الدراسات التالية في حال اعتماد المبادئ ذات الصلة:</w:t>
      </w:r>
    </w:p>
    <w:p w:rsidR="001B0226" w:rsidRDefault="001B0226" w:rsidP="001B0226">
      <w:pPr>
        <w:pStyle w:val="NormalParaAR"/>
        <w:numPr>
          <w:ilvl w:val="0"/>
          <w:numId w:val="29"/>
        </w:numPr>
      </w:pPr>
      <w:r>
        <w:rPr>
          <w:rFonts w:hint="cs"/>
          <w:rtl/>
        </w:rPr>
        <w:t>دراسة بشأن ممارسة الاختيار المباشر لتغطية مناصب المستوى الكبير والمناصب القائمة على المشاريع على النحو الوارد في الفقرة 9(د)؛</w:t>
      </w:r>
    </w:p>
    <w:p w:rsidR="001B0226" w:rsidRDefault="001B0226" w:rsidP="001B0226">
      <w:pPr>
        <w:pStyle w:val="NormalParaAR"/>
        <w:numPr>
          <w:ilvl w:val="0"/>
          <w:numId w:val="29"/>
        </w:numPr>
      </w:pPr>
      <w:r>
        <w:rPr>
          <w:rFonts w:hint="cs"/>
          <w:rtl/>
        </w:rPr>
        <w:t>دراسة بشأن نظام ترجيح المناصب في الويبو على النحو المنصوص عليه في الفقرة 11(ب)؛</w:t>
      </w:r>
    </w:p>
    <w:p w:rsidR="001B0226" w:rsidRDefault="001B0226" w:rsidP="001B0226">
      <w:pPr>
        <w:pStyle w:val="NormalParaAR"/>
        <w:numPr>
          <w:ilvl w:val="0"/>
          <w:numId w:val="29"/>
        </w:numPr>
      </w:pPr>
      <w:r>
        <w:rPr>
          <w:rFonts w:hint="cs"/>
          <w:rtl/>
        </w:rPr>
        <w:t>دراسة بشأن غير الموظفين المستقدَمين بموجب عقد فردي للخدمات التعاقدية على النحو الوارد في الفقرة 11(و).</w:t>
      </w:r>
    </w:p>
    <w:p w:rsidR="001B0226" w:rsidRPr="004C47D7" w:rsidRDefault="001B0226" w:rsidP="001B0226">
      <w:pPr>
        <w:pStyle w:val="NormalParaAR"/>
        <w:rPr>
          <w:b/>
          <w:bCs/>
          <w:i/>
          <w:iCs/>
        </w:rPr>
      </w:pPr>
      <w:r w:rsidRPr="004C47D7">
        <w:rPr>
          <w:rFonts w:hint="cs"/>
          <w:b/>
          <w:bCs/>
          <w:i/>
          <w:iCs/>
          <w:rtl/>
        </w:rPr>
        <w:t>التوصيات التمهيدية</w:t>
      </w:r>
    </w:p>
    <w:p w:rsidR="001B0226" w:rsidRDefault="001B0226" w:rsidP="001B0226">
      <w:pPr>
        <w:pStyle w:val="NormalParaAR"/>
        <w:numPr>
          <w:ilvl w:val="0"/>
          <w:numId w:val="28"/>
        </w:numPr>
        <w:ind w:left="0" w:firstLine="0"/>
      </w:pPr>
      <w:r>
        <w:rPr>
          <w:rFonts w:hint="cs"/>
          <w:rtl/>
        </w:rPr>
        <w:t>ظهر في هذه المرحلة من المشاورات توافق واضح في الآراء بين المجموعات الإقليمية في دعم استمرار الجهود الحالية التي تبذلها الأمانة والمبادرات الرامية إلى تحسين التوزيع الجغرافي.</w:t>
      </w:r>
    </w:p>
    <w:p w:rsidR="001B0226" w:rsidRDefault="001B0226" w:rsidP="001B0226">
      <w:pPr>
        <w:pStyle w:val="NormalParaAR"/>
        <w:numPr>
          <w:ilvl w:val="0"/>
          <w:numId w:val="28"/>
        </w:numPr>
        <w:ind w:left="0" w:firstLine="0"/>
        <w:rPr>
          <w:rtl/>
        </w:rPr>
      </w:pPr>
      <w:r>
        <w:rPr>
          <w:rFonts w:hint="cs"/>
          <w:rtl/>
        </w:rPr>
        <w:t>وبالإضافة إلى ذلك، على النحو المبين أدناه، تتماشي خطوات تطبيقية معينة مستمدة أو مستلهَمة من الاقتراحات التي طرحتها مختلف المجموعات الإقليمية السياسية مع هذا الدعم المعرب عنه، ومن ثم فهي مقترحة لتؤيدها لجنة التنسيق التابعة للويبو شريطة أن يكون تنفيذها محايداً من حيث الميزانية. وتنطوي إحدى التوصيات (الفقرة 17(أ) أدناه) على الالتزام في المشاركة من جانب الدول الأعضاء المعنية، إذ يصعب إحراز التقدم في غيابه.</w:t>
      </w:r>
    </w:p>
    <w:p w:rsidR="001B0226" w:rsidRDefault="001B0226" w:rsidP="001B0226">
      <w:pPr>
        <w:pStyle w:val="NormalParaAR"/>
        <w:ind w:left="567"/>
      </w:pPr>
      <w:r>
        <w:rPr>
          <w:rFonts w:hint="cs"/>
          <w:rtl/>
        </w:rPr>
        <w:t>(أ)</w:t>
      </w:r>
      <w:r>
        <w:rPr>
          <w:rFonts w:hint="cs"/>
          <w:rtl/>
        </w:rPr>
        <w:tab/>
        <w:t>يمكن توسيع نطاق أنشطة الأمانة ليغطي في نهاية المطاف، على سبيل الأولوية، الدول الأعضاء غير الممثلة. وستعمل الأمانة مع الدولة العضو (الدول الأعضاء) التي تقدم جميع المساهمات الضرورية والتي ستلتزم. ولهذا الغرض، يتعين على الدول العضو أن تعين منسقاً (يتمتع بالقدر الكافي من الأقدمية ليشارك ويلتزم) للتعاون على نحو وثيق مع الأمانة، على سبيل المثال: "1" في تحديد المنصات الدعائية الوطنية الملائمة لوظائف الويبو، "2" وترتيب أو تنظيم أو استضافة منتديات للحملات الإعلامية لوظائف الويبو (على سبيل المثال، مع الجامعات والمجموعات المهنية، وما إلى ذلك)، "3" وإنشاء برنامج لدعم المرشحين المحتملين المناسبين (في شكل إرشادات بخصوص عملية التوظيف في الويبو، والتدريب على كتابة الطلبات، وإجراء المقابلات). ويُشجَّع بذل جهود مماثلة وابتكارية للتوعية، حسبما قد ترتئيه الأمانة والدولة العضو المعنية.</w:t>
      </w:r>
    </w:p>
    <w:p w:rsidR="001B0226" w:rsidRDefault="001B0226" w:rsidP="001B0226">
      <w:pPr>
        <w:pStyle w:val="NormalParaAR"/>
        <w:ind w:left="567"/>
      </w:pPr>
      <w:r>
        <w:rPr>
          <w:rFonts w:hint="cs"/>
          <w:rtl/>
        </w:rPr>
        <w:t>(ب)</w:t>
      </w:r>
      <w:r>
        <w:rPr>
          <w:rFonts w:hint="cs"/>
          <w:rtl/>
        </w:rPr>
        <w:tab/>
        <w:t>وفي إعلانات الشواغر الخاصة بالمناصب رهناً بالتوزيع الجغرافي (المحبذ بالنسبة لجميع المناصب الأخرى في الويبو)، ينبغي للأمانة أن تدرج بصفة منهجية جزءاً يتعلق "بالتنوع" يتمحور حوله هدفا المنظمة المتمثلان في التوازن بين الجنسين والتوزيع الجغرافي العادل. وفي الوقت الحالي، فإن الإشارة الوحيدة للتنوع في إعلانات الشواغر بالويبو هي الجملة الآتية: "</w:t>
      </w:r>
      <w:r w:rsidRPr="00790CE3">
        <w:rPr>
          <w:rtl/>
        </w:rPr>
        <w:t>يشجّع المرشحات ال</w:t>
      </w:r>
      <w:r>
        <w:rPr>
          <w:rtl/>
        </w:rPr>
        <w:t>مؤهلات على التقدّم لهذه المناصب</w:t>
      </w:r>
      <w:r>
        <w:rPr>
          <w:rFonts w:hint="cs"/>
          <w:rtl/>
        </w:rPr>
        <w:t xml:space="preserve">." وقد حان الوقت لتشكل المقاييس الرئيسية للتنوع التنظيمي، أي الجنس والجنسية، جزءاً لا يتجزأ من المعلومات المنقولة إلى المرشحين المحتملين. ويمكن أن يشمل </w:t>
      </w:r>
      <w:r>
        <w:rPr>
          <w:rFonts w:hint="cs"/>
          <w:rtl/>
        </w:rPr>
        <w:lastRenderedPageBreak/>
        <w:t xml:space="preserve">الجزء المقترح بشأن التنوع الجملة التالية: </w:t>
      </w:r>
      <w:r w:rsidRPr="001821B3">
        <w:rPr>
          <w:rFonts w:hint="cs"/>
          <w:i/>
          <w:iCs/>
          <w:rtl/>
        </w:rPr>
        <w:t xml:space="preserve">"تشجع طلبات الترشيح المقدمة من النساء المؤهلات ومن المواطنين المؤهلين للدول الأعضاء في الويبو غير الممثلة والأقاليم الجغرافية غير الممثلة بالقدر الكافي. وللاطلاع على قائمة بتلك الدول الأعضاء غير الممثلة والأقاليم غير الممثلة بالقدر الكافي، يرجى </w:t>
      </w:r>
      <w:r w:rsidRPr="001821B3">
        <w:rPr>
          <w:rFonts w:eastAsiaTheme="minorHAnsi"/>
          <w:i/>
          <w:iCs/>
          <w:color w:val="0606BC"/>
          <w:u w:val="single"/>
          <w:rtl/>
        </w:rPr>
        <w:t>النقر هنا</w:t>
      </w:r>
      <w:r>
        <w:rPr>
          <w:rFonts w:hint="cs"/>
          <w:rtl/>
        </w:rPr>
        <w:t>." [ينبغي إتاحة وصلة بالصفحة على الموقع الشبكي للويبو، حيث ينبغي إتاحة تلك القوائم وتحديثها بانتظام من جانب الأمانة.]</w:t>
      </w:r>
    </w:p>
    <w:p w:rsidR="001B0226" w:rsidRDefault="001B0226" w:rsidP="001B0226">
      <w:pPr>
        <w:pStyle w:val="NormalParaAR"/>
        <w:numPr>
          <w:ilvl w:val="0"/>
          <w:numId w:val="28"/>
        </w:numPr>
        <w:ind w:left="0" w:firstLine="0"/>
        <w:rPr>
          <w:rtl/>
        </w:rPr>
      </w:pPr>
      <w:r>
        <w:rPr>
          <w:rFonts w:hint="cs"/>
          <w:rtl/>
        </w:rPr>
        <w:t>واقترح الرئيس أن تقوم المجموعات الإقليمية في الاجتماعات اللاحقة بزيادة مناقشة وبحث الملاحظات والاقتراحات الأخرى التي طرحتها المجموعات الإقليمية في مساهماتها، رهناً بموافقة لجنة التنسيق التابعة للويبو على مواصلة مزيد من اجتماعات المشاورة من أجل صياغة سياسة جديدة أو إنشاء نظام جديد للتوزيع الجغرافي إن اتفق على الحيد عن مبادئ 1975.</w:t>
      </w:r>
    </w:p>
    <w:p w:rsidR="001B0226" w:rsidRPr="00E10461" w:rsidRDefault="001B0226" w:rsidP="001B0226">
      <w:pPr>
        <w:pStyle w:val="DecisionParaAR"/>
        <w:numPr>
          <w:ilvl w:val="0"/>
          <w:numId w:val="0"/>
        </w:numPr>
        <w:ind w:left="5534"/>
        <w:rPr>
          <w:rtl/>
        </w:rPr>
      </w:pPr>
      <w:r w:rsidRPr="00E10461">
        <w:rPr>
          <w:rFonts w:hint="cs"/>
          <w:rtl/>
        </w:rPr>
        <w:t>19.</w:t>
      </w:r>
      <w:r w:rsidRPr="00E10461">
        <w:rPr>
          <w:rFonts w:hint="cs"/>
          <w:rtl/>
        </w:rPr>
        <w:tab/>
        <w:t>إن لجنة التنسيق التابعة للويبو مدعوة إلى:</w:t>
      </w:r>
    </w:p>
    <w:p w:rsidR="001B0226" w:rsidRPr="00E10461" w:rsidRDefault="001B0226" w:rsidP="001B0226">
      <w:pPr>
        <w:pStyle w:val="DecisionParaAR"/>
        <w:numPr>
          <w:ilvl w:val="0"/>
          <w:numId w:val="0"/>
        </w:numPr>
        <w:ind w:left="6101" w:hanging="567"/>
        <w:rPr>
          <w:rtl/>
        </w:rPr>
      </w:pPr>
      <w:r w:rsidRPr="00E10461">
        <w:rPr>
          <w:rFonts w:hint="cs"/>
          <w:rtl/>
        </w:rPr>
        <w:tab/>
      </w:r>
      <w:r w:rsidRPr="00E10461">
        <w:rPr>
          <w:rFonts w:hint="cs"/>
          <w:rtl/>
        </w:rPr>
        <w:tab/>
        <w:t>"1" الإحاطة علماً "بالتقرير عن التوزيع الجغرافي</w:t>
      </w:r>
      <w:r>
        <w:rPr>
          <w:rFonts w:hint="cs"/>
          <w:rtl/>
        </w:rPr>
        <w:t>"</w:t>
      </w:r>
      <w:r w:rsidRPr="00E10461">
        <w:rPr>
          <w:rFonts w:hint="cs"/>
          <w:rtl/>
        </w:rPr>
        <w:t xml:space="preserve"> (الوثيقة </w:t>
      </w:r>
      <w:r w:rsidRPr="002929D1">
        <w:rPr>
          <w:sz w:val="32"/>
          <w:szCs w:val="32"/>
        </w:rPr>
        <w:t>WO/CC/73/5</w:t>
      </w:r>
      <w:r w:rsidRPr="00E10461">
        <w:rPr>
          <w:rFonts w:hint="cs"/>
          <w:rtl/>
        </w:rPr>
        <w:t>)؛</w:t>
      </w:r>
    </w:p>
    <w:p w:rsidR="001B0226" w:rsidRPr="00E10461" w:rsidRDefault="001B0226" w:rsidP="001B0226">
      <w:pPr>
        <w:pStyle w:val="DecisionParaAR"/>
        <w:numPr>
          <w:ilvl w:val="0"/>
          <w:numId w:val="0"/>
        </w:numPr>
        <w:ind w:left="6101" w:hanging="567"/>
        <w:rPr>
          <w:rtl/>
        </w:rPr>
      </w:pPr>
      <w:r w:rsidRPr="00E10461">
        <w:rPr>
          <w:rFonts w:hint="cs"/>
          <w:rtl/>
        </w:rPr>
        <w:tab/>
      </w:r>
      <w:r w:rsidRPr="00E10461">
        <w:rPr>
          <w:rFonts w:hint="cs"/>
          <w:rtl/>
        </w:rPr>
        <w:tab/>
        <w:t>"2" تأييد التوصيات التمهيدية المنصوص عليها في الفقرتين 17 و18 من نفس الوثيقة.</w:t>
      </w:r>
    </w:p>
    <w:p w:rsidR="001B0226" w:rsidRDefault="001B0226" w:rsidP="001B0226">
      <w:pPr>
        <w:pStyle w:val="DecisionParaAR"/>
        <w:numPr>
          <w:ilvl w:val="0"/>
          <w:numId w:val="0"/>
        </w:numPr>
        <w:ind w:left="6101" w:hanging="567"/>
        <w:rPr>
          <w:i w:val="0"/>
          <w:iCs w:val="0"/>
          <w:rtl/>
        </w:rPr>
      </w:pPr>
    </w:p>
    <w:p w:rsidR="001B0226" w:rsidRPr="00E10461" w:rsidRDefault="001B0226" w:rsidP="001B0226">
      <w:pPr>
        <w:pStyle w:val="DecisionParaAR"/>
        <w:numPr>
          <w:ilvl w:val="0"/>
          <w:numId w:val="0"/>
        </w:numPr>
        <w:ind w:left="6101" w:hanging="567"/>
        <w:rPr>
          <w:i w:val="0"/>
          <w:iCs w:val="0"/>
          <w:rtl/>
        </w:rPr>
      </w:pPr>
      <w:r>
        <w:rPr>
          <w:rFonts w:hint="cs"/>
          <w:i w:val="0"/>
          <w:iCs w:val="0"/>
          <w:rtl/>
        </w:rPr>
        <w:t>[نهاية الوثيقة]</w:t>
      </w:r>
    </w:p>
    <w:p w:rsidR="001B0226" w:rsidRDefault="001B0226" w:rsidP="001B0226">
      <w:pPr>
        <w:pStyle w:val="NormalParaAR"/>
        <w:rPr>
          <w:rtl/>
        </w:rPr>
      </w:pPr>
    </w:p>
    <w:p w:rsidR="001B0226" w:rsidRPr="007F38D1" w:rsidRDefault="001B0226" w:rsidP="001B0226">
      <w:pPr>
        <w:pStyle w:val="NormalParaAR"/>
      </w:pPr>
    </w:p>
    <w:p w:rsidR="001B0226" w:rsidRPr="00241843" w:rsidRDefault="001B0226" w:rsidP="001B0226">
      <w:pPr>
        <w:pStyle w:val="NumberedParaAR"/>
        <w:numPr>
          <w:ilvl w:val="0"/>
          <w:numId w:val="0"/>
        </w:numPr>
        <w:rPr>
          <w:rtl/>
          <w:lang w:bidi="ar"/>
        </w:rPr>
      </w:pPr>
    </w:p>
    <w:sectPr w:rsidR="001B0226" w:rsidRPr="00241843"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BB" w:rsidRDefault="00D43ABB">
      <w:r>
        <w:separator/>
      </w:r>
    </w:p>
  </w:endnote>
  <w:endnote w:type="continuationSeparator" w:id="0">
    <w:p w:rsidR="00D43ABB" w:rsidRDefault="00D4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BB" w:rsidRDefault="00D43ABB" w:rsidP="009622BF">
      <w:pPr>
        <w:bidi/>
      </w:pPr>
      <w:bookmarkStart w:id="0" w:name="OLE_LINK1"/>
      <w:bookmarkStart w:id="1" w:name="OLE_LINK2"/>
      <w:r>
        <w:separator/>
      </w:r>
      <w:bookmarkEnd w:id="0"/>
      <w:bookmarkEnd w:id="1"/>
    </w:p>
  </w:footnote>
  <w:footnote w:type="continuationSeparator" w:id="0">
    <w:p w:rsidR="00D43ABB" w:rsidRDefault="00D43ABB" w:rsidP="009622BF">
      <w:pPr>
        <w:bidi/>
      </w:pPr>
      <w:r>
        <w:separator/>
      </w:r>
    </w:p>
  </w:footnote>
  <w:footnote w:id="1">
    <w:p w:rsidR="00D43ABB" w:rsidRDefault="00D43ABB" w:rsidP="00B27576">
      <w:pPr>
        <w:pStyle w:val="FootnoteText"/>
        <w:rPr>
          <w:rtl/>
          <w:lang w:bidi="ar"/>
        </w:rPr>
      </w:pPr>
      <w:r>
        <w:rPr>
          <w:rStyle w:val="FootnoteReference"/>
        </w:rPr>
        <w:footnoteRef/>
      </w:r>
      <w:r>
        <w:rPr>
          <w:rFonts w:hint="cs"/>
          <w:rtl/>
        </w:rPr>
        <w:tab/>
        <w:t xml:space="preserve">ترد </w:t>
      </w:r>
      <w:r w:rsidRPr="003C7AF7">
        <w:rPr>
          <w:rFonts w:hint="cs"/>
          <w:rtl/>
          <w:lang w:bidi="ar"/>
        </w:rPr>
        <w:t>ب</w:t>
      </w:r>
      <w:r>
        <w:rPr>
          <w:rFonts w:hint="cs"/>
          <w:rtl/>
          <w:lang w:bidi="ar"/>
        </w:rPr>
        <w:t>يانات التوزيع الجغرافي</w:t>
      </w:r>
      <w:r w:rsidRPr="003C7AF7">
        <w:rPr>
          <w:rFonts w:hint="cs"/>
          <w:rtl/>
          <w:lang w:bidi="ar"/>
        </w:rPr>
        <w:t xml:space="preserve"> </w:t>
      </w:r>
      <w:r>
        <w:rPr>
          <w:rFonts w:hint="cs"/>
          <w:rtl/>
          <w:lang w:bidi="ar"/>
        </w:rPr>
        <w:t>للمناصب الصادرة في يونيو</w:t>
      </w:r>
      <w:r w:rsidRPr="003C7AF7">
        <w:rPr>
          <w:rFonts w:hint="cs"/>
          <w:rtl/>
          <w:lang w:bidi="ar"/>
        </w:rPr>
        <w:t xml:space="preserve"> </w:t>
      </w:r>
      <w:r>
        <w:rPr>
          <w:rFonts w:hint="cs"/>
          <w:rtl/>
          <w:lang w:bidi="ar"/>
        </w:rPr>
        <w:t>2014 ويونيو 2015 ويونيو 2016 في</w:t>
      </w:r>
      <w:r w:rsidRPr="003C7AF7">
        <w:rPr>
          <w:rFonts w:hint="cs"/>
          <w:rtl/>
          <w:lang w:bidi="ar"/>
        </w:rPr>
        <w:t xml:space="preserve"> </w:t>
      </w:r>
      <w:r>
        <w:rPr>
          <w:rFonts w:hint="cs"/>
          <w:rtl/>
          <w:lang w:bidi="ar"/>
        </w:rPr>
        <w:t>المرفق</w:t>
      </w:r>
      <w:r w:rsidRPr="003C7AF7">
        <w:rPr>
          <w:rFonts w:hint="cs"/>
          <w:rtl/>
          <w:lang w:bidi="ar"/>
        </w:rPr>
        <w:t xml:space="preserve"> الثاني من التقرير ا</w:t>
      </w:r>
      <w:r>
        <w:rPr>
          <w:rFonts w:hint="cs"/>
          <w:rtl/>
          <w:lang w:bidi="ar"/>
        </w:rPr>
        <w:t>لسنوي عن الموارد البشرية لل</w:t>
      </w:r>
      <w:r w:rsidRPr="003C7AF7">
        <w:rPr>
          <w:rFonts w:hint="cs"/>
          <w:rtl/>
          <w:lang w:bidi="ar"/>
        </w:rPr>
        <w:t xml:space="preserve">فترات ذات الصلة. </w:t>
      </w:r>
      <w:r>
        <w:rPr>
          <w:rFonts w:hint="cs"/>
          <w:rtl/>
          <w:lang w:bidi="ar"/>
        </w:rPr>
        <w:t>وتتاح</w:t>
      </w:r>
      <w:r w:rsidRPr="003C7AF7">
        <w:rPr>
          <w:rFonts w:hint="cs"/>
          <w:rtl/>
          <w:lang w:bidi="ar"/>
        </w:rPr>
        <w:t xml:space="preserve"> </w:t>
      </w:r>
      <w:r>
        <w:rPr>
          <w:rFonts w:hint="cs"/>
          <w:rtl/>
          <w:lang w:bidi="ar"/>
        </w:rPr>
        <w:t>التقارير على موقع الويبو</w:t>
      </w:r>
      <w:r w:rsidRPr="003C7AF7">
        <w:rPr>
          <w:rFonts w:hint="cs"/>
          <w:rtl/>
          <w:lang w:bidi="ar"/>
        </w:rPr>
        <w:t xml:space="preserve"> </w:t>
      </w:r>
      <w:r>
        <w:rPr>
          <w:rFonts w:hint="cs"/>
          <w:rtl/>
          <w:lang w:bidi="ar"/>
        </w:rPr>
        <w:t xml:space="preserve">ضمن </w:t>
      </w:r>
      <w:r w:rsidRPr="003C7AF7">
        <w:rPr>
          <w:rFonts w:hint="cs"/>
          <w:rtl/>
          <w:lang w:bidi="ar"/>
        </w:rPr>
        <w:t>وثائق الدورة السنوية للجنة الويبو للتنسيق</w:t>
      </w:r>
      <w:r>
        <w:rPr>
          <w:rFonts w:hint="cs"/>
          <w:rtl/>
          <w:lang w:bidi="ar"/>
        </w:rPr>
        <w:t>، على الرابط</w:t>
      </w:r>
      <w:r w:rsidRPr="003C7AF7">
        <w:rPr>
          <w:rFonts w:hint="cs"/>
          <w:rtl/>
          <w:lang w:bidi="ar"/>
        </w:rPr>
        <w:t>:</w:t>
      </w:r>
    </w:p>
    <w:p w:rsidR="00D43ABB" w:rsidRDefault="005C7473" w:rsidP="00B27576">
      <w:pPr>
        <w:pStyle w:val="FootnoteText"/>
      </w:pPr>
      <w:hyperlink r:id="rId1" w:history="1">
        <w:r w:rsidR="00D43ABB" w:rsidRPr="00DA3BB8">
          <w:rPr>
            <w:rStyle w:val="Hyperlink"/>
          </w:rPr>
          <w:t>http://www.wipo.int/meetings/en/topic.jsp?group_id=104</w:t>
        </w:r>
      </w:hyperlink>
    </w:p>
  </w:footnote>
  <w:footnote w:id="2">
    <w:p w:rsidR="00D43ABB" w:rsidRDefault="00D43ABB" w:rsidP="002F4B9F">
      <w:pPr>
        <w:pStyle w:val="FootnoteText"/>
      </w:pPr>
      <w:r>
        <w:rPr>
          <w:rStyle w:val="FootnoteReference"/>
        </w:rPr>
        <w:footnoteRef/>
      </w:r>
      <w:r>
        <w:rPr>
          <w:rFonts w:hint="cs"/>
          <w:rtl/>
        </w:rPr>
        <w:tab/>
      </w:r>
      <w:r>
        <w:rPr>
          <w:rFonts w:hint="cs"/>
          <w:rtl/>
          <w:lang w:bidi="ar"/>
        </w:rPr>
        <w:t xml:space="preserve">رغم أن معظم وظائف الفاحصين </w:t>
      </w:r>
      <w:r w:rsidRPr="002F4B9F">
        <w:rPr>
          <w:rFonts w:hint="cs"/>
          <w:rtl/>
          <w:lang w:bidi="ar"/>
        </w:rPr>
        <w:t>تنتمي إلى ف</w:t>
      </w:r>
      <w:r>
        <w:rPr>
          <w:rFonts w:hint="cs"/>
          <w:rtl/>
          <w:lang w:bidi="ar"/>
        </w:rPr>
        <w:t>ئة الخدمات العامة (ولذلك فهي مستثناة من التوزيع الجغرافي)، تندرج وظائف</w:t>
      </w:r>
      <w:r w:rsidRPr="002F4B9F">
        <w:rPr>
          <w:rFonts w:hint="cs"/>
          <w:rtl/>
          <w:lang w:bidi="ar"/>
        </w:rPr>
        <w:t xml:space="preserve"> </w:t>
      </w:r>
      <w:r>
        <w:rPr>
          <w:rFonts w:hint="cs"/>
          <w:rtl/>
          <w:lang w:bidi="ar"/>
        </w:rPr>
        <w:t>كبار الفاحصين</w:t>
      </w:r>
      <w:r w:rsidRPr="002F4B9F">
        <w:rPr>
          <w:rFonts w:hint="cs"/>
          <w:rtl/>
          <w:lang w:bidi="ar"/>
        </w:rPr>
        <w:t xml:space="preserve"> </w:t>
      </w:r>
      <w:r>
        <w:rPr>
          <w:rFonts w:hint="cs"/>
          <w:rtl/>
          <w:lang w:bidi="ar"/>
        </w:rPr>
        <w:t xml:space="preserve">ضمن </w:t>
      </w:r>
      <w:r w:rsidRPr="002F4B9F">
        <w:rPr>
          <w:rFonts w:hint="cs"/>
          <w:rtl/>
          <w:lang w:bidi="ar"/>
        </w:rPr>
        <w:t>الفئة الفنية</w:t>
      </w:r>
      <w:r>
        <w:rPr>
          <w:rFonts w:hint="cs"/>
          <w:rtl/>
          <w:lang w:bidi="ar"/>
        </w:rPr>
        <w:t>.</w:t>
      </w:r>
    </w:p>
  </w:footnote>
  <w:footnote w:id="3">
    <w:p w:rsidR="00D757F3" w:rsidRDefault="00D757F3">
      <w:pPr>
        <w:pStyle w:val="FootnoteText"/>
      </w:pPr>
      <w:r>
        <w:rPr>
          <w:rStyle w:val="FootnoteReference"/>
        </w:rPr>
        <w:footnoteRef/>
      </w:r>
      <w:r>
        <w:rPr>
          <w:rFonts w:hint="cs"/>
          <w:rtl/>
        </w:rPr>
        <w:tab/>
        <w:t>"</w:t>
      </w:r>
      <w:r w:rsidRPr="00D757F3">
        <w:rPr>
          <w:rtl/>
        </w:rPr>
        <w:t>است</w:t>
      </w:r>
      <w:r>
        <w:rPr>
          <w:rtl/>
        </w:rPr>
        <w:t>عراض الإدارة والتسيير في الويبو</w:t>
      </w:r>
      <w:r>
        <w:rPr>
          <w:rFonts w:hint="cs"/>
          <w:rtl/>
        </w:rPr>
        <w:t>:</w:t>
      </w:r>
      <w:r w:rsidRPr="00D757F3">
        <w:rPr>
          <w:rtl/>
        </w:rPr>
        <w:t xml:space="preserve"> الميزانية والرقابة وغيرهما</w:t>
      </w:r>
      <w:r w:rsidR="00B35283">
        <w:rPr>
          <w:rFonts w:hint="cs"/>
          <w:rtl/>
        </w:rPr>
        <w:t xml:space="preserve">"، الوثيقة </w:t>
      </w:r>
      <w:r w:rsidRPr="00D757F3">
        <w:t>JIU/REP/2005/1</w:t>
      </w:r>
      <w:r w:rsidR="00B3528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BB" w:rsidRDefault="00D43ABB" w:rsidP="00481861">
    <w:r>
      <w:t>WO/CC/73/5</w:t>
    </w:r>
  </w:p>
  <w:p w:rsidR="00D43ABB" w:rsidRDefault="00D43ABB" w:rsidP="00D61541">
    <w:r>
      <w:fldChar w:fldCharType="begin"/>
    </w:r>
    <w:r>
      <w:instrText xml:space="preserve"> PAGE  \* MERGEFORMAT </w:instrText>
    </w:r>
    <w:r>
      <w:fldChar w:fldCharType="separate"/>
    </w:r>
    <w:r w:rsidR="005C7473">
      <w:rPr>
        <w:noProof/>
      </w:rPr>
      <w:t>10</w:t>
    </w:r>
    <w:r>
      <w:fldChar w:fldCharType="end"/>
    </w:r>
  </w:p>
  <w:p w:rsidR="00D43ABB" w:rsidRDefault="00D43AB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D36091E"/>
    <w:multiLevelType w:val="hybridMultilevel"/>
    <w:tmpl w:val="CEBC98BC"/>
    <w:lvl w:ilvl="0" w:tplc="025CBB9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F8136C"/>
    <w:multiLevelType w:val="hybridMultilevel"/>
    <w:tmpl w:val="E02CBD36"/>
    <w:lvl w:ilvl="0" w:tplc="AAAE6D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EF5EA24E"/>
    <w:lvl w:ilvl="0" w:tplc="3244AC1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DA1BA5"/>
    <w:multiLevelType w:val="hybridMultilevel"/>
    <w:tmpl w:val="3AF8A26E"/>
    <w:lvl w:ilvl="0" w:tplc="02FE31A8">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D367F"/>
    <w:multiLevelType w:val="hybridMultilevel"/>
    <w:tmpl w:val="1122A618"/>
    <w:lvl w:ilvl="0" w:tplc="2BDAA8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2130C"/>
    <w:multiLevelType w:val="hybridMultilevel"/>
    <w:tmpl w:val="0C463AFC"/>
    <w:lvl w:ilvl="0" w:tplc="8EB4F4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EF7771C"/>
    <w:multiLevelType w:val="hybridMultilevel"/>
    <w:tmpl w:val="C1148FBA"/>
    <w:lvl w:ilvl="0" w:tplc="08070001">
      <w:start w:val="1"/>
      <w:numFmt w:val="bullet"/>
      <w:lvlText w:val=""/>
      <w:lvlJc w:val="left"/>
      <w:pPr>
        <w:ind w:left="927" w:hanging="360"/>
      </w:pPr>
      <w:rPr>
        <w:rFonts w:ascii="Symbol" w:hAnsi="Symbol" w:hint="default"/>
        <w:sz w:val="22"/>
        <w:szCs w:val="22"/>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241057"/>
    <w:multiLevelType w:val="hybridMultilevel"/>
    <w:tmpl w:val="2B1E8D2A"/>
    <w:lvl w:ilvl="0" w:tplc="08070001">
      <w:start w:val="1"/>
      <w:numFmt w:val="bullet"/>
      <w:lvlText w:val=""/>
      <w:lvlJc w:val="left"/>
      <w:pPr>
        <w:ind w:left="1853" w:hanging="360"/>
      </w:pPr>
      <w:rPr>
        <w:rFonts w:ascii="Symbol" w:hAnsi="Symbol"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5D00234"/>
    <w:multiLevelType w:val="hybridMultilevel"/>
    <w:tmpl w:val="DE5ADC7C"/>
    <w:lvl w:ilvl="0" w:tplc="1F9020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E635BD"/>
    <w:multiLevelType w:val="hybridMultilevel"/>
    <w:tmpl w:val="C98EF0D4"/>
    <w:lvl w:ilvl="0" w:tplc="08070001">
      <w:start w:val="1"/>
      <w:numFmt w:val="bullet"/>
      <w:lvlText w:val=""/>
      <w:lvlJc w:val="left"/>
      <w:pPr>
        <w:ind w:left="1286" w:hanging="360"/>
      </w:pPr>
      <w:rPr>
        <w:rFonts w:ascii="Symbol" w:hAnsi="Symbol" w:hint="default"/>
        <w:sz w:val="22"/>
        <w:szCs w:val="22"/>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6"/>
  </w:num>
  <w:num w:numId="3">
    <w:abstractNumId w:val="12"/>
  </w:num>
  <w:num w:numId="4">
    <w:abstractNumId w:val="24"/>
  </w:num>
  <w:num w:numId="5">
    <w:abstractNumId w:val="8"/>
  </w:num>
  <w:num w:numId="6">
    <w:abstractNumId w:val="27"/>
  </w:num>
  <w:num w:numId="7">
    <w:abstractNumId w:val="15"/>
  </w:num>
  <w:num w:numId="8">
    <w:abstractNumId w:val="22"/>
  </w:num>
  <w:num w:numId="9">
    <w:abstractNumId w:val="20"/>
  </w:num>
  <w:num w:numId="10">
    <w:abstractNumId w:val="28"/>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23"/>
  </w:num>
  <w:num w:numId="23">
    <w:abstractNumId w:val="26"/>
  </w:num>
  <w:num w:numId="24">
    <w:abstractNumId w:val="18"/>
  </w:num>
  <w:num w:numId="25">
    <w:abstractNumId w:val="25"/>
  </w:num>
  <w:num w:numId="26">
    <w:abstractNumId w:val="19"/>
  </w:num>
  <w:num w:numId="27">
    <w:abstractNumId w:val="17"/>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C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7F1"/>
    <w:rsid w:val="00023101"/>
    <w:rsid w:val="0002407C"/>
    <w:rsid w:val="0002476F"/>
    <w:rsid w:val="00024E17"/>
    <w:rsid w:val="000258DB"/>
    <w:rsid w:val="000259E5"/>
    <w:rsid w:val="000265D4"/>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EB0"/>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63"/>
    <w:rsid w:val="00092DD6"/>
    <w:rsid w:val="00094C85"/>
    <w:rsid w:val="00094D7E"/>
    <w:rsid w:val="0009517B"/>
    <w:rsid w:val="00095AE2"/>
    <w:rsid w:val="000962DF"/>
    <w:rsid w:val="0009661E"/>
    <w:rsid w:val="000A12BC"/>
    <w:rsid w:val="000A1306"/>
    <w:rsid w:val="000A1521"/>
    <w:rsid w:val="000A2A96"/>
    <w:rsid w:val="000A2FC1"/>
    <w:rsid w:val="000A3A57"/>
    <w:rsid w:val="000A5408"/>
    <w:rsid w:val="000A6510"/>
    <w:rsid w:val="000B0BB4"/>
    <w:rsid w:val="000B1045"/>
    <w:rsid w:val="000B1BAE"/>
    <w:rsid w:val="000B29B3"/>
    <w:rsid w:val="000B3889"/>
    <w:rsid w:val="000B3B3B"/>
    <w:rsid w:val="000B42E7"/>
    <w:rsid w:val="000B6969"/>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65"/>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226"/>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CB7"/>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1843"/>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7B8"/>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979"/>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42F"/>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31B"/>
    <w:rsid w:val="002F4B9F"/>
    <w:rsid w:val="002F4CE2"/>
    <w:rsid w:val="002F5F6A"/>
    <w:rsid w:val="002F60A4"/>
    <w:rsid w:val="002F6B0C"/>
    <w:rsid w:val="002F77FC"/>
    <w:rsid w:val="003004A6"/>
    <w:rsid w:val="0030129C"/>
    <w:rsid w:val="003013E2"/>
    <w:rsid w:val="00301FE4"/>
    <w:rsid w:val="00303E3A"/>
    <w:rsid w:val="00305417"/>
    <w:rsid w:val="00305459"/>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048"/>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4B02"/>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9CF"/>
    <w:rsid w:val="003C7AF7"/>
    <w:rsid w:val="003D073C"/>
    <w:rsid w:val="003D0791"/>
    <w:rsid w:val="003D1130"/>
    <w:rsid w:val="003D37D4"/>
    <w:rsid w:val="003D47A7"/>
    <w:rsid w:val="003D56B5"/>
    <w:rsid w:val="003D5DCC"/>
    <w:rsid w:val="003D6B84"/>
    <w:rsid w:val="003E1A49"/>
    <w:rsid w:val="003E2D01"/>
    <w:rsid w:val="003E330E"/>
    <w:rsid w:val="003E3511"/>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57DB6"/>
    <w:rsid w:val="004627AE"/>
    <w:rsid w:val="0046298E"/>
    <w:rsid w:val="004647BB"/>
    <w:rsid w:val="0046482B"/>
    <w:rsid w:val="004648E0"/>
    <w:rsid w:val="00472043"/>
    <w:rsid w:val="00472F56"/>
    <w:rsid w:val="0047335E"/>
    <w:rsid w:val="00473CA1"/>
    <w:rsid w:val="0047572C"/>
    <w:rsid w:val="00476407"/>
    <w:rsid w:val="004773F7"/>
    <w:rsid w:val="00481861"/>
    <w:rsid w:val="00481F5F"/>
    <w:rsid w:val="004821D0"/>
    <w:rsid w:val="00482CB2"/>
    <w:rsid w:val="00483D06"/>
    <w:rsid w:val="00485A4A"/>
    <w:rsid w:val="00485CF7"/>
    <w:rsid w:val="004862C2"/>
    <w:rsid w:val="004863F7"/>
    <w:rsid w:val="00486DA4"/>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ACE"/>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239"/>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9E8"/>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C43"/>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473"/>
    <w:rsid w:val="005D0AE3"/>
    <w:rsid w:val="005D1103"/>
    <w:rsid w:val="005D276D"/>
    <w:rsid w:val="005D5777"/>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96E"/>
    <w:rsid w:val="006B0F76"/>
    <w:rsid w:val="006B1F20"/>
    <w:rsid w:val="006B398A"/>
    <w:rsid w:val="006B3E04"/>
    <w:rsid w:val="006B4024"/>
    <w:rsid w:val="006B4034"/>
    <w:rsid w:val="006B47D7"/>
    <w:rsid w:val="006B499D"/>
    <w:rsid w:val="006B5041"/>
    <w:rsid w:val="006B5758"/>
    <w:rsid w:val="006B643D"/>
    <w:rsid w:val="006B79A4"/>
    <w:rsid w:val="006C1254"/>
    <w:rsid w:val="006C2DC5"/>
    <w:rsid w:val="006C480B"/>
    <w:rsid w:val="006C570B"/>
    <w:rsid w:val="006C572E"/>
    <w:rsid w:val="006C5997"/>
    <w:rsid w:val="006C5CD2"/>
    <w:rsid w:val="006C7A85"/>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212"/>
    <w:rsid w:val="007135A2"/>
    <w:rsid w:val="00715129"/>
    <w:rsid w:val="007151E4"/>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CF1"/>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BD4"/>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A72"/>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3B8"/>
    <w:rsid w:val="0087049C"/>
    <w:rsid w:val="00870AAD"/>
    <w:rsid w:val="00870EDE"/>
    <w:rsid w:val="00871DA0"/>
    <w:rsid w:val="00872030"/>
    <w:rsid w:val="00873529"/>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0F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97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4FF"/>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29"/>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5C97"/>
    <w:rsid w:val="00A76648"/>
    <w:rsid w:val="00A76DF7"/>
    <w:rsid w:val="00A77523"/>
    <w:rsid w:val="00A80C90"/>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B5"/>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073"/>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576"/>
    <w:rsid w:val="00B2769B"/>
    <w:rsid w:val="00B307D2"/>
    <w:rsid w:val="00B3398B"/>
    <w:rsid w:val="00B33B1E"/>
    <w:rsid w:val="00B35283"/>
    <w:rsid w:val="00B362D9"/>
    <w:rsid w:val="00B36B99"/>
    <w:rsid w:val="00B36D20"/>
    <w:rsid w:val="00B36E3B"/>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2A"/>
    <w:rsid w:val="00B751C3"/>
    <w:rsid w:val="00B76C0D"/>
    <w:rsid w:val="00B77D0D"/>
    <w:rsid w:val="00B80817"/>
    <w:rsid w:val="00B8150E"/>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A79"/>
    <w:rsid w:val="00C668DE"/>
    <w:rsid w:val="00C66E88"/>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5D1"/>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B7F8C"/>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118"/>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031"/>
    <w:rsid w:val="00D3664C"/>
    <w:rsid w:val="00D3683A"/>
    <w:rsid w:val="00D379C5"/>
    <w:rsid w:val="00D37C36"/>
    <w:rsid w:val="00D40559"/>
    <w:rsid w:val="00D405B8"/>
    <w:rsid w:val="00D41493"/>
    <w:rsid w:val="00D4200A"/>
    <w:rsid w:val="00D4267F"/>
    <w:rsid w:val="00D42C49"/>
    <w:rsid w:val="00D43ABB"/>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7F3"/>
    <w:rsid w:val="00D75EEB"/>
    <w:rsid w:val="00D75F1E"/>
    <w:rsid w:val="00D80F87"/>
    <w:rsid w:val="00D812A5"/>
    <w:rsid w:val="00D82A5C"/>
    <w:rsid w:val="00D82D11"/>
    <w:rsid w:val="00D836AB"/>
    <w:rsid w:val="00D83CD3"/>
    <w:rsid w:val="00D83E51"/>
    <w:rsid w:val="00D84719"/>
    <w:rsid w:val="00D856EA"/>
    <w:rsid w:val="00D85ACD"/>
    <w:rsid w:val="00D86460"/>
    <w:rsid w:val="00D912D5"/>
    <w:rsid w:val="00D91AAF"/>
    <w:rsid w:val="00D941D0"/>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BA3"/>
    <w:rsid w:val="00DC7481"/>
    <w:rsid w:val="00DC7591"/>
    <w:rsid w:val="00DD0839"/>
    <w:rsid w:val="00DD26D0"/>
    <w:rsid w:val="00DD47D5"/>
    <w:rsid w:val="00DD5306"/>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F6A"/>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D5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65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65E"/>
    <w:rsid w:val="00EC4BA1"/>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132"/>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A8D"/>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D10"/>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09B"/>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27576"/>
    <w:rPr>
      <w:color w:val="0000FF" w:themeColor="hyperlink"/>
      <w:u w:val="single"/>
    </w:rPr>
  </w:style>
  <w:style w:type="paragraph" w:styleId="ListParagraph">
    <w:name w:val="List Paragraph"/>
    <w:basedOn w:val="Normal"/>
    <w:uiPriority w:val="34"/>
    <w:qFormat/>
    <w:rsid w:val="001B0226"/>
    <w:pPr>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27576"/>
    <w:rPr>
      <w:color w:val="0000FF" w:themeColor="hyperlink"/>
      <w:u w:val="single"/>
    </w:rPr>
  </w:style>
  <w:style w:type="paragraph" w:styleId="ListParagraph">
    <w:name w:val="List Paragraph"/>
    <w:basedOn w:val="Normal"/>
    <w:uiPriority w:val="34"/>
    <w:qFormat/>
    <w:rsid w:val="001B0226"/>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1933">
      <w:bodyDiv w:val="1"/>
      <w:marLeft w:val="0"/>
      <w:marRight w:val="0"/>
      <w:marTop w:val="0"/>
      <w:marBottom w:val="0"/>
      <w:divBdr>
        <w:top w:val="none" w:sz="0" w:space="0" w:color="auto"/>
        <w:left w:val="none" w:sz="0" w:space="0" w:color="auto"/>
        <w:bottom w:val="none" w:sz="0" w:space="0" w:color="auto"/>
        <w:right w:val="none" w:sz="0" w:space="0" w:color="auto"/>
      </w:divBdr>
      <w:divsChild>
        <w:div w:id="103230097">
          <w:marLeft w:val="0"/>
          <w:marRight w:val="0"/>
          <w:marTop w:val="0"/>
          <w:marBottom w:val="0"/>
          <w:divBdr>
            <w:top w:val="none" w:sz="0" w:space="0" w:color="auto"/>
            <w:left w:val="none" w:sz="0" w:space="0" w:color="auto"/>
            <w:bottom w:val="none" w:sz="0" w:space="0" w:color="auto"/>
            <w:right w:val="none" w:sz="0" w:space="0" w:color="auto"/>
          </w:divBdr>
          <w:divsChild>
            <w:div w:id="568268418">
              <w:marLeft w:val="0"/>
              <w:marRight w:val="0"/>
              <w:marTop w:val="0"/>
              <w:marBottom w:val="0"/>
              <w:divBdr>
                <w:top w:val="none" w:sz="0" w:space="0" w:color="auto"/>
                <w:left w:val="none" w:sz="0" w:space="0" w:color="auto"/>
                <w:bottom w:val="none" w:sz="0" w:space="0" w:color="auto"/>
                <w:right w:val="none" w:sz="0" w:space="0" w:color="auto"/>
              </w:divBdr>
              <w:divsChild>
                <w:div w:id="248781687">
                  <w:marLeft w:val="0"/>
                  <w:marRight w:val="0"/>
                  <w:marTop w:val="0"/>
                  <w:marBottom w:val="0"/>
                  <w:divBdr>
                    <w:top w:val="none" w:sz="0" w:space="0" w:color="auto"/>
                    <w:left w:val="none" w:sz="0" w:space="0" w:color="auto"/>
                    <w:bottom w:val="none" w:sz="0" w:space="0" w:color="auto"/>
                    <w:right w:val="none" w:sz="0" w:space="0" w:color="auto"/>
                  </w:divBdr>
                  <w:divsChild>
                    <w:div w:id="516623198">
                      <w:marLeft w:val="0"/>
                      <w:marRight w:val="0"/>
                      <w:marTop w:val="0"/>
                      <w:marBottom w:val="0"/>
                      <w:divBdr>
                        <w:top w:val="none" w:sz="0" w:space="0" w:color="auto"/>
                        <w:left w:val="none" w:sz="0" w:space="0" w:color="auto"/>
                        <w:bottom w:val="none" w:sz="0" w:space="0" w:color="auto"/>
                        <w:right w:val="none" w:sz="0" w:space="0" w:color="auto"/>
                      </w:divBdr>
                      <w:divsChild>
                        <w:div w:id="1236892174">
                          <w:marLeft w:val="0"/>
                          <w:marRight w:val="0"/>
                          <w:marTop w:val="0"/>
                          <w:marBottom w:val="0"/>
                          <w:divBdr>
                            <w:top w:val="none" w:sz="0" w:space="0" w:color="auto"/>
                            <w:left w:val="none" w:sz="0" w:space="0" w:color="auto"/>
                            <w:bottom w:val="none" w:sz="0" w:space="0" w:color="auto"/>
                            <w:right w:val="none" w:sz="0" w:space="0" w:color="auto"/>
                          </w:divBdr>
                          <w:divsChild>
                            <w:div w:id="833374282">
                              <w:marLeft w:val="0"/>
                              <w:marRight w:val="0"/>
                              <w:marTop w:val="0"/>
                              <w:marBottom w:val="0"/>
                              <w:divBdr>
                                <w:top w:val="none" w:sz="0" w:space="0" w:color="auto"/>
                                <w:left w:val="none" w:sz="0" w:space="0" w:color="auto"/>
                                <w:bottom w:val="none" w:sz="0" w:space="0" w:color="auto"/>
                                <w:right w:val="none" w:sz="0" w:space="0" w:color="auto"/>
                              </w:divBdr>
                              <w:divsChild>
                                <w:div w:id="1365211739">
                                  <w:marLeft w:val="0"/>
                                  <w:marRight w:val="0"/>
                                  <w:marTop w:val="0"/>
                                  <w:marBottom w:val="0"/>
                                  <w:divBdr>
                                    <w:top w:val="none" w:sz="0" w:space="0" w:color="auto"/>
                                    <w:left w:val="none" w:sz="0" w:space="0" w:color="auto"/>
                                    <w:bottom w:val="none" w:sz="0" w:space="0" w:color="auto"/>
                                    <w:right w:val="none" w:sz="0" w:space="0" w:color="auto"/>
                                  </w:divBdr>
                                  <w:divsChild>
                                    <w:div w:id="1648824627">
                                      <w:marLeft w:val="60"/>
                                      <w:marRight w:val="0"/>
                                      <w:marTop w:val="0"/>
                                      <w:marBottom w:val="0"/>
                                      <w:divBdr>
                                        <w:top w:val="none" w:sz="0" w:space="0" w:color="auto"/>
                                        <w:left w:val="none" w:sz="0" w:space="0" w:color="auto"/>
                                        <w:bottom w:val="none" w:sz="0" w:space="0" w:color="auto"/>
                                        <w:right w:val="none" w:sz="0" w:space="0" w:color="auto"/>
                                      </w:divBdr>
                                      <w:divsChild>
                                        <w:div w:id="974872305">
                                          <w:marLeft w:val="0"/>
                                          <w:marRight w:val="0"/>
                                          <w:marTop w:val="0"/>
                                          <w:marBottom w:val="0"/>
                                          <w:divBdr>
                                            <w:top w:val="none" w:sz="0" w:space="0" w:color="auto"/>
                                            <w:left w:val="none" w:sz="0" w:space="0" w:color="auto"/>
                                            <w:bottom w:val="none" w:sz="0" w:space="0" w:color="auto"/>
                                            <w:right w:val="none" w:sz="0" w:space="0" w:color="auto"/>
                                          </w:divBdr>
                                          <w:divsChild>
                                            <w:div w:id="554435702">
                                              <w:marLeft w:val="0"/>
                                              <w:marRight w:val="0"/>
                                              <w:marTop w:val="0"/>
                                              <w:marBottom w:val="120"/>
                                              <w:divBdr>
                                                <w:top w:val="single" w:sz="6" w:space="0" w:color="F5F5F5"/>
                                                <w:left w:val="single" w:sz="6" w:space="0" w:color="F5F5F5"/>
                                                <w:bottom w:val="single" w:sz="6" w:space="0" w:color="F5F5F5"/>
                                                <w:right w:val="single" w:sz="6" w:space="0" w:color="F5F5F5"/>
                                              </w:divBdr>
                                              <w:divsChild>
                                                <w:div w:id="672103423">
                                                  <w:marLeft w:val="0"/>
                                                  <w:marRight w:val="0"/>
                                                  <w:marTop w:val="0"/>
                                                  <w:marBottom w:val="0"/>
                                                  <w:divBdr>
                                                    <w:top w:val="none" w:sz="0" w:space="0" w:color="auto"/>
                                                    <w:left w:val="none" w:sz="0" w:space="0" w:color="auto"/>
                                                    <w:bottom w:val="none" w:sz="0" w:space="0" w:color="auto"/>
                                                    <w:right w:val="none" w:sz="0" w:space="0" w:color="auto"/>
                                                  </w:divBdr>
                                                  <w:divsChild>
                                                    <w:div w:id="1647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424391">
      <w:bodyDiv w:val="1"/>
      <w:marLeft w:val="0"/>
      <w:marRight w:val="0"/>
      <w:marTop w:val="0"/>
      <w:marBottom w:val="0"/>
      <w:divBdr>
        <w:top w:val="none" w:sz="0" w:space="0" w:color="auto"/>
        <w:left w:val="none" w:sz="0" w:space="0" w:color="auto"/>
        <w:bottom w:val="none" w:sz="0" w:space="0" w:color="auto"/>
        <w:right w:val="none" w:sz="0" w:space="0" w:color="auto"/>
      </w:divBdr>
      <w:divsChild>
        <w:div w:id="1895458677">
          <w:marLeft w:val="0"/>
          <w:marRight w:val="0"/>
          <w:marTop w:val="0"/>
          <w:marBottom w:val="0"/>
          <w:divBdr>
            <w:top w:val="none" w:sz="0" w:space="0" w:color="auto"/>
            <w:left w:val="none" w:sz="0" w:space="0" w:color="auto"/>
            <w:bottom w:val="none" w:sz="0" w:space="0" w:color="auto"/>
            <w:right w:val="none" w:sz="0" w:space="0" w:color="auto"/>
          </w:divBdr>
          <w:divsChild>
            <w:div w:id="1597908480">
              <w:marLeft w:val="0"/>
              <w:marRight w:val="0"/>
              <w:marTop w:val="0"/>
              <w:marBottom w:val="0"/>
              <w:divBdr>
                <w:top w:val="none" w:sz="0" w:space="0" w:color="auto"/>
                <w:left w:val="none" w:sz="0" w:space="0" w:color="auto"/>
                <w:bottom w:val="none" w:sz="0" w:space="0" w:color="auto"/>
                <w:right w:val="none" w:sz="0" w:space="0" w:color="auto"/>
              </w:divBdr>
              <w:divsChild>
                <w:div w:id="1007102748">
                  <w:marLeft w:val="0"/>
                  <w:marRight w:val="0"/>
                  <w:marTop w:val="0"/>
                  <w:marBottom w:val="0"/>
                  <w:divBdr>
                    <w:top w:val="none" w:sz="0" w:space="0" w:color="auto"/>
                    <w:left w:val="none" w:sz="0" w:space="0" w:color="auto"/>
                    <w:bottom w:val="none" w:sz="0" w:space="0" w:color="auto"/>
                    <w:right w:val="none" w:sz="0" w:space="0" w:color="auto"/>
                  </w:divBdr>
                  <w:divsChild>
                    <w:div w:id="284849088">
                      <w:marLeft w:val="0"/>
                      <w:marRight w:val="0"/>
                      <w:marTop w:val="0"/>
                      <w:marBottom w:val="0"/>
                      <w:divBdr>
                        <w:top w:val="none" w:sz="0" w:space="0" w:color="auto"/>
                        <w:left w:val="none" w:sz="0" w:space="0" w:color="auto"/>
                        <w:bottom w:val="none" w:sz="0" w:space="0" w:color="auto"/>
                        <w:right w:val="none" w:sz="0" w:space="0" w:color="auto"/>
                      </w:divBdr>
                      <w:divsChild>
                        <w:div w:id="1954630048">
                          <w:marLeft w:val="0"/>
                          <w:marRight w:val="0"/>
                          <w:marTop w:val="0"/>
                          <w:marBottom w:val="0"/>
                          <w:divBdr>
                            <w:top w:val="none" w:sz="0" w:space="0" w:color="auto"/>
                            <w:left w:val="none" w:sz="0" w:space="0" w:color="auto"/>
                            <w:bottom w:val="none" w:sz="0" w:space="0" w:color="auto"/>
                            <w:right w:val="none" w:sz="0" w:space="0" w:color="auto"/>
                          </w:divBdr>
                          <w:divsChild>
                            <w:div w:id="1942495497">
                              <w:marLeft w:val="0"/>
                              <w:marRight w:val="0"/>
                              <w:marTop w:val="0"/>
                              <w:marBottom w:val="0"/>
                              <w:divBdr>
                                <w:top w:val="none" w:sz="0" w:space="0" w:color="auto"/>
                                <w:left w:val="none" w:sz="0" w:space="0" w:color="auto"/>
                                <w:bottom w:val="none" w:sz="0" w:space="0" w:color="auto"/>
                                <w:right w:val="none" w:sz="0" w:space="0" w:color="auto"/>
                              </w:divBdr>
                              <w:divsChild>
                                <w:div w:id="1214731640">
                                  <w:marLeft w:val="0"/>
                                  <w:marRight w:val="0"/>
                                  <w:marTop w:val="0"/>
                                  <w:marBottom w:val="0"/>
                                  <w:divBdr>
                                    <w:top w:val="none" w:sz="0" w:space="0" w:color="auto"/>
                                    <w:left w:val="none" w:sz="0" w:space="0" w:color="auto"/>
                                    <w:bottom w:val="none" w:sz="0" w:space="0" w:color="auto"/>
                                    <w:right w:val="none" w:sz="0" w:space="0" w:color="auto"/>
                                  </w:divBdr>
                                  <w:divsChild>
                                    <w:div w:id="1850606347">
                                      <w:marLeft w:val="60"/>
                                      <w:marRight w:val="0"/>
                                      <w:marTop w:val="0"/>
                                      <w:marBottom w:val="0"/>
                                      <w:divBdr>
                                        <w:top w:val="none" w:sz="0" w:space="0" w:color="auto"/>
                                        <w:left w:val="none" w:sz="0" w:space="0" w:color="auto"/>
                                        <w:bottom w:val="none" w:sz="0" w:space="0" w:color="auto"/>
                                        <w:right w:val="none" w:sz="0" w:space="0" w:color="auto"/>
                                      </w:divBdr>
                                      <w:divsChild>
                                        <w:div w:id="361057365">
                                          <w:marLeft w:val="0"/>
                                          <w:marRight w:val="0"/>
                                          <w:marTop w:val="0"/>
                                          <w:marBottom w:val="0"/>
                                          <w:divBdr>
                                            <w:top w:val="none" w:sz="0" w:space="0" w:color="auto"/>
                                            <w:left w:val="none" w:sz="0" w:space="0" w:color="auto"/>
                                            <w:bottom w:val="none" w:sz="0" w:space="0" w:color="auto"/>
                                            <w:right w:val="none" w:sz="0" w:space="0" w:color="auto"/>
                                          </w:divBdr>
                                          <w:divsChild>
                                            <w:div w:id="1881748264">
                                              <w:marLeft w:val="0"/>
                                              <w:marRight w:val="0"/>
                                              <w:marTop w:val="0"/>
                                              <w:marBottom w:val="120"/>
                                              <w:divBdr>
                                                <w:top w:val="single" w:sz="6" w:space="0" w:color="F5F5F5"/>
                                                <w:left w:val="single" w:sz="6" w:space="0" w:color="F5F5F5"/>
                                                <w:bottom w:val="single" w:sz="6" w:space="0" w:color="F5F5F5"/>
                                                <w:right w:val="single" w:sz="6" w:space="0" w:color="F5F5F5"/>
                                              </w:divBdr>
                                              <w:divsChild>
                                                <w:div w:id="1052771965">
                                                  <w:marLeft w:val="0"/>
                                                  <w:marRight w:val="0"/>
                                                  <w:marTop w:val="0"/>
                                                  <w:marBottom w:val="0"/>
                                                  <w:divBdr>
                                                    <w:top w:val="none" w:sz="0" w:space="0" w:color="auto"/>
                                                    <w:left w:val="none" w:sz="0" w:space="0" w:color="auto"/>
                                                    <w:bottom w:val="none" w:sz="0" w:space="0" w:color="auto"/>
                                                    <w:right w:val="none" w:sz="0" w:space="0" w:color="auto"/>
                                                  </w:divBdr>
                                                  <w:divsChild>
                                                    <w:div w:id="4670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283394">
      <w:bodyDiv w:val="1"/>
      <w:marLeft w:val="0"/>
      <w:marRight w:val="0"/>
      <w:marTop w:val="0"/>
      <w:marBottom w:val="0"/>
      <w:divBdr>
        <w:top w:val="none" w:sz="0" w:space="0" w:color="auto"/>
        <w:left w:val="none" w:sz="0" w:space="0" w:color="auto"/>
        <w:bottom w:val="none" w:sz="0" w:space="0" w:color="auto"/>
        <w:right w:val="none" w:sz="0" w:space="0" w:color="auto"/>
      </w:divBdr>
      <w:divsChild>
        <w:div w:id="891112252">
          <w:marLeft w:val="0"/>
          <w:marRight w:val="0"/>
          <w:marTop w:val="0"/>
          <w:marBottom w:val="0"/>
          <w:divBdr>
            <w:top w:val="none" w:sz="0" w:space="0" w:color="auto"/>
            <w:left w:val="none" w:sz="0" w:space="0" w:color="auto"/>
            <w:bottom w:val="none" w:sz="0" w:space="0" w:color="auto"/>
            <w:right w:val="none" w:sz="0" w:space="0" w:color="auto"/>
          </w:divBdr>
          <w:divsChild>
            <w:div w:id="632760194">
              <w:marLeft w:val="0"/>
              <w:marRight w:val="0"/>
              <w:marTop w:val="0"/>
              <w:marBottom w:val="0"/>
              <w:divBdr>
                <w:top w:val="none" w:sz="0" w:space="0" w:color="auto"/>
                <w:left w:val="none" w:sz="0" w:space="0" w:color="auto"/>
                <w:bottom w:val="none" w:sz="0" w:space="0" w:color="auto"/>
                <w:right w:val="none" w:sz="0" w:space="0" w:color="auto"/>
              </w:divBdr>
              <w:divsChild>
                <w:div w:id="1718428045">
                  <w:marLeft w:val="0"/>
                  <w:marRight w:val="0"/>
                  <w:marTop w:val="0"/>
                  <w:marBottom w:val="0"/>
                  <w:divBdr>
                    <w:top w:val="none" w:sz="0" w:space="0" w:color="auto"/>
                    <w:left w:val="none" w:sz="0" w:space="0" w:color="auto"/>
                    <w:bottom w:val="none" w:sz="0" w:space="0" w:color="auto"/>
                    <w:right w:val="none" w:sz="0" w:space="0" w:color="auto"/>
                  </w:divBdr>
                  <w:divsChild>
                    <w:div w:id="260728572">
                      <w:marLeft w:val="0"/>
                      <w:marRight w:val="0"/>
                      <w:marTop w:val="0"/>
                      <w:marBottom w:val="0"/>
                      <w:divBdr>
                        <w:top w:val="none" w:sz="0" w:space="0" w:color="auto"/>
                        <w:left w:val="none" w:sz="0" w:space="0" w:color="auto"/>
                        <w:bottom w:val="none" w:sz="0" w:space="0" w:color="auto"/>
                        <w:right w:val="none" w:sz="0" w:space="0" w:color="auto"/>
                      </w:divBdr>
                      <w:divsChild>
                        <w:div w:id="1147819421">
                          <w:marLeft w:val="0"/>
                          <w:marRight w:val="0"/>
                          <w:marTop w:val="0"/>
                          <w:marBottom w:val="0"/>
                          <w:divBdr>
                            <w:top w:val="none" w:sz="0" w:space="0" w:color="auto"/>
                            <w:left w:val="none" w:sz="0" w:space="0" w:color="auto"/>
                            <w:bottom w:val="none" w:sz="0" w:space="0" w:color="auto"/>
                            <w:right w:val="none" w:sz="0" w:space="0" w:color="auto"/>
                          </w:divBdr>
                          <w:divsChild>
                            <w:div w:id="957370519">
                              <w:marLeft w:val="0"/>
                              <w:marRight w:val="0"/>
                              <w:marTop w:val="0"/>
                              <w:marBottom w:val="0"/>
                              <w:divBdr>
                                <w:top w:val="none" w:sz="0" w:space="0" w:color="auto"/>
                                <w:left w:val="none" w:sz="0" w:space="0" w:color="auto"/>
                                <w:bottom w:val="none" w:sz="0" w:space="0" w:color="auto"/>
                                <w:right w:val="none" w:sz="0" w:space="0" w:color="auto"/>
                              </w:divBdr>
                              <w:divsChild>
                                <w:div w:id="210383914">
                                  <w:marLeft w:val="0"/>
                                  <w:marRight w:val="0"/>
                                  <w:marTop w:val="0"/>
                                  <w:marBottom w:val="0"/>
                                  <w:divBdr>
                                    <w:top w:val="none" w:sz="0" w:space="0" w:color="auto"/>
                                    <w:left w:val="none" w:sz="0" w:space="0" w:color="auto"/>
                                    <w:bottom w:val="none" w:sz="0" w:space="0" w:color="auto"/>
                                    <w:right w:val="none" w:sz="0" w:space="0" w:color="auto"/>
                                  </w:divBdr>
                                  <w:divsChild>
                                    <w:div w:id="1746103230">
                                      <w:marLeft w:val="60"/>
                                      <w:marRight w:val="0"/>
                                      <w:marTop w:val="0"/>
                                      <w:marBottom w:val="0"/>
                                      <w:divBdr>
                                        <w:top w:val="none" w:sz="0" w:space="0" w:color="auto"/>
                                        <w:left w:val="none" w:sz="0" w:space="0" w:color="auto"/>
                                        <w:bottom w:val="none" w:sz="0" w:space="0" w:color="auto"/>
                                        <w:right w:val="none" w:sz="0" w:space="0" w:color="auto"/>
                                      </w:divBdr>
                                      <w:divsChild>
                                        <w:div w:id="265895099">
                                          <w:marLeft w:val="0"/>
                                          <w:marRight w:val="0"/>
                                          <w:marTop w:val="0"/>
                                          <w:marBottom w:val="0"/>
                                          <w:divBdr>
                                            <w:top w:val="none" w:sz="0" w:space="0" w:color="auto"/>
                                            <w:left w:val="none" w:sz="0" w:space="0" w:color="auto"/>
                                            <w:bottom w:val="none" w:sz="0" w:space="0" w:color="auto"/>
                                            <w:right w:val="none" w:sz="0" w:space="0" w:color="auto"/>
                                          </w:divBdr>
                                          <w:divsChild>
                                            <w:div w:id="1163819611">
                                              <w:marLeft w:val="0"/>
                                              <w:marRight w:val="0"/>
                                              <w:marTop w:val="0"/>
                                              <w:marBottom w:val="120"/>
                                              <w:divBdr>
                                                <w:top w:val="single" w:sz="6" w:space="0" w:color="F5F5F5"/>
                                                <w:left w:val="single" w:sz="6" w:space="0" w:color="F5F5F5"/>
                                                <w:bottom w:val="single" w:sz="6" w:space="0" w:color="F5F5F5"/>
                                                <w:right w:val="single" w:sz="6" w:space="0" w:color="F5F5F5"/>
                                              </w:divBdr>
                                              <w:divsChild>
                                                <w:div w:id="278224848">
                                                  <w:marLeft w:val="0"/>
                                                  <w:marRight w:val="0"/>
                                                  <w:marTop w:val="0"/>
                                                  <w:marBottom w:val="0"/>
                                                  <w:divBdr>
                                                    <w:top w:val="none" w:sz="0" w:space="0" w:color="auto"/>
                                                    <w:left w:val="none" w:sz="0" w:space="0" w:color="auto"/>
                                                    <w:bottom w:val="none" w:sz="0" w:space="0" w:color="auto"/>
                                                    <w:right w:val="none" w:sz="0" w:space="0" w:color="auto"/>
                                                  </w:divBdr>
                                                  <w:divsChild>
                                                    <w:div w:id="19455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topic.jsp?group_id=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AEE9-F303-484C-A29F-92530CBA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WO_CC_72_AR.dotx</Template>
  <TotalTime>20</TotalTime>
  <Pages>10</Pages>
  <Words>3838</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WO/CC/72/-- (Arabic)</vt:lpstr>
    </vt:vector>
  </TitlesOfParts>
  <Company>World Intellectual Property Organization</Company>
  <LinksUpToDate>false</LinksUpToDate>
  <CharactersWithSpaces>24279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 (Arabic)</dc:title>
  <dc:creator>Basel Alakhras</dc:creator>
  <cp:lastModifiedBy> </cp:lastModifiedBy>
  <cp:revision>12</cp:revision>
  <cp:lastPrinted>2016-09-23T09:02:00Z</cp:lastPrinted>
  <dcterms:created xsi:type="dcterms:W3CDTF">2016-09-20T11:50:00Z</dcterms:created>
  <dcterms:modified xsi:type="dcterms:W3CDTF">2016-09-23T09:02:00Z</dcterms:modified>
</cp:coreProperties>
</file>