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DF085C" w:rsidTr="00274479">
        <w:tc>
          <w:tcPr>
            <w:tcW w:w="4843" w:type="dxa"/>
            <w:tcBorders>
              <w:bottom w:val="single" w:sz="4" w:space="0" w:color="auto"/>
            </w:tcBorders>
          </w:tcPr>
          <w:p w:rsidR="00DF085C" w:rsidRDefault="00DF085C" w:rsidP="00274479">
            <w:pPr>
              <w:bidi/>
              <w:rPr>
                <w:rFonts w:ascii="Arabic Typesetting" w:hAnsi="Arabic Typesetting" w:cs="Arabic Typesetting"/>
                <w:sz w:val="36"/>
                <w:szCs w:val="36"/>
                <w:rtl/>
              </w:rPr>
            </w:pPr>
          </w:p>
        </w:tc>
        <w:tc>
          <w:tcPr>
            <w:tcW w:w="4223" w:type="dxa"/>
            <w:tcBorders>
              <w:bottom w:val="single" w:sz="4" w:space="0" w:color="auto"/>
            </w:tcBorders>
          </w:tcPr>
          <w:p w:rsidR="00DF085C" w:rsidRDefault="00DF085C" w:rsidP="00274479">
            <w:pPr>
              <w:bidi/>
              <w:spacing w:after="20"/>
              <w:rPr>
                <w:rFonts w:ascii="Arabic Typesetting" w:hAnsi="Arabic Typesetting" w:cs="Arabic Typesetting"/>
                <w:sz w:val="36"/>
                <w:szCs w:val="36"/>
                <w:rtl/>
              </w:rPr>
            </w:pPr>
            <w:r>
              <w:rPr>
                <w:noProof/>
              </w:rPr>
              <w:drawing>
                <wp:inline distT="0" distB="0" distL="0" distR="0" wp14:anchorId="4AD8E50E" wp14:editId="7DD835AE">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DF085C" w:rsidRPr="001667B6" w:rsidRDefault="00DF085C" w:rsidP="00274479">
            <w:pPr>
              <w:rPr>
                <w:b/>
                <w:bCs/>
                <w:sz w:val="40"/>
                <w:szCs w:val="40"/>
              </w:rPr>
            </w:pPr>
            <w:r>
              <w:rPr>
                <w:b/>
                <w:bCs/>
                <w:sz w:val="40"/>
                <w:szCs w:val="40"/>
              </w:rPr>
              <w:t>A</w:t>
            </w:r>
          </w:p>
        </w:tc>
      </w:tr>
      <w:tr w:rsidR="00DF085C" w:rsidTr="00274479">
        <w:trPr>
          <w:trHeight w:val="333"/>
        </w:trPr>
        <w:tc>
          <w:tcPr>
            <w:tcW w:w="9571" w:type="dxa"/>
            <w:gridSpan w:val="3"/>
            <w:tcBorders>
              <w:top w:val="single" w:sz="4" w:space="0" w:color="auto"/>
            </w:tcBorders>
            <w:vAlign w:val="bottom"/>
          </w:tcPr>
          <w:p w:rsidR="00DF085C" w:rsidRPr="00B6101C" w:rsidRDefault="00DF085C" w:rsidP="00DF085C">
            <w:pPr>
              <w:pStyle w:val="DocumentCodeAR"/>
              <w:bidi/>
              <w:rPr>
                <w:rtl/>
              </w:rPr>
            </w:pPr>
            <w:r>
              <w:t>WO/CC/71</w:t>
            </w:r>
            <w:r w:rsidRPr="00B6101C">
              <w:t>/</w:t>
            </w:r>
            <w:r>
              <w:t>6</w:t>
            </w:r>
          </w:p>
        </w:tc>
      </w:tr>
      <w:tr w:rsidR="00DF085C" w:rsidTr="00274479">
        <w:tc>
          <w:tcPr>
            <w:tcW w:w="9571" w:type="dxa"/>
            <w:gridSpan w:val="3"/>
          </w:tcPr>
          <w:p w:rsidR="00DF085C" w:rsidRPr="00B6101C" w:rsidRDefault="00DF085C" w:rsidP="00DF085C">
            <w:pPr>
              <w:pStyle w:val="DocumentLanguageAR"/>
              <w:bidi/>
              <w:rPr>
                <w:rtl/>
              </w:rPr>
            </w:pPr>
            <w:r w:rsidRPr="00B6101C">
              <w:rPr>
                <w:rFonts w:hint="cs"/>
                <w:rtl/>
              </w:rPr>
              <w:t xml:space="preserve">الأصل: </w:t>
            </w:r>
            <w:r>
              <w:rPr>
                <w:rFonts w:hint="cs"/>
                <w:rtl/>
              </w:rPr>
              <w:t>بالإنكليزية</w:t>
            </w:r>
          </w:p>
        </w:tc>
      </w:tr>
      <w:tr w:rsidR="00DF085C" w:rsidTr="00274479">
        <w:tc>
          <w:tcPr>
            <w:tcW w:w="9571" w:type="dxa"/>
            <w:gridSpan w:val="3"/>
          </w:tcPr>
          <w:p w:rsidR="00DF085C" w:rsidRPr="00B6101C" w:rsidRDefault="00DF085C" w:rsidP="00DF085C">
            <w:pPr>
              <w:pStyle w:val="DocumentDateAR"/>
              <w:bidi/>
              <w:rPr>
                <w:rtl/>
              </w:rPr>
            </w:pPr>
            <w:r w:rsidRPr="00B6101C">
              <w:rPr>
                <w:rFonts w:hint="cs"/>
                <w:rtl/>
              </w:rPr>
              <w:t xml:space="preserve">التاريخ: </w:t>
            </w:r>
            <w:r>
              <w:rPr>
                <w:rFonts w:hint="cs"/>
                <w:rtl/>
              </w:rPr>
              <w:t>30 سبتمبر 2015</w:t>
            </w:r>
          </w:p>
        </w:tc>
      </w:tr>
    </w:tbl>
    <w:p w:rsidR="00DF085C" w:rsidRDefault="00DF085C" w:rsidP="00DF085C">
      <w:pPr>
        <w:bidi/>
        <w:spacing w:line="360" w:lineRule="exact"/>
        <w:rPr>
          <w:rFonts w:ascii="Arabic Typesetting" w:hAnsi="Arabic Typesetting" w:cs="Arabic Typesetting"/>
          <w:sz w:val="36"/>
          <w:szCs w:val="36"/>
          <w:rtl/>
        </w:rPr>
      </w:pPr>
    </w:p>
    <w:p w:rsidR="00DF085C" w:rsidRDefault="00DF085C" w:rsidP="00DF085C">
      <w:pPr>
        <w:bidi/>
        <w:spacing w:line="360" w:lineRule="exact"/>
        <w:rPr>
          <w:rFonts w:ascii="Arabic Typesetting" w:hAnsi="Arabic Typesetting" w:cs="Arabic Typesetting"/>
          <w:sz w:val="36"/>
          <w:szCs w:val="36"/>
          <w:rtl/>
        </w:rPr>
      </w:pPr>
    </w:p>
    <w:p w:rsidR="00DF085C" w:rsidRDefault="00DF085C" w:rsidP="00DF085C">
      <w:pPr>
        <w:bidi/>
        <w:spacing w:line="360" w:lineRule="exact"/>
        <w:rPr>
          <w:rFonts w:ascii="Arabic Typesetting" w:hAnsi="Arabic Typesetting" w:cs="Arabic Typesetting"/>
          <w:sz w:val="36"/>
          <w:szCs w:val="36"/>
          <w:rtl/>
        </w:rPr>
      </w:pPr>
    </w:p>
    <w:p w:rsidR="00DF085C" w:rsidRPr="00772E46" w:rsidRDefault="00DF085C" w:rsidP="00DF085C">
      <w:pPr>
        <w:pStyle w:val="MeetingTitleAR"/>
        <w:bidi/>
        <w:ind w:right="550"/>
        <w:rPr>
          <w:rtl/>
          <w:lang w:val="fr-CH"/>
        </w:rPr>
      </w:pPr>
      <w:r w:rsidRPr="00100F97">
        <w:rPr>
          <w:rtl/>
        </w:rPr>
        <w:t xml:space="preserve">لجنة </w:t>
      </w:r>
      <w:r>
        <w:rPr>
          <w:rFonts w:hint="cs"/>
          <w:rtl/>
          <w:lang w:val="fr-CH"/>
        </w:rPr>
        <w:t>الويبو للتنسيق</w:t>
      </w:r>
    </w:p>
    <w:p w:rsidR="00DF085C" w:rsidRDefault="00DF085C" w:rsidP="00DF085C">
      <w:pPr>
        <w:bidi/>
        <w:spacing w:line="360" w:lineRule="exact"/>
        <w:rPr>
          <w:rFonts w:ascii="Arabic Typesetting" w:hAnsi="Arabic Typesetting" w:cs="Arabic Typesetting"/>
          <w:sz w:val="36"/>
          <w:szCs w:val="36"/>
          <w:rtl/>
        </w:rPr>
      </w:pPr>
    </w:p>
    <w:p w:rsidR="00DF085C" w:rsidRPr="00783D11" w:rsidRDefault="00DF085C" w:rsidP="00DF085C">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الحادية و</w:t>
      </w:r>
      <w:r>
        <w:rPr>
          <w:rFonts w:ascii="Cambria Math" w:hAnsi="Cambria Math" w:hint="cs"/>
          <w:rtl/>
          <w:lang w:val="fr-CH"/>
        </w:rPr>
        <w:t xml:space="preserve">السبعون </w:t>
      </w:r>
      <w:r>
        <w:rPr>
          <w:rFonts w:ascii="Cambria Math" w:hAnsi="Cambria Math" w:hint="cs"/>
          <w:rtl/>
        </w:rPr>
        <w:t>(الدورة العادية السادسة والأربعون)</w:t>
      </w:r>
    </w:p>
    <w:p w:rsidR="00DF085C" w:rsidRPr="00D61541" w:rsidRDefault="00DF085C" w:rsidP="00DF085C">
      <w:pPr>
        <w:pStyle w:val="MeetingDatesAR"/>
        <w:bidi/>
        <w:rPr>
          <w:rtl/>
        </w:rPr>
      </w:pPr>
      <w:r>
        <w:rPr>
          <w:rFonts w:hint="cs"/>
          <w:rtl/>
        </w:rPr>
        <w:t>جنيف،</w:t>
      </w:r>
      <w:r>
        <w:rPr>
          <w:rFonts w:hint="cs"/>
          <w:rtl/>
          <w:lang w:val="fr-CH"/>
        </w:rPr>
        <w:t xml:space="preserve"> من </w:t>
      </w:r>
      <w:r>
        <w:rPr>
          <w:rFonts w:hint="cs"/>
          <w:rtl/>
        </w:rPr>
        <w:t>5 إلى 14 أكتوبر 2015</w:t>
      </w:r>
    </w:p>
    <w:p w:rsidR="00DF085C" w:rsidRDefault="00DF085C" w:rsidP="00DF085C">
      <w:pPr>
        <w:bidi/>
        <w:spacing w:line="360" w:lineRule="exact"/>
        <w:rPr>
          <w:rFonts w:ascii="Arabic Typesetting" w:hAnsi="Arabic Typesetting" w:cs="Arabic Typesetting"/>
          <w:sz w:val="36"/>
          <w:szCs w:val="36"/>
          <w:rtl/>
        </w:rPr>
      </w:pPr>
    </w:p>
    <w:p w:rsidR="00DF085C" w:rsidRDefault="00DF085C" w:rsidP="00DF085C">
      <w:pPr>
        <w:bidi/>
        <w:spacing w:line="360" w:lineRule="exact"/>
        <w:rPr>
          <w:rFonts w:ascii="Arabic Typesetting" w:hAnsi="Arabic Typesetting" w:cs="Arabic Typesetting"/>
          <w:sz w:val="36"/>
          <w:szCs w:val="36"/>
          <w:rtl/>
        </w:rPr>
      </w:pPr>
    </w:p>
    <w:p w:rsidR="00DF085C" w:rsidRPr="00D61541" w:rsidRDefault="00DF085C" w:rsidP="00DF085C">
      <w:pPr>
        <w:pStyle w:val="DocumentTitleAR"/>
        <w:bidi/>
        <w:rPr>
          <w:rtl/>
        </w:rPr>
      </w:pPr>
      <w:r>
        <w:rPr>
          <w:rFonts w:hint="cs"/>
          <w:rtl/>
        </w:rPr>
        <w:t>مشورة لجنة التنسيق إلى جمعية اتحاد لشبونة حول اقتراح من أجل إنشاء صندوق رأس مال عامل لاتحاد لشبونة</w:t>
      </w:r>
    </w:p>
    <w:p w:rsidR="00DF085C" w:rsidRPr="00D61541" w:rsidRDefault="00DF085C" w:rsidP="00DF085C">
      <w:pPr>
        <w:pStyle w:val="PreparedbyAR"/>
        <w:bidi/>
        <w:rPr>
          <w:rtl/>
        </w:rPr>
      </w:pPr>
      <w:r>
        <w:rPr>
          <w:rFonts w:hint="cs"/>
          <w:rtl/>
        </w:rPr>
        <w:t xml:space="preserve">وثيقة </w:t>
      </w:r>
      <w:r w:rsidRPr="00D61541">
        <w:rPr>
          <w:rFonts w:hint="cs"/>
          <w:rtl/>
        </w:rPr>
        <w:t xml:space="preserve">من </w:t>
      </w:r>
      <w:r w:rsidRPr="00931859">
        <w:rPr>
          <w:rFonts w:hint="cs"/>
          <w:rtl/>
        </w:rPr>
        <w:t>إعداد</w:t>
      </w:r>
      <w:r>
        <w:rPr>
          <w:rFonts w:hint="cs"/>
          <w:rtl/>
        </w:rPr>
        <w:t xml:space="preserve"> الأمانة</w:t>
      </w:r>
    </w:p>
    <w:p w:rsidR="00DF085C" w:rsidRDefault="00DF085C" w:rsidP="00DF085C">
      <w:pPr>
        <w:pStyle w:val="NumberedParaAR"/>
      </w:pPr>
      <w:r>
        <w:rPr>
          <w:rFonts w:hint="cs"/>
          <w:rtl/>
        </w:rPr>
        <w:t>خلال أعمال الدورة الرابعة والعشرين للجنة الويبو للبرنامج والميزانية وفي الفترة التي تلتها طلب أعضاء اتحاد لشبونة أن تقدَّم معلومات إضافية حول إنشاء صندوق رأس مال عامل لاتحاد لشبونة.</w:t>
      </w:r>
    </w:p>
    <w:p w:rsidR="00DF085C" w:rsidRDefault="00DF085C" w:rsidP="00DF085C">
      <w:pPr>
        <w:pStyle w:val="NumberedParaAR"/>
      </w:pPr>
      <w:r>
        <w:rPr>
          <w:rFonts w:hint="cs"/>
          <w:rtl/>
        </w:rPr>
        <w:t>وتنص المادة 11(7) من اتفاق لشبونة على ما يلي:</w:t>
      </w:r>
    </w:p>
    <w:p w:rsidR="00DF085C" w:rsidRPr="00163F9D" w:rsidRDefault="00DF085C" w:rsidP="00DF085C">
      <w:pPr>
        <w:pStyle w:val="NumberedParaAR"/>
        <w:numPr>
          <w:ilvl w:val="0"/>
          <w:numId w:val="0"/>
        </w:numPr>
        <w:ind w:left="566"/>
        <w:rPr>
          <w:rtl/>
        </w:rPr>
      </w:pPr>
      <w:r>
        <w:rPr>
          <w:rFonts w:hint="cs"/>
          <w:rtl/>
        </w:rPr>
        <w:t>"</w:t>
      </w:r>
      <w:r w:rsidRPr="00163F9D">
        <w:rPr>
          <w:rtl/>
        </w:rPr>
        <w:t>(</w:t>
      </w:r>
      <w:r>
        <w:rPr>
          <w:rtl/>
        </w:rPr>
        <w:t>أ</w:t>
      </w:r>
      <w:r w:rsidRPr="00163F9D">
        <w:rPr>
          <w:rtl/>
        </w:rPr>
        <w:t>)</w:t>
      </w:r>
      <w:r w:rsidRPr="00163F9D">
        <w:rPr>
          <w:rtl/>
        </w:rPr>
        <w:tab/>
        <w:t>للاتحاد الخاص رأس مال عامل يتكون من دفعة واحدة يسددها كل بلد من بلدان الاتحاد الخاص. وتقرر الجمعية زيادة رأس المال هذا إذا أصبح غير كاف.</w:t>
      </w:r>
    </w:p>
    <w:p w:rsidR="00DF085C" w:rsidRPr="00163F9D" w:rsidRDefault="00DF085C" w:rsidP="00DF085C">
      <w:pPr>
        <w:pStyle w:val="NumberedParaAR"/>
        <w:numPr>
          <w:ilvl w:val="0"/>
          <w:numId w:val="0"/>
        </w:numPr>
        <w:ind w:left="566"/>
        <w:rPr>
          <w:rtl/>
        </w:rPr>
      </w:pPr>
      <w:r>
        <w:rPr>
          <w:rFonts w:hint="cs"/>
          <w:rtl/>
        </w:rPr>
        <w:t>(</w:t>
      </w:r>
      <w:r w:rsidRPr="00163F9D">
        <w:rPr>
          <w:rtl/>
        </w:rPr>
        <w:t>ب)</w:t>
      </w:r>
      <w:r w:rsidRPr="00163F9D">
        <w:rPr>
          <w:rtl/>
        </w:rPr>
        <w:tab/>
        <w:t>يكون مقدار الدفعة الأولى التي يسددها كل بلد إلى رأس المال السالف الذكر أو اشتراكه في زيادته متناسبا مع مساهمة هذا البلد بصفته عضوا في اتحاد باريس لحماية الملكية الصناعية في ميزانية الاتحاد عن السنة التي يتكون فيها رأس المال أو تتقرر فيها زيادته.</w:t>
      </w:r>
    </w:p>
    <w:p w:rsidR="00DF085C" w:rsidRDefault="00DF085C" w:rsidP="00DF085C">
      <w:pPr>
        <w:pStyle w:val="NumberedParaAR"/>
        <w:numPr>
          <w:ilvl w:val="0"/>
          <w:numId w:val="0"/>
        </w:numPr>
        <w:ind w:left="566"/>
      </w:pPr>
      <w:r w:rsidRPr="00163F9D">
        <w:rPr>
          <w:rtl/>
        </w:rPr>
        <w:t>(ج)</w:t>
      </w:r>
      <w:r w:rsidRPr="00163F9D">
        <w:rPr>
          <w:rtl/>
        </w:rPr>
        <w:tab/>
        <w:t>تحدد الجمعية نسبة الدفعة وشروط تسديدها، بناء على اقتراح المدير العام وبعد الاطلاع على رأي لجنة التنسيق التابعة للمنظمة.</w:t>
      </w:r>
      <w:r>
        <w:rPr>
          <w:rFonts w:hint="cs"/>
          <w:rtl/>
        </w:rPr>
        <w:t>"</w:t>
      </w:r>
    </w:p>
    <w:p w:rsidR="00DF085C" w:rsidRPr="00DF085C" w:rsidRDefault="00DF085C" w:rsidP="00DF085C">
      <w:pPr>
        <w:pStyle w:val="NumberedParaAR"/>
      </w:pPr>
      <w:r>
        <w:rPr>
          <w:rFonts w:hint="cs"/>
          <w:rtl/>
        </w:rPr>
        <w:t xml:space="preserve">وترد الشروط المتعلقة بصندوق رأس المال العامل المقترح لاتحاد لشبونة مصحوبة بالمعلومات الأساسية المعنية مفصّلةً في الوثيقة </w:t>
      </w:r>
      <w:r>
        <w:t>LI/A/32/4</w:t>
      </w:r>
      <w:r>
        <w:rPr>
          <w:rFonts w:hint="cs"/>
          <w:rtl/>
          <w:lang w:val="fr-CH"/>
        </w:rPr>
        <w:t xml:space="preserve"> التي نقل نصها الكامل في المرفق.</w:t>
      </w:r>
    </w:p>
    <w:p w:rsidR="00055CDA" w:rsidRDefault="00055CDA">
      <w:pPr>
        <w:rPr>
          <w:rFonts w:ascii="Arabic Typesetting" w:hAnsi="Arabic Typesetting" w:cs="Arabic Typesetting"/>
          <w:i/>
          <w:iCs/>
          <w:sz w:val="36"/>
          <w:szCs w:val="36"/>
          <w:rtl/>
        </w:rPr>
      </w:pPr>
      <w:r>
        <w:rPr>
          <w:rtl/>
        </w:rPr>
        <w:br w:type="page"/>
      </w:r>
    </w:p>
    <w:p w:rsidR="00DF085C" w:rsidRDefault="00F5310A" w:rsidP="00F5310A">
      <w:pPr>
        <w:pStyle w:val="DecisionParaAR"/>
      </w:pPr>
      <w:r>
        <w:rPr>
          <w:rFonts w:hint="cs"/>
          <w:rtl/>
        </w:rPr>
        <w:lastRenderedPageBreak/>
        <w:t>عملا با</w:t>
      </w:r>
      <w:r w:rsidR="00DF085C">
        <w:rPr>
          <w:rFonts w:hint="cs"/>
          <w:rtl/>
        </w:rPr>
        <w:t xml:space="preserve">لمادة 11(7)(ج) من اتفاق لشبونة، </w:t>
      </w:r>
      <w:r>
        <w:rPr>
          <w:rFonts w:hint="cs"/>
          <w:rtl/>
        </w:rPr>
        <w:t xml:space="preserve">تُدعى </w:t>
      </w:r>
      <w:r w:rsidR="00DF085C">
        <w:rPr>
          <w:rFonts w:hint="cs"/>
          <w:rtl/>
        </w:rPr>
        <w:t xml:space="preserve">لجنة التنسيق مدعوة إلى </w:t>
      </w:r>
      <w:r>
        <w:rPr>
          <w:rFonts w:hint="cs"/>
          <w:rtl/>
        </w:rPr>
        <w:t xml:space="preserve">إسداء </w:t>
      </w:r>
      <w:r w:rsidR="00DF085C">
        <w:rPr>
          <w:rFonts w:hint="cs"/>
          <w:rtl/>
        </w:rPr>
        <w:t xml:space="preserve">مشورتها </w:t>
      </w:r>
      <w:r>
        <w:rPr>
          <w:rFonts w:hint="cs"/>
          <w:rtl/>
        </w:rPr>
        <w:t>ل</w:t>
      </w:r>
      <w:r w:rsidR="00DF085C">
        <w:rPr>
          <w:rFonts w:hint="cs"/>
          <w:rtl/>
        </w:rPr>
        <w:t xml:space="preserve">جمعية اتحاد لشبونة حول </w:t>
      </w:r>
      <w:r w:rsidR="00055CDA">
        <w:rPr>
          <w:rFonts w:hint="cs"/>
          <w:rtl/>
        </w:rPr>
        <w:t xml:space="preserve">اقتراح </w:t>
      </w:r>
      <w:r w:rsidR="00DF085C">
        <w:rPr>
          <w:rFonts w:hint="cs"/>
          <w:rtl/>
        </w:rPr>
        <w:t xml:space="preserve">إنشاء صندوق رأس مال عامل لاتحاد لشبونة، </w:t>
      </w:r>
      <w:r w:rsidR="00055CDA">
        <w:rPr>
          <w:rFonts w:hint="cs"/>
          <w:rtl/>
        </w:rPr>
        <w:t xml:space="preserve">كما هو وارد في </w:t>
      </w:r>
      <w:r w:rsidR="00DF085C">
        <w:rPr>
          <w:rFonts w:hint="cs"/>
          <w:rtl/>
        </w:rPr>
        <w:t xml:space="preserve">الوثيقة </w:t>
      </w:r>
      <w:r w:rsidR="00DF085C">
        <w:t>LI/A/32/4</w:t>
      </w:r>
      <w:r w:rsidR="00DF085C">
        <w:rPr>
          <w:rFonts w:hint="cs"/>
          <w:rtl/>
        </w:rPr>
        <w:t>.</w:t>
      </w:r>
    </w:p>
    <w:p w:rsidR="00DF085C" w:rsidRDefault="00055CDA" w:rsidP="00055CDA">
      <w:pPr>
        <w:pStyle w:val="EndofDocumentAR"/>
      </w:pPr>
      <w:r>
        <w:rPr>
          <w:rFonts w:hint="cs"/>
          <w:rtl/>
        </w:rPr>
        <w:t xml:space="preserve">[تلي ذلك الوثيقة </w:t>
      </w:r>
      <w:r>
        <w:t>LI/A/32/4</w:t>
      </w:r>
      <w:r>
        <w:rPr>
          <w:rFonts w:hint="cs"/>
          <w:rtl/>
        </w:rPr>
        <w:t>]</w:t>
      </w:r>
    </w:p>
    <w:p w:rsidR="00DF085C" w:rsidRDefault="00DF085C" w:rsidP="00DF085C">
      <w:pPr>
        <w:pStyle w:val="NormalParaAR"/>
      </w:pPr>
    </w:p>
    <w:p w:rsidR="00055CDA" w:rsidRDefault="00055CDA" w:rsidP="00DF085C">
      <w:pPr>
        <w:pStyle w:val="NormalParaAR"/>
      </w:pPr>
    </w:p>
    <w:p w:rsidR="00055CDA" w:rsidRDefault="00055CDA" w:rsidP="00DF085C">
      <w:pPr>
        <w:pStyle w:val="NormalParaAR"/>
        <w:rPr>
          <w:rtl/>
        </w:rPr>
        <w:sectPr w:rsidR="00055CDA"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12950E57" wp14:editId="7B53D16E">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438DD" w:rsidP="00D03002">
            <w:pPr>
              <w:pStyle w:val="DocumentCodeAR"/>
              <w:bidi/>
              <w:rPr>
                <w:rtl/>
              </w:rPr>
            </w:pPr>
            <w:r>
              <w:t>LI</w:t>
            </w:r>
            <w:r w:rsidR="00772E46">
              <w:t>/</w:t>
            </w:r>
            <w:r w:rsidR="0059089F">
              <w:t>A</w:t>
            </w:r>
            <w:r w:rsidR="00100F97">
              <w:t>/</w:t>
            </w:r>
            <w:r w:rsidR="006C69EA">
              <w:t>32</w:t>
            </w:r>
            <w:r w:rsidR="00B6101C" w:rsidRPr="00B6101C">
              <w:t>/</w:t>
            </w:r>
            <w:r w:rsidR="00D03002">
              <w:t>4</w:t>
            </w:r>
          </w:p>
        </w:tc>
      </w:tr>
      <w:tr w:rsidR="001667B6" w:rsidTr="00BF164F">
        <w:tc>
          <w:tcPr>
            <w:tcW w:w="9571" w:type="dxa"/>
            <w:gridSpan w:val="3"/>
          </w:tcPr>
          <w:p w:rsidR="001667B6" w:rsidRPr="00B6101C" w:rsidRDefault="00B6101C" w:rsidP="00D03002">
            <w:pPr>
              <w:pStyle w:val="DocumentLanguageAR"/>
              <w:bidi/>
              <w:rPr>
                <w:rtl/>
              </w:rPr>
            </w:pPr>
            <w:r w:rsidRPr="00B6101C">
              <w:rPr>
                <w:rFonts w:hint="cs"/>
                <w:rtl/>
              </w:rPr>
              <w:t xml:space="preserve">الأصل: </w:t>
            </w:r>
            <w:r w:rsidR="00D03002">
              <w:rPr>
                <w:rFonts w:hint="cs"/>
                <w:rtl/>
              </w:rPr>
              <w:t>بالإنكليزية</w:t>
            </w:r>
          </w:p>
        </w:tc>
      </w:tr>
      <w:tr w:rsidR="001667B6" w:rsidTr="00BF164F">
        <w:tc>
          <w:tcPr>
            <w:tcW w:w="9571" w:type="dxa"/>
            <w:gridSpan w:val="3"/>
          </w:tcPr>
          <w:p w:rsidR="001667B6" w:rsidRPr="00B6101C" w:rsidRDefault="00B6101C" w:rsidP="00D03002">
            <w:pPr>
              <w:pStyle w:val="DocumentDateAR"/>
              <w:bidi/>
              <w:rPr>
                <w:rtl/>
              </w:rPr>
            </w:pPr>
            <w:r w:rsidRPr="00B6101C">
              <w:rPr>
                <w:rFonts w:hint="cs"/>
                <w:rtl/>
              </w:rPr>
              <w:t xml:space="preserve">التاريخ: </w:t>
            </w:r>
            <w:r w:rsidR="00D03002">
              <w:rPr>
                <w:rFonts w:hint="cs"/>
                <w:rtl/>
              </w:rPr>
              <w:t xml:space="preserve">30 سبتمبر </w:t>
            </w:r>
            <w:r w:rsidR="006C69EA">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0438DD" w:rsidRDefault="000438DD" w:rsidP="000438DD">
      <w:pPr>
        <w:pStyle w:val="MeetingTitleAR"/>
        <w:bidi/>
        <w:rPr>
          <w:rtl/>
        </w:rPr>
      </w:pPr>
      <w:r>
        <w:rPr>
          <w:rFonts w:hint="cs"/>
          <w:rtl/>
        </w:rPr>
        <w:t>الاتحاد الخاص لحماية تسميات المنشأ وتسجيلها الدولي</w:t>
      </w:r>
    </w:p>
    <w:p w:rsidR="000438DD" w:rsidRPr="00840AF7" w:rsidRDefault="000438DD" w:rsidP="000438DD">
      <w:pPr>
        <w:pStyle w:val="NormalParaAR"/>
        <w:rPr>
          <w:rFonts w:cs="PT Bold Heading"/>
          <w:sz w:val="32"/>
          <w:szCs w:val="32"/>
          <w:rtl/>
        </w:rPr>
      </w:pPr>
      <w:r w:rsidRPr="00840AF7">
        <w:rPr>
          <w:rFonts w:cs="PT Bold Heading" w:hint="cs"/>
          <w:sz w:val="32"/>
          <w:szCs w:val="32"/>
          <w:rtl/>
        </w:rPr>
        <w:t xml:space="preserve">(اتحاد </w:t>
      </w:r>
      <w:r>
        <w:rPr>
          <w:rFonts w:cs="PT Bold Heading" w:hint="cs"/>
          <w:sz w:val="32"/>
          <w:szCs w:val="32"/>
          <w:rtl/>
        </w:rPr>
        <w:t>لشبونة</w:t>
      </w:r>
      <w:r w:rsidRPr="00840AF7">
        <w:rPr>
          <w:rFonts w:cs="PT Bold Heading" w:hint="cs"/>
          <w:sz w:val="32"/>
          <w:szCs w:val="32"/>
          <w:rtl/>
        </w:rPr>
        <w:t>)</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6C69EA">
      <w:pPr>
        <w:pStyle w:val="MeetingSessionAR"/>
        <w:bidi/>
        <w:rPr>
          <w:rFonts w:ascii="Cambria Math" w:hAnsi="Cambria Math"/>
          <w:rtl/>
        </w:rPr>
      </w:pPr>
      <w:r w:rsidRPr="0059089F">
        <w:rPr>
          <w:rFonts w:ascii="Cambria Math" w:hAnsi="Cambria Math"/>
          <w:rtl/>
        </w:rPr>
        <w:t xml:space="preserve">الدورة </w:t>
      </w:r>
      <w:r w:rsidR="006C69EA">
        <w:rPr>
          <w:rFonts w:ascii="Cambria Math" w:hAnsi="Cambria Math" w:hint="cs"/>
          <w:rtl/>
        </w:rPr>
        <w:t>الثانية</w:t>
      </w:r>
      <w:r w:rsidR="000438DD">
        <w:rPr>
          <w:rFonts w:ascii="Cambria Math" w:hAnsi="Cambria Math" w:hint="cs"/>
          <w:rtl/>
        </w:rPr>
        <w:t xml:space="preserve"> وال</w:t>
      </w:r>
      <w:r w:rsidR="001A3964">
        <w:rPr>
          <w:rFonts w:ascii="Cambria Math" w:hAnsi="Cambria Math" w:hint="cs"/>
          <w:rtl/>
        </w:rPr>
        <w:t>ثلاثون</w:t>
      </w:r>
      <w:r w:rsidR="000438DD">
        <w:rPr>
          <w:rFonts w:ascii="Cambria Math" w:hAnsi="Cambria Math" w:hint="cs"/>
          <w:rtl/>
        </w:rPr>
        <w:t xml:space="preserve"> </w:t>
      </w:r>
      <w:r w:rsidRPr="0059089F">
        <w:rPr>
          <w:rFonts w:ascii="Cambria Math" w:hAnsi="Cambria Math"/>
          <w:rtl/>
        </w:rPr>
        <w:t xml:space="preserve">(الدورة </w:t>
      </w:r>
      <w:r w:rsidR="006C69EA">
        <w:rPr>
          <w:rFonts w:ascii="Cambria Math" w:hAnsi="Cambria Math" w:hint="cs"/>
          <w:rtl/>
        </w:rPr>
        <w:t>العادية</w:t>
      </w:r>
      <w:r w:rsidR="001A3964">
        <w:rPr>
          <w:rFonts w:ascii="Cambria Math" w:hAnsi="Cambria Math" w:hint="cs"/>
          <w:rtl/>
        </w:rPr>
        <w:t xml:space="preserve"> الحادية </w:t>
      </w:r>
      <w:r w:rsidR="006C69EA">
        <w:rPr>
          <w:rFonts w:ascii="Cambria Math" w:hAnsi="Cambria Math" w:hint="cs"/>
          <w:rtl/>
        </w:rPr>
        <w:t>والعشرون</w:t>
      </w:r>
      <w:r w:rsidRPr="0059089F">
        <w:rPr>
          <w:rFonts w:ascii="Cambria Math" w:hAnsi="Cambria Math"/>
          <w:rtl/>
        </w:rPr>
        <w:t>)</w:t>
      </w:r>
    </w:p>
    <w:p w:rsidR="00D61541" w:rsidRPr="00D61541" w:rsidRDefault="00D61541" w:rsidP="006C69EA">
      <w:pPr>
        <w:pStyle w:val="MeetingDatesAR"/>
        <w:bidi/>
        <w:rPr>
          <w:rtl/>
        </w:rPr>
      </w:pPr>
      <w:r w:rsidRPr="00D61541">
        <w:rPr>
          <w:rFonts w:hint="cs"/>
          <w:rtl/>
        </w:rPr>
        <w:t xml:space="preserve">جنيف، من </w:t>
      </w:r>
      <w:r w:rsidR="006C69EA">
        <w:rPr>
          <w:rFonts w:hint="cs"/>
          <w:rtl/>
        </w:rPr>
        <w:t>5</w:t>
      </w:r>
      <w:r w:rsidR="00983389">
        <w:rPr>
          <w:rFonts w:hint="cs"/>
          <w:rtl/>
        </w:rPr>
        <w:t xml:space="preserve"> </w:t>
      </w:r>
      <w:r w:rsidR="001A3964">
        <w:rPr>
          <w:rFonts w:hint="cs"/>
          <w:rtl/>
        </w:rPr>
        <w:t xml:space="preserve">إلى </w:t>
      </w:r>
      <w:r w:rsidR="006C69EA">
        <w:rPr>
          <w:rFonts w:hint="cs"/>
          <w:rtl/>
        </w:rPr>
        <w:t>14</w:t>
      </w:r>
      <w:r w:rsidR="001A3964">
        <w:rPr>
          <w:rFonts w:hint="cs"/>
          <w:rtl/>
        </w:rPr>
        <w:t xml:space="preserve"> </w:t>
      </w:r>
      <w:r w:rsidR="006C69EA">
        <w:rPr>
          <w:rFonts w:hint="cs"/>
          <w:rtl/>
        </w:rPr>
        <w:t>أكتوبر</w:t>
      </w:r>
      <w:r w:rsidR="001A3964">
        <w:rPr>
          <w:rFonts w:hint="cs"/>
          <w:rtl/>
        </w:rPr>
        <w:t xml:space="preserve"> </w:t>
      </w:r>
      <w:r w:rsidR="006C69EA">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03002" w:rsidP="000A7F14">
      <w:pPr>
        <w:pStyle w:val="DocumentTitleAR"/>
        <w:bidi/>
        <w:rPr>
          <w:rtl/>
        </w:rPr>
      </w:pPr>
      <w:r>
        <w:rPr>
          <w:rFonts w:hint="cs"/>
          <w:rtl/>
        </w:rPr>
        <w:t xml:space="preserve">اقتراح </w:t>
      </w:r>
      <w:r w:rsidR="000A7F14">
        <w:rPr>
          <w:rFonts w:hint="cs"/>
          <w:rtl/>
          <w:lang w:val="fr-CH"/>
        </w:rPr>
        <w:t xml:space="preserve">من أجل </w:t>
      </w:r>
      <w:r>
        <w:rPr>
          <w:rFonts w:hint="cs"/>
          <w:rtl/>
        </w:rPr>
        <w:t>إنشاء رأس مال عامل لاتحاد لشبونة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D03002">
        <w:rPr>
          <w:rFonts w:hint="cs"/>
          <w:rtl/>
        </w:rPr>
        <w:t xml:space="preserve"> المكتب الدولي</w:t>
      </w:r>
    </w:p>
    <w:p w:rsidR="00D03002" w:rsidRPr="00D03002" w:rsidRDefault="00D03002" w:rsidP="00D03002">
      <w:pPr>
        <w:pStyle w:val="Heading1AR"/>
        <w:spacing w:after="240"/>
        <w:rPr>
          <w:rtl/>
        </w:rPr>
      </w:pPr>
      <w:r>
        <w:rPr>
          <w:rFonts w:hint="cs"/>
          <w:rtl/>
        </w:rPr>
        <w:t>مقدمة</w:t>
      </w:r>
    </w:p>
    <w:p w:rsidR="00D03002" w:rsidRDefault="00D03002" w:rsidP="0094470C">
      <w:pPr>
        <w:pStyle w:val="NumberedParaAR"/>
        <w:numPr>
          <w:ilvl w:val="0"/>
          <w:numId w:val="24"/>
        </w:numPr>
      </w:pPr>
      <w:r>
        <w:rPr>
          <w:rFonts w:hint="cs"/>
          <w:rtl/>
        </w:rPr>
        <w:t>خلال أعمال الدورة الرابعة والعشرين للجنة الويبو للبرنامج والميزانية وفي الفترة التي تلتها طلب أعضاء اتحاد لشبونة أن تقدَّم معلومات إضافية حول إنشاء صندوق رأس مال عامل لاتحاد لشبونة.</w:t>
      </w:r>
    </w:p>
    <w:p w:rsidR="00004183" w:rsidRDefault="00D03002" w:rsidP="00295367">
      <w:pPr>
        <w:pStyle w:val="NumberedParaAR"/>
      </w:pPr>
      <w:r>
        <w:rPr>
          <w:rFonts w:hint="cs"/>
          <w:rtl/>
        </w:rPr>
        <w:t>ويضع "اتفاق لشبونة لحماية تسميات المنشأ وتسجيلها على الصعيد الدولي"</w:t>
      </w:r>
      <w:r w:rsidR="00596B15">
        <w:rPr>
          <w:rFonts w:hint="cs"/>
          <w:rtl/>
        </w:rPr>
        <w:t xml:space="preserve"> (كما هو</w:t>
      </w:r>
      <w:r w:rsidR="00596B15" w:rsidRPr="00596B15">
        <w:rPr>
          <w:rtl/>
        </w:rPr>
        <w:t xml:space="preserve"> معدل في 28 سبتمبر 1979</w:t>
      </w:r>
      <w:r w:rsidR="00596B15">
        <w:rPr>
          <w:rFonts w:hint="cs"/>
          <w:rtl/>
        </w:rPr>
        <w:t>)</w:t>
      </w:r>
      <w:r>
        <w:rPr>
          <w:rFonts w:hint="cs"/>
          <w:rtl/>
        </w:rPr>
        <w:t xml:space="preserve"> </w:t>
      </w:r>
      <w:r w:rsidR="00596B15">
        <w:rPr>
          <w:rFonts w:hint="cs"/>
          <w:rtl/>
        </w:rPr>
        <w:t xml:space="preserve">(اتفاق لشبونة) </w:t>
      </w:r>
      <w:r>
        <w:rPr>
          <w:rFonts w:hint="cs"/>
          <w:rtl/>
        </w:rPr>
        <w:t xml:space="preserve">في </w:t>
      </w:r>
      <w:r w:rsidR="00596B15">
        <w:rPr>
          <w:rFonts w:hint="cs"/>
          <w:rtl/>
        </w:rPr>
        <w:t>مادته</w:t>
      </w:r>
      <w:r>
        <w:rPr>
          <w:rFonts w:hint="cs"/>
          <w:rtl/>
        </w:rPr>
        <w:t xml:space="preserve"> 11 الأحكام </w:t>
      </w:r>
      <w:r w:rsidR="00F6783E">
        <w:rPr>
          <w:rFonts w:hint="cs"/>
          <w:rtl/>
        </w:rPr>
        <w:t xml:space="preserve">ذات الصلة بتمويل اتحاد لشبونة. </w:t>
      </w:r>
      <w:r w:rsidR="00596B15">
        <w:rPr>
          <w:rFonts w:hint="cs"/>
          <w:rtl/>
        </w:rPr>
        <w:t>وتنص هذه المادة 11 على ما يلي: "</w:t>
      </w:r>
      <w:r w:rsidR="00596B15" w:rsidRPr="00596B15">
        <w:rPr>
          <w:rtl/>
        </w:rPr>
        <w:t>رسوم التسجيل الدولي التي تستوفى طبقا للمادة 7(2)</w:t>
      </w:r>
      <w:r w:rsidR="00596B15">
        <w:rPr>
          <w:rFonts w:hint="cs"/>
          <w:rtl/>
        </w:rPr>
        <w:t xml:space="preserve"> [من اتفاق لشبونة]</w:t>
      </w:r>
      <w:r w:rsidR="00596B15" w:rsidRPr="00596B15">
        <w:rPr>
          <w:rtl/>
        </w:rPr>
        <w:t>، والرسوم والمبالغ المستحقة عن الخدمات الأخرى التي يؤديها المكتب الدولي نيابة عن الاتحاد الخاص</w:t>
      </w:r>
      <w:r w:rsidR="00596B15">
        <w:rPr>
          <w:rFonts w:hint="cs"/>
          <w:rtl/>
        </w:rPr>
        <w:t xml:space="preserve">" هي سبل التمويل الأساسية للاتحاد. </w:t>
      </w:r>
      <w:r w:rsidR="00596B15" w:rsidRPr="00596B15">
        <w:rPr>
          <w:rtl/>
        </w:rPr>
        <w:t>وقد ثبت حتى الآن أن هذه الرسوم</w:t>
      </w:r>
      <w:r w:rsidR="0001663E">
        <w:t xml:space="preserve"> </w:t>
      </w:r>
      <w:r w:rsidR="00596B15" w:rsidRPr="00596B15">
        <w:rPr>
          <w:rtl/>
        </w:rPr>
        <w:t xml:space="preserve">غير كافية لتغطية نفقات الاتحاد، </w:t>
      </w:r>
      <w:r w:rsidR="00AD240A">
        <w:rPr>
          <w:rFonts w:hint="cs"/>
          <w:rtl/>
        </w:rPr>
        <w:t>و</w:t>
      </w:r>
      <w:r w:rsidR="00596B15" w:rsidRPr="00596B15">
        <w:rPr>
          <w:rtl/>
        </w:rPr>
        <w:t>التي بلغ مجم</w:t>
      </w:r>
      <w:r w:rsidR="00004183">
        <w:rPr>
          <w:rtl/>
        </w:rPr>
        <w:t xml:space="preserve">وعها 000 792 فرنك سويسري في </w:t>
      </w:r>
      <w:r w:rsidR="00004183">
        <w:rPr>
          <w:rFonts w:hint="cs"/>
          <w:rtl/>
        </w:rPr>
        <w:t xml:space="preserve">عام 2014. وبالنظر إلى </w:t>
      </w:r>
      <w:r w:rsidR="00004183" w:rsidRPr="00004183">
        <w:rPr>
          <w:rtl/>
        </w:rPr>
        <w:t>"</w:t>
      </w:r>
      <w:r w:rsidR="00004183">
        <w:rPr>
          <w:rFonts w:hint="cs"/>
          <w:rtl/>
        </w:rPr>
        <w:t>ال</w:t>
      </w:r>
      <w:r w:rsidR="00004183" w:rsidRPr="00004183">
        <w:rPr>
          <w:rtl/>
        </w:rPr>
        <w:t>اقتراح بشأن تحديث جدول الرسوم المنصوص عليه في المادة 23 من اللائحة التنفيذية لاتفاق لشبونة"</w:t>
      </w:r>
      <w:r w:rsidR="00004183">
        <w:rPr>
          <w:rStyle w:val="FootnoteReference"/>
          <w:rtl/>
        </w:rPr>
        <w:footnoteReference w:id="1"/>
      </w:r>
      <w:r w:rsidR="00004183" w:rsidRPr="00004183">
        <w:rPr>
          <w:rtl/>
        </w:rPr>
        <w:t xml:space="preserve"> الذي </w:t>
      </w:r>
      <w:r w:rsidR="00004183">
        <w:rPr>
          <w:rFonts w:hint="cs"/>
          <w:rtl/>
        </w:rPr>
        <w:t xml:space="preserve">قدِّم </w:t>
      </w:r>
      <w:r w:rsidR="00004183" w:rsidRPr="00004183">
        <w:rPr>
          <w:rtl/>
        </w:rPr>
        <w:t>إلى جمعية اتحاد لشبونة في دورتها الثانية والثلاثين (الدورة العادية الحادية والعشرين) في جنيف في الفترة من 5 إلى 14 أكتوبر 2015</w:t>
      </w:r>
      <w:r w:rsidR="00004183">
        <w:rPr>
          <w:rFonts w:hint="cs"/>
          <w:rtl/>
        </w:rPr>
        <w:t>، ف</w:t>
      </w:r>
      <w:r w:rsidR="00004183" w:rsidRPr="00004183">
        <w:rPr>
          <w:rtl/>
        </w:rPr>
        <w:t>قد يصل العجز السنوي المتوقع في 2016/17 إلى نحو 000 700 فرنك سويسري.</w:t>
      </w:r>
    </w:p>
    <w:p w:rsidR="00004183" w:rsidRDefault="00BE7C59" w:rsidP="00055CDA">
      <w:pPr>
        <w:pStyle w:val="NumberedParaAR"/>
      </w:pPr>
      <w:r>
        <w:rPr>
          <w:rFonts w:hint="cs"/>
          <w:rtl/>
        </w:rPr>
        <w:lastRenderedPageBreak/>
        <w:t>وتشير المادة 11(3)"5" من اتفاق لشبونة إلى إحدى السبل الأخرى لتمويل ميزانية اتحاد لشبونة وهي "</w:t>
      </w:r>
      <w:r w:rsidR="00004183" w:rsidRPr="00163F9D">
        <w:rPr>
          <w:rtl/>
        </w:rPr>
        <w:t xml:space="preserve">مساهمات البلدان الأعضاء في الاتحاد الخاص، وذلك إذا ما عجزت الإيرادات الواردة من المصادر المشار إليها في الفقرات الفرعية من "1" إلى "4" </w:t>
      </w:r>
      <w:r>
        <w:rPr>
          <w:rFonts w:hint="cs"/>
          <w:rtl/>
        </w:rPr>
        <w:t xml:space="preserve">[من المادة 11(3)، أي رسوم التسجيل الدولي، وحصيلة </w:t>
      </w:r>
      <w:r w:rsidRPr="00BE7C59">
        <w:rPr>
          <w:rtl/>
        </w:rPr>
        <w:t xml:space="preserve">بيع </w:t>
      </w:r>
      <w:r w:rsidR="00A855C5">
        <w:rPr>
          <w:rFonts w:hint="cs"/>
          <w:rtl/>
        </w:rPr>
        <w:t>ال</w:t>
      </w:r>
      <w:r w:rsidRPr="00BE7C59">
        <w:rPr>
          <w:rtl/>
        </w:rPr>
        <w:t xml:space="preserve">منشورات </w:t>
      </w:r>
      <w:r w:rsidR="00F53159">
        <w:rPr>
          <w:rtl/>
        </w:rPr>
        <w:t>والحقوق المرتبطة ب</w:t>
      </w:r>
      <w:r w:rsidRPr="00BE7C59">
        <w:rPr>
          <w:rtl/>
        </w:rPr>
        <w:t>ه</w:t>
      </w:r>
      <w:r w:rsidR="00F53159">
        <w:rPr>
          <w:rFonts w:hint="cs"/>
          <w:rtl/>
        </w:rPr>
        <w:t>ا،</w:t>
      </w:r>
      <w:r w:rsidRPr="00BE7C59">
        <w:rPr>
          <w:rtl/>
        </w:rPr>
        <w:t xml:space="preserve"> </w:t>
      </w:r>
      <w:r w:rsidR="00F53159">
        <w:rPr>
          <w:rFonts w:hint="cs"/>
          <w:rtl/>
        </w:rPr>
        <w:t>و</w:t>
      </w:r>
      <w:r w:rsidR="00F53159">
        <w:rPr>
          <w:rtl/>
        </w:rPr>
        <w:t>الهبات والوصايا والإعانات</w:t>
      </w:r>
      <w:r w:rsidR="00F53159">
        <w:rPr>
          <w:rFonts w:hint="cs"/>
          <w:rtl/>
        </w:rPr>
        <w:t>، و</w:t>
      </w:r>
      <w:r w:rsidR="00F53159">
        <w:rPr>
          <w:rtl/>
        </w:rPr>
        <w:t>الإيجار والفوائد والإيرادات المتنوعة الأخرى</w:t>
      </w:r>
      <w:r>
        <w:rPr>
          <w:rFonts w:hint="cs"/>
          <w:rtl/>
        </w:rPr>
        <w:t xml:space="preserve">] </w:t>
      </w:r>
      <w:r w:rsidR="00004183" w:rsidRPr="00163F9D">
        <w:rPr>
          <w:rtl/>
        </w:rPr>
        <w:t>عن تغطية مصروفات الاتحاد الخاص.</w:t>
      </w:r>
      <w:r w:rsidR="00F53159">
        <w:rPr>
          <w:rFonts w:hint="cs"/>
          <w:rtl/>
        </w:rPr>
        <w:t xml:space="preserve"> ومن الممكن تقديم نموذج افتراضي لهذه الاشتراكات الفردية على أساس الميزانية المقترحة لاتحاد لشبونة للثنائية 2016/17 وطبقا لأحكام المادة</w:t>
      </w:r>
      <w:r w:rsidR="00F53159">
        <w:rPr>
          <w:rFonts w:hint="eastAsia"/>
          <w:rtl/>
        </w:rPr>
        <w:t> </w:t>
      </w:r>
      <w:r w:rsidR="00F53159">
        <w:rPr>
          <w:rFonts w:hint="cs"/>
          <w:rtl/>
        </w:rPr>
        <w:t>11(5)(أ)</w:t>
      </w:r>
      <w:r w:rsidR="00F53159">
        <w:rPr>
          <w:rFonts w:hint="eastAsia"/>
          <w:rtl/>
        </w:rPr>
        <w:t> </w:t>
      </w:r>
      <w:r w:rsidR="00F53159">
        <w:rPr>
          <w:rFonts w:hint="cs"/>
          <w:rtl/>
        </w:rPr>
        <w:t>إلى (ج).</w:t>
      </w:r>
      <w:r w:rsidR="00A855C5">
        <w:rPr>
          <w:rFonts w:hint="cs"/>
          <w:rtl/>
        </w:rPr>
        <w:t xml:space="preserve"> </w:t>
      </w:r>
      <w:r w:rsidR="00F53159">
        <w:rPr>
          <w:rFonts w:hint="cs"/>
          <w:rtl/>
        </w:rPr>
        <w:t xml:space="preserve">وتقرّر المادة 11(5)(ج) على وجه الخصوص أن </w:t>
      </w:r>
      <w:r w:rsidR="00F53159" w:rsidRPr="00163F9D">
        <w:rPr>
          <w:rtl/>
        </w:rPr>
        <w:t>موعد استحقاق المساهمات</w:t>
      </w:r>
      <w:r w:rsidR="00F53159">
        <w:rPr>
          <w:rFonts w:hint="cs"/>
          <w:rtl/>
        </w:rPr>
        <w:t xml:space="preserve"> تحدّده الجمعية [أي</w:t>
      </w:r>
      <w:r w:rsidR="00055CDA">
        <w:rPr>
          <w:rFonts w:hint="eastAsia"/>
          <w:rtl/>
        </w:rPr>
        <w:t> </w:t>
      </w:r>
      <w:r w:rsidR="00F53159">
        <w:rPr>
          <w:rFonts w:hint="cs"/>
          <w:rtl/>
        </w:rPr>
        <w:t>جمعية اتحاد لشبونة].</w:t>
      </w:r>
    </w:p>
    <w:p w:rsidR="00571BA7" w:rsidRPr="00BA511B" w:rsidRDefault="00571BA7" w:rsidP="00BA511B">
      <w:pPr>
        <w:pStyle w:val="NumberedParaAR"/>
      </w:pPr>
      <w:r>
        <w:rPr>
          <w:rFonts w:hint="cs"/>
          <w:rtl/>
        </w:rPr>
        <w:t xml:space="preserve">وتوجّه المادة 11(7) من اتفاق لشبونة إنشاء صندوق رأس مال عامل نحو تغطية أي عجز في مصروفات تشغيل اتحاد لشبونة. ونتيجة لذلك، وكما هو مبيّن في الوثيقة </w:t>
      </w:r>
      <w:r>
        <w:t>WO/</w:t>
      </w:r>
      <w:proofErr w:type="spellStart"/>
      <w:r>
        <w:t>PBC</w:t>
      </w:r>
      <w:proofErr w:type="spellEnd"/>
      <w:r>
        <w:t>/24/16 Rev.</w:t>
      </w:r>
      <w:r>
        <w:rPr>
          <w:rFonts w:hint="cs"/>
          <w:rtl/>
          <w:lang w:val="fr-CH"/>
        </w:rPr>
        <w:t xml:space="preserve"> </w:t>
      </w:r>
      <w:proofErr w:type="spellStart"/>
      <w:r>
        <w:rPr>
          <w:rFonts w:hint="cs"/>
          <w:rtl/>
          <w:lang w:val="fr-CH"/>
        </w:rPr>
        <w:t>المعنونة</w:t>
      </w:r>
      <w:proofErr w:type="spellEnd"/>
      <w:r>
        <w:rPr>
          <w:rFonts w:hint="cs"/>
          <w:rtl/>
          <w:lang w:val="fr-CH"/>
        </w:rPr>
        <w:t xml:space="preserve"> "</w:t>
      </w:r>
      <w:r w:rsidRPr="00571BA7">
        <w:rPr>
          <w:rtl/>
          <w:lang w:val="fr-CH"/>
        </w:rPr>
        <w:t>خيارات من أجل الاستدامة المالية لاتحاد لشبونة</w:t>
      </w:r>
      <w:r>
        <w:rPr>
          <w:rFonts w:hint="cs"/>
          <w:rtl/>
          <w:lang w:val="fr-CH"/>
        </w:rPr>
        <w:t>"، فإن المدير العام هو الآن بصدد تقديم اقتراح بشأن الحصص والشروط الخاصة ب</w:t>
      </w:r>
      <w:r w:rsidR="00BA511B">
        <w:rPr>
          <w:rFonts w:hint="cs"/>
          <w:rtl/>
          <w:lang w:val="fr-CH"/>
        </w:rPr>
        <w:t xml:space="preserve">الإسهام في صندوق رأس المال العامل، من أجل تغطية أي عجز في مصروفات تشغيل اتحاد لشبونة، وبعد ذلك سوف يستمع الاتحاد إلى مشورة لجنة التنسيق في هذا الشأن (الوثيقة </w:t>
      </w:r>
      <w:r w:rsidR="002F77FB">
        <w:t>WO/CC</w:t>
      </w:r>
      <w:r w:rsidR="00BA511B">
        <w:t>/71/6</w:t>
      </w:r>
      <w:r w:rsidR="00BA511B">
        <w:rPr>
          <w:rFonts w:hint="cs"/>
          <w:rtl/>
          <w:lang w:val="fr-CH"/>
        </w:rPr>
        <w:t>).</w:t>
      </w:r>
    </w:p>
    <w:p w:rsidR="00BA511B" w:rsidRPr="00BA511B" w:rsidRDefault="00BA511B" w:rsidP="00EB4A61">
      <w:pPr>
        <w:pStyle w:val="Heading1AR"/>
        <w:spacing w:after="240"/>
      </w:pPr>
      <w:r>
        <w:rPr>
          <w:rFonts w:hint="cs"/>
          <w:rtl/>
        </w:rPr>
        <w:t xml:space="preserve">معلومات أساسية وسياسات </w:t>
      </w:r>
      <w:r w:rsidR="00EB4A61">
        <w:rPr>
          <w:rFonts w:hint="cs"/>
          <w:rtl/>
        </w:rPr>
        <w:t>ذات الصلة بإنشاء صندوق رأس مال عامل لاتحاد لشبونة</w:t>
      </w:r>
    </w:p>
    <w:p w:rsidR="00BA511B" w:rsidRDefault="00EB4A61" w:rsidP="00BA511B">
      <w:pPr>
        <w:pStyle w:val="NumberedParaAR"/>
      </w:pPr>
      <w:r>
        <w:rPr>
          <w:rFonts w:hint="cs"/>
          <w:rtl/>
        </w:rPr>
        <w:t>تنص المادة 11(7) من اتفاق لشبونة على ما يلي:</w:t>
      </w:r>
    </w:p>
    <w:p w:rsidR="002B7978" w:rsidRPr="00163F9D" w:rsidRDefault="002B7978" w:rsidP="002B7978">
      <w:pPr>
        <w:pStyle w:val="NumberedParaAR"/>
        <w:numPr>
          <w:ilvl w:val="0"/>
          <w:numId w:val="0"/>
        </w:numPr>
        <w:ind w:left="566"/>
        <w:rPr>
          <w:rtl/>
        </w:rPr>
      </w:pPr>
      <w:r>
        <w:rPr>
          <w:rFonts w:hint="cs"/>
          <w:rtl/>
        </w:rPr>
        <w:t>"</w:t>
      </w:r>
      <w:r w:rsidRPr="00163F9D">
        <w:rPr>
          <w:rtl/>
        </w:rPr>
        <w:t>(</w:t>
      </w:r>
      <w:r>
        <w:rPr>
          <w:rtl/>
        </w:rPr>
        <w:t>أ</w:t>
      </w:r>
      <w:r w:rsidRPr="00163F9D">
        <w:rPr>
          <w:rtl/>
        </w:rPr>
        <w:t>)</w:t>
      </w:r>
      <w:r w:rsidRPr="00163F9D">
        <w:rPr>
          <w:rtl/>
        </w:rPr>
        <w:tab/>
        <w:t>للاتحاد الخاص رأس مال عامل يتكون من دفعة واحدة يسددها كل بلد من بلدان الاتحاد الخاص. وتقرر الجمعية زيادة رأس المال هذا إذا أصبح غير كاف.</w:t>
      </w:r>
    </w:p>
    <w:p w:rsidR="002B7978" w:rsidRPr="00163F9D" w:rsidRDefault="002B7978" w:rsidP="002B7978">
      <w:pPr>
        <w:pStyle w:val="NumberedParaAR"/>
        <w:numPr>
          <w:ilvl w:val="0"/>
          <w:numId w:val="0"/>
        </w:numPr>
        <w:ind w:left="566"/>
        <w:rPr>
          <w:rtl/>
        </w:rPr>
      </w:pPr>
      <w:r>
        <w:rPr>
          <w:rFonts w:hint="cs"/>
          <w:rtl/>
        </w:rPr>
        <w:t>(</w:t>
      </w:r>
      <w:r w:rsidRPr="00163F9D">
        <w:rPr>
          <w:rtl/>
        </w:rPr>
        <w:t>ب)</w:t>
      </w:r>
      <w:r w:rsidRPr="00163F9D">
        <w:rPr>
          <w:rtl/>
        </w:rPr>
        <w:tab/>
        <w:t>يكون مقدار الدفعة الأولى التي يسددها كل بلد إلى رأس المال السالف الذكر أو اشتراكه في زيادته متناسبا مع مساهمة هذا البلد بصفته عضوا في اتحاد باريس لحماية الملكية الصناعية في ميزانية الاتحاد عن السنة التي يتكون فيها رأس المال أو تتقرر فيها زيادته.</w:t>
      </w:r>
    </w:p>
    <w:p w:rsidR="00EB4A61" w:rsidRDefault="002B7978" w:rsidP="002B7978">
      <w:pPr>
        <w:pStyle w:val="NumberedParaAR"/>
        <w:numPr>
          <w:ilvl w:val="0"/>
          <w:numId w:val="0"/>
        </w:numPr>
        <w:ind w:left="566"/>
      </w:pPr>
      <w:r w:rsidRPr="00163F9D">
        <w:rPr>
          <w:rtl/>
        </w:rPr>
        <w:t>(ج)</w:t>
      </w:r>
      <w:r w:rsidRPr="00163F9D">
        <w:rPr>
          <w:rtl/>
        </w:rPr>
        <w:tab/>
        <w:t>تحدد الجمعية نسبة الدفعة وشروط تسديدها، بناء على اقتراح المدير العام وبعد الاطلاع على رأي لجنة التنسيق التابعة للمنظمة.</w:t>
      </w:r>
      <w:r>
        <w:rPr>
          <w:rFonts w:hint="cs"/>
          <w:rtl/>
        </w:rPr>
        <w:t>"</w:t>
      </w:r>
    </w:p>
    <w:p w:rsidR="00F53159" w:rsidRDefault="001465C4" w:rsidP="00FD1A79">
      <w:pPr>
        <w:pStyle w:val="NumberedParaAR"/>
      </w:pPr>
      <w:r>
        <w:rPr>
          <w:rFonts w:hint="cs"/>
          <w:rtl/>
        </w:rPr>
        <w:t>وكما ورد في الوثيقة حول "الخيارات من أجل الاستدامة المالية لاتح</w:t>
      </w:r>
      <w:r w:rsidR="000C14B0">
        <w:rPr>
          <w:rFonts w:hint="cs"/>
          <w:rtl/>
          <w:lang w:val="fr-CH"/>
        </w:rPr>
        <w:t>ا</w:t>
      </w:r>
      <w:r>
        <w:rPr>
          <w:rFonts w:hint="cs"/>
          <w:rtl/>
        </w:rPr>
        <w:t xml:space="preserve">د لشبونة"، </w:t>
      </w:r>
      <w:r w:rsidRPr="001465C4">
        <w:rPr>
          <w:rtl/>
        </w:rPr>
        <w:t xml:space="preserve">يهدف صندوق رأس المال العامل إلى تمويل العمليات في حالة عدم وجود إيرادات كافية، بما في ذلك تغطية حالات التأخر في تحصيل الاشتراكات. ومن ثمَّ فإن الصندوق، بطبيعته، يرمي إلى أن يكون </w:t>
      </w:r>
      <w:r w:rsidR="00D80B1D">
        <w:rPr>
          <w:rFonts w:hint="cs"/>
          <w:rtl/>
        </w:rPr>
        <w:t>حلاّ</w:t>
      </w:r>
      <w:bookmarkStart w:id="2" w:name="_GoBack"/>
      <w:bookmarkEnd w:id="2"/>
      <w:r w:rsidR="00D80B1D">
        <w:rPr>
          <w:rFonts w:hint="cs"/>
          <w:rtl/>
        </w:rPr>
        <w:t>ً</w:t>
      </w:r>
      <w:r w:rsidR="00645AC1">
        <w:rPr>
          <w:rFonts w:hint="cs"/>
          <w:rtl/>
        </w:rPr>
        <w:t xml:space="preserve"> </w:t>
      </w:r>
      <w:r w:rsidRPr="001465C4">
        <w:rPr>
          <w:rtl/>
        </w:rPr>
        <w:t xml:space="preserve">مؤقتاً، إلى أن يحين الوقت الذي يتم فيه التوصل إلى حل مستدام </w:t>
      </w:r>
      <w:r>
        <w:rPr>
          <w:rFonts w:hint="cs"/>
          <w:rtl/>
        </w:rPr>
        <w:t>و</w:t>
      </w:r>
      <w:r w:rsidRPr="001465C4">
        <w:rPr>
          <w:rtl/>
        </w:rPr>
        <w:t xml:space="preserve">أكثر استمراراً من خلال </w:t>
      </w:r>
      <w:r>
        <w:rPr>
          <w:rFonts w:hint="cs"/>
          <w:rtl/>
        </w:rPr>
        <w:t xml:space="preserve">مصادر تمويل أخرى كما هو منصوص عليه في المادة 11(3) من اتفاق لشبونة. </w:t>
      </w:r>
      <w:r w:rsidRPr="001465C4">
        <w:rPr>
          <w:rtl/>
        </w:rPr>
        <w:t>والاشتراكات التي تُقدَّم إلى صندوق رأس المال العامل، التي تظل مستحقةً للدول الأعضاء، يمكن بعد ذلك أن تكون قابلة للاسترداد إذا أصبحت الإيرادات كافية لتمويل العمليات</w:t>
      </w:r>
      <w:r>
        <w:rPr>
          <w:rFonts w:hint="cs"/>
          <w:rtl/>
        </w:rPr>
        <w:t xml:space="preserve">. </w:t>
      </w:r>
      <w:r w:rsidRPr="001465C4">
        <w:rPr>
          <w:rtl/>
        </w:rPr>
        <w:t>وقد أُنشئت صناديق ر</w:t>
      </w:r>
      <w:r>
        <w:rPr>
          <w:rFonts w:hint="cs"/>
          <w:rtl/>
        </w:rPr>
        <w:t>ؤو</w:t>
      </w:r>
      <w:r w:rsidRPr="001465C4">
        <w:rPr>
          <w:rtl/>
        </w:rPr>
        <w:t xml:space="preserve">س </w:t>
      </w:r>
      <w:r>
        <w:rPr>
          <w:rFonts w:hint="cs"/>
          <w:rtl/>
        </w:rPr>
        <w:t xml:space="preserve">الأموال </w:t>
      </w:r>
      <w:r w:rsidRPr="001465C4">
        <w:rPr>
          <w:rtl/>
        </w:rPr>
        <w:t>العامل</w:t>
      </w:r>
      <w:r>
        <w:rPr>
          <w:rFonts w:hint="cs"/>
          <w:rtl/>
        </w:rPr>
        <w:t>ة</w:t>
      </w:r>
      <w:r w:rsidRPr="001465C4">
        <w:rPr>
          <w:rtl/>
        </w:rPr>
        <w:t xml:space="preserve"> الخاصة باتحاد معاهدة التعاون بشأن البراءات واتحاد مدريد واتحاد لاهاي في عام 1983 وعام 1979 وعام 1978</w:t>
      </w:r>
      <w:r>
        <w:rPr>
          <w:rFonts w:hint="cs"/>
          <w:rtl/>
        </w:rPr>
        <w:t>،</w:t>
      </w:r>
      <w:r w:rsidRPr="001465C4">
        <w:rPr>
          <w:rtl/>
        </w:rPr>
        <w:t xml:space="preserve"> على التوالي. ومن المقترح أن يُعاد رأس المال العامل الخاص باتحاد معاهدة التعاون بشأن البراءات إلى الدول الأعضاء في اتحاد المعاهدة عبر خصومات من مبالغ فواتير الاشتراكات في الثنائية</w:t>
      </w:r>
      <w:r>
        <w:rPr>
          <w:rFonts w:hint="cs"/>
          <w:rtl/>
        </w:rPr>
        <w:t>2016/17</w:t>
      </w:r>
      <w:r>
        <w:rPr>
          <w:rStyle w:val="FootnoteReference"/>
          <w:rtl/>
        </w:rPr>
        <w:footnoteReference w:id="2"/>
      </w:r>
      <w:r>
        <w:rPr>
          <w:rFonts w:hint="cs"/>
          <w:rtl/>
        </w:rPr>
        <w:t>.</w:t>
      </w:r>
    </w:p>
    <w:p w:rsidR="001465C4" w:rsidRDefault="001465C4" w:rsidP="00C15501">
      <w:pPr>
        <w:pStyle w:val="NumberedParaAR"/>
      </w:pPr>
      <w:r w:rsidRPr="001465C4">
        <w:rPr>
          <w:rtl/>
        </w:rPr>
        <w:lastRenderedPageBreak/>
        <w:t>و</w:t>
      </w:r>
      <w:r>
        <w:rPr>
          <w:rFonts w:hint="cs"/>
          <w:rtl/>
        </w:rPr>
        <w:t xml:space="preserve">يعرّف نظام الويبو المالي ولائحته </w:t>
      </w:r>
      <w:r>
        <w:rPr>
          <w:rtl/>
        </w:rPr>
        <w:t xml:space="preserve">صناديق </w:t>
      </w:r>
      <w:r>
        <w:rPr>
          <w:rFonts w:hint="cs"/>
          <w:rtl/>
        </w:rPr>
        <w:t>ر</w:t>
      </w:r>
      <w:r w:rsidR="00C15501">
        <w:rPr>
          <w:rFonts w:hint="cs"/>
          <w:rtl/>
        </w:rPr>
        <w:t>ؤو</w:t>
      </w:r>
      <w:r>
        <w:rPr>
          <w:rFonts w:hint="cs"/>
          <w:rtl/>
        </w:rPr>
        <w:t xml:space="preserve">س </w:t>
      </w:r>
      <w:r w:rsidR="00C15501">
        <w:rPr>
          <w:rFonts w:hint="cs"/>
          <w:rtl/>
        </w:rPr>
        <w:t xml:space="preserve">الأموال </w:t>
      </w:r>
      <w:r w:rsidRPr="001465C4">
        <w:rPr>
          <w:rtl/>
        </w:rPr>
        <w:t>العامل</w:t>
      </w:r>
      <w:r w:rsidR="00C15501">
        <w:rPr>
          <w:rFonts w:hint="cs"/>
          <w:rtl/>
        </w:rPr>
        <w:t>ة</w:t>
      </w:r>
      <w:r w:rsidRPr="001465C4">
        <w:rPr>
          <w:rtl/>
        </w:rPr>
        <w:t xml:space="preserve"> </w:t>
      </w:r>
      <w:r>
        <w:rPr>
          <w:rFonts w:hint="cs"/>
          <w:rtl/>
        </w:rPr>
        <w:t xml:space="preserve">كما يلي: </w:t>
      </w:r>
      <w:r w:rsidRPr="00B035CD">
        <w:rPr>
          <w:rFonts w:hint="cs"/>
          <w:rtl/>
        </w:rPr>
        <w:t>تعني عبارة "صناديق رأس المال العامل" الصناديق المنشأة لتمويل اعتمادات بشكل سلف في حالة وجود عجز مؤقت في السيولة ولأغراض أخرى تقررها جمعيات الدول الأعضاء والاتحادات، كل فيما يخصه</w:t>
      </w:r>
      <w:r w:rsidR="00784CC8">
        <w:rPr>
          <w:rFonts w:hint="cs"/>
          <w:rtl/>
        </w:rPr>
        <w:t>.</w:t>
      </w:r>
      <w:r>
        <w:rPr>
          <w:rFonts w:hint="cs"/>
          <w:rtl/>
        </w:rPr>
        <w:t xml:space="preserve">" </w:t>
      </w:r>
      <w:r w:rsidRPr="00784CC8">
        <w:rPr>
          <w:rFonts w:hint="cs"/>
          <w:i/>
          <w:iCs/>
          <w:rtl/>
        </w:rPr>
        <w:t>(</w:t>
      </w:r>
      <w:r w:rsidR="00784CC8" w:rsidRPr="00784CC8">
        <w:rPr>
          <w:rFonts w:hint="cs"/>
          <w:i/>
          <w:iCs/>
          <w:rtl/>
        </w:rPr>
        <w:t>القاعدة 3.101(ف) من النظام المالي ولائحته).</w:t>
      </w:r>
    </w:p>
    <w:p w:rsidR="001465C4" w:rsidRDefault="00C15501" w:rsidP="001465C4">
      <w:pPr>
        <w:pStyle w:val="NumberedParaAR"/>
      </w:pPr>
      <w:r>
        <w:rPr>
          <w:rFonts w:hint="cs"/>
          <w:rtl/>
        </w:rPr>
        <w:t>وينص النظام المالي ولائحته أيضا على ما يلي:</w:t>
      </w:r>
    </w:p>
    <w:p w:rsidR="00C15501" w:rsidRPr="00C15501" w:rsidRDefault="00C15501" w:rsidP="00C15501">
      <w:pPr>
        <w:pStyle w:val="NumberedParaAR"/>
        <w:keepNext/>
        <w:numPr>
          <w:ilvl w:val="0"/>
          <w:numId w:val="0"/>
        </w:numPr>
        <w:ind w:left="566"/>
        <w:rPr>
          <w:b/>
          <w:bCs/>
          <w:rtl/>
        </w:rPr>
      </w:pPr>
      <w:r w:rsidRPr="00C15501">
        <w:rPr>
          <w:rFonts w:hint="cs"/>
          <w:b/>
          <w:bCs/>
          <w:rtl/>
        </w:rPr>
        <w:t>صناديق رؤوس الأموال العاملة</w:t>
      </w:r>
    </w:p>
    <w:p w:rsidR="00C15501" w:rsidRPr="00C15501" w:rsidRDefault="00C15501" w:rsidP="00C15501">
      <w:pPr>
        <w:pStyle w:val="NumberedParaAR"/>
        <w:keepNext/>
        <w:numPr>
          <w:ilvl w:val="0"/>
          <w:numId w:val="0"/>
        </w:numPr>
        <w:spacing w:after="0"/>
        <w:ind w:left="567"/>
        <w:rPr>
          <w:b/>
          <w:bCs/>
          <w:rtl/>
        </w:rPr>
      </w:pPr>
      <w:r w:rsidRPr="00C15501">
        <w:rPr>
          <w:rFonts w:hint="cs"/>
          <w:b/>
          <w:bCs/>
          <w:rtl/>
        </w:rPr>
        <w:t>المادة 2.4</w:t>
      </w:r>
    </w:p>
    <w:p w:rsidR="00C15501" w:rsidRPr="00B035CD" w:rsidRDefault="00C15501" w:rsidP="00C15501">
      <w:pPr>
        <w:pStyle w:val="NumberedParaAR"/>
        <w:numPr>
          <w:ilvl w:val="0"/>
          <w:numId w:val="0"/>
        </w:numPr>
        <w:ind w:left="566"/>
        <w:rPr>
          <w:rtl/>
        </w:rPr>
      </w:pPr>
      <w:r w:rsidRPr="00B035CD">
        <w:rPr>
          <w:rFonts w:hint="cs"/>
          <w:rtl/>
        </w:rPr>
        <w:t xml:space="preserve">تنشأ صناديق رؤوس الأموال العاملة للمنظمة ولاتحادات باريس وبرن ومدريد ولاهاي والتصنيف الدولي للبراءات ونيس ومعاهدة التعاون بشأن البراءات ولشبونة </w:t>
      </w:r>
      <w:proofErr w:type="spellStart"/>
      <w:r w:rsidRPr="00B035CD">
        <w:rPr>
          <w:rFonts w:hint="cs"/>
          <w:rtl/>
        </w:rPr>
        <w:t>ولوكارنو</w:t>
      </w:r>
      <w:proofErr w:type="spellEnd"/>
      <w:r w:rsidRPr="00B035CD">
        <w:rPr>
          <w:rFonts w:hint="cs"/>
          <w:rtl/>
        </w:rPr>
        <w:t xml:space="preserve"> وفيينا بالمبالغ التي تحددها جمعيات الدول الأعضاء وجمعيات الاتحادات، كل فيما يخصه. </w:t>
      </w:r>
    </w:p>
    <w:p w:rsidR="00C15501" w:rsidRPr="00C15501" w:rsidRDefault="00C15501" w:rsidP="00C15501">
      <w:pPr>
        <w:pStyle w:val="NumberedParaAR"/>
        <w:keepNext/>
        <w:numPr>
          <w:ilvl w:val="0"/>
          <w:numId w:val="0"/>
        </w:numPr>
        <w:spacing w:after="0"/>
        <w:ind w:left="567"/>
        <w:rPr>
          <w:b/>
          <w:bCs/>
          <w:rtl/>
        </w:rPr>
      </w:pPr>
      <w:r w:rsidRPr="00C15501">
        <w:rPr>
          <w:rFonts w:hint="cs"/>
          <w:b/>
          <w:bCs/>
          <w:rtl/>
        </w:rPr>
        <w:t>المادة 3.4</w:t>
      </w:r>
    </w:p>
    <w:p w:rsidR="00C15501" w:rsidRPr="00B035CD" w:rsidRDefault="00C15501" w:rsidP="00C15501">
      <w:pPr>
        <w:pStyle w:val="NumberedParaAR"/>
        <w:numPr>
          <w:ilvl w:val="0"/>
          <w:numId w:val="0"/>
        </w:numPr>
        <w:ind w:left="566"/>
      </w:pPr>
      <w:r w:rsidRPr="00B035CD">
        <w:rPr>
          <w:rFonts w:hint="cs"/>
          <w:rtl/>
        </w:rPr>
        <w:t>يستفاد من صناديق رؤوس الأموال العاملة، قدر الإمكان، باعتبارها سلفاً لتمويل اعتمادات الميزانية التي لا تغطيها الأموال النقدية المتاحة، وللأغراض الأخرى التي تحددها جمعيات الدول الأعضاء وجمعيات الاتحادات، كل فيما يخصه.</w:t>
      </w:r>
    </w:p>
    <w:p w:rsidR="00C15501" w:rsidRPr="00C15501" w:rsidRDefault="00C15501" w:rsidP="00C15501">
      <w:pPr>
        <w:pStyle w:val="NumberedParaAR"/>
        <w:keepNext/>
        <w:numPr>
          <w:ilvl w:val="0"/>
          <w:numId w:val="0"/>
        </w:numPr>
        <w:spacing w:after="0"/>
        <w:ind w:left="567"/>
        <w:rPr>
          <w:b/>
          <w:bCs/>
          <w:rtl/>
        </w:rPr>
      </w:pPr>
      <w:r w:rsidRPr="00C15501">
        <w:rPr>
          <w:rFonts w:hint="cs"/>
          <w:b/>
          <w:bCs/>
          <w:rtl/>
        </w:rPr>
        <w:t>المادة 4.4</w:t>
      </w:r>
    </w:p>
    <w:p w:rsidR="00C15501" w:rsidRPr="00B035CD" w:rsidRDefault="00C15501" w:rsidP="00C15501">
      <w:pPr>
        <w:pStyle w:val="NumberedParaAR"/>
        <w:numPr>
          <w:ilvl w:val="0"/>
          <w:numId w:val="0"/>
        </w:numPr>
        <w:ind w:left="566"/>
        <w:rPr>
          <w:b/>
          <w:bCs/>
        </w:rPr>
      </w:pPr>
      <w:r w:rsidRPr="00B035CD">
        <w:rPr>
          <w:rFonts w:hint="cs"/>
          <w:rtl/>
        </w:rPr>
        <w:t>السلف المسحوبة من صناديق رؤوس الأموال العاملة لتمويل اعتمادات الميزانية تُرد إلى الصناديق بمجرد توافر الإيرادات اللازمة لتحقيق هذا الغرض وبالقدر الذي تسمح به هذه الإيرادات.</w:t>
      </w:r>
      <w:r w:rsidRPr="00B035CD">
        <w:rPr>
          <w:rFonts w:hint="cs"/>
          <w:b/>
          <w:bCs/>
          <w:rtl/>
        </w:rPr>
        <w:t xml:space="preserve"> </w:t>
      </w:r>
    </w:p>
    <w:p w:rsidR="00C15501" w:rsidRDefault="00161201" w:rsidP="00161201">
      <w:pPr>
        <w:pStyle w:val="Heading1AR"/>
        <w:spacing w:after="240"/>
      </w:pPr>
      <w:r>
        <w:rPr>
          <w:rFonts w:hint="cs"/>
          <w:rtl/>
        </w:rPr>
        <w:t>صندوق رأس المال العامل لاتحاد لشبونة: مستواه في البداية وإدارته وتقاريره</w:t>
      </w:r>
    </w:p>
    <w:p w:rsidR="00161201" w:rsidRDefault="00161201" w:rsidP="00214E53">
      <w:pPr>
        <w:pStyle w:val="NumberedParaAR"/>
      </w:pPr>
      <w:r>
        <w:rPr>
          <w:rFonts w:hint="cs"/>
          <w:rtl/>
        </w:rPr>
        <w:t xml:space="preserve">من المقترح أن يكون مستوى صندوق رأس المال العامل </w:t>
      </w:r>
      <w:r w:rsidR="00214E53">
        <w:rPr>
          <w:rFonts w:hint="cs"/>
          <w:rtl/>
        </w:rPr>
        <w:t>لا</w:t>
      </w:r>
      <w:r>
        <w:rPr>
          <w:rFonts w:hint="cs"/>
          <w:rtl/>
        </w:rPr>
        <w:t xml:space="preserve">تحاد لشبونة في البداية </w:t>
      </w:r>
      <w:r w:rsidR="00214E53">
        <w:rPr>
          <w:rFonts w:hint="cs"/>
          <w:rtl/>
        </w:rPr>
        <w:t xml:space="preserve">مليوني (2) </w:t>
      </w:r>
      <w:r>
        <w:rPr>
          <w:rFonts w:hint="cs"/>
          <w:rtl/>
        </w:rPr>
        <w:t xml:space="preserve">فرنك سويسري، على أساس نتائج التشغيل السلبية المتوقعة لاتحاد لشبونة </w:t>
      </w:r>
      <w:r w:rsidR="00B7388E">
        <w:rPr>
          <w:rFonts w:hint="cs"/>
          <w:rtl/>
        </w:rPr>
        <w:t>في الثنائية 2016/17</w:t>
      </w:r>
      <w:r w:rsidR="00B7388E">
        <w:rPr>
          <w:rStyle w:val="FootnoteReference"/>
          <w:rtl/>
        </w:rPr>
        <w:footnoteReference w:id="3"/>
      </w:r>
      <w:r w:rsidR="00B7388E">
        <w:rPr>
          <w:rFonts w:hint="cs"/>
          <w:rtl/>
        </w:rPr>
        <w:t>.</w:t>
      </w:r>
      <w:r w:rsidR="00877C7C">
        <w:rPr>
          <w:rFonts w:hint="cs"/>
          <w:rtl/>
        </w:rPr>
        <w:t xml:space="preserve"> وبناء على المادة 11(7) من اتفاق لشبونة، "</w:t>
      </w:r>
      <w:r w:rsidR="00877C7C" w:rsidRPr="00877C7C">
        <w:rPr>
          <w:rtl/>
        </w:rPr>
        <w:t>يكون مقدار الدفعة الأولى التي يسددها كل بلد إلى رأس المال السالف الذكر</w:t>
      </w:r>
      <w:r w:rsidR="00877C7C">
        <w:rPr>
          <w:rFonts w:hint="cs"/>
          <w:rtl/>
        </w:rPr>
        <w:t>" ... "</w:t>
      </w:r>
      <w:r w:rsidR="00877C7C" w:rsidRPr="00877C7C">
        <w:rPr>
          <w:rtl/>
        </w:rPr>
        <w:t>متناسبا مع مساهمة هذا البلد بصفته عضوا في اتحاد باريس لحماية الملكية الصناعية</w:t>
      </w:r>
      <w:r w:rsidR="00877C7C">
        <w:rPr>
          <w:rFonts w:hint="cs"/>
          <w:rtl/>
        </w:rPr>
        <w:t xml:space="preserve">". </w:t>
      </w:r>
      <w:r w:rsidR="00105663">
        <w:rPr>
          <w:rFonts w:hint="cs"/>
          <w:rtl/>
        </w:rPr>
        <w:t xml:space="preserve">وعملا بقرار جمعيات الدول الأعضاء في الويبو، خلال سلسلة اجتماعاتها التاسعة والثلاثين، من 22 سبتمبر إلى 1 أكتوبر 2003، في جنيف (الوثيقة </w:t>
      </w:r>
      <w:r w:rsidR="00105663">
        <w:t>A/39/15</w:t>
      </w:r>
      <w:r w:rsidR="00105663">
        <w:rPr>
          <w:rFonts w:hint="cs"/>
          <w:rtl/>
        </w:rPr>
        <w:t xml:space="preserve">)، فإن اشتراكات الدول الأعضاء تُدفع طبقا </w:t>
      </w:r>
      <w:r w:rsidR="00A34436">
        <w:rPr>
          <w:rFonts w:hint="cs"/>
          <w:rtl/>
        </w:rPr>
        <w:t xml:space="preserve">لفئات </w:t>
      </w:r>
      <w:r w:rsidR="00105663">
        <w:rPr>
          <w:rFonts w:hint="cs"/>
          <w:rtl/>
        </w:rPr>
        <w:t xml:space="preserve">النظام الأحادي. ومن المقترح بالتالي أن تكون </w:t>
      </w:r>
      <w:r w:rsidR="00D1617D">
        <w:rPr>
          <w:rFonts w:hint="cs"/>
          <w:rtl/>
        </w:rPr>
        <w:t>الاشتراكات</w:t>
      </w:r>
      <w:r w:rsidR="00105663">
        <w:rPr>
          <w:rFonts w:hint="cs"/>
          <w:rtl/>
        </w:rPr>
        <w:t xml:space="preserve"> الأولى في صندوق رأس المال العامل لاتحاد لشبونة بحسب كل بلد قائمة على </w:t>
      </w:r>
      <w:r w:rsidR="00A34436">
        <w:rPr>
          <w:rFonts w:hint="cs"/>
          <w:rtl/>
        </w:rPr>
        <w:t>فئات</w:t>
      </w:r>
      <w:r w:rsidR="00105663">
        <w:rPr>
          <w:rFonts w:hint="cs"/>
          <w:rtl/>
        </w:rPr>
        <w:t xml:space="preserve"> </w:t>
      </w:r>
      <w:r w:rsidR="00A34436">
        <w:rPr>
          <w:rFonts w:hint="cs"/>
          <w:rtl/>
        </w:rPr>
        <w:t xml:space="preserve">الاشتراكات </w:t>
      </w:r>
      <w:r w:rsidR="00105663">
        <w:rPr>
          <w:rFonts w:hint="cs"/>
          <w:rtl/>
        </w:rPr>
        <w:t>ذاتها المدرجة في مرفق هذه الوثيقة.</w:t>
      </w:r>
    </w:p>
    <w:p w:rsidR="00D1617D" w:rsidRDefault="00D1617D" w:rsidP="00D1617D">
      <w:pPr>
        <w:pStyle w:val="NumberedParaAR"/>
      </w:pPr>
      <w:r>
        <w:rPr>
          <w:rFonts w:hint="cs"/>
          <w:rtl/>
        </w:rPr>
        <w:t>وستقيّد أمانة الويبو الاشتراكات الأولى لصندوق رأس المال العامل لاتحاد لشبونة لحساب كل بلد، كما هو مبيّن في المرفق، في 1 يناير 2016، على يكون تاريخ استحقاق الدفع هو 30 يونيو 2016.</w:t>
      </w:r>
    </w:p>
    <w:p w:rsidR="00D1617D" w:rsidRDefault="00D1617D" w:rsidP="00D1617D">
      <w:pPr>
        <w:pStyle w:val="NumberedParaAR"/>
      </w:pPr>
      <w:r>
        <w:rPr>
          <w:rFonts w:hint="cs"/>
          <w:rtl/>
        </w:rPr>
        <w:t>وسيُستعمل صندوق رأس المال العامل لاتحاد لشبونة من أجل تغطية أي عجز تشغيلي لاتحاد لشبونة على أساس سنوي كما هو مبيّن في الملاحظة 28: إعداد تقارير القطاعات (الإيرادات والمصروفات والاحتياطي بحسب كل قطاع) في التقرير المالي السنوي والبيانات المالية الس</w:t>
      </w:r>
      <w:r w:rsidR="00A029FD">
        <w:rPr>
          <w:rFonts w:hint="cs"/>
          <w:rtl/>
        </w:rPr>
        <w:t>نوية للويبو. وسيدوّن رصيد صندوق رأس المال العامل لاتحاد لشبونة في التقرير المالي السنوي والبيانات المالية السنوية للويبو.</w:t>
      </w:r>
    </w:p>
    <w:p w:rsidR="00A029FD" w:rsidRDefault="00A029FD" w:rsidP="00214E53">
      <w:pPr>
        <w:pStyle w:val="NumberedParaAR"/>
      </w:pPr>
      <w:r>
        <w:rPr>
          <w:rFonts w:hint="cs"/>
          <w:rtl/>
        </w:rPr>
        <w:lastRenderedPageBreak/>
        <w:t>أما الاقتراحات الرامية إلى تعبئة صندوق رأس المال العامل لاتحاد لشبونة فستقدم إلى جمعية اتحاد لشبونة وستكون قائمة على اعتبارات تتعلق بأي قيد لاحق لعجز فعلي غير ممول لاتحاد لشبونة، وعلى إسقاطات نتائج التشغيل في الثنائيات التالية</w:t>
      </w:r>
      <w:r w:rsidR="00C4152D">
        <w:rPr>
          <w:rFonts w:hint="cs"/>
          <w:rtl/>
        </w:rPr>
        <w:t>،</w:t>
      </w:r>
      <w:r>
        <w:rPr>
          <w:rFonts w:hint="cs"/>
          <w:rtl/>
        </w:rPr>
        <w:t xml:space="preserve"> و</w:t>
      </w:r>
      <w:r w:rsidR="00C4152D">
        <w:rPr>
          <w:rFonts w:hint="cs"/>
          <w:rtl/>
        </w:rPr>
        <w:t xml:space="preserve">على </w:t>
      </w:r>
      <w:r>
        <w:rPr>
          <w:rFonts w:hint="cs"/>
          <w:rtl/>
        </w:rPr>
        <w:t>الرصيد المتاح المتبقي من صندوق رأس المال العامل لاتحاد لشبونة.</w:t>
      </w:r>
    </w:p>
    <w:p w:rsidR="00A029FD" w:rsidRDefault="00C4152D" w:rsidP="00A029FD">
      <w:pPr>
        <w:pStyle w:val="DecisionParaAR"/>
      </w:pPr>
      <w:r>
        <w:rPr>
          <w:rFonts w:hint="cs"/>
          <w:rtl/>
        </w:rPr>
        <w:t>إن الجمعية، بعد أن استم</w:t>
      </w:r>
      <w:r w:rsidR="00A029FD">
        <w:rPr>
          <w:rFonts w:hint="cs"/>
          <w:rtl/>
        </w:rPr>
        <w:t xml:space="preserve">عت إلى مشورة لجنة التنسيق، مدعوة إلى اتخاذ قرار بإنشاء صندوق رأس مال عامل لاتحاد لشبونة، بحصص الدفع وشروطه المبيّنة في الفقرات 8 إلى 11 من الوثيقة </w:t>
      </w:r>
      <w:r w:rsidR="00A029FD">
        <w:t>LI/A/32/4</w:t>
      </w:r>
      <w:r w:rsidR="00A029FD">
        <w:rPr>
          <w:rFonts w:hint="cs"/>
          <w:rtl/>
        </w:rPr>
        <w:t>.</w:t>
      </w:r>
    </w:p>
    <w:p w:rsidR="00A029FD" w:rsidRDefault="00A029FD" w:rsidP="00A029FD">
      <w:pPr>
        <w:pStyle w:val="EndofDocumentAR"/>
        <w:rPr>
          <w:rtl/>
        </w:rPr>
      </w:pPr>
      <w:r>
        <w:rPr>
          <w:rFonts w:hint="cs"/>
          <w:rtl/>
        </w:rPr>
        <w:t>[يلي ذلك المرفق]</w:t>
      </w:r>
    </w:p>
    <w:p w:rsidR="00571BA7" w:rsidRDefault="00571BA7" w:rsidP="00571BA7">
      <w:pPr>
        <w:pStyle w:val="NormalParaAR"/>
        <w:rPr>
          <w:rtl/>
        </w:rPr>
      </w:pPr>
    </w:p>
    <w:p w:rsidR="00A34436" w:rsidRDefault="00A34436" w:rsidP="00F53159">
      <w:pPr>
        <w:pStyle w:val="NormalParaAR"/>
        <w:rPr>
          <w:rtl/>
        </w:rPr>
        <w:sectPr w:rsidR="00A34436" w:rsidSect="00055CDA">
          <w:headerReference w:type="default" r:id="rId11"/>
          <w:pgSz w:w="11907" w:h="16840" w:code="9"/>
          <w:pgMar w:top="567" w:right="1418" w:bottom="1418" w:left="1134" w:header="510" w:footer="1021" w:gutter="0"/>
          <w:pgNumType w:start="1"/>
          <w:cols w:space="720"/>
          <w:titlePg/>
          <w:docGrid w:linePitch="299"/>
        </w:sectPr>
      </w:pPr>
    </w:p>
    <w:p w:rsidR="00004183" w:rsidRDefault="00A34436" w:rsidP="00A34436">
      <w:pPr>
        <w:pStyle w:val="NormalParaAR"/>
        <w:jc w:val="center"/>
        <w:rPr>
          <w:b/>
          <w:bCs/>
          <w:rtl/>
          <w:lang w:val="fr-CH"/>
        </w:rPr>
      </w:pPr>
      <w:r>
        <w:rPr>
          <w:rFonts w:hint="cs"/>
          <w:b/>
          <w:bCs/>
          <w:rtl/>
          <w:lang w:val="fr-CH"/>
        </w:rPr>
        <w:lastRenderedPageBreak/>
        <w:t>المرفق</w:t>
      </w:r>
    </w:p>
    <w:p w:rsidR="00A34436" w:rsidRDefault="00A34436" w:rsidP="00A34436">
      <w:pPr>
        <w:pStyle w:val="NormalParaAR"/>
        <w:spacing w:after="0"/>
        <w:jc w:val="center"/>
        <w:rPr>
          <w:b/>
          <w:bCs/>
          <w:rtl/>
          <w:lang w:val="fr-CH"/>
        </w:rPr>
      </w:pPr>
      <w:r>
        <w:rPr>
          <w:rFonts w:hint="cs"/>
          <w:b/>
          <w:bCs/>
          <w:rtl/>
          <w:lang w:val="fr-CH"/>
        </w:rPr>
        <w:t>اشتراكات 2016/17 في صندوق رأس المال العامل لاتحاد لشبونة</w:t>
      </w:r>
    </w:p>
    <w:p w:rsidR="00A34436" w:rsidRPr="00D0764F" w:rsidRDefault="00A34436" w:rsidP="00A34436">
      <w:pPr>
        <w:pStyle w:val="NormalParaAR"/>
        <w:jc w:val="center"/>
        <w:rPr>
          <w:b/>
          <w:bCs/>
          <w:sz w:val="32"/>
          <w:szCs w:val="32"/>
          <w:rtl/>
          <w:lang w:val="fr-CH"/>
        </w:rPr>
      </w:pPr>
      <w:r w:rsidRPr="00D0764F">
        <w:rPr>
          <w:rFonts w:hint="cs"/>
          <w:b/>
          <w:bCs/>
          <w:sz w:val="32"/>
          <w:szCs w:val="32"/>
          <w:rtl/>
          <w:lang w:val="fr-CH"/>
        </w:rPr>
        <w:t>(على أساس فئات اشتراكات الدول الأعضاء*)</w:t>
      </w:r>
    </w:p>
    <w:p w:rsidR="00B211E1" w:rsidRPr="00B211E1" w:rsidRDefault="00B211E1" w:rsidP="00D7467B">
      <w:pPr>
        <w:pStyle w:val="NormalParaAR"/>
        <w:tabs>
          <w:tab w:val="center" w:pos="6803"/>
        </w:tabs>
        <w:spacing w:after="0" w:line="280" w:lineRule="exact"/>
        <w:rPr>
          <w:b/>
          <w:bCs/>
          <w:sz w:val="28"/>
          <w:szCs w:val="28"/>
          <w:rtl/>
        </w:rPr>
      </w:pPr>
      <w:r>
        <w:rPr>
          <w:rFonts w:hint="cs"/>
          <w:sz w:val="28"/>
          <w:szCs w:val="28"/>
          <w:rtl/>
        </w:rPr>
        <w:tab/>
      </w:r>
      <w:r w:rsidRPr="00B211E1">
        <w:rPr>
          <w:rFonts w:hint="cs"/>
          <w:b/>
          <w:bCs/>
          <w:sz w:val="28"/>
          <w:szCs w:val="28"/>
          <w:rtl/>
        </w:rPr>
        <w:t>الاشتراك</w:t>
      </w:r>
    </w:p>
    <w:p w:rsidR="00B211E1" w:rsidRPr="00C4152D" w:rsidRDefault="00B211E1" w:rsidP="00D7467B">
      <w:pPr>
        <w:pStyle w:val="NormalParaAR"/>
        <w:tabs>
          <w:tab w:val="center" w:pos="6803"/>
        </w:tabs>
        <w:spacing w:after="0" w:line="280" w:lineRule="exact"/>
        <w:rPr>
          <w:i/>
          <w:iCs/>
          <w:sz w:val="28"/>
          <w:szCs w:val="28"/>
          <w:rtl/>
        </w:rPr>
      </w:pPr>
      <w:r w:rsidRPr="00C4152D">
        <w:rPr>
          <w:rFonts w:hint="cs"/>
          <w:i/>
          <w:iCs/>
          <w:sz w:val="28"/>
          <w:szCs w:val="28"/>
          <w:rtl/>
        </w:rPr>
        <w:tab/>
        <w:t>(بالفرنك السويسري)</w:t>
      </w:r>
    </w:p>
    <w:tbl>
      <w:tblPr>
        <w:tblStyle w:val="TableGrid"/>
        <w:bidiVisual/>
        <w:tblW w:w="0" w:type="auto"/>
        <w:tblInd w:w="1383" w:type="dxa"/>
        <w:tblBorders>
          <w:insideH w:val="none" w:sz="0" w:space="0" w:color="auto"/>
          <w:insideV w:val="none" w:sz="0" w:space="0" w:color="auto"/>
        </w:tblBorders>
        <w:tblLook w:val="04A0" w:firstRow="1" w:lastRow="0" w:firstColumn="1" w:lastColumn="0" w:noHBand="0" w:noVBand="1"/>
      </w:tblPr>
      <w:tblGrid>
        <w:gridCol w:w="2268"/>
        <w:gridCol w:w="1249"/>
        <w:gridCol w:w="1444"/>
        <w:gridCol w:w="1418"/>
      </w:tblGrid>
      <w:tr w:rsidR="00D7467B" w:rsidRPr="00D0764F" w:rsidTr="00D7467B">
        <w:trPr>
          <w:trHeight w:val="473"/>
        </w:trPr>
        <w:tc>
          <w:tcPr>
            <w:tcW w:w="2268" w:type="dxa"/>
            <w:tcBorders>
              <w:top w:val="single" w:sz="4" w:space="0" w:color="auto"/>
              <w:bottom w:val="single" w:sz="4" w:space="0" w:color="auto"/>
            </w:tcBorders>
            <w:shd w:val="clear" w:color="auto" w:fill="C5D9F1"/>
            <w:vAlign w:val="bottom"/>
          </w:tcPr>
          <w:p w:rsidR="00B211E1" w:rsidRPr="00D0764F" w:rsidRDefault="00B211E1" w:rsidP="00D0764F">
            <w:pPr>
              <w:pStyle w:val="NormalParaAR"/>
              <w:spacing w:after="0" w:line="240" w:lineRule="exact"/>
              <w:jc w:val="center"/>
              <w:rPr>
                <w:i/>
                <w:iCs/>
                <w:sz w:val="16"/>
                <w:szCs w:val="24"/>
                <w:rtl/>
              </w:rPr>
            </w:pPr>
            <w:r w:rsidRPr="00D0764F">
              <w:rPr>
                <w:rFonts w:hint="cs"/>
                <w:i/>
                <w:iCs/>
                <w:sz w:val="16"/>
                <w:szCs w:val="24"/>
                <w:rtl/>
              </w:rPr>
              <w:t>البلد</w:t>
            </w:r>
          </w:p>
        </w:tc>
        <w:tc>
          <w:tcPr>
            <w:tcW w:w="1249" w:type="dxa"/>
            <w:tcBorders>
              <w:top w:val="single" w:sz="4" w:space="0" w:color="auto"/>
              <w:bottom w:val="single" w:sz="4" w:space="0" w:color="auto"/>
              <w:right w:val="single" w:sz="4" w:space="0" w:color="auto"/>
            </w:tcBorders>
            <w:shd w:val="clear" w:color="auto" w:fill="C5D9F1"/>
            <w:vAlign w:val="bottom"/>
          </w:tcPr>
          <w:p w:rsidR="00B211E1" w:rsidRPr="00D0764F" w:rsidRDefault="00B211E1" w:rsidP="00D0764F">
            <w:pPr>
              <w:pStyle w:val="NormalParaAR"/>
              <w:spacing w:after="0" w:line="240" w:lineRule="exact"/>
              <w:jc w:val="center"/>
              <w:rPr>
                <w:i/>
                <w:iCs/>
                <w:sz w:val="16"/>
                <w:szCs w:val="24"/>
                <w:rtl/>
              </w:rPr>
            </w:pPr>
            <w:r w:rsidRPr="00D0764F">
              <w:rPr>
                <w:rFonts w:hint="cs"/>
                <w:i/>
                <w:iCs/>
                <w:sz w:val="16"/>
                <w:szCs w:val="24"/>
                <w:rtl/>
              </w:rPr>
              <w:t>الفئة</w:t>
            </w:r>
          </w:p>
        </w:tc>
        <w:tc>
          <w:tcPr>
            <w:tcW w:w="1444" w:type="dxa"/>
            <w:tcBorders>
              <w:top w:val="single" w:sz="4" w:space="0" w:color="auto"/>
              <w:left w:val="single" w:sz="4" w:space="0" w:color="auto"/>
              <w:bottom w:val="single" w:sz="4" w:space="0" w:color="auto"/>
            </w:tcBorders>
            <w:shd w:val="clear" w:color="auto" w:fill="C5D9F1"/>
            <w:vAlign w:val="bottom"/>
          </w:tcPr>
          <w:p w:rsidR="00B211E1" w:rsidRPr="00D0764F" w:rsidRDefault="005D6430" w:rsidP="00D0764F">
            <w:pPr>
              <w:pStyle w:val="NormalParaAR"/>
              <w:spacing w:after="0" w:line="240" w:lineRule="exact"/>
              <w:jc w:val="center"/>
              <w:rPr>
                <w:i/>
                <w:iCs/>
                <w:sz w:val="16"/>
                <w:szCs w:val="24"/>
                <w:rtl/>
              </w:rPr>
            </w:pPr>
            <w:r w:rsidRPr="00D0764F">
              <w:rPr>
                <w:rFonts w:hint="cs"/>
                <w:i/>
                <w:iCs/>
                <w:sz w:val="16"/>
                <w:szCs w:val="24"/>
                <w:rtl/>
              </w:rPr>
              <w:t>الوحدات/الوزن</w:t>
            </w:r>
          </w:p>
        </w:tc>
        <w:tc>
          <w:tcPr>
            <w:tcW w:w="1418" w:type="dxa"/>
            <w:tcBorders>
              <w:top w:val="single" w:sz="4" w:space="0" w:color="auto"/>
              <w:bottom w:val="single" w:sz="4" w:space="0" w:color="auto"/>
            </w:tcBorders>
            <w:shd w:val="clear" w:color="auto" w:fill="C5D9F1"/>
            <w:vAlign w:val="bottom"/>
          </w:tcPr>
          <w:p w:rsidR="00B211E1" w:rsidRPr="00D0764F" w:rsidRDefault="005D6430" w:rsidP="00D0764F">
            <w:pPr>
              <w:pStyle w:val="NormalParaAR"/>
              <w:spacing w:after="0" w:line="240" w:lineRule="exact"/>
              <w:jc w:val="center"/>
              <w:rPr>
                <w:i/>
                <w:iCs/>
                <w:sz w:val="16"/>
                <w:szCs w:val="24"/>
                <w:rtl/>
              </w:rPr>
            </w:pPr>
            <w:r w:rsidRPr="00D0764F">
              <w:rPr>
                <w:rFonts w:hint="cs"/>
                <w:i/>
                <w:iCs/>
                <w:sz w:val="16"/>
                <w:szCs w:val="24"/>
                <w:rtl/>
              </w:rPr>
              <w:t>المبلغ</w:t>
            </w:r>
          </w:p>
        </w:tc>
      </w:tr>
      <w:tr w:rsidR="00B211E1" w:rsidRPr="00D0764F" w:rsidTr="00D7467B">
        <w:tc>
          <w:tcPr>
            <w:tcW w:w="2268" w:type="dxa"/>
            <w:tcBorders>
              <w:top w:val="single" w:sz="4" w:space="0" w:color="auto"/>
            </w:tcBorders>
          </w:tcPr>
          <w:p w:rsidR="00B211E1" w:rsidRPr="00D0764F" w:rsidRDefault="005D6430" w:rsidP="00D0764F">
            <w:pPr>
              <w:pStyle w:val="NormalParaAR"/>
              <w:spacing w:after="0" w:line="240" w:lineRule="exact"/>
              <w:rPr>
                <w:sz w:val="16"/>
                <w:szCs w:val="24"/>
                <w:rtl/>
              </w:rPr>
            </w:pPr>
            <w:r w:rsidRPr="00D0764F">
              <w:rPr>
                <w:rFonts w:hint="cs"/>
                <w:sz w:val="16"/>
                <w:szCs w:val="24"/>
                <w:rtl/>
              </w:rPr>
              <w:t>الجزائر</w:t>
            </w:r>
          </w:p>
        </w:tc>
        <w:tc>
          <w:tcPr>
            <w:tcW w:w="1249" w:type="dxa"/>
            <w:tcBorders>
              <w:top w:val="single" w:sz="4" w:space="0" w:color="auto"/>
            </w:tcBorders>
          </w:tcPr>
          <w:p w:rsidR="00B211E1" w:rsidRPr="00D0764F" w:rsidRDefault="005D6430" w:rsidP="00D0764F">
            <w:pPr>
              <w:pStyle w:val="NormalParaAR"/>
              <w:spacing w:after="0" w:line="240" w:lineRule="exact"/>
              <w:jc w:val="center"/>
              <w:rPr>
                <w:sz w:val="16"/>
                <w:szCs w:val="24"/>
                <w:rtl/>
              </w:rPr>
            </w:pPr>
            <w:r w:rsidRPr="00D0764F">
              <w:rPr>
                <w:rFonts w:hint="cs"/>
                <w:sz w:val="16"/>
                <w:szCs w:val="24"/>
                <w:rtl/>
              </w:rPr>
              <w:t>9</w:t>
            </w:r>
          </w:p>
        </w:tc>
        <w:tc>
          <w:tcPr>
            <w:tcW w:w="1444" w:type="dxa"/>
            <w:tcBorders>
              <w:top w:val="single" w:sz="4" w:space="0" w:color="auto"/>
            </w:tcBorders>
          </w:tcPr>
          <w:p w:rsidR="00B211E1" w:rsidRPr="00D0764F" w:rsidRDefault="00D7467B"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0.25</w:t>
            </w:r>
          </w:p>
        </w:tc>
        <w:tc>
          <w:tcPr>
            <w:tcW w:w="1418" w:type="dxa"/>
            <w:tcBorders>
              <w:top w:val="single" w:sz="4" w:space="0" w:color="auto"/>
            </w:tcBorders>
          </w:tcPr>
          <w:p w:rsidR="00B211E1" w:rsidRPr="00D0764F" w:rsidRDefault="005F569E" w:rsidP="00D0764F">
            <w:pPr>
              <w:pStyle w:val="NormalParaAR"/>
              <w:spacing w:after="0" w:line="240" w:lineRule="exact"/>
              <w:ind w:left="176"/>
              <w:rPr>
                <w:rFonts w:asciiTheme="minorBidi" w:hAnsiTheme="minorBidi" w:cstheme="minorBidi"/>
                <w:sz w:val="16"/>
                <w:szCs w:val="16"/>
              </w:rPr>
            </w:pPr>
            <w:r w:rsidRPr="00D0764F">
              <w:rPr>
                <w:rFonts w:asciiTheme="minorBidi" w:hAnsiTheme="minorBidi" w:cstheme="minorBidi"/>
                <w:sz w:val="16"/>
                <w:szCs w:val="16"/>
              </w:rPr>
              <w:t>6,935</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البوسنة والهرسك</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خاء(ثانيا)</w:t>
            </w:r>
          </w:p>
        </w:tc>
        <w:tc>
          <w:tcPr>
            <w:tcW w:w="1444" w:type="dxa"/>
          </w:tcPr>
          <w:p w:rsidR="005D6430"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0.0625</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1,734</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بلغاريا</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6(ثانيا)</w:t>
            </w:r>
          </w:p>
        </w:tc>
        <w:tc>
          <w:tcPr>
            <w:tcW w:w="1444" w:type="dxa"/>
          </w:tcPr>
          <w:p w:rsidR="005D6430"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2</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55,483</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بوركينا فاصو</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خاء(ثالثا)</w:t>
            </w:r>
          </w:p>
        </w:tc>
        <w:tc>
          <w:tcPr>
            <w:tcW w:w="1444" w:type="dxa"/>
          </w:tcPr>
          <w:p w:rsidR="005D6430"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0.03125</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867</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الكونغو</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خاء(ثانيا)</w:t>
            </w:r>
          </w:p>
        </w:tc>
        <w:tc>
          <w:tcPr>
            <w:tcW w:w="1444" w:type="dxa"/>
          </w:tcPr>
          <w:p w:rsidR="005D6430"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0.0625</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1,734</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كوستاريكا</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خاء</w:t>
            </w:r>
          </w:p>
        </w:tc>
        <w:tc>
          <w:tcPr>
            <w:tcW w:w="1444" w:type="dxa"/>
          </w:tcPr>
          <w:p w:rsidR="005D6430"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0.125</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3,468</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كوبا</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خاء</w:t>
            </w:r>
          </w:p>
        </w:tc>
        <w:tc>
          <w:tcPr>
            <w:tcW w:w="1444" w:type="dxa"/>
          </w:tcPr>
          <w:p w:rsidR="005D6430"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0.125</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3,468</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الجمهورية التشيكية</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6</w:t>
            </w:r>
          </w:p>
        </w:tc>
        <w:tc>
          <w:tcPr>
            <w:tcW w:w="1444" w:type="dxa"/>
          </w:tcPr>
          <w:p w:rsidR="005D6430"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3</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83,225</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جمهورية كوريا الشعبية الديمقراطية</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خاء(ثانيا)</w:t>
            </w:r>
          </w:p>
        </w:tc>
        <w:tc>
          <w:tcPr>
            <w:tcW w:w="1444" w:type="dxa"/>
          </w:tcPr>
          <w:p w:rsidR="005D6430"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0.0625</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1,734</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فرنسا</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1</w:t>
            </w:r>
          </w:p>
        </w:tc>
        <w:tc>
          <w:tcPr>
            <w:tcW w:w="1444" w:type="dxa"/>
          </w:tcPr>
          <w:p w:rsidR="005F569E"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25</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693,541</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غابون</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خاء</w:t>
            </w:r>
          </w:p>
        </w:tc>
        <w:tc>
          <w:tcPr>
            <w:tcW w:w="1444" w:type="dxa"/>
          </w:tcPr>
          <w:p w:rsidR="005D6430"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0.125</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3,468</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جورجيا</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9</w:t>
            </w:r>
          </w:p>
        </w:tc>
        <w:tc>
          <w:tcPr>
            <w:tcW w:w="1444" w:type="dxa"/>
          </w:tcPr>
          <w:p w:rsidR="005D6430"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0.25</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6,935</w:t>
            </w:r>
          </w:p>
        </w:tc>
      </w:tr>
      <w:tr w:rsidR="005D6430" w:rsidRPr="00D0764F" w:rsidTr="00D7467B">
        <w:tc>
          <w:tcPr>
            <w:tcW w:w="2268" w:type="dxa"/>
          </w:tcPr>
          <w:p w:rsidR="005D6430" w:rsidRPr="00D0764F" w:rsidRDefault="005D6430" w:rsidP="00D0764F">
            <w:pPr>
              <w:pStyle w:val="NormalParaAR"/>
              <w:spacing w:after="0" w:line="240" w:lineRule="exact"/>
              <w:rPr>
                <w:sz w:val="16"/>
                <w:szCs w:val="24"/>
                <w:rtl/>
              </w:rPr>
            </w:pPr>
            <w:r w:rsidRPr="00D0764F">
              <w:rPr>
                <w:rFonts w:hint="cs"/>
                <w:sz w:val="16"/>
                <w:szCs w:val="24"/>
                <w:rtl/>
              </w:rPr>
              <w:t>هايتي</w:t>
            </w:r>
          </w:p>
        </w:tc>
        <w:tc>
          <w:tcPr>
            <w:tcW w:w="1249" w:type="dxa"/>
          </w:tcPr>
          <w:p w:rsidR="005D6430" w:rsidRPr="00D0764F" w:rsidRDefault="005D6430" w:rsidP="00D0764F">
            <w:pPr>
              <w:pStyle w:val="NormalParaAR"/>
              <w:spacing w:after="0" w:line="240" w:lineRule="exact"/>
              <w:jc w:val="center"/>
              <w:rPr>
                <w:sz w:val="16"/>
                <w:szCs w:val="24"/>
                <w:rtl/>
              </w:rPr>
            </w:pPr>
            <w:r w:rsidRPr="00D0764F">
              <w:rPr>
                <w:rFonts w:hint="cs"/>
                <w:sz w:val="16"/>
                <w:szCs w:val="24"/>
                <w:rtl/>
              </w:rPr>
              <w:t>خاء(ثالثا)</w:t>
            </w:r>
          </w:p>
        </w:tc>
        <w:tc>
          <w:tcPr>
            <w:tcW w:w="1444" w:type="dxa"/>
          </w:tcPr>
          <w:p w:rsidR="005D6430"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0.03125</w:t>
            </w:r>
          </w:p>
        </w:tc>
        <w:tc>
          <w:tcPr>
            <w:tcW w:w="1418" w:type="dxa"/>
          </w:tcPr>
          <w:p w:rsidR="005D6430"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867</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هنغاريا</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6</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3</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83,225</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إيران (جمهورية - الإسلامية)</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7</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1</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27,742</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إسرائيل</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6(ثانيا)</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2</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55,483</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إيطاليا</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3</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15</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416,125</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المكسيك</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4(ثانيا)</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7.5</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208,062</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الجبل الأسود</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9</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0.25</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6,935</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نيكاراغوا</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خاء(ثانيا)</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0.0625</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1,734</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بيرو</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9</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0.25</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6,935</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البرتغال</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4(ثانيا)</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7.5</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208,062</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جمهورية مولدوفا</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9</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0.25</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6,935</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صربيا</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8</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0.5</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13,871</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سلوفاكيا</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6</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3</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83,225</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جمهورية مقدونيا اليوغوسلافية السابقة</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8</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0.5</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13,871</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توغو</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خاء(ثالثا)</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0.03125</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867</w:t>
            </w:r>
          </w:p>
        </w:tc>
      </w:tr>
      <w:tr w:rsidR="00D7467B" w:rsidRPr="00D0764F" w:rsidTr="00D7467B">
        <w:tc>
          <w:tcPr>
            <w:tcW w:w="2268" w:type="dxa"/>
          </w:tcPr>
          <w:p w:rsidR="00D7467B" w:rsidRPr="00D0764F" w:rsidRDefault="00D7467B" w:rsidP="00D0764F">
            <w:pPr>
              <w:pStyle w:val="NormalParaAR"/>
              <w:spacing w:after="0" w:line="240" w:lineRule="exact"/>
              <w:rPr>
                <w:sz w:val="16"/>
                <w:szCs w:val="24"/>
                <w:rtl/>
              </w:rPr>
            </w:pPr>
            <w:r w:rsidRPr="00D0764F">
              <w:rPr>
                <w:rFonts w:hint="cs"/>
                <w:sz w:val="16"/>
                <w:szCs w:val="24"/>
                <w:rtl/>
              </w:rPr>
              <w:t>تونس</w:t>
            </w:r>
          </w:p>
        </w:tc>
        <w:tc>
          <w:tcPr>
            <w:tcW w:w="1249" w:type="dxa"/>
          </w:tcPr>
          <w:p w:rsidR="00D7467B" w:rsidRPr="00D0764F" w:rsidRDefault="00D7467B" w:rsidP="00D0764F">
            <w:pPr>
              <w:pStyle w:val="NormalParaAR"/>
              <w:spacing w:after="0" w:line="240" w:lineRule="exact"/>
              <w:jc w:val="center"/>
              <w:rPr>
                <w:sz w:val="16"/>
                <w:szCs w:val="24"/>
                <w:rtl/>
              </w:rPr>
            </w:pPr>
            <w:r w:rsidRPr="00D0764F">
              <w:rPr>
                <w:rFonts w:hint="cs"/>
                <w:sz w:val="16"/>
                <w:szCs w:val="24"/>
                <w:rtl/>
              </w:rPr>
              <w:t>خاء</w:t>
            </w:r>
          </w:p>
        </w:tc>
        <w:tc>
          <w:tcPr>
            <w:tcW w:w="1444" w:type="dxa"/>
          </w:tcPr>
          <w:p w:rsidR="00D7467B" w:rsidRPr="00D0764F" w:rsidRDefault="005F569E" w:rsidP="00D0764F">
            <w:pPr>
              <w:pStyle w:val="NormalParaAR"/>
              <w:spacing w:after="0" w:line="240" w:lineRule="exact"/>
              <w:ind w:left="202"/>
              <w:rPr>
                <w:rFonts w:asciiTheme="minorBidi" w:hAnsiTheme="minorBidi" w:cstheme="minorBidi"/>
                <w:sz w:val="8"/>
                <w:szCs w:val="16"/>
                <w:rtl/>
              </w:rPr>
            </w:pPr>
            <w:r w:rsidRPr="00D0764F">
              <w:rPr>
                <w:rFonts w:asciiTheme="minorBidi" w:hAnsiTheme="minorBidi" w:cstheme="minorBidi"/>
                <w:sz w:val="8"/>
                <w:szCs w:val="16"/>
                <w:rtl/>
              </w:rPr>
              <w:t>0.125</w:t>
            </w:r>
          </w:p>
        </w:tc>
        <w:tc>
          <w:tcPr>
            <w:tcW w:w="1418" w:type="dxa"/>
          </w:tcPr>
          <w:p w:rsidR="00D7467B" w:rsidRPr="00D0764F" w:rsidRDefault="005F569E" w:rsidP="00D0764F">
            <w:pPr>
              <w:pStyle w:val="NormalParaAR"/>
              <w:spacing w:after="0" w:line="240" w:lineRule="exact"/>
              <w:ind w:left="176"/>
              <w:rPr>
                <w:rFonts w:asciiTheme="minorBidi" w:hAnsiTheme="minorBidi" w:cstheme="minorBidi"/>
                <w:sz w:val="16"/>
                <w:szCs w:val="16"/>
                <w:rtl/>
              </w:rPr>
            </w:pPr>
            <w:r w:rsidRPr="00D0764F">
              <w:rPr>
                <w:rFonts w:asciiTheme="minorBidi" w:hAnsiTheme="minorBidi" w:cstheme="minorBidi"/>
                <w:sz w:val="16"/>
                <w:szCs w:val="16"/>
              </w:rPr>
              <w:t>3,468</w:t>
            </w:r>
          </w:p>
        </w:tc>
      </w:tr>
      <w:tr w:rsidR="00D7467B" w:rsidRPr="00D0764F" w:rsidTr="00D7467B">
        <w:tc>
          <w:tcPr>
            <w:tcW w:w="2268" w:type="dxa"/>
          </w:tcPr>
          <w:p w:rsidR="00D7467B" w:rsidRPr="00D0764F" w:rsidRDefault="00D7467B" w:rsidP="00D0764F">
            <w:pPr>
              <w:pStyle w:val="NormalParaAR"/>
              <w:spacing w:after="0" w:line="240" w:lineRule="exact"/>
              <w:rPr>
                <w:b/>
                <w:bCs/>
                <w:sz w:val="16"/>
                <w:szCs w:val="24"/>
                <w:rtl/>
              </w:rPr>
            </w:pPr>
            <w:r w:rsidRPr="00D0764F">
              <w:rPr>
                <w:rFonts w:hint="cs"/>
                <w:b/>
                <w:bCs/>
                <w:sz w:val="16"/>
                <w:szCs w:val="24"/>
                <w:rtl/>
              </w:rPr>
              <w:t>مجموع الاشتراكات</w:t>
            </w:r>
          </w:p>
        </w:tc>
        <w:tc>
          <w:tcPr>
            <w:tcW w:w="1249" w:type="dxa"/>
          </w:tcPr>
          <w:p w:rsidR="00D7467B" w:rsidRPr="00D0764F" w:rsidRDefault="00D7467B" w:rsidP="00D0764F">
            <w:pPr>
              <w:pStyle w:val="NormalParaAR"/>
              <w:spacing w:after="0" w:line="240" w:lineRule="exact"/>
              <w:jc w:val="center"/>
              <w:rPr>
                <w:sz w:val="16"/>
                <w:szCs w:val="24"/>
                <w:rtl/>
              </w:rPr>
            </w:pPr>
          </w:p>
        </w:tc>
        <w:tc>
          <w:tcPr>
            <w:tcW w:w="1444" w:type="dxa"/>
          </w:tcPr>
          <w:p w:rsidR="00D7467B" w:rsidRPr="00D0764F" w:rsidRDefault="00D7467B" w:rsidP="00D0764F">
            <w:pPr>
              <w:pStyle w:val="NormalParaAR"/>
              <w:spacing w:after="0" w:line="240" w:lineRule="exact"/>
              <w:ind w:left="202"/>
              <w:rPr>
                <w:sz w:val="16"/>
                <w:szCs w:val="24"/>
                <w:rtl/>
              </w:rPr>
            </w:pPr>
          </w:p>
        </w:tc>
        <w:tc>
          <w:tcPr>
            <w:tcW w:w="1418" w:type="dxa"/>
          </w:tcPr>
          <w:p w:rsidR="00D7467B" w:rsidRPr="00D0764F" w:rsidRDefault="005F569E" w:rsidP="00D0764F">
            <w:pPr>
              <w:pStyle w:val="NormalParaAR"/>
              <w:spacing w:after="0" w:line="240" w:lineRule="exact"/>
              <w:ind w:left="176"/>
              <w:rPr>
                <w:rFonts w:asciiTheme="minorBidi" w:hAnsiTheme="minorBidi" w:cstheme="minorBidi"/>
                <w:b/>
                <w:bCs/>
                <w:sz w:val="16"/>
                <w:szCs w:val="16"/>
                <w:rtl/>
              </w:rPr>
            </w:pPr>
            <w:r w:rsidRPr="00D0764F">
              <w:rPr>
                <w:rFonts w:asciiTheme="minorBidi" w:hAnsiTheme="minorBidi" w:cstheme="minorBidi"/>
                <w:b/>
                <w:bCs/>
                <w:sz w:val="16"/>
                <w:szCs w:val="16"/>
              </w:rPr>
              <w:t>2,000,000</w:t>
            </w:r>
          </w:p>
        </w:tc>
      </w:tr>
    </w:tbl>
    <w:p w:rsidR="00A34436" w:rsidRPr="00A34436" w:rsidRDefault="00A34436" w:rsidP="00A5755E">
      <w:pPr>
        <w:pStyle w:val="NormalParaAR"/>
        <w:spacing w:after="0" w:line="280" w:lineRule="exact"/>
        <w:ind w:left="851"/>
        <w:rPr>
          <w:sz w:val="28"/>
          <w:szCs w:val="28"/>
          <w:rtl/>
        </w:rPr>
      </w:pPr>
      <w:r>
        <w:rPr>
          <w:rFonts w:hint="cs"/>
          <w:rtl/>
        </w:rPr>
        <w:t>*</w:t>
      </w:r>
      <w:r>
        <w:rPr>
          <w:rFonts w:hint="cs"/>
          <w:rtl/>
        </w:rPr>
        <w:tab/>
      </w:r>
      <w:r>
        <w:rPr>
          <w:rFonts w:hint="cs"/>
          <w:sz w:val="28"/>
          <w:szCs w:val="28"/>
          <w:rtl/>
        </w:rPr>
        <w:t xml:space="preserve">تستند فئة اشتراكات معظم البلدان النامية إلى جدول الأمم المتحدة للاشتراكات المقرّرة. والجدول الحالي </w:t>
      </w:r>
      <w:r w:rsidR="00A5755E">
        <w:rPr>
          <w:rFonts w:hint="cs"/>
          <w:sz w:val="28"/>
          <w:szCs w:val="28"/>
          <w:rtl/>
        </w:rPr>
        <w:t>يسري</w:t>
      </w:r>
      <w:r>
        <w:rPr>
          <w:rFonts w:hint="cs"/>
          <w:sz w:val="28"/>
          <w:szCs w:val="28"/>
          <w:rtl/>
        </w:rPr>
        <w:t xml:space="preserve"> على السنوات 2013-2015. أما الجدول الجديد للسنوات 2016-2018 فمن المقرر أن تعتمده الجمعية العامة للأمم المتحدة في ديسمبر 2015. ولذلك، فإن المبالغ التي ستدفعها بعض البلدان قد تتغيّر قليلا.</w:t>
      </w:r>
    </w:p>
    <w:p w:rsidR="00A34436" w:rsidRDefault="00A34436" w:rsidP="00F53159">
      <w:pPr>
        <w:pStyle w:val="NormalParaAR"/>
        <w:rPr>
          <w:rtl/>
        </w:rPr>
      </w:pPr>
    </w:p>
    <w:p w:rsidR="006C69EA" w:rsidRDefault="00A34436" w:rsidP="00A34436">
      <w:pPr>
        <w:pStyle w:val="EndofDocumentAR"/>
        <w:rPr>
          <w:rtl/>
        </w:rPr>
      </w:pPr>
      <w:r>
        <w:rPr>
          <w:rFonts w:hint="cs"/>
          <w:rtl/>
        </w:rPr>
        <w:t>[نهاية المرفق والوثيقة]</w:t>
      </w:r>
    </w:p>
    <w:p w:rsidR="006C69EA" w:rsidRDefault="006C69EA" w:rsidP="007F38D1">
      <w:pPr>
        <w:pStyle w:val="NormalParaAR"/>
        <w:rPr>
          <w:rtl/>
        </w:rPr>
      </w:pPr>
    </w:p>
    <w:sectPr w:rsidR="006C69EA" w:rsidSect="00A34436">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D69" w:rsidRDefault="00441D69">
      <w:r>
        <w:separator/>
      </w:r>
    </w:p>
  </w:endnote>
  <w:endnote w:type="continuationSeparator" w:id="0">
    <w:p w:rsidR="00441D69" w:rsidRDefault="00441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D69" w:rsidRDefault="00441D69" w:rsidP="009622BF">
      <w:pPr>
        <w:bidi/>
      </w:pPr>
      <w:bookmarkStart w:id="0" w:name="OLE_LINK1"/>
      <w:bookmarkStart w:id="1" w:name="OLE_LINK2"/>
      <w:r>
        <w:separator/>
      </w:r>
      <w:bookmarkEnd w:id="0"/>
      <w:bookmarkEnd w:id="1"/>
    </w:p>
  </w:footnote>
  <w:footnote w:type="continuationSeparator" w:id="0">
    <w:p w:rsidR="00441D69" w:rsidRDefault="00441D69" w:rsidP="009622BF">
      <w:pPr>
        <w:bidi/>
      </w:pPr>
      <w:r>
        <w:separator/>
      </w:r>
    </w:p>
  </w:footnote>
  <w:footnote w:id="1">
    <w:p w:rsidR="00004183" w:rsidRDefault="00004183">
      <w:pPr>
        <w:pStyle w:val="FootnoteText"/>
      </w:pPr>
      <w:r>
        <w:rPr>
          <w:rStyle w:val="FootnoteReference"/>
        </w:rPr>
        <w:footnoteRef/>
      </w:r>
      <w:r>
        <w:rPr>
          <w:rtl/>
        </w:rPr>
        <w:t xml:space="preserve"> </w:t>
      </w:r>
      <w:r>
        <w:rPr>
          <w:rFonts w:hint="cs"/>
          <w:rtl/>
        </w:rPr>
        <w:tab/>
        <w:t xml:space="preserve">الوثيقة </w:t>
      </w:r>
      <w:r>
        <w:t>LI/A/32/2</w:t>
      </w:r>
      <w:r>
        <w:rPr>
          <w:rFonts w:hint="cs"/>
          <w:rtl/>
        </w:rPr>
        <w:t>.</w:t>
      </w:r>
    </w:p>
  </w:footnote>
  <w:footnote w:id="2">
    <w:p w:rsidR="001465C4" w:rsidRPr="001465C4" w:rsidRDefault="001465C4">
      <w:pPr>
        <w:pStyle w:val="FootnoteText"/>
        <w:rPr>
          <w:rtl/>
          <w:lang w:val="fr-CH"/>
        </w:rPr>
      </w:pPr>
      <w:r>
        <w:rPr>
          <w:rStyle w:val="FootnoteReference"/>
        </w:rPr>
        <w:footnoteRef/>
      </w:r>
      <w:r>
        <w:rPr>
          <w:rtl/>
        </w:rPr>
        <w:t xml:space="preserve"> </w:t>
      </w:r>
      <w:r>
        <w:rPr>
          <w:rFonts w:hint="cs"/>
          <w:rtl/>
        </w:rPr>
        <w:tab/>
        <w:t xml:space="preserve">الوثيقة </w:t>
      </w:r>
      <w:r>
        <w:t>WO/</w:t>
      </w:r>
      <w:proofErr w:type="spellStart"/>
      <w:r>
        <w:t>PBC</w:t>
      </w:r>
      <w:proofErr w:type="spellEnd"/>
      <w:r>
        <w:t>/23/9</w:t>
      </w:r>
      <w:r>
        <w:rPr>
          <w:rFonts w:hint="cs"/>
          <w:rtl/>
          <w:lang w:val="fr-CH"/>
        </w:rPr>
        <w:t>.</w:t>
      </w:r>
    </w:p>
  </w:footnote>
  <w:footnote w:id="3">
    <w:p w:rsidR="00B7388E" w:rsidRDefault="00B7388E">
      <w:pPr>
        <w:pStyle w:val="FootnoteText"/>
      </w:pPr>
      <w:r>
        <w:rPr>
          <w:rStyle w:val="FootnoteReference"/>
        </w:rPr>
        <w:footnoteRef/>
      </w:r>
      <w:r>
        <w:rPr>
          <w:rtl/>
        </w:rPr>
        <w:t xml:space="preserve"> </w:t>
      </w:r>
      <w:r>
        <w:rPr>
          <w:rFonts w:hint="cs"/>
          <w:rtl/>
        </w:rPr>
        <w:tab/>
        <w:t>اقتراح البرنامج والميزانية 2016/17، المرفق الثالث، الجدول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055CDA" w:rsidP="00055CDA">
    <w:r>
      <w:t>WO/CC/71/6</w:t>
    </w:r>
  </w:p>
  <w:p w:rsidR="002F77FC" w:rsidRDefault="002F77FC" w:rsidP="00D61541">
    <w:r>
      <w:fldChar w:fldCharType="begin"/>
    </w:r>
    <w:r>
      <w:instrText xml:space="preserve"> PAGE  \* MERGEFORMAT </w:instrText>
    </w:r>
    <w:r>
      <w:fldChar w:fldCharType="separate"/>
    </w:r>
    <w:r w:rsidR="002556A3">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CDA" w:rsidRDefault="00055CDA" w:rsidP="00004183">
    <w:r>
      <w:t>LI/A/32/4</w:t>
    </w:r>
  </w:p>
  <w:p w:rsidR="00055CDA" w:rsidRDefault="00055CDA" w:rsidP="00D61541">
    <w:r>
      <w:fldChar w:fldCharType="begin"/>
    </w:r>
    <w:r>
      <w:instrText xml:space="preserve"> PAGE  \* MERGEFORMAT </w:instrText>
    </w:r>
    <w:r>
      <w:fldChar w:fldCharType="separate"/>
    </w:r>
    <w:r w:rsidR="002556A3">
      <w:rPr>
        <w:noProof/>
      </w:rPr>
      <w:t>4</w:t>
    </w:r>
    <w:r>
      <w:fldChar w:fldCharType="end"/>
    </w:r>
  </w:p>
  <w:p w:rsidR="00055CDA" w:rsidRDefault="00055CDA"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436" w:rsidRDefault="00A34436" w:rsidP="00004183">
    <w:r>
      <w:t>LI/A/32/4</w:t>
    </w:r>
  </w:p>
  <w:p w:rsidR="00A34436" w:rsidRDefault="00A34436" w:rsidP="00D61541">
    <w:r>
      <w:t>Annex</w:t>
    </w:r>
  </w:p>
  <w:p w:rsidR="00A34436" w:rsidRDefault="00A34436" w:rsidP="00A34436">
    <w:r>
      <w:fldChar w:fldCharType="begin"/>
    </w:r>
    <w:r>
      <w:instrText xml:space="preserve"> PAGE  \* MERGEFORMAT </w:instrText>
    </w:r>
    <w:r>
      <w:fldChar w:fldCharType="separate"/>
    </w:r>
    <w:r w:rsidR="002556A3">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436" w:rsidRDefault="00A34436" w:rsidP="00A34436">
    <w:r>
      <w:t>LI/A/32/4</w:t>
    </w:r>
  </w:p>
  <w:p w:rsidR="00A34436" w:rsidRDefault="00A34436" w:rsidP="00A34436">
    <w:r>
      <w:t>ANNEX</w:t>
    </w:r>
  </w:p>
  <w:p w:rsidR="00A34436" w:rsidRPr="00A34436" w:rsidRDefault="00A34436" w:rsidP="00A34436">
    <w:pPr>
      <w:pStyle w:val="Header"/>
      <w:rPr>
        <w:rFonts w:ascii="Arabic Typesetting" w:hAnsi="Arabic Typesetting" w:cs="Arabic Typesetting"/>
        <w:sz w:val="36"/>
        <w:szCs w:val="36"/>
        <w:rtl/>
        <w:lang w:val="fr-CH"/>
      </w:rPr>
    </w:pPr>
    <w:r w:rsidRPr="00A34436">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lvlOverride w:ilvl="0">
      <w:startOverride w:val="1"/>
    </w:lvlOverride>
  </w:num>
  <w:num w:numId="2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002"/>
    <w:rsid w:val="00002CBE"/>
    <w:rsid w:val="00003232"/>
    <w:rsid w:val="000033DA"/>
    <w:rsid w:val="00004183"/>
    <w:rsid w:val="0000579F"/>
    <w:rsid w:val="000074D1"/>
    <w:rsid w:val="000076BD"/>
    <w:rsid w:val="00010481"/>
    <w:rsid w:val="00010671"/>
    <w:rsid w:val="000114E2"/>
    <w:rsid w:val="00013347"/>
    <w:rsid w:val="00013D73"/>
    <w:rsid w:val="000142E1"/>
    <w:rsid w:val="000146BD"/>
    <w:rsid w:val="00014B68"/>
    <w:rsid w:val="0001645D"/>
    <w:rsid w:val="0001663E"/>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CDA"/>
    <w:rsid w:val="00055FA2"/>
    <w:rsid w:val="000571DD"/>
    <w:rsid w:val="00061FF5"/>
    <w:rsid w:val="00062502"/>
    <w:rsid w:val="00063C91"/>
    <w:rsid w:val="000640E7"/>
    <w:rsid w:val="00066DC7"/>
    <w:rsid w:val="0006794A"/>
    <w:rsid w:val="00067F31"/>
    <w:rsid w:val="00071138"/>
    <w:rsid w:val="000717BF"/>
    <w:rsid w:val="00073402"/>
    <w:rsid w:val="000736BC"/>
    <w:rsid w:val="000736F1"/>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F14"/>
    <w:rsid w:val="000B0BB4"/>
    <w:rsid w:val="000B1045"/>
    <w:rsid w:val="000B1BAE"/>
    <w:rsid w:val="000B29B3"/>
    <w:rsid w:val="000B3889"/>
    <w:rsid w:val="000B3B3B"/>
    <w:rsid w:val="000B42E7"/>
    <w:rsid w:val="000B70B7"/>
    <w:rsid w:val="000B73E6"/>
    <w:rsid w:val="000B7759"/>
    <w:rsid w:val="000C0356"/>
    <w:rsid w:val="000C111E"/>
    <w:rsid w:val="000C14B0"/>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663"/>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65C4"/>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201"/>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964"/>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4E53"/>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6A3"/>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5367"/>
    <w:rsid w:val="00297B80"/>
    <w:rsid w:val="002A076C"/>
    <w:rsid w:val="002A1059"/>
    <w:rsid w:val="002A3C9D"/>
    <w:rsid w:val="002A5403"/>
    <w:rsid w:val="002A6C9F"/>
    <w:rsid w:val="002A77F3"/>
    <w:rsid w:val="002B14F0"/>
    <w:rsid w:val="002B1F0F"/>
    <w:rsid w:val="002B53D3"/>
    <w:rsid w:val="002B6202"/>
    <w:rsid w:val="002B7978"/>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B"/>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1D69"/>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1BA7"/>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96B15"/>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6430"/>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569E"/>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47"/>
    <w:rsid w:val="00636F89"/>
    <w:rsid w:val="0063700D"/>
    <w:rsid w:val="00637470"/>
    <w:rsid w:val="00637E13"/>
    <w:rsid w:val="00640D89"/>
    <w:rsid w:val="00640F58"/>
    <w:rsid w:val="00641203"/>
    <w:rsid w:val="00641776"/>
    <w:rsid w:val="00642E40"/>
    <w:rsid w:val="00645AC1"/>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316"/>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9EA"/>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06ACC"/>
    <w:rsid w:val="00710494"/>
    <w:rsid w:val="007117BD"/>
    <w:rsid w:val="00715129"/>
    <w:rsid w:val="007154CE"/>
    <w:rsid w:val="00715B25"/>
    <w:rsid w:val="00716020"/>
    <w:rsid w:val="00720860"/>
    <w:rsid w:val="00721087"/>
    <w:rsid w:val="00721530"/>
    <w:rsid w:val="00723422"/>
    <w:rsid w:val="007260FE"/>
    <w:rsid w:val="00726DD6"/>
    <w:rsid w:val="007272EC"/>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4CC8"/>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0EE"/>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E44"/>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77C7C"/>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470C"/>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29FD"/>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4436"/>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755E"/>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55C5"/>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240A"/>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1E1"/>
    <w:rsid w:val="00B21771"/>
    <w:rsid w:val="00B2191C"/>
    <w:rsid w:val="00B21B30"/>
    <w:rsid w:val="00B2231E"/>
    <w:rsid w:val="00B22E76"/>
    <w:rsid w:val="00B23016"/>
    <w:rsid w:val="00B23771"/>
    <w:rsid w:val="00B24EA8"/>
    <w:rsid w:val="00B25D56"/>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88E"/>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11B"/>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C59"/>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5501"/>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52D"/>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002"/>
    <w:rsid w:val="00D039B5"/>
    <w:rsid w:val="00D04AA9"/>
    <w:rsid w:val="00D04F76"/>
    <w:rsid w:val="00D053D2"/>
    <w:rsid w:val="00D0764F"/>
    <w:rsid w:val="00D07D07"/>
    <w:rsid w:val="00D10F87"/>
    <w:rsid w:val="00D1149D"/>
    <w:rsid w:val="00D11B8E"/>
    <w:rsid w:val="00D11D8D"/>
    <w:rsid w:val="00D12B12"/>
    <w:rsid w:val="00D12DD7"/>
    <w:rsid w:val="00D13A8C"/>
    <w:rsid w:val="00D149E1"/>
    <w:rsid w:val="00D14A44"/>
    <w:rsid w:val="00D15BCC"/>
    <w:rsid w:val="00D1617D"/>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DD8"/>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7B"/>
    <w:rsid w:val="00D7469D"/>
    <w:rsid w:val="00D7550B"/>
    <w:rsid w:val="00D75EEB"/>
    <w:rsid w:val="00D75F1E"/>
    <w:rsid w:val="00D80B1D"/>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085C"/>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A61"/>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10A"/>
    <w:rsid w:val="00F53159"/>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83E"/>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B7C"/>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A79"/>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itle" w:qFormat="1"/>
    <w:lsdException w:name="Subtitle" w:qFormat="1"/>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Pr>
      <w:rFonts w:ascii="Arial" w:hAnsi="Arial" w:cs="Arial"/>
      <w:sz w:val="22"/>
    </w:rPr>
  </w:style>
  <w:style w:type="paragraph" w:styleId="Heading1">
    <w:name w:val="heading 1"/>
    <w:basedOn w:val="Normal"/>
    <w:next w:val="Normal"/>
    <w:rsid w:val="00744889"/>
    <w:pPr>
      <w:keepNext/>
      <w:spacing w:before="240" w:after="60"/>
      <w:outlineLvl w:val="0"/>
    </w:pPr>
    <w:rPr>
      <w:rFonts w:eastAsia="SimSun"/>
      <w:b/>
      <w:bCs/>
      <w:caps/>
      <w:kern w:val="32"/>
      <w:szCs w:val="32"/>
    </w:rPr>
  </w:style>
  <w:style w:type="paragraph" w:styleId="Heading2">
    <w:name w:val="heading 2"/>
    <w:basedOn w:val="Normal"/>
    <w:next w:val="Normal"/>
    <w:rsid w:val="00744889"/>
    <w:pPr>
      <w:keepNext/>
      <w:spacing w:before="240" w:after="60"/>
      <w:outlineLvl w:val="1"/>
    </w:pPr>
    <w:rPr>
      <w:rFonts w:eastAsia="SimSun"/>
      <w:bCs/>
      <w:iCs/>
      <w:caps/>
      <w:szCs w:val="28"/>
    </w:rPr>
  </w:style>
  <w:style w:type="paragraph" w:styleId="Heading3">
    <w:name w:val="heading 3"/>
    <w:basedOn w:val="Normal"/>
    <w:next w:val="Normal"/>
    <w:rsid w:val="00744889"/>
    <w:pPr>
      <w:keepNext/>
      <w:spacing w:before="240" w:after="60"/>
      <w:outlineLvl w:val="2"/>
    </w:pPr>
    <w:rPr>
      <w:rFonts w:eastAsia="SimSun"/>
      <w:bCs/>
      <w:szCs w:val="26"/>
      <w:u w:val="single"/>
    </w:rPr>
  </w:style>
  <w:style w:type="paragraph" w:styleId="Heading4">
    <w:name w:val="heading 4"/>
    <w:basedOn w:val="Normal"/>
    <w:next w:val="Normal"/>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qFormat/>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qFormat/>
    <w:rsid w:val="00CD675D"/>
    <w:pPr>
      <w:keepNext/>
      <w:spacing w:before="240" w:after="60" w:line="400" w:lineRule="exact"/>
    </w:pPr>
    <w:rPr>
      <w:bCs/>
      <w:sz w:val="40"/>
      <w:szCs w:val="40"/>
    </w:rPr>
  </w:style>
  <w:style w:type="paragraph" w:customStyle="1" w:styleId="Heading2AR">
    <w:name w:val="Heading_2_AR"/>
    <w:basedOn w:val="Heading1AR"/>
    <w:next w:val="NormalParaAR"/>
    <w:qFormat/>
    <w:rsid w:val="0073076E"/>
    <w:rPr>
      <w:bCs w:val="0"/>
    </w:rPr>
  </w:style>
  <w:style w:type="paragraph" w:customStyle="1" w:styleId="Heading3AR">
    <w:name w:val="Heading_3_AR"/>
    <w:basedOn w:val="Heading2AR"/>
    <w:next w:val="NormalParaAR"/>
    <w:qFormat/>
    <w:rsid w:val="0073076E"/>
    <w:pPr>
      <w:spacing w:before="120" w:line="360" w:lineRule="exact"/>
    </w:pPr>
    <w:rPr>
      <w:sz w:val="36"/>
      <w:szCs w:val="36"/>
      <w:u w:val="single"/>
    </w:rPr>
  </w:style>
  <w:style w:type="paragraph" w:customStyle="1" w:styleId="Heading4AR">
    <w:name w:val="Heading_4_AR"/>
    <w:basedOn w:val="Heading3AR"/>
    <w:next w:val="NormalParaAR"/>
    <w:qFormat/>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itle" w:qFormat="1"/>
    <w:lsdException w:name="Subtitle" w:qFormat="1"/>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Pr>
      <w:rFonts w:ascii="Arial" w:hAnsi="Arial" w:cs="Arial"/>
      <w:sz w:val="22"/>
    </w:rPr>
  </w:style>
  <w:style w:type="paragraph" w:styleId="Heading1">
    <w:name w:val="heading 1"/>
    <w:basedOn w:val="Normal"/>
    <w:next w:val="Normal"/>
    <w:rsid w:val="00744889"/>
    <w:pPr>
      <w:keepNext/>
      <w:spacing w:before="240" w:after="60"/>
      <w:outlineLvl w:val="0"/>
    </w:pPr>
    <w:rPr>
      <w:rFonts w:eastAsia="SimSun"/>
      <w:b/>
      <w:bCs/>
      <w:caps/>
      <w:kern w:val="32"/>
      <w:szCs w:val="32"/>
    </w:rPr>
  </w:style>
  <w:style w:type="paragraph" w:styleId="Heading2">
    <w:name w:val="heading 2"/>
    <w:basedOn w:val="Normal"/>
    <w:next w:val="Normal"/>
    <w:rsid w:val="00744889"/>
    <w:pPr>
      <w:keepNext/>
      <w:spacing w:before="240" w:after="60"/>
      <w:outlineLvl w:val="1"/>
    </w:pPr>
    <w:rPr>
      <w:rFonts w:eastAsia="SimSun"/>
      <w:bCs/>
      <w:iCs/>
      <w:caps/>
      <w:szCs w:val="28"/>
    </w:rPr>
  </w:style>
  <w:style w:type="paragraph" w:styleId="Heading3">
    <w:name w:val="heading 3"/>
    <w:basedOn w:val="Normal"/>
    <w:next w:val="Normal"/>
    <w:rsid w:val="00744889"/>
    <w:pPr>
      <w:keepNext/>
      <w:spacing w:before="240" w:after="60"/>
      <w:outlineLvl w:val="2"/>
    </w:pPr>
    <w:rPr>
      <w:rFonts w:eastAsia="SimSun"/>
      <w:bCs/>
      <w:szCs w:val="26"/>
      <w:u w:val="single"/>
    </w:rPr>
  </w:style>
  <w:style w:type="paragraph" w:styleId="Heading4">
    <w:name w:val="heading 4"/>
    <w:basedOn w:val="Normal"/>
    <w:next w:val="Normal"/>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qFormat/>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qFormat/>
    <w:rsid w:val="00CD675D"/>
    <w:pPr>
      <w:keepNext/>
      <w:spacing w:before="240" w:after="60" w:line="400" w:lineRule="exact"/>
    </w:pPr>
    <w:rPr>
      <w:bCs/>
      <w:sz w:val="40"/>
      <w:szCs w:val="40"/>
    </w:rPr>
  </w:style>
  <w:style w:type="paragraph" w:customStyle="1" w:styleId="Heading2AR">
    <w:name w:val="Heading_2_AR"/>
    <w:basedOn w:val="Heading1AR"/>
    <w:next w:val="NormalParaAR"/>
    <w:qFormat/>
    <w:rsid w:val="0073076E"/>
    <w:rPr>
      <w:bCs w:val="0"/>
    </w:rPr>
  </w:style>
  <w:style w:type="paragraph" w:customStyle="1" w:styleId="Heading3AR">
    <w:name w:val="Heading_3_AR"/>
    <w:basedOn w:val="Heading2AR"/>
    <w:next w:val="NormalParaAR"/>
    <w:qFormat/>
    <w:rsid w:val="0073076E"/>
    <w:pPr>
      <w:spacing w:before="120" w:line="360" w:lineRule="exact"/>
    </w:pPr>
    <w:rPr>
      <w:sz w:val="36"/>
      <w:szCs w:val="36"/>
      <w:u w:val="single"/>
    </w:rPr>
  </w:style>
  <w:style w:type="paragraph" w:customStyle="1" w:styleId="Heading4AR">
    <w:name w:val="Heading_4_AR"/>
    <w:basedOn w:val="Heading3AR"/>
    <w:next w:val="NormalParaAR"/>
    <w:qFormat/>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LI_A_3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09CD2-43C8-48BF-986A-BDF767F8B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LI_A_32_AR.dotx</Template>
  <TotalTime>30</TotalTime>
  <Pages>7</Pages>
  <Words>1575</Words>
  <Characters>8055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LI/A/32/-- (Arabic)</vt:lpstr>
    </vt:vector>
  </TitlesOfParts>
  <Company>World Intellectual Property Organization</Company>
  <LinksUpToDate>false</LinksUpToDate>
  <CharactersWithSpaces>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 (Arabic)</dc:title>
  <dc:creator>AHMIDOUCH Noureddine</dc:creator>
  <cp:lastModifiedBy>AHMIDOUCH Noureddine</cp:lastModifiedBy>
  <cp:revision>13</cp:revision>
  <cp:lastPrinted>2015-10-01T15:22:00Z</cp:lastPrinted>
  <dcterms:created xsi:type="dcterms:W3CDTF">2015-10-01T13:30:00Z</dcterms:created>
  <dcterms:modified xsi:type="dcterms:W3CDTF">2015-10-01T15:23:00Z</dcterms:modified>
</cp:coreProperties>
</file>