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096CE4" w:rsidRPr="00096CE4" w:rsidTr="00B6101C">
        <w:tc>
          <w:tcPr>
            <w:tcW w:w="4843" w:type="dxa"/>
            <w:tcBorders>
              <w:bottom w:val="single" w:sz="4" w:space="0" w:color="auto"/>
            </w:tcBorders>
          </w:tcPr>
          <w:p w:rsidR="001667B6" w:rsidRPr="00096CE4" w:rsidRDefault="001667B6" w:rsidP="00D7604B">
            <w:pPr>
              <w:bidi/>
              <w:rPr>
                <w:rFonts w:ascii="Arabic Typesetting" w:hAnsi="Arabic Typesetting" w:cs="Arabic Typesetting"/>
                <w:sz w:val="36"/>
                <w:szCs w:val="36"/>
                <w:rtl/>
              </w:rPr>
            </w:pPr>
          </w:p>
        </w:tc>
        <w:tc>
          <w:tcPr>
            <w:tcW w:w="4223" w:type="dxa"/>
            <w:tcBorders>
              <w:bottom w:val="single" w:sz="4" w:space="0" w:color="auto"/>
            </w:tcBorders>
          </w:tcPr>
          <w:p w:rsidR="001667B6" w:rsidRPr="00096CE4" w:rsidRDefault="00772E46" w:rsidP="00D7604B">
            <w:pPr>
              <w:bidi/>
              <w:spacing w:after="20"/>
              <w:rPr>
                <w:rFonts w:ascii="Arabic Typesetting" w:hAnsi="Arabic Typesetting" w:cs="Arabic Typesetting"/>
                <w:sz w:val="36"/>
                <w:szCs w:val="36"/>
                <w:rtl/>
              </w:rPr>
            </w:pPr>
            <w:r w:rsidRPr="00096CE4">
              <w:rPr>
                <w:noProof/>
              </w:rPr>
              <w:drawing>
                <wp:inline distT="0" distB="0" distL="0" distR="0" wp14:anchorId="0259C4AE" wp14:editId="48DB0062">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096CE4" w:rsidRDefault="001667B6" w:rsidP="00D7604B">
            <w:pPr>
              <w:rPr>
                <w:b/>
                <w:bCs/>
                <w:sz w:val="40"/>
                <w:szCs w:val="40"/>
              </w:rPr>
            </w:pPr>
            <w:r w:rsidRPr="00096CE4">
              <w:rPr>
                <w:b/>
                <w:bCs/>
                <w:sz w:val="40"/>
                <w:szCs w:val="40"/>
              </w:rPr>
              <w:t>A</w:t>
            </w:r>
          </w:p>
        </w:tc>
      </w:tr>
      <w:tr w:rsidR="00096CE4" w:rsidRPr="00096CE4" w:rsidTr="00B6101C">
        <w:trPr>
          <w:trHeight w:val="333"/>
        </w:trPr>
        <w:tc>
          <w:tcPr>
            <w:tcW w:w="9571" w:type="dxa"/>
            <w:gridSpan w:val="3"/>
            <w:tcBorders>
              <w:top w:val="single" w:sz="4" w:space="0" w:color="auto"/>
            </w:tcBorders>
            <w:vAlign w:val="bottom"/>
          </w:tcPr>
          <w:p w:rsidR="00B6101C" w:rsidRPr="00096CE4" w:rsidRDefault="008A7993" w:rsidP="00D7604B">
            <w:pPr>
              <w:pStyle w:val="DocumentCodeAR"/>
              <w:bidi/>
              <w:rPr>
                <w:rtl/>
              </w:rPr>
            </w:pPr>
            <w:r w:rsidRPr="00096CE4">
              <w:t>PCT</w:t>
            </w:r>
            <w:r w:rsidR="00772E46" w:rsidRPr="00096CE4">
              <w:t>/</w:t>
            </w:r>
            <w:r w:rsidR="0059089F" w:rsidRPr="00096CE4">
              <w:t>A</w:t>
            </w:r>
            <w:r w:rsidR="00100F97" w:rsidRPr="00096CE4">
              <w:t>/</w:t>
            </w:r>
            <w:r w:rsidR="003F373A" w:rsidRPr="00096CE4">
              <w:t>4</w:t>
            </w:r>
            <w:r w:rsidR="004123D5" w:rsidRPr="00096CE4">
              <w:t>7</w:t>
            </w:r>
            <w:r w:rsidR="00FB7E74" w:rsidRPr="00096CE4">
              <w:t>/6 ADD.</w:t>
            </w:r>
          </w:p>
        </w:tc>
      </w:tr>
      <w:tr w:rsidR="00096CE4" w:rsidRPr="00096CE4" w:rsidTr="00BF164F">
        <w:tc>
          <w:tcPr>
            <w:tcW w:w="9571" w:type="dxa"/>
            <w:gridSpan w:val="3"/>
          </w:tcPr>
          <w:p w:rsidR="001667B6" w:rsidRPr="00096CE4" w:rsidRDefault="00B6101C" w:rsidP="00D7604B">
            <w:pPr>
              <w:pStyle w:val="DocumentLanguageAR"/>
              <w:bidi/>
              <w:rPr>
                <w:rtl/>
              </w:rPr>
            </w:pPr>
            <w:r w:rsidRPr="00096CE4">
              <w:rPr>
                <w:rFonts w:hint="cs"/>
                <w:rtl/>
              </w:rPr>
              <w:t xml:space="preserve">الأصل: </w:t>
            </w:r>
            <w:r w:rsidR="00FB7E74" w:rsidRPr="00096CE4">
              <w:rPr>
                <w:rFonts w:hint="cs"/>
                <w:rtl/>
              </w:rPr>
              <w:t>بالإنكليزية</w:t>
            </w:r>
          </w:p>
        </w:tc>
      </w:tr>
      <w:tr w:rsidR="001667B6" w:rsidRPr="00096CE4" w:rsidTr="00BF164F">
        <w:tc>
          <w:tcPr>
            <w:tcW w:w="9571" w:type="dxa"/>
            <w:gridSpan w:val="3"/>
          </w:tcPr>
          <w:p w:rsidR="001667B6" w:rsidRPr="00096CE4" w:rsidRDefault="00B6101C" w:rsidP="00D7604B">
            <w:pPr>
              <w:pStyle w:val="DocumentDateAR"/>
              <w:bidi/>
              <w:rPr>
                <w:rtl/>
              </w:rPr>
            </w:pPr>
            <w:r w:rsidRPr="00096CE4">
              <w:rPr>
                <w:rFonts w:hint="cs"/>
                <w:rtl/>
              </w:rPr>
              <w:t xml:space="preserve">التاريخ: </w:t>
            </w:r>
            <w:r w:rsidR="00FB7E74" w:rsidRPr="00096CE4">
              <w:rPr>
                <w:rFonts w:hint="cs"/>
                <w:rtl/>
              </w:rPr>
              <w:t>15</w:t>
            </w:r>
            <w:r w:rsidRPr="00096CE4">
              <w:rPr>
                <w:rFonts w:hint="cs"/>
                <w:rtl/>
              </w:rPr>
              <w:t xml:space="preserve"> </w:t>
            </w:r>
            <w:r w:rsidR="00FB7E74" w:rsidRPr="00096CE4">
              <w:rPr>
                <w:rFonts w:hint="cs"/>
                <w:rtl/>
              </w:rPr>
              <w:t>سبتمبر</w:t>
            </w:r>
            <w:r w:rsidR="00180836" w:rsidRPr="00096CE4">
              <w:rPr>
                <w:rtl/>
              </w:rPr>
              <w:t> </w:t>
            </w:r>
            <w:r w:rsidR="00180836" w:rsidRPr="00096CE4">
              <w:rPr>
                <w:rFonts w:hint="cs"/>
                <w:rtl/>
              </w:rPr>
              <w:t>2015</w:t>
            </w:r>
          </w:p>
        </w:tc>
      </w:tr>
    </w:tbl>
    <w:p w:rsidR="000F5E56" w:rsidRPr="00096CE4" w:rsidRDefault="000F5E56" w:rsidP="00D7604B">
      <w:pPr>
        <w:bidi/>
        <w:spacing w:line="360" w:lineRule="exact"/>
        <w:rPr>
          <w:rFonts w:ascii="Arabic Typesetting" w:hAnsi="Arabic Typesetting" w:cs="Arabic Typesetting"/>
          <w:sz w:val="36"/>
          <w:szCs w:val="36"/>
          <w:rtl/>
        </w:rPr>
      </w:pPr>
    </w:p>
    <w:p w:rsidR="001667B6" w:rsidRPr="00096CE4" w:rsidRDefault="001667B6" w:rsidP="00D7604B">
      <w:pPr>
        <w:bidi/>
        <w:spacing w:line="360" w:lineRule="exact"/>
        <w:rPr>
          <w:rFonts w:ascii="Arabic Typesetting" w:hAnsi="Arabic Typesetting" w:cs="Arabic Typesetting"/>
          <w:sz w:val="36"/>
          <w:szCs w:val="36"/>
        </w:rPr>
      </w:pPr>
    </w:p>
    <w:p w:rsidR="000438DD" w:rsidRPr="00096CE4" w:rsidRDefault="000438DD" w:rsidP="00D7604B">
      <w:pPr>
        <w:bidi/>
        <w:spacing w:line="360" w:lineRule="exact"/>
        <w:rPr>
          <w:rFonts w:ascii="Arabic Typesetting" w:hAnsi="Arabic Typesetting" w:cs="Arabic Typesetting"/>
          <w:sz w:val="36"/>
          <w:szCs w:val="36"/>
          <w:rtl/>
        </w:rPr>
      </w:pPr>
    </w:p>
    <w:p w:rsidR="00EC1388" w:rsidRPr="00096CE4" w:rsidRDefault="008A7993" w:rsidP="00D7604B">
      <w:pPr>
        <w:pStyle w:val="MeetingTitleAR"/>
        <w:bidi/>
        <w:rPr>
          <w:rtl/>
        </w:rPr>
      </w:pPr>
      <w:r w:rsidRPr="00096CE4">
        <w:rPr>
          <w:rFonts w:hint="cs"/>
          <w:rtl/>
          <w:lang w:val="fr-CH"/>
        </w:rPr>
        <w:t>اتحاد معاهدة التعاون بشأن البراءات</w:t>
      </w:r>
    </w:p>
    <w:p w:rsidR="00F27305" w:rsidRPr="00096CE4" w:rsidRDefault="00F27305" w:rsidP="00D7604B">
      <w:pPr>
        <w:bidi/>
        <w:spacing w:line="360" w:lineRule="exact"/>
        <w:rPr>
          <w:rFonts w:ascii="Arabic Typesetting" w:hAnsi="Arabic Typesetting" w:cs="Arabic Typesetting"/>
          <w:sz w:val="36"/>
          <w:szCs w:val="36"/>
          <w:rtl/>
        </w:rPr>
      </w:pPr>
    </w:p>
    <w:p w:rsidR="001667B6" w:rsidRPr="00096CE4" w:rsidRDefault="000438DD" w:rsidP="00D7604B">
      <w:pPr>
        <w:pStyle w:val="MeetingTitleAR"/>
        <w:bidi/>
        <w:ind w:right="550"/>
        <w:rPr>
          <w:rtl/>
          <w:lang w:val="fr-CH"/>
        </w:rPr>
      </w:pPr>
      <w:r w:rsidRPr="00096CE4">
        <w:rPr>
          <w:rFonts w:hint="cs"/>
          <w:rtl/>
          <w:lang w:val="fr-CH"/>
        </w:rPr>
        <w:t>الجمعية</w:t>
      </w:r>
    </w:p>
    <w:p w:rsidR="001667B6" w:rsidRPr="00096CE4" w:rsidRDefault="001667B6" w:rsidP="00D7604B">
      <w:pPr>
        <w:bidi/>
        <w:spacing w:line="360" w:lineRule="exact"/>
        <w:rPr>
          <w:rFonts w:ascii="Arabic Typesetting" w:hAnsi="Arabic Typesetting" w:cs="Arabic Typesetting"/>
          <w:sz w:val="36"/>
          <w:szCs w:val="36"/>
          <w:rtl/>
        </w:rPr>
      </w:pPr>
    </w:p>
    <w:p w:rsidR="001667B6" w:rsidRPr="00096CE4" w:rsidRDefault="00E1775E" w:rsidP="00D7604B">
      <w:pPr>
        <w:pStyle w:val="MeetingSessionAR"/>
        <w:bidi/>
        <w:rPr>
          <w:rFonts w:ascii="Cambria Math" w:hAnsi="Cambria Math"/>
          <w:rtl/>
        </w:rPr>
      </w:pPr>
      <w:r w:rsidRPr="00096CE4">
        <w:rPr>
          <w:rFonts w:ascii="Cambria Math" w:hAnsi="Cambria Math"/>
          <w:rtl/>
        </w:rPr>
        <w:t>الدورة</w:t>
      </w:r>
      <w:r w:rsidRPr="00096CE4">
        <w:rPr>
          <w:rFonts w:ascii="Cambria Math" w:hAnsi="Cambria Math" w:hint="cs"/>
          <w:rtl/>
          <w:lang w:val="fr-CH"/>
        </w:rPr>
        <w:t xml:space="preserve"> </w:t>
      </w:r>
      <w:r w:rsidR="003F373A" w:rsidRPr="00096CE4">
        <w:rPr>
          <w:rFonts w:ascii="Cambria Math" w:hAnsi="Cambria Math" w:hint="cs"/>
          <w:rtl/>
          <w:lang w:val="fr-CH"/>
        </w:rPr>
        <w:t>السا</w:t>
      </w:r>
      <w:r w:rsidR="004123D5" w:rsidRPr="00096CE4">
        <w:rPr>
          <w:rFonts w:ascii="Cambria Math" w:hAnsi="Cambria Math" w:hint="cs"/>
          <w:rtl/>
          <w:lang w:val="fr-CH"/>
        </w:rPr>
        <w:t>بع</w:t>
      </w:r>
      <w:r w:rsidR="003F373A" w:rsidRPr="00096CE4">
        <w:rPr>
          <w:rFonts w:ascii="Cambria Math" w:hAnsi="Cambria Math" w:hint="cs"/>
          <w:rtl/>
          <w:lang w:val="fr-CH"/>
        </w:rPr>
        <w:t>ة</w:t>
      </w:r>
      <w:r w:rsidR="008A7993" w:rsidRPr="00096CE4">
        <w:rPr>
          <w:rFonts w:ascii="Cambria Math" w:hAnsi="Cambria Math" w:hint="cs"/>
          <w:rtl/>
          <w:lang w:val="fr-CH"/>
        </w:rPr>
        <w:t xml:space="preserve"> والأربعون</w:t>
      </w:r>
      <w:r w:rsidR="00EC1388" w:rsidRPr="00096CE4">
        <w:rPr>
          <w:rFonts w:ascii="Cambria Math" w:hAnsi="Cambria Math" w:hint="cs"/>
          <w:rtl/>
        </w:rPr>
        <w:t xml:space="preserve"> </w:t>
      </w:r>
      <w:r w:rsidR="0059089F" w:rsidRPr="00096CE4">
        <w:rPr>
          <w:rFonts w:ascii="Cambria Math" w:hAnsi="Cambria Math"/>
          <w:rtl/>
        </w:rPr>
        <w:t xml:space="preserve">(الدورة </w:t>
      </w:r>
      <w:r w:rsidR="004123D5" w:rsidRPr="00096CE4">
        <w:rPr>
          <w:rFonts w:ascii="Cambria Math" w:hAnsi="Cambria Math" w:hint="cs"/>
          <w:rtl/>
        </w:rPr>
        <w:t xml:space="preserve">العادية </w:t>
      </w:r>
      <w:r w:rsidR="003F373A" w:rsidRPr="00096CE4">
        <w:rPr>
          <w:rFonts w:ascii="Cambria Math" w:hAnsi="Cambria Math" w:hint="cs"/>
          <w:rtl/>
        </w:rPr>
        <w:t>العشرون</w:t>
      </w:r>
      <w:r w:rsidR="0059089F" w:rsidRPr="00096CE4">
        <w:rPr>
          <w:rFonts w:ascii="Cambria Math" w:hAnsi="Cambria Math"/>
          <w:rtl/>
        </w:rPr>
        <w:t>)</w:t>
      </w:r>
    </w:p>
    <w:p w:rsidR="00D61541" w:rsidRPr="00096CE4" w:rsidRDefault="00D61541" w:rsidP="00D7604B">
      <w:pPr>
        <w:pStyle w:val="MeetingDatesAR"/>
        <w:bidi/>
        <w:rPr>
          <w:rtl/>
        </w:rPr>
      </w:pPr>
      <w:r w:rsidRPr="00096CE4">
        <w:rPr>
          <w:rFonts w:hint="cs"/>
          <w:rtl/>
        </w:rPr>
        <w:t xml:space="preserve">جنيف، من </w:t>
      </w:r>
      <w:r w:rsidR="004123D5" w:rsidRPr="00096CE4">
        <w:rPr>
          <w:rFonts w:hint="cs"/>
          <w:rtl/>
        </w:rPr>
        <w:t>5</w:t>
      </w:r>
      <w:r w:rsidR="00983389" w:rsidRPr="00096CE4">
        <w:rPr>
          <w:rFonts w:hint="cs"/>
          <w:rtl/>
        </w:rPr>
        <w:t xml:space="preserve"> </w:t>
      </w:r>
      <w:r w:rsidR="003F373A" w:rsidRPr="00096CE4">
        <w:rPr>
          <w:rFonts w:hint="cs"/>
          <w:rtl/>
        </w:rPr>
        <w:t xml:space="preserve">إلى </w:t>
      </w:r>
      <w:r w:rsidR="00430CF7" w:rsidRPr="00096CE4">
        <w:rPr>
          <w:rFonts w:hint="cs"/>
          <w:rtl/>
        </w:rPr>
        <w:t>14</w:t>
      </w:r>
      <w:r w:rsidR="004123D5" w:rsidRPr="00096CE4">
        <w:rPr>
          <w:rFonts w:hint="cs"/>
          <w:rtl/>
        </w:rPr>
        <w:t xml:space="preserve"> أكتوبر</w:t>
      </w:r>
      <w:r w:rsidR="00180836" w:rsidRPr="00096CE4">
        <w:rPr>
          <w:rtl/>
        </w:rPr>
        <w:t> </w:t>
      </w:r>
      <w:r w:rsidR="00180836" w:rsidRPr="00096CE4">
        <w:rPr>
          <w:rFonts w:hint="cs"/>
          <w:rtl/>
        </w:rPr>
        <w:t>2015</w:t>
      </w:r>
    </w:p>
    <w:p w:rsidR="00D61541" w:rsidRPr="00096CE4" w:rsidRDefault="00D61541" w:rsidP="00D7604B">
      <w:pPr>
        <w:bidi/>
        <w:spacing w:line="360" w:lineRule="exact"/>
        <w:rPr>
          <w:rFonts w:ascii="Arabic Typesetting" w:hAnsi="Arabic Typesetting" w:cs="Arabic Typesetting"/>
          <w:sz w:val="36"/>
          <w:szCs w:val="36"/>
          <w:rtl/>
        </w:rPr>
      </w:pPr>
    </w:p>
    <w:p w:rsidR="00D61541" w:rsidRPr="00096CE4" w:rsidRDefault="00D61541" w:rsidP="00D7604B">
      <w:pPr>
        <w:bidi/>
        <w:spacing w:line="360" w:lineRule="exact"/>
        <w:rPr>
          <w:rFonts w:ascii="Arabic Typesetting" w:hAnsi="Arabic Typesetting" w:cs="Arabic Typesetting"/>
          <w:sz w:val="36"/>
          <w:szCs w:val="36"/>
          <w:rtl/>
        </w:rPr>
      </w:pPr>
    </w:p>
    <w:p w:rsidR="00D61541" w:rsidRPr="00096CE4" w:rsidRDefault="00FB7E74" w:rsidP="00D7604B">
      <w:pPr>
        <w:pStyle w:val="DocumentTitleAR"/>
        <w:bidi/>
        <w:rPr>
          <w:rtl/>
        </w:rPr>
      </w:pPr>
      <w:r w:rsidRPr="00096CE4">
        <w:rPr>
          <w:rtl/>
        </w:rPr>
        <w:t>تعيين معهد فيسغراد للبراءات كإدارة للبحث الدولي وإدارة للفحص التمهيدي الدولي في إطار معاهدة التعاون بشأن البراءات</w:t>
      </w:r>
      <w:r w:rsidRPr="00096CE4">
        <w:rPr>
          <w:rFonts w:hint="cs"/>
          <w:rtl/>
        </w:rPr>
        <w:t xml:space="preserve"> </w:t>
      </w:r>
      <w:r w:rsidR="00430CF7" w:rsidRPr="00096CE4">
        <w:rPr>
          <w:rFonts w:hint="cs"/>
          <w:rtl/>
        </w:rPr>
        <w:t>- أ</w:t>
      </w:r>
      <w:r w:rsidRPr="00096CE4">
        <w:rPr>
          <w:rFonts w:hint="cs"/>
          <w:rtl/>
        </w:rPr>
        <w:t>حدث المستجدات</w:t>
      </w:r>
    </w:p>
    <w:p w:rsidR="00D61541" w:rsidRPr="00096CE4" w:rsidRDefault="00D61541" w:rsidP="00D7604B">
      <w:pPr>
        <w:pStyle w:val="PreparedbyAR"/>
        <w:bidi/>
        <w:rPr>
          <w:rtl/>
        </w:rPr>
      </w:pPr>
      <w:r w:rsidRPr="00096CE4">
        <w:rPr>
          <w:rFonts w:hint="cs"/>
          <w:rtl/>
        </w:rPr>
        <w:t>من إعداد</w:t>
      </w:r>
      <w:r w:rsidR="00FB7E74" w:rsidRPr="00096CE4">
        <w:rPr>
          <w:rFonts w:hint="cs"/>
          <w:rtl/>
        </w:rPr>
        <w:t xml:space="preserve"> المكتب الدولي</w:t>
      </w:r>
    </w:p>
    <w:p w:rsidR="00D61541" w:rsidRPr="00096CE4" w:rsidRDefault="00430CF7" w:rsidP="00D7604B">
      <w:pPr>
        <w:pStyle w:val="NumberedParaAR"/>
      </w:pPr>
      <w:r w:rsidRPr="00096CE4">
        <w:rPr>
          <w:rFonts w:hint="cs"/>
          <w:rtl/>
        </w:rPr>
        <w:t xml:space="preserve">وفقاً لما ورد في </w:t>
      </w:r>
      <w:r w:rsidR="00C53110" w:rsidRPr="00096CE4">
        <w:rPr>
          <w:rFonts w:hint="cs"/>
          <w:rtl/>
        </w:rPr>
        <w:t>الفقرة</w:t>
      </w:r>
      <w:r w:rsidR="00C53110" w:rsidRPr="00096CE4">
        <w:rPr>
          <w:rtl/>
        </w:rPr>
        <w:t> </w:t>
      </w:r>
      <w:r w:rsidRPr="00096CE4">
        <w:rPr>
          <w:rFonts w:hint="cs"/>
          <w:rtl/>
        </w:rPr>
        <w:t xml:space="preserve">9 من الوثيقة </w:t>
      </w:r>
      <w:r w:rsidRPr="00096CE4">
        <w:t>PCT/A/47/6</w:t>
      </w:r>
      <w:r w:rsidRPr="00096CE4">
        <w:rPr>
          <w:rFonts w:hint="cs"/>
          <w:rtl/>
          <w:lang w:bidi="ar-EG"/>
        </w:rPr>
        <w:t xml:space="preserve">، قدم وفد </w:t>
      </w:r>
      <w:r w:rsidR="00180836" w:rsidRPr="00096CE4">
        <w:rPr>
          <w:rFonts w:hint="cs"/>
          <w:rtl/>
          <w:lang w:bidi="ar-EG"/>
        </w:rPr>
        <w:t>هنغاريا</w:t>
      </w:r>
      <w:r w:rsidRPr="00096CE4">
        <w:rPr>
          <w:rFonts w:hint="cs"/>
          <w:rtl/>
          <w:lang w:bidi="ar-EG"/>
        </w:rPr>
        <w:t xml:space="preserve"> باسم الدول الموقعة </w:t>
      </w:r>
      <w:r w:rsidRPr="00096CE4">
        <w:rPr>
          <w:rtl/>
          <w:lang w:bidi="ar-EG"/>
        </w:rPr>
        <w:t>اتفاق معهد فيسغراد للبراءات</w:t>
      </w:r>
      <w:r w:rsidR="007E4AE2" w:rsidRPr="00096CE4">
        <w:rPr>
          <w:rFonts w:hint="cs"/>
          <w:rtl/>
          <w:lang w:bidi="ar-EG"/>
        </w:rPr>
        <w:t xml:space="preserve"> (اتفاق فيسغراد)</w:t>
      </w:r>
      <w:r w:rsidRPr="00096CE4">
        <w:rPr>
          <w:rFonts w:hint="cs"/>
          <w:rtl/>
          <w:lang w:bidi="ar-EG"/>
        </w:rPr>
        <w:t xml:space="preserve"> معلومات عن أحدث المستجدات بشأن طلب </w:t>
      </w:r>
      <w:r w:rsidRPr="00096CE4">
        <w:rPr>
          <w:rtl/>
          <w:lang w:bidi="ar-EG"/>
        </w:rPr>
        <w:t>تعيين معهد فيسغراد للبراءات كإدارة للبحث الدولي وإدارة للفحص التمهيدي الدولي في إطار معاهدة التعاون بشأن البراءات</w:t>
      </w:r>
      <w:r w:rsidRPr="00096CE4">
        <w:rPr>
          <w:rFonts w:hint="cs"/>
          <w:rtl/>
          <w:lang w:bidi="ar-EG"/>
        </w:rPr>
        <w:t>. وترد هذه المعلومات في مرفق هذه الوثيقة.</w:t>
      </w:r>
    </w:p>
    <w:p w:rsidR="00430CF7" w:rsidRPr="00096CE4" w:rsidRDefault="00430CF7" w:rsidP="00D7604B">
      <w:pPr>
        <w:pStyle w:val="DecisionParaAR"/>
        <w:spacing w:after="720"/>
        <w:ind w:left="5530"/>
      </w:pPr>
      <w:r w:rsidRPr="00096CE4">
        <w:rPr>
          <w:rtl/>
        </w:rPr>
        <w:t xml:space="preserve">‏إن جمعية اتحاد معاهدة التعاون بشأن البراءات مدعوةٌ إلى الإحاطة </w:t>
      </w:r>
      <w:r w:rsidRPr="00096CE4">
        <w:rPr>
          <w:rFonts w:hint="cs"/>
          <w:rtl/>
        </w:rPr>
        <w:t xml:space="preserve">علماً </w:t>
      </w:r>
      <w:r w:rsidR="00FE584B" w:rsidRPr="00096CE4">
        <w:rPr>
          <w:rFonts w:hint="cs"/>
          <w:rtl/>
          <w:lang w:bidi="ar-EG"/>
        </w:rPr>
        <w:t>بالمعلومات عن</w:t>
      </w:r>
      <w:r w:rsidRPr="00096CE4">
        <w:rPr>
          <w:rFonts w:hint="cs"/>
          <w:rtl/>
        </w:rPr>
        <w:t xml:space="preserve"> "أحدث المستجدات" الوارد</w:t>
      </w:r>
      <w:r w:rsidR="00FE584B" w:rsidRPr="00096CE4">
        <w:rPr>
          <w:rFonts w:hint="cs"/>
          <w:rtl/>
        </w:rPr>
        <w:t>ة</w:t>
      </w:r>
      <w:r w:rsidRPr="00096CE4">
        <w:rPr>
          <w:rFonts w:hint="cs"/>
          <w:rtl/>
        </w:rPr>
        <w:t xml:space="preserve"> في مرفق الوثيقة </w:t>
      </w:r>
      <w:r w:rsidRPr="00096CE4">
        <w:t>PCT/A/47/6 Add.</w:t>
      </w:r>
      <w:r w:rsidRPr="00096CE4">
        <w:rPr>
          <w:rFonts w:hint="cs"/>
          <w:rtl/>
          <w:lang w:bidi="ar-EG"/>
        </w:rPr>
        <w:t>.</w:t>
      </w:r>
    </w:p>
    <w:p w:rsidR="00EC1388" w:rsidRPr="00096CE4" w:rsidRDefault="00430CF7" w:rsidP="00D7604B">
      <w:pPr>
        <w:pStyle w:val="EndofDocumentAR"/>
        <w:rPr>
          <w:rtl/>
        </w:rPr>
      </w:pPr>
      <w:r w:rsidRPr="00096CE4">
        <w:rPr>
          <w:rFonts w:hint="cs"/>
          <w:rtl/>
        </w:rPr>
        <w:t>[يلي ذلك المرفق]</w:t>
      </w:r>
    </w:p>
    <w:p w:rsidR="00430CF7" w:rsidRPr="00096CE4" w:rsidRDefault="00430CF7" w:rsidP="00D7604B">
      <w:pPr>
        <w:pStyle w:val="NormalParaAR"/>
        <w:rPr>
          <w:rtl/>
        </w:rPr>
      </w:pPr>
    </w:p>
    <w:p w:rsidR="00430CF7" w:rsidRPr="00096CE4" w:rsidRDefault="00430CF7" w:rsidP="00D7604B">
      <w:pPr>
        <w:pStyle w:val="NormalParaAR"/>
        <w:rPr>
          <w:rtl/>
        </w:rPr>
        <w:sectPr w:rsidR="00430CF7" w:rsidRPr="00096CE4" w:rsidSect="00EB7752">
          <w:headerReference w:type="default" r:id="rId10"/>
          <w:pgSz w:w="11907" w:h="16840" w:code="9"/>
          <w:pgMar w:top="567" w:right="1418" w:bottom="1418" w:left="1134" w:header="510" w:footer="1021" w:gutter="0"/>
          <w:cols w:space="720"/>
          <w:titlePg/>
          <w:docGrid w:linePitch="299"/>
        </w:sectPr>
      </w:pPr>
    </w:p>
    <w:p w:rsidR="00430CF7" w:rsidRPr="00096CE4" w:rsidRDefault="007E4AE2" w:rsidP="00D7604B">
      <w:pPr>
        <w:pStyle w:val="NormalParaAR"/>
        <w:jc w:val="center"/>
        <w:rPr>
          <w:b/>
          <w:bCs/>
          <w:rtl/>
          <w:lang w:bidi="ar-EG"/>
        </w:rPr>
      </w:pPr>
      <w:r w:rsidRPr="00096CE4">
        <w:rPr>
          <w:b/>
          <w:bCs/>
          <w:rtl/>
          <w:lang w:bidi="ar-EG"/>
        </w:rPr>
        <w:lastRenderedPageBreak/>
        <w:t>تعيين معهد فيسغراد للبراءات</w:t>
      </w:r>
      <w:r w:rsidRPr="00096CE4">
        <w:rPr>
          <w:rFonts w:hint="cs"/>
          <w:b/>
          <w:bCs/>
          <w:rtl/>
          <w:lang w:bidi="ar-EG"/>
        </w:rPr>
        <w:br/>
      </w:r>
      <w:r w:rsidRPr="00096CE4">
        <w:rPr>
          <w:b/>
          <w:bCs/>
          <w:rtl/>
          <w:lang w:bidi="ar-EG"/>
        </w:rPr>
        <w:t>كإدارة للبحث الدولي</w:t>
      </w:r>
      <w:r w:rsidRPr="00096CE4">
        <w:rPr>
          <w:rFonts w:hint="cs"/>
          <w:b/>
          <w:bCs/>
          <w:rtl/>
          <w:lang w:bidi="ar-EG"/>
        </w:rPr>
        <w:br/>
      </w:r>
      <w:r w:rsidRPr="00096CE4">
        <w:rPr>
          <w:b/>
          <w:bCs/>
          <w:rtl/>
          <w:lang w:bidi="ar-EG"/>
        </w:rPr>
        <w:t>وإدارة للفحص التمهيدي الدولي</w:t>
      </w:r>
      <w:r w:rsidRPr="00096CE4">
        <w:rPr>
          <w:rFonts w:hint="cs"/>
          <w:b/>
          <w:bCs/>
          <w:rtl/>
          <w:lang w:bidi="ar-EG"/>
        </w:rPr>
        <w:br/>
      </w:r>
      <w:r w:rsidRPr="00096CE4">
        <w:rPr>
          <w:b/>
          <w:bCs/>
          <w:rtl/>
          <w:lang w:bidi="ar-EG"/>
        </w:rPr>
        <w:t>في إطار معاهدة التعاون بشأن البراءات - أحدث المستجدات</w:t>
      </w:r>
    </w:p>
    <w:p w:rsidR="00430CF7" w:rsidRPr="00096CE4" w:rsidRDefault="007E4AE2" w:rsidP="00363B54">
      <w:pPr>
        <w:pStyle w:val="Heading1AR"/>
        <w:rPr>
          <w:lang w:bidi="ar-EG"/>
        </w:rPr>
      </w:pPr>
      <w:r w:rsidRPr="00096CE4">
        <w:rPr>
          <w:rFonts w:hint="cs"/>
          <w:rtl/>
          <w:lang w:bidi="ar-EG"/>
        </w:rPr>
        <w:t>مقدمة</w:t>
      </w:r>
    </w:p>
    <w:p w:rsidR="007E4AE2" w:rsidRPr="00096CE4" w:rsidRDefault="007E4AE2" w:rsidP="00BF3BDF">
      <w:pPr>
        <w:pStyle w:val="NumberedParaAR"/>
        <w:numPr>
          <w:ilvl w:val="0"/>
          <w:numId w:val="23"/>
        </w:numPr>
        <w:rPr>
          <w:lang w:bidi="ar-EG"/>
        </w:rPr>
      </w:pPr>
      <w:r w:rsidRPr="00096CE4">
        <w:rPr>
          <w:rFonts w:hint="cs"/>
          <w:rtl/>
          <w:lang w:bidi="ar-EG"/>
        </w:rPr>
        <w:t>وافقت ا</w:t>
      </w:r>
      <w:r w:rsidR="000E1E81" w:rsidRPr="00096CE4">
        <w:rPr>
          <w:rFonts w:hint="cs"/>
          <w:rtl/>
          <w:lang w:bidi="ar-EG"/>
        </w:rPr>
        <w:t>ل</w:t>
      </w:r>
      <w:r w:rsidRPr="00096CE4">
        <w:rPr>
          <w:rtl/>
          <w:lang w:bidi="ar-EG"/>
        </w:rPr>
        <w:t>لجنة المعنية بالتعاون التقني لمعاهدة التعاون بشأن البراءات</w:t>
      </w:r>
      <w:r w:rsidRPr="00096CE4">
        <w:rPr>
          <w:rFonts w:hint="cs"/>
          <w:rtl/>
          <w:lang w:bidi="ar-EG"/>
        </w:rPr>
        <w:t xml:space="preserve">، في دورتها </w:t>
      </w:r>
      <w:r w:rsidRPr="00096CE4">
        <w:rPr>
          <w:rtl/>
          <w:lang w:bidi="ar-EG"/>
        </w:rPr>
        <w:t>الثامنة والعشرين</w:t>
      </w:r>
      <w:r w:rsidRPr="00096CE4">
        <w:rPr>
          <w:rFonts w:hint="cs"/>
          <w:rtl/>
          <w:lang w:bidi="ar-EG"/>
        </w:rPr>
        <w:t xml:space="preserve"> التي عُقدت في الفترة من 26 إلى 29</w:t>
      </w:r>
      <w:r w:rsidR="00FE584B" w:rsidRPr="00096CE4">
        <w:rPr>
          <w:rFonts w:hint="eastAsia"/>
          <w:rtl/>
          <w:lang w:bidi="ar-EG"/>
        </w:rPr>
        <w:t> </w:t>
      </w:r>
      <w:r w:rsidRPr="00096CE4">
        <w:rPr>
          <w:rFonts w:hint="cs"/>
          <w:rtl/>
          <w:lang w:bidi="ar-EG"/>
        </w:rPr>
        <w:t>مايو</w:t>
      </w:r>
      <w:r w:rsidR="00180836" w:rsidRPr="00096CE4">
        <w:rPr>
          <w:rtl/>
          <w:lang w:bidi="ar-EG"/>
        </w:rPr>
        <w:t> </w:t>
      </w:r>
      <w:r w:rsidR="00180836" w:rsidRPr="00096CE4">
        <w:rPr>
          <w:rFonts w:hint="eastAsia"/>
          <w:rtl/>
          <w:lang w:bidi="ar-EG"/>
        </w:rPr>
        <w:t>2015</w:t>
      </w:r>
      <w:r w:rsidRPr="00096CE4">
        <w:rPr>
          <w:rFonts w:hint="cs"/>
          <w:rtl/>
          <w:lang w:bidi="ar-EG"/>
        </w:rPr>
        <w:t xml:space="preserve"> بجنيف، بالإجماع</w:t>
      </w:r>
      <w:r w:rsidRPr="00096CE4">
        <w:rPr>
          <w:rtl/>
          <w:lang w:bidi="ar-EG"/>
        </w:rPr>
        <w:t xml:space="preserve"> على أن توصي جمعية اتحاد معاهدة التعاون بشأن البراءات بتعيين معهد فيسغراد للبراءات كإدارة للبحث الدولي وإدارة للفحص التمهيدي الدولي </w:t>
      </w:r>
      <w:r w:rsidR="00FE584B" w:rsidRPr="00096CE4">
        <w:rPr>
          <w:rFonts w:hint="cs"/>
          <w:rtl/>
          <w:lang w:bidi="ar-EG"/>
        </w:rPr>
        <w:t xml:space="preserve">في إطار </w:t>
      </w:r>
      <w:r w:rsidRPr="00096CE4">
        <w:rPr>
          <w:rtl/>
          <w:lang w:bidi="ar-EG"/>
        </w:rPr>
        <w:t>معاهدة التعاون بشأن البراءات.</w:t>
      </w:r>
    </w:p>
    <w:p w:rsidR="007E4AE2" w:rsidRPr="00096CE4" w:rsidRDefault="007E4AE2" w:rsidP="00D7604B">
      <w:pPr>
        <w:pStyle w:val="NumberedParaAR"/>
        <w:numPr>
          <w:ilvl w:val="0"/>
          <w:numId w:val="23"/>
        </w:numPr>
        <w:rPr>
          <w:rtl/>
          <w:lang w:bidi="ar-EG"/>
        </w:rPr>
      </w:pPr>
      <w:r w:rsidRPr="00096CE4">
        <w:rPr>
          <w:rFonts w:hint="cs"/>
          <w:rtl/>
          <w:lang w:bidi="ar-EG"/>
        </w:rPr>
        <w:t>وتهدف هذه الوثيقة إلى عرض أحدث المستجدات منذ الدورة الثامنة والعشرين للجنة وفقاً للفقرة</w:t>
      </w:r>
      <w:r w:rsidR="00FE584B" w:rsidRPr="00096CE4">
        <w:rPr>
          <w:rFonts w:hint="eastAsia"/>
          <w:rtl/>
          <w:lang w:bidi="ar-EG"/>
        </w:rPr>
        <w:t> </w:t>
      </w:r>
      <w:r w:rsidRPr="00096CE4">
        <w:rPr>
          <w:rFonts w:hint="cs"/>
          <w:rtl/>
          <w:lang w:bidi="ar-EG"/>
        </w:rPr>
        <w:t>9 من الوثيقة</w:t>
      </w:r>
      <w:r w:rsidR="00850093" w:rsidRPr="00096CE4">
        <w:rPr>
          <w:rFonts w:hint="cs"/>
          <w:rtl/>
          <w:lang w:bidi="ar-EG"/>
        </w:rPr>
        <w:t xml:space="preserve"> </w:t>
      </w:r>
      <w:r w:rsidRPr="00096CE4">
        <w:rPr>
          <w:lang w:bidi="ar-EG"/>
        </w:rPr>
        <w:t>PCT/A/47/6</w:t>
      </w:r>
      <w:r w:rsidRPr="00096CE4">
        <w:rPr>
          <w:rFonts w:hint="cs"/>
          <w:rtl/>
          <w:lang w:bidi="ar-EG"/>
        </w:rPr>
        <w:t>.</w:t>
      </w:r>
    </w:p>
    <w:p w:rsidR="00430CF7" w:rsidRPr="00096CE4" w:rsidRDefault="007E4AE2" w:rsidP="00363B54">
      <w:pPr>
        <w:pStyle w:val="Heading1AR"/>
        <w:rPr>
          <w:rtl/>
          <w:lang w:bidi="ar-EG"/>
        </w:rPr>
      </w:pPr>
      <w:r w:rsidRPr="00096CE4">
        <w:rPr>
          <w:rFonts w:hint="cs"/>
          <w:rtl/>
          <w:lang w:bidi="ar-EG"/>
        </w:rPr>
        <w:t>التصديق على اتفاق فيسغراد</w:t>
      </w:r>
    </w:p>
    <w:p w:rsidR="00430CF7" w:rsidRPr="00096CE4" w:rsidRDefault="007E4AE2" w:rsidP="00D7604B">
      <w:pPr>
        <w:pStyle w:val="NumberedParaAR"/>
        <w:numPr>
          <w:ilvl w:val="0"/>
          <w:numId w:val="23"/>
        </w:numPr>
        <w:rPr>
          <w:lang w:bidi="ar-EG"/>
        </w:rPr>
      </w:pPr>
      <w:r w:rsidRPr="00096CE4">
        <w:rPr>
          <w:rFonts w:hint="cs"/>
          <w:rtl/>
          <w:lang w:bidi="ar-EG"/>
        </w:rPr>
        <w:t xml:space="preserve">طبقاً لما ورد في </w:t>
      </w:r>
      <w:r w:rsidR="00C53110" w:rsidRPr="00096CE4">
        <w:rPr>
          <w:rFonts w:hint="cs"/>
          <w:rtl/>
          <w:lang w:bidi="ar-EG"/>
        </w:rPr>
        <w:t>الفقرة</w:t>
      </w:r>
      <w:r w:rsidR="00C53110" w:rsidRPr="00096CE4">
        <w:rPr>
          <w:rtl/>
          <w:lang w:bidi="ar-EG"/>
        </w:rPr>
        <w:t> </w:t>
      </w:r>
      <w:r w:rsidRPr="00096CE4">
        <w:rPr>
          <w:rFonts w:hint="cs"/>
          <w:rtl/>
          <w:lang w:bidi="ar-EG"/>
        </w:rPr>
        <w:t xml:space="preserve">30 من المرفق الثاني </w:t>
      </w:r>
      <w:r w:rsidR="00FE584B" w:rsidRPr="00096CE4">
        <w:rPr>
          <w:rFonts w:hint="cs"/>
          <w:rtl/>
          <w:lang w:bidi="ar-EG"/>
        </w:rPr>
        <w:t>ل</w:t>
      </w:r>
      <w:r w:rsidRPr="00096CE4">
        <w:rPr>
          <w:rFonts w:hint="cs"/>
          <w:rtl/>
          <w:lang w:bidi="ar-EG"/>
        </w:rPr>
        <w:t xml:space="preserve">لوثيقة </w:t>
      </w:r>
      <w:r w:rsidRPr="00096CE4">
        <w:rPr>
          <w:lang w:bidi="ar-EG"/>
        </w:rPr>
        <w:t>PCT/CTC/28/2</w:t>
      </w:r>
      <w:r w:rsidRPr="00096CE4">
        <w:rPr>
          <w:rFonts w:hint="cs"/>
          <w:rtl/>
          <w:lang w:bidi="ar-EG"/>
        </w:rPr>
        <w:t>، ف</w:t>
      </w:r>
      <w:r w:rsidRPr="00096CE4">
        <w:rPr>
          <w:rtl/>
          <w:lang w:bidi="ar-EG"/>
        </w:rPr>
        <w:t>في 26</w:t>
      </w:r>
      <w:r w:rsidR="00FE584B" w:rsidRPr="00096CE4">
        <w:rPr>
          <w:rFonts w:hint="cs"/>
          <w:rtl/>
          <w:lang w:bidi="ar-EG"/>
        </w:rPr>
        <w:t> </w:t>
      </w:r>
      <w:r w:rsidRPr="00096CE4">
        <w:rPr>
          <w:rtl/>
          <w:lang w:bidi="ar-EG"/>
        </w:rPr>
        <w:t>فبراير</w:t>
      </w:r>
      <w:r w:rsidR="00180836" w:rsidRPr="00096CE4">
        <w:rPr>
          <w:rtl/>
          <w:lang w:bidi="ar-EG"/>
        </w:rPr>
        <w:t> </w:t>
      </w:r>
      <w:r w:rsidR="00180836" w:rsidRPr="00096CE4">
        <w:rPr>
          <w:rFonts w:hint="cs"/>
          <w:rtl/>
          <w:lang w:bidi="ar-EG"/>
        </w:rPr>
        <w:t>2015</w:t>
      </w:r>
      <w:r w:rsidRPr="00096CE4">
        <w:rPr>
          <w:rtl/>
          <w:lang w:bidi="ar-EG"/>
        </w:rPr>
        <w:t xml:space="preserve"> وقّع رؤساء المكاتب الوطنية الأربعة للملكية الفكرية على اتفاق معهد فيسغراد للبراءات (اتفاق فيسغراد) في براتسلافا، بصفتهم الممثلين المفوّضين من حكوماتهم. ويخضع الاتفاق للتصديق وفقا</w:t>
      </w:r>
      <w:r w:rsidR="00180836" w:rsidRPr="00096CE4">
        <w:rPr>
          <w:rFonts w:hint="cs"/>
          <w:rtl/>
          <w:lang w:bidi="ar-EG"/>
        </w:rPr>
        <w:t>ً</w:t>
      </w:r>
      <w:r w:rsidRPr="00096CE4">
        <w:rPr>
          <w:rtl/>
          <w:lang w:bidi="ar-EG"/>
        </w:rPr>
        <w:t xml:space="preserve"> للمقتضيات الدستورية الخاصة بكل واحدة من الدول المتعاقدة (موافقة البرلمان ضرورية في البلدان الأربعة).</w:t>
      </w:r>
      <w:r w:rsidRPr="00096CE4">
        <w:rPr>
          <w:rFonts w:hint="cs"/>
          <w:rtl/>
          <w:lang w:bidi="ar-EG"/>
        </w:rPr>
        <w:t xml:space="preserve"> وبموجب </w:t>
      </w:r>
      <w:r w:rsidR="00180836" w:rsidRPr="00096CE4">
        <w:rPr>
          <w:rFonts w:hint="cs"/>
          <w:rtl/>
          <w:lang w:bidi="ar-EG"/>
        </w:rPr>
        <w:t>المادة</w:t>
      </w:r>
      <w:r w:rsidR="00180836" w:rsidRPr="00096CE4">
        <w:rPr>
          <w:rtl/>
          <w:lang w:bidi="ar-EG"/>
        </w:rPr>
        <w:t> </w:t>
      </w:r>
      <w:r w:rsidRPr="00096CE4">
        <w:rPr>
          <w:rFonts w:hint="cs"/>
          <w:rtl/>
          <w:lang w:bidi="ar-EG"/>
        </w:rPr>
        <w:t xml:space="preserve">18(1) من اتفاق فيسغراد، يدخل هذا الاتفاق حيز النفاذ بعد شهرين من </w:t>
      </w:r>
      <w:r w:rsidR="00C0764F" w:rsidRPr="00096CE4">
        <w:rPr>
          <w:rFonts w:hint="cs"/>
          <w:rtl/>
          <w:lang w:bidi="ar-EG"/>
        </w:rPr>
        <w:t>إيداع ا</w:t>
      </w:r>
      <w:r w:rsidR="00C0764F" w:rsidRPr="00096CE4">
        <w:rPr>
          <w:rtl/>
          <w:lang w:bidi="ar-EG"/>
        </w:rPr>
        <w:t>لجمهورية التشيكية و</w:t>
      </w:r>
      <w:r w:rsidR="00180836" w:rsidRPr="00096CE4">
        <w:rPr>
          <w:rtl/>
          <w:lang w:bidi="ar-EG"/>
        </w:rPr>
        <w:t>جمهورية هنغاريا</w:t>
      </w:r>
      <w:r w:rsidR="00C0764F" w:rsidRPr="00096CE4">
        <w:rPr>
          <w:rtl/>
          <w:lang w:bidi="ar-EG"/>
        </w:rPr>
        <w:t xml:space="preserve"> و</w:t>
      </w:r>
      <w:r w:rsidR="00180836" w:rsidRPr="00096CE4">
        <w:rPr>
          <w:rtl/>
          <w:lang w:bidi="ar-EG"/>
        </w:rPr>
        <w:t>جمهورية بولندا</w:t>
      </w:r>
      <w:r w:rsidR="00C0764F" w:rsidRPr="00096CE4">
        <w:rPr>
          <w:rtl/>
          <w:lang w:bidi="ar-EG"/>
        </w:rPr>
        <w:t xml:space="preserve"> و</w:t>
      </w:r>
      <w:r w:rsidR="00180836" w:rsidRPr="00096CE4">
        <w:rPr>
          <w:rFonts w:hint="cs"/>
          <w:rtl/>
          <w:lang w:bidi="ar-EG"/>
        </w:rPr>
        <w:t>جمهورية</w:t>
      </w:r>
      <w:r w:rsidR="00180836" w:rsidRPr="00096CE4">
        <w:rPr>
          <w:rtl/>
          <w:lang w:bidi="ar-EG"/>
        </w:rPr>
        <w:t xml:space="preserve"> سلوفاكيا</w:t>
      </w:r>
      <w:r w:rsidR="00C0764F" w:rsidRPr="00096CE4">
        <w:rPr>
          <w:rFonts w:hint="cs"/>
          <w:rtl/>
          <w:lang w:bidi="ar-EG"/>
        </w:rPr>
        <w:t xml:space="preserve"> وثائق تصديقها.</w:t>
      </w:r>
    </w:p>
    <w:p w:rsidR="00C0764F" w:rsidRPr="00096CE4" w:rsidRDefault="00C0764F" w:rsidP="00D7604B">
      <w:pPr>
        <w:pStyle w:val="NumberedParaAR"/>
        <w:numPr>
          <w:ilvl w:val="0"/>
          <w:numId w:val="23"/>
        </w:numPr>
        <w:rPr>
          <w:lang w:bidi="ar-EG"/>
        </w:rPr>
      </w:pPr>
      <w:r w:rsidRPr="00096CE4">
        <w:rPr>
          <w:rFonts w:hint="cs"/>
          <w:rtl/>
          <w:lang w:bidi="ar-EG"/>
        </w:rPr>
        <w:t xml:space="preserve">وصدقت </w:t>
      </w:r>
      <w:r w:rsidR="00180836" w:rsidRPr="00096CE4">
        <w:rPr>
          <w:rFonts w:hint="cs"/>
          <w:rtl/>
          <w:lang w:bidi="ar-EG"/>
        </w:rPr>
        <w:t>جمهورية هنغاريا</w:t>
      </w:r>
      <w:r w:rsidRPr="00096CE4">
        <w:rPr>
          <w:rFonts w:hint="cs"/>
          <w:rtl/>
          <w:lang w:bidi="ar-EG"/>
        </w:rPr>
        <w:t xml:space="preserve"> و</w:t>
      </w:r>
      <w:r w:rsidR="00180836" w:rsidRPr="00096CE4">
        <w:rPr>
          <w:rFonts w:hint="cs"/>
          <w:rtl/>
          <w:lang w:bidi="ar-EG"/>
        </w:rPr>
        <w:t>جمهورية سلوفاكيا</w:t>
      </w:r>
      <w:r w:rsidRPr="00096CE4">
        <w:rPr>
          <w:rFonts w:hint="cs"/>
          <w:rtl/>
          <w:lang w:bidi="ar-EG"/>
        </w:rPr>
        <w:t xml:space="preserve"> على اتفاق فيسغراد.</w:t>
      </w:r>
    </w:p>
    <w:p w:rsidR="00C0764F" w:rsidRPr="00096CE4" w:rsidRDefault="00C0764F" w:rsidP="00D7604B">
      <w:pPr>
        <w:pStyle w:val="NumberedParaAR"/>
        <w:numPr>
          <w:ilvl w:val="0"/>
          <w:numId w:val="23"/>
        </w:numPr>
        <w:rPr>
          <w:lang w:bidi="ar-EG"/>
        </w:rPr>
      </w:pPr>
      <w:r w:rsidRPr="00096CE4">
        <w:rPr>
          <w:rFonts w:hint="cs"/>
          <w:rtl/>
          <w:lang w:bidi="ar-EG"/>
        </w:rPr>
        <w:t xml:space="preserve">فقد أصدرت </w:t>
      </w:r>
      <w:r w:rsidR="00180836" w:rsidRPr="00096CE4">
        <w:rPr>
          <w:rFonts w:hint="cs"/>
          <w:rtl/>
          <w:lang w:bidi="ar-EG"/>
        </w:rPr>
        <w:t>جمهورية هنغاريا</w:t>
      </w:r>
      <w:r w:rsidRPr="00096CE4">
        <w:rPr>
          <w:rFonts w:hint="cs"/>
          <w:rtl/>
          <w:lang w:bidi="ar-EG"/>
        </w:rPr>
        <w:t xml:space="preserve"> المرسوم </w:t>
      </w:r>
      <w:r w:rsidR="00180836" w:rsidRPr="00096CE4">
        <w:rPr>
          <w:rFonts w:hint="cs"/>
          <w:rtl/>
          <w:lang w:bidi="ar-EG"/>
        </w:rPr>
        <w:t>رقم</w:t>
      </w:r>
      <w:r w:rsidR="00180836" w:rsidRPr="00096CE4">
        <w:rPr>
          <w:rtl/>
          <w:lang w:bidi="ar-EG"/>
        </w:rPr>
        <w:t> </w:t>
      </w:r>
      <w:r w:rsidRPr="00096CE4">
        <w:rPr>
          <w:rFonts w:hint="cs"/>
          <w:rtl/>
          <w:lang w:bidi="ar-EG"/>
        </w:rPr>
        <w:t>69 لسنة</w:t>
      </w:r>
      <w:r w:rsidR="00180836" w:rsidRPr="00096CE4">
        <w:rPr>
          <w:rtl/>
          <w:lang w:bidi="ar-EG"/>
        </w:rPr>
        <w:t> </w:t>
      </w:r>
      <w:r w:rsidR="00180836" w:rsidRPr="00096CE4">
        <w:rPr>
          <w:rFonts w:hint="cs"/>
          <w:rtl/>
          <w:lang w:bidi="ar-EG"/>
        </w:rPr>
        <w:t>2015</w:t>
      </w:r>
      <w:r w:rsidRPr="00096CE4">
        <w:rPr>
          <w:rFonts w:hint="cs"/>
          <w:rtl/>
          <w:lang w:bidi="ar-EG"/>
        </w:rPr>
        <w:t xml:space="preserve"> بشأن إعلان </w:t>
      </w:r>
      <w:r w:rsidRPr="00096CE4">
        <w:rPr>
          <w:rtl/>
          <w:lang w:bidi="ar-EG"/>
        </w:rPr>
        <w:t>اتفاق معهد فيسغراد للبراءات</w:t>
      </w:r>
      <w:r w:rsidRPr="00096CE4">
        <w:rPr>
          <w:rFonts w:hint="cs"/>
          <w:rtl/>
          <w:lang w:bidi="ar-EG"/>
        </w:rPr>
        <w:t xml:space="preserve"> </w:t>
      </w:r>
      <w:r w:rsidR="00180836" w:rsidRPr="00096CE4">
        <w:rPr>
          <w:rFonts w:hint="cs"/>
          <w:rtl/>
          <w:lang w:bidi="ar-EG"/>
        </w:rPr>
        <w:t>و</w:t>
      </w:r>
      <w:r w:rsidRPr="00096CE4">
        <w:rPr>
          <w:rFonts w:hint="cs"/>
          <w:rtl/>
          <w:lang w:bidi="ar-EG"/>
        </w:rPr>
        <w:t xml:space="preserve">الذي نُشر في الجريدة الرسمية الهنغارية </w:t>
      </w:r>
      <w:r w:rsidR="00180836" w:rsidRPr="00096CE4">
        <w:rPr>
          <w:rFonts w:hint="cs"/>
          <w:rtl/>
          <w:lang w:bidi="ar-EG"/>
        </w:rPr>
        <w:t>رقم</w:t>
      </w:r>
      <w:r w:rsidR="00180836" w:rsidRPr="00096CE4">
        <w:rPr>
          <w:rtl/>
          <w:lang w:bidi="ar-EG"/>
        </w:rPr>
        <w:t> </w:t>
      </w:r>
      <w:r w:rsidRPr="00096CE4">
        <w:rPr>
          <w:rFonts w:hint="cs"/>
          <w:rtl/>
          <w:lang w:bidi="ar-EG"/>
        </w:rPr>
        <w:t>78 بتاريخ 5</w:t>
      </w:r>
      <w:r w:rsidR="00180836" w:rsidRPr="00096CE4">
        <w:rPr>
          <w:rFonts w:hint="eastAsia"/>
          <w:rtl/>
          <w:lang w:bidi="ar-EG"/>
        </w:rPr>
        <w:t> </w:t>
      </w:r>
      <w:r w:rsidRPr="00096CE4">
        <w:rPr>
          <w:rFonts w:hint="cs"/>
          <w:rtl/>
          <w:lang w:bidi="ar-EG"/>
        </w:rPr>
        <w:t>يونيو</w:t>
      </w:r>
      <w:r w:rsidR="00180836" w:rsidRPr="00096CE4">
        <w:rPr>
          <w:rtl/>
          <w:lang w:bidi="ar-EG"/>
        </w:rPr>
        <w:t> </w:t>
      </w:r>
      <w:r w:rsidR="00180836" w:rsidRPr="00096CE4">
        <w:rPr>
          <w:rFonts w:hint="eastAsia"/>
          <w:rtl/>
          <w:lang w:bidi="ar-EG"/>
        </w:rPr>
        <w:t>2015</w:t>
      </w:r>
      <w:r w:rsidRPr="00096CE4">
        <w:rPr>
          <w:rFonts w:hint="cs"/>
          <w:rtl/>
          <w:lang w:bidi="ar-EG"/>
        </w:rPr>
        <w:t xml:space="preserve"> (ينطوي هذا النوع من المراسيم</w:t>
      </w:r>
      <w:r w:rsidR="00624879" w:rsidRPr="00096CE4">
        <w:rPr>
          <w:rFonts w:hint="cs"/>
          <w:rtl/>
          <w:lang w:bidi="ar-EG"/>
        </w:rPr>
        <w:t xml:space="preserve"> في النظام القانوني الهنغاري على قبول البرلمان الالتزام بالمعاهدة الدولية المعنية وعلى إذن رئيس الدولة إصدار صك المصادقة). ودخل المرسوم حيز النفاذ في اليوم التالي</w:t>
      </w:r>
      <w:r w:rsidR="00180836" w:rsidRPr="00096CE4">
        <w:rPr>
          <w:rFonts w:hint="cs"/>
          <w:rtl/>
          <w:lang w:bidi="ar-EG"/>
        </w:rPr>
        <w:t>.</w:t>
      </w:r>
      <w:r w:rsidR="00624879" w:rsidRPr="00096CE4">
        <w:rPr>
          <w:rFonts w:hint="cs"/>
          <w:rtl/>
          <w:lang w:bidi="ar-EG"/>
        </w:rPr>
        <w:t xml:space="preserve"> ووقع السيد </w:t>
      </w:r>
      <w:r w:rsidR="00624879" w:rsidRPr="00096CE4">
        <w:rPr>
          <w:rtl/>
          <w:lang w:bidi="ar-EG"/>
        </w:rPr>
        <w:t xml:space="preserve">يانوش أدير </w:t>
      </w:r>
      <w:r w:rsidR="00624879" w:rsidRPr="00096CE4">
        <w:rPr>
          <w:rFonts w:hint="cs"/>
          <w:rtl/>
          <w:lang w:bidi="ar-EG"/>
        </w:rPr>
        <w:t xml:space="preserve">رئيس </w:t>
      </w:r>
      <w:r w:rsidR="00180836" w:rsidRPr="00096CE4">
        <w:rPr>
          <w:rFonts w:hint="cs"/>
          <w:rtl/>
          <w:lang w:bidi="ar-EG"/>
        </w:rPr>
        <w:t>جمهورية هنغاريا</w:t>
      </w:r>
      <w:r w:rsidR="00624879" w:rsidRPr="00096CE4">
        <w:rPr>
          <w:rFonts w:hint="cs"/>
          <w:rtl/>
          <w:lang w:bidi="ar-EG"/>
        </w:rPr>
        <w:t xml:space="preserve"> صك التصديق في 3</w:t>
      </w:r>
      <w:r w:rsidR="00180836" w:rsidRPr="00096CE4">
        <w:rPr>
          <w:rFonts w:hint="eastAsia"/>
          <w:rtl/>
          <w:lang w:bidi="ar-EG"/>
        </w:rPr>
        <w:t> </w:t>
      </w:r>
      <w:r w:rsidR="00624879" w:rsidRPr="00096CE4">
        <w:rPr>
          <w:rFonts w:hint="cs"/>
          <w:rtl/>
          <w:lang w:bidi="ar-EG"/>
        </w:rPr>
        <w:t>يونيو</w:t>
      </w:r>
      <w:r w:rsidR="00180836" w:rsidRPr="00096CE4">
        <w:rPr>
          <w:rtl/>
          <w:lang w:bidi="ar-EG"/>
        </w:rPr>
        <w:t> </w:t>
      </w:r>
      <w:r w:rsidR="00180836" w:rsidRPr="00096CE4">
        <w:rPr>
          <w:rFonts w:hint="eastAsia"/>
          <w:rtl/>
          <w:lang w:bidi="ar-EG"/>
        </w:rPr>
        <w:t>2015</w:t>
      </w:r>
      <w:r w:rsidR="00624879" w:rsidRPr="00096CE4">
        <w:rPr>
          <w:rFonts w:hint="cs"/>
          <w:rtl/>
          <w:lang w:bidi="ar-EG"/>
        </w:rPr>
        <w:t xml:space="preserve"> وأُودع لدى الحكومة الهنغارية بوصفها أمين الإيداع في وقت لاحق من يونيو</w:t>
      </w:r>
      <w:r w:rsidR="00180836" w:rsidRPr="00096CE4">
        <w:rPr>
          <w:rtl/>
          <w:lang w:bidi="ar-EG"/>
        </w:rPr>
        <w:t> </w:t>
      </w:r>
      <w:r w:rsidR="00180836" w:rsidRPr="00096CE4">
        <w:rPr>
          <w:rFonts w:hint="eastAsia"/>
          <w:rtl/>
          <w:lang w:bidi="ar-EG"/>
        </w:rPr>
        <w:t>2015</w:t>
      </w:r>
      <w:r w:rsidR="00624879" w:rsidRPr="00096CE4">
        <w:rPr>
          <w:rFonts w:hint="cs"/>
          <w:rtl/>
          <w:lang w:bidi="ar-EG"/>
        </w:rPr>
        <w:t>.</w:t>
      </w:r>
    </w:p>
    <w:p w:rsidR="00A44DD1" w:rsidRPr="00096CE4" w:rsidRDefault="00A44DD1" w:rsidP="00D7604B">
      <w:pPr>
        <w:pStyle w:val="NumberedParaAR"/>
        <w:numPr>
          <w:ilvl w:val="0"/>
          <w:numId w:val="23"/>
        </w:numPr>
        <w:rPr>
          <w:lang w:bidi="ar-EG"/>
        </w:rPr>
      </w:pPr>
      <w:r w:rsidRPr="00096CE4">
        <w:rPr>
          <w:rFonts w:hint="cs"/>
          <w:rtl/>
          <w:lang w:bidi="ar-EG"/>
        </w:rPr>
        <w:t xml:space="preserve">وأما في </w:t>
      </w:r>
      <w:r w:rsidR="00180836" w:rsidRPr="00096CE4">
        <w:rPr>
          <w:rFonts w:hint="cs"/>
          <w:rtl/>
          <w:lang w:bidi="ar-EG"/>
        </w:rPr>
        <w:t>جمهورية سلوفاكيا</w:t>
      </w:r>
      <w:r w:rsidRPr="00096CE4">
        <w:rPr>
          <w:rFonts w:hint="cs"/>
          <w:rtl/>
          <w:lang w:bidi="ar-EG"/>
        </w:rPr>
        <w:t>، فقد أقر المجلس الوطني اتفاق فيسغراد في 30</w:t>
      </w:r>
      <w:r w:rsidR="00180836" w:rsidRPr="00096CE4">
        <w:rPr>
          <w:rFonts w:hint="eastAsia"/>
          <w:rtl/>
          <w:lang w:bidi="ar-EG"/>
        </w:rPr>
        <w:t> </w:t>
      </w:r>
      <w:r w:rsidRPr="00096CE4">
        <w:rPr>
          <w:rFonts w:hint="cs"/>
          <w:rtl/>
          <w:lang w:bidi="ar-EG"/>
        </w:rPr>
        <w:t>يونيو</w:t>
      </w:r>
      <w:r w:rsidR="00180836" w:rsidRPr="00096CE4">
        <w:rPr>
          <w:rtl/>
          <w:lang w:bidi="ar-EG"/>
        </w:rPr>
        <w:t> </w:t>
      </w:r>
      <w:r w:rsidR="00180836" w:rsidRPr="00096CE4">
        <w:rPr>
          <w:rFonts w:hint="eastAsia"/>
          <w:rtl/>
          <w:lang w:bidi="ar-EG"/>
        </w:rPr>
        <w:t>2015</w:t>
      </w:r>
      <w:r w:rsidRPr="00096CE4">
        <w:rPr>
          <w:rFonts w:hint="cs"/>
          <w:rtl/>
          <w:lang w:bidi="ar-EG"/>
        </w:rPr>
        <w:t xml:space="preserve"> (القرار </w:t>
      </w:r>
      <w:r w:rsidR="00180836" w:rsidRPr="00096CE4">
        <w:rPr>
          <w:rFonts w:hint="cs"/>
          <w:rtl/>
          <w:lang w:bidi="ar-EG"/>
        </w:rPr>
        <w:t>رقم</w:t>
      </w:r>
      <w:r w:rsidR="00180836" w:rsidRPr="00096CE4">
        <w:rPr>
          <w:rtl/>
          <w:lang w:bidi="ar-EG"/>
        </w:rPr>
        <w:t> </w:t>
      </w:r>
      <w:r w:rsidRPr="00096CE4">
        <w:rPr>
          <w:rFonts w:hint="cs"/>
          <w:rtl/>
          <w:lang w:bidi="ar-EG"/>
        </w:rPr>
        <w:t xml:space="preserve">1870). ووقع السيد آندريه كيسكا رئيس </w:t>
      </w:r>
      <w:r w:rsidR="00180836" w:rsidRPr="00096CE4">
        <w:rPr>
          <w:rFonts w:hint="cs"/>
          <w:rtl/>
          <w:lang w:bidi="ar-EG"/>
        </w:rPr>
        <w:t>جمهورية سلوفاكيا</w:t>
      </w:r>
      <w:r w:rsidRPr="00096CE4">
        <w:rPr>
          <w:rFonts w:hint="cs"/>
          <w:rtl/>
          <w:lang w:bidi="ar-EG"/>
        </w:rPr>
        <w:t xml:space="preserve"> صك التصديق في 22</w:t>
      </w:r>
      <w:r w:rsidR="00180836" w:rsidRPr="00096CE4">
        <w:rPr>
          <w:rFonts w:hint="eastAsia"/>
          <w:rtl/>
          <w:lang w:bidi="ar-EG"/>
        </w:rPr>
        <w:t> </w:t>
      </w:r>
      <w:r w:rsidRPr="00096CE4">
        <w:rPr>
          <w:rFonts w:hint="cs"/>
          <w:rtl/>
          <w:lang w:bidi="ar-EG"/>
        </w:rPr>
        <w:t>يوليو</w:t>
      </w:r>
      <w:r w:rsidR="00180836" w:rsidRPr="00096CE4">
        <w:rPr>
          <w:rtl/>
          <w:lang w:bidi="ar-EG"/>
        </w:rPr>
        <w:t> </w:t>
      </w:r>
      <w:r w:rsidR="00180836" w:rsidRPr="00096CE4">
        <w:rPr>
          <w:rFonts w:hint="eastAsia"/>
          <w:rtl/>
          <w:lang w:bidi="ar-EG"/>
        </w:rPr>
        <w:t>2015</w:t>
      </w:r>
      <w:r w:rsidRPr="00096CE4">
        <w:rPr>
          <w:rFonts w:hint="cs"/>
          <w:rtl/>
          <w:lang w:bidi="ar-EG"/>
        </w:rPr>
        <w:t xml:space="preserve">. وأُودع الصك لدى الحكومة الهنغارية بوصفها أمين الإيداع خلال الشهر ذاته. </w:t>
      </w:r>
      <w:r w:rsidR="00164460" w:rsidRPr="00096CE4">
        <w:rPr>
          <w:rFonts w:hint="cs"/>
          <w:rtl/>
          <w:lang w:bidi="ar-EG"/>
        </w:rPr>
        <w:t xml:space="preserve">وعملاً بأحكام الدستور المعنية، </w:t>
      </w:r>
      <w:r w:rsidR="00180836" w:rsidRPr="00096CE4">
        <w:rPr>
          <w:rFonts w:hint="cs"/>
          <w:rtl/>
          <w:lang w:bidi="ar-EG"/>
        </w:rPr>
        <w:t>س</w:t>
      </w:r>
      <w:r w:rsidR="00164460" w:rsidRPr="00096CE4">
        <w:rPr>
          <w:rFonts w:hint="cs"/>
          <w:rtl/>
          <w:lang w:bidi="ar-EG"/>
        </w:rPr>
        <w:t xml:space="preserve">يُنشر إعلان اتفاق </w:t>
      </w:r>
      <w:r w:rsidR="00D33BE7" w:rsidRPr="00096CE4">
        <w:rPr>
          <w:rtl/>
          <w:lang w:bidi="ar-EG"/>
        </w:rPr>
        <w:t>فيسغراد</w:t>
      </w:r>
      <w:r w:rsidR="00164460" w:rsidRPr="00096CE4">
        <w:rPr>
          <w:rFonts w:hint="cs"/>
          <w:rtl/>
          <w:lang w:bidi="ar-EG"/>
        </w:rPr>
        <w:t xml:space="preserve"> في مجموعة قوانين </w:t>
      </w:r>
      <w:r w:rsidR="00180836" w:rsidRPr="00096CE4">
        <w:rPr>
          <w:rFonts w:hint="cs"/>
          <w:rtl/>
          <w:lang w:bidi="ar-EG"/>
        </w:rPr>
        <w:t>جمهورية سلوفاكيا</w:t>
      </w:r>
      <w:r w:rsidR="00164460" w:rsidRPr="00096CE4">
        <w:rPr>
          <w:rFonts w:hint="cs"/>
          <w:rtl/>
          <w:lang w:bidi="ar-EG"/>
        </w:rPr>
        <w:t xml:space="preserve"> بعد تلقي إخطار من أمين الإيداع بالحصول على آخر صك تصديق لازم لدخول الاتفاق حيز النفاذ.</w:t>
      </w:r>
    </w:p>
    <w:p w:rsidR="00164460" w:rsidRPr="00096CE4" w:rsidRDefault="00164460" w:rsidP="00D7604B">
      <w:pPr>
        <w:pStyle w:val="NumberedParaAR"/>
        <w:numPr>
          <w:ilvl w:val="0"/>
          <w:numId w:val="23"/>
        </w:numPr>
        <w:rPr>
          <w:lang w:bidi="ar-EG"/>
        </w:rPr>
      </w:pPr>
      <w:r w:rsidRPr="00096CE4">
        <w:rPr>
          <w:rFonts w:hint="cs"/>
          <w:rtl/>
          <w:lang w:bidi="ar-EG"/>
        </w:rPr>
        <w:t xml:space="preserve">وأما في </w:t>
      </w:r>
      <w:r w:rsidR="00180836" w:rsidRPr="00096CE4">
        <w:rPr>
          <w:rFonts w:hint="cs"/>
          <w:rtl/>
          <w:lang w:bidi="ar-EG"/>
        </w:rPr>
        <w:t>جمهورية بولندا</w:t>
      </w:r>
      <w:r w:rsidRPr="00096CE4">
        <w:rPr>
          <w:rFonts w:hint="cs"/>
          <w:rtl/>
          <w:lang w:bidi="ar-EG"/>
        </w:rPr>
        <w:t xml:space="preserve">، </w:t>
      </w:r>
      <w:r w:rsidR="00180836" w:rsidRPr="00096CE4">
        <w:rPr>
          <w:rFonts w:hint="cs"/>
          <w:rtl/>
          <w:lang w:bidi="ar-EG"/>
        </w:rPr>
        <w:t>ف</w:t>
      </w:r>
      <w:r w:rsidRPr="00096CE4">
        <w:rPr>
          <w:rFonts w:hint="cs"/>
          <w:rtl/>
          <w:lang w:bidi="ar-EG"/>
        </w:rPr>
        <w:t xml:space="preserve">وافق مجلسا البرلمان على المرسوم الذي يمنح رئيس الجمهورية الإذن اللازم للتصديق على اتفاق </w:t>
      </w:r>
      <w:r w:rsidR="00D33BE7" w:rsidRPr="00096CE4">
        <w:rPr>
          <w:rtl/>
          <w:lang w:bidi="ar-EG"/>
        </w:rPr>
        <w:t>فيسغراد</w:t>
      </w:r>
      <w:r w:rsidR="00180836" w:rsidRPr="00096CE4">
        <w:rPr>
          <w:rFonts w:hint="cs"/>
          <w:rtl/>
          <w:lang w:bidi="ar-EG"/>
        </w:rPr>
        <w:t>،</w:t>
      </w:r>
      <w:r w:rsidRPr="00096CE4">
        <w:rPr>
          <w:rFonts w:hint="cs"/>
          <w:rtl/>
          <w:lang w:bidi="ar-EG"/>
        </w:rPr>
        <w:t xml:space="preserve"> ووقعه السيد أندري دودا رئيس </w:t>
      </w:r>
      <w:r w:rsidR="00180836" w:rsidRPr="00096CE4">
        <w:rPr>
          <w:rFonts w:hint="cs"/>
          <w:rtl/>
          <w:lang w:bidi="ar-EG"/>
        </w:rPr>
        <w:t>جمهورية بولندا</w:t>
      </w:r>
      <w:r w:rsidRPr="00096CE4">
        <w:rPr>
          <w:rFonts w:hint="cs"/>
          <w:rtl/>
          <w:lang w:bidi="ar-EG"/>
        </w:rPr>
        <w:t>. ونُشر المرسوم في 8</w:t>
      </w:r>
      <w:r w:rsidR="00180836" w:rsidRPr="00096CE4">
        <w:rPr>
          <w:rFonts w:hint="eastAsia"/>
          <w:rtl/>
          <w:lang w:bidi="ar-EG"/>
        </w:rPr>
        <w:t> </w:t>
      </w:r>
      <w:r w:rsidRPr="00096CE4">
        <w:rPr>
          <w:rFonts w:hint="cs"/>
          <w:rtl/>
          <w:lang w:bidi="ar-EG"/>
        </w:rPr>
        <w:t>سبتمبر</w:t>
      </w:r>
      <w:r w:rsidR="00180836" w:rsidRPr="00096CE4">
        <w:rPr>
          <w:rtl/>
          <w:lang w:bidi="ar-EG"/>
        </w:rPr>
        <w:t> 2015</w:t>
      </w:r>
      <w:r w:rsidRPr="00096CE4">
        <w:rPr>
          <w:rFonts w:hint="cs"/>
          <w:rtl/>
          <w:lang w:bidi="ar-EG"/>
        </w:rPr>
        <w:t xml:space="preserve"> في </w:t>
      </w:r>
      <w:r w:rsidR="00180836" w:rsidRPr="00096CE4">
        <w:rPr>
          <w:rFonts w:hint="cs"/>
          <w:rtl/>
          <w:lang w:bidi="ar-EG"/>
        </w:rPr>
        <w:t>البند</w:t>
      </w:r>
      <w:r w:rsidR="00180836" w:rsidRPr="00096CE4">
        <w:rPr>
          <w:rtl/>
          <w:lang w:bidi="ar-EG"/>
        </w:rPr>
        <w:t> </w:t>
      </w:r>
      <w:r w:rsidRPr="00096CE4">
        <w:rPr>
          <w:rFonts w:hint="cs"/>
          <w:rtl/>
          <w:lang w:bidi="ar-EG"/>
        </w:rPr>
        <w:t>1325 من صحيفة القوانين. وبعد أسبوعين من الفراغ القانوني، سيصدر رئيس الجمهورية صك التصديق الذي سيودع لدى الجمهورية الهنغارية بوصفها أمين الإيداع دون تأخير.</w:t>
      </w:r>
    </w:p>
    <w:p w:rsidR="004823DD" w:rsidRPr="00096CE4" w:rsidRDefault="004823DD" w:rsidP="007B69D4">
      <w:pPr>
        <w:pStyle w:val="NumberedParaAR"/>
        <w:keepLines/>
        <w:numPr>
          <w:ilvl w:val="0"/>
          <w:numId w:val="23"/>
        </w:numPr>
        <w:rPr>
          <w:lang w:bidi="ar-EG"/>
        </w:rPr>
      </w:pPr>
      <w:r w:rsidRPr="00096CE4">
        <w:rPr>
          <w:rFonts w:hint="cs"/>
          <w:rtl/>
          <w:lang w:bidi="ar-EG"/>
        </w:rPr>
        <w:lastRenderedPageBreak/>
        <w:t>وأما في الجمهورية التشيكية، فقد أحرز المسار البرلماني تقدماً جيداً واتخذت بضعة قرارات مرحلية إيجابية ويتوقع أن يكتمل المسار بحلول نهاية سبتمبر</w:t>
      </w:r>
      <w:r w:rsidR="00180836" w:rsidRPr="00096CE4">
        <w:rPr>
          <w:rtl/>
          <w:lang w:bidi="ar-EG"/>
        </w:rPr>
        <w:t> 2015</w:t>
      </w:r>
      <w:r w:rsidRPr="00096CE4">
        <w:rPr>
          <w:rFonts w:hint="cs"/>
          <w:rtl/>
          <w:lang w:bidi="ar-EG"/>
        </w:rPr>
        <w:t>. ووافق مجلس الشيوخ على التصديق (قرار مجلس</w:t>
      </w:r>
      <w:bookmarkStart w:id="2" w:name="_GoBack"/>
      <w:bookmarkEnd w:id="2"/>
      <w:r w:rsidRPr="00096CE4">
        <w:rPr>
          <w:rFonts w:hint="cs"/>
          <w:rtl/>
          <w:lang w:bidi="ar-EG"/>
        </w:rPr>
        <w:t xml:space="preserve"> الشيوخ </w:t>
      </w:r>
      <w:r w:rsidR="00180836" w:rsidRPr="00096CE4">
        <w:rPr>
          <w:rFonts w:hint="cs"/>
          <w:rtl/>
          <w:lang w:bidi="ar-EG"/>
        </w:rPr>
        <w:t>رقم</w:t>
      </w:r>
      <w:r w:rsidR="00180836" w:rsidRPr="00096CE4">
        <w:rPr>
          <w:rtl/>
          <w:lang w:bidi="ar-EG"/>
        </w:rPr>
        <w:t> </w:t>
      </w:r>
      <w:r w:rsidRPr="00096CE4">
        <w:rPr>
          <w:rFonts w:hint="cs"/>
          <w:rtl/>
          <w:lang w:bidi="ar-EG"/>
        </w:rPr>
        <w:t>194 المؤرخ في 23</w:t>
      </w:r>
      <w:r w:rsidR="00180836" w:rsidRPr="00096CE4">
        <w:rPr>
          <w:rFonts w:hint="eastAsia"/>
          <w:rtl/>
          <w:lang w:bidi="ar-EG"/>
        </w:rPr>
        <w:t> </w:t>
      </w:r>
      <w:r w:rsidRPr="00096CE4">
        <w:rPr>
          <w:rFonts w:hint="cs"/>
          <w:rtl/>
          <w:lang w:bidi="ar-EG"/>
        </w:rPr>
        <w:t>يوليو</w:t>
      </w:r>
      <w:r w:rsidR="00180836" w:rsidRPr="00096CE4">
        <w:rPr>
          <w:rtl/>
          <w:lang w:bidi="ar-EG"/>
        </w:rPr>
        <w:t> </w:t>
      </w:r>
      <w:r w:rsidR="00180836" w:rsidRPr="00096CE4">
        <w:rPr>
          <w:rFonts w:hint="cs"/>
          <w:rtl/>
          <w:lang w:bidi="ar-EG"/>
        </w:rPr>
        <w:t>2015</w:t>
      </w:r>
      <w:r w:rsidRPr="00096CE4">
        <w:rPr>
          <w:rFonts w:hint="cs"/>
          <w:rtl/>
          <w:lang w:bidi="ar-EG"/>
        </w:rPr>
        <w:t xml:space="preserve">)، </w:t>
      </w:r>
      <w:r w:rsidR="007A7670" w:rsidRPr="00096CE4">
        <w:rPr>
          <w:rFonts w:hint="cs"/>
          <w:rtl/>
          <w:lang w:bidi="ar-EG"/>
        </w:rPr>
        <w:t xml:space="preserve">وتعدُّ القراءة الثانية في مجلس النواب المرحلة الأخيرة من مسار التصديق في البرلمان. وسيدرج اتفاق </w:t>
      </w:r>
      <w:r w:rsidR="00D33BE7" w:rsidRPr="00096CE4">
        <w:rPr>
          <w:rtl/>
          <w:lang w:bidi="ar-EG"/>
        </w:rPr>
        <w:t>فيسغراد</w:t>
      </w:r>
      <w:r w:rsidR="007A7670" w:rsidRPr="00096CE4">
        <w:rPr>
          <w:rFonts w:hint="cs"/>
          <w:rtl/>
          <w:lang w:bidi="ar-EG"/>
        </w:rPr>
        <w:t xml:space="preserve"> في جدول أعمال مجلس النواب </w:t>
      </w:r>
      <w:r w:rsidR="00180836" w:rsidRPr="00096CE4">
        <w:rPr>
          <w:rFonts w:hint="cs"/>
          <w:rtl/>
          <w:lang w:bidi="ar-EG"/>
        </w:rPr>
        <w:t>لجلسة</w:t>
      </w:r>
      <w:r w:rsidR="007A7670" w:rsidRPr="00096CE4">
        <w:rPr>
          <w:rFonts w:hint="cs"/>
          <w:rtl/>
          <w:lang w:bidi="ar-EG"/>
        </w:rPr>
        <w:t xml:space="preserve"> 16</w:t>
      </w:r>
      <w:r w:rsidR="00180836" w:rsidRPr="00096CE4">
        <w:rPr>
          <w:rFonts w:hint="eastAsia"/>
          <w:rtl/>
          <w:lang w:bidi="ar-EG"/>
        </w:rPr>
        <w:t> </w:t>
      </w:r>
      <w:r w:rsidR="007A7670" w:rsidRPr="00096CE4">
        <w:rPr>
          <w:rFonts w:hint="cs"/>
          <w:rtl/>
          <w:lang w:bidi="ar-EG"/>
        </w:rPr>
        <w:t>سبتمبر</w:t>
      </w:r>
      <w:r w:rsidR="00180836" w:rsidRPr="00096CE4">
        <w:rPr>
          <w:rtl/>
          <w:lang w:bidi="ar-EG"/>
        </w:rPr>
        <w:t> </w:t>
      </w:r>
      <w:r w:rsidR="00180836" w:rsidRPr="00096CE4">
        <w:rPr>
          <w:rFonts w:hint="cs"/>
          <w:rtl/>
          <w:lang w:bidi="ar-EG"/>
        </w:rPr>
        <w:t>2015</w:t>
      </w:r>
      <w:r w:rsidR="007A7670" w:rsidRPr="00096CE4">
        <w:rPr>
          <w:rFonts w:hint="cs"/>
          <w:rtl/>
          <w:lang w:bidi="ar-EG"/>
        </w:rPr>
        <w:t>. ويعني ذلك أنه سيتسنى لرئيس الجمهورية توقيع صك التصديق قبل الدورة السابعة والأربعين لجمعية اتحاد معاهدة التعاون بشأن البراءات.</w:t>
      </w:r>
    </w:p>
    <w:p w:rsidR="007A7670" w:rsidRPr="00096CE4" w:rsidRDefault="007A7670" w:rsidP="00D7604B">
      <w:pPr>
        <w:pStyle w:val="NumberedParaAR"/>
        <w:numPr>
          <w:ilvl w:val="0"/>
          <w:numId w:val="23"/>
        </w:numPr>
        <w:rPr>
          <w:lang w:bidi="ar-EG"/>
        </w:rPr>
      </w:pPr>
      <w:r w:rsidRPr="00096CE4">
        <w:rPr>
          <w:rFonts w:hint="cs"/>
          <w:rtl/>
          <w:lang w:bidi="ar-EG"/>
        </w:rPr>
        <w:t>واستناداً إلى ما أحرز من تقدم في مسارات التصديق الوطنية، فمن المرجح</w:t>
      </w:r>
      <w:r w:rsidR="000E1E81" w:rsidRPr="00096CE4">
        <w:rPr>
          <w:rFonts w:hint="cs"/>
          <w:rtl/>
          <w:lang w:bidi="ar-EG"/>
        </w:rPr>
        <w:t xml:space="preserve"> أن تصدق الدول المتعاقدة الأربع</w:t>
      </w:r>
      <w:r w:rsidRPr="00096CE4">
        <w:rPr>
          <w:rFonts w:hint="cs"/>
          <w:rtl/>
          <w:lang w:bidi="ar-EG"/>
        </w:rPr>
        <w:t xml:space="preserve"> على اتفاق </w:t>
      </w:r>
      <w:r w:rsidR="00D33BE7" w:rsidRPr="00096CE4">
        <w:rPr>
          <w:rtl/>
          <w:lang w:bidi="ar-EG"/>
        </w:rPr>
        <w:t>فيسغراد</w:t>
      </w:r>
      <w:r w:rsidR="000E1E81" w:rsidRPr="00096CE4">
        <w:rPr>
          <w:rFonts w:hint="cs"/>
          <w:rtl/>
          <w:lang w:bidi="ar-EG"/>
        </w:rPr>
        <w:t xml:space="preserve"> وأن تودع صكوك </w:t>
      </w:r>
      <w:r w:rsidR="00180836" w:rsidRPr="00096CE4">
        <w:rPr>
          <w:rFonts w:hint="cs"/>
          <w:rtl/>
          <w:lang w:bidi="ar-EG"/>
        </w:rPr>
        <w:t>تصديقها</w:t>
      </w:r>
      <w:r w:rsidR="000E1E81" w:rsidRPr="00096CE4">
        <w:rPr>
          <w:rFonts w:hint="cs"/>
          <w:rtl/>
          <w:lang w:bidi="ar-EG"/>
        </w:rPr>
        <w:t xml:space="preserve"> بحلول تاريخ الدورة السابعة والأربعية لجمعية اتحاد معاهدة التعاون بشأن البراءات، وسيدخل الاتفاق حيز النفاذ بعد بضعة أسابيع من هذا التاريخ عملاً ب</w:t>
      </w:r>
      <w:r w:rsidR="00180836" w:rsidRPr="00096CE4">
        <w:rPr>
          <w:rFonts w:hint="cs"/>
          <w:rtl/>
          <w:lang w:bidi="ar-EG"/>
        </w:rPr>
        <w:t>المادة</w:t>
      </w:r>
      <w:r w:rsidR="00180836" w:rsidRPr="00096CE4">
        <w:rPr>
          <w:rtl/>
          <w:lang w:bidi="ar-EG"/>
        </w:rPr>
        <w:t> </w:t>
      </w:r>
      <w:r w:rsidR="000E1E81" w:rsidRPr="00096CE4">
        <w:rPr>
          <w:rFonts w:hint="cs"/>
          <w:rtl/>
          <w:lang w:bidi="ar-EG"/>
        </w:rPr>
        <w:t xml:space="preserve">18(1) من اتفاق </w:t>
      </w:r>
      <w:r w:rsidR="00D33BE7" w:rsidRPr="00096CE4">
        <w:rPr>
          <w:rtl/>
          <w:lang w:bidi="ar-EG"/>
        </w:rPr>
        <w:t>فيسغراد</w:t>
      </w:r>
      <w:r w:rsidR="000E1E81" w:rsidRPr="00096CE4">
        <w:rPr>
          <w:rFonts w:hint="cs"/>
          <w:rtl/>
          <w:lang w:bidi="ar-EG"/>
        </w:rPr>
        <w:t xml:space="preserve"> (أي بعد شهرين من إيداع صك التصديق الرابع). ولن </w:t>
      </w:r>
      <w:r w:rsidR="009C3C59" w:rsidRPr="00096CE4">
        <w:rPr>
          <w:rFonts w:hint="cs"/>
          <w:rtl/>
          <w:lang w:bidi="ar-EG"/>
        </w:rPr>
        <w:t>يمنع</w:t>
      </w:r>
      <w:r w:rsidR="000E1E81" w:rsidRPr="00096CE4">
        <w:rPr>
          <w:rFonts w:hint="cs"/>
          <w:rtl/>
          <w:lang w:bidi="ar-EG"/>
        </w:rPr>
        <w:t xml:space="preserve"> ذلك الجمعية من اتخاذ قرار في صالح تعيين معهد </w:t>
      </w:r>
      <w:r w:rsidR="00D33BE7" w:rsidRPr="00096CE4">
        <w:rPr>
          <w:rtl/>
          <w:lang w:bidi="ar-EG"/>
        </w:rPr>
        <w:t>فيسغراد</w:t>
      </w:r>
      <w:r w:rsidR="000E1E81" w:rsidRPr="00096CE4">
        <w:rPr>
          <w:rFonts w:hint="cs"/>
          <w:rtl/>
          <w:lang w:bidi="ar-EG"/>
        </w:rPr>
        <w:t xml:space="preserve"> نظراً إلى أن الجمعية مدعوة إلى تعيين معهد </w:t>
      </w:r>
      <w:r w:rsidR="00D33BE7" w:rsidRPr="00096CE4">
        <w:rPr>
          <w:rtl/>
          <w:lang w:bidi="ar-EG"/>
        </w:rPr>
        <w:t>فيسغراد</w:t>
      </w:r>
      <w:r w:rsidR="000E1E81" w:rsidRPr="00096CE4">
        <w:rPr>
          <w:rFonts w:hint="cs"/>
          <w:rtl/>
          <w:lang w:bidi="ar-EG"/>
        </w:rPr>
        <w:t xml:space="preserve"> كإدارة دولية اعتباراً من تاريخ دخول الاتفاق المبرم بين معهد </w:t>
      </w:r>
      <w:r w:rsidR="00D33BE7" w:rsidRPr="00096CE4">
        <w:rPr>
          <w:rtl/>
          <w:lang w:bidi="ar-EG"/>
        </w:rPr>
        <w:t>فيسغراد</w:t>
      </w:r>
      <w:r w:rsidR="000E1E81" w:rsidRPr="00096CE4">
        <w:rPr>
          <w:rFonts w:hint="cs"/>
          <w:rtl/>
          <w:lang w:bidi="ar-EG"/>
        </w:rPr>
        <w:t xml:space="preserve"> والمكتب الدولي للويبو حيز النفاذ (انظر </w:t>
      </w:r>
      <w:r w:rsidR="00C53110" w:rsidRPr="00096CE4">
        <w:rPr>
          <w:rFonts w:hint="cs"/>
          <w:rtl/>
          <w:lang w:bidi="ar-EG"/>
        </w:rPr>
        <w:t>الفقرة</w:t>
      </w:r>
      <w:r w:rsidR="00C53110" w:rsidRPr="00096CE4">
        <w:rPr>
          <w:rtl/>
          <w:lang w:bidi="ar-EG"/>
        </w:rPr>
        <w:t> </w:t>
      </w:r>
      <w:r w:rsidR="000E1E81" w:rsidRPr="00096CE4">
        <w:rPr>
          <w:rFonts w:hint="cs"/>
          <w:rtl/>
          <w:lang w:bidi="ar-EG"/>
        </w:rPr>
        <w:t xml:space="preserve">10"3" من الوثيقة </w:t>
      </w:r>
      <w:r w:rsidR="000E1E81" w:rsidRPr="00096CE4">
        <w:rPr>
          <w:lang w:bidi="ar-EG"/>
        </w:rPr>
        <w:t>PCT/A/47/6</w:t>
      </w:r>
      <w:r w:rsidR="000E1E81" w:rsidRPr="00096CE4">
        <w:rPr>
          <w:rFonts w:hint="cs"/>
          <w:rtl/>
          <w:lang w:bidi="ar-EG"/>
        </w:rPr>
        <w:t xml:space="preserve">). وسيوقَّع هذا الاتفاق الثاني لدى دخول اتفاق </w:t>
      </w:r>
      <w:r w:rsidR="00D33BE7" w:rsidRPr="00096CE4">
        <w:rPr>
          <w:rtl/>
          <w:lang w:bidi="ar-EG"/>
        </w:rPr>
        <w:t>فيسغراد</w:t>
      </w:r>
      <w:r w:rsidR="000E1E81" w:rsidRPr="00096CE4">
        <w:rPr>
          <w:rFonts w:hint="cs"/>
          <w:rtl/>
          <w:lang w:bidi="ar-EG"/>
        </w:rPr>
        <w:t xml:space="preserve"> حيز النفاذ وإنشاء معهد </w:t>
      </w:r>
      <w:r w:rsidR="00D33BE7" w:rsidRPr="00096CE4">
        <w:rPr>
          <w:rtl/>
          <w:lang w:bidi="ar-EG"/>
        </w:rPr>
        <w:t>فيسغراد</w:t>
      </w:r>
      <w:r w:rsidR="000E1E81" w:rsidRPr="00096CE4">
        <w:rPr>
          <w:rFonts w:hint="cs"/>
          <w:rtl/>
          <w:lang w:bidi="ar-EG"/>
        </w:rPr>
        <w:t xml:space="preserve"> رسمياً. وسيتيح ذلك لمعهد </w:t>
      </w:r>
      <w:r w:rsidR="00D33BE7" w:rsidRPr="00096CE4">
        <w:rPr>
          <w:rtl/>
          <w:lang w:bidi="ar-EG"/>
        </w:rPr>
        <w:t>فيسغراد</w:t>
      </w:r>
      <w:r w:rsidR="000E1E81" w:rsidRPr="00096CE4">
        <w:rPr>
          <w:rFonts w:hint="cs"/>
          <w:rtl/>
          <w:lang w:bidi="ar-EG"/>
        </w:rPr>
        <w:t xml:space="preserve"> أن يباشر أعماله في الموعد المتوقع أي في 1</w:t>
      </w:r>
      <w:r w:rsidR="009C3C59" w:rsidRPr="00096CE4">
        <w:rPr>
          <w:rFonts w:hint="eastAsia"/>
          <w:rtl/>
          <w:lang w:bidi="ar-EG"/>
        </w:rPr>
        <w:t> </w:t>
      </w:r>
      <w:r w:rsidR="000E1E81" w:rsidRPr="00096CE4">
        <w:rPr>
          <w:rFonts w:hint="cs"/>
          <w:rtl/>
          <w:lang w:bidi="ar-EG"/>
        </w:rPr>
        <w:t>يوليو</w:t>
      </w:r>
      <w:r w:rsidR="009C3C59" w:rsidRPr="00096CE4">
        <w:rPr>
          <w:rFonts w:hint="eastAsia"/>
          <w:rtl/>
          <w:lang w:bidi="ar-EG"/>
        </w:rPr>
        <w:t> </w:t>
      </w:r>
      <w:r w:rsidR="000E1E81" w:rsidRPr="00096CE4">
        <w:rPr>
          <w:rFonts w:hint="cs"/>
          <w:rtl/>
          <w:lang w:bidi="ar-EG"/>
        </w:rPr>
        <w:t>2016.</w:t>
      </w:r>
    </w:p>
    <w:p w:rsidR="000E1E81" w:rsidRPr="00096CE4" w:rsidRDefault="000E1E81" w:rsidP="00D7604B">
      <w:pPr>
        <w:pStyle w:val="NumberedParaAR"/>
        <w:numPr>
          <w:ilvl w:val="0"/>
          <w:numId w:val="23"/>
        </w:numPr>
        <w:rPr>
          <w:lang w:bidi="ar-EG"/>
        </w:rPr>
      </w:pPr>
      <w:r w:rsidRPr="00096CE4">
        <w:rPr>
          <w:rFonts w:hint="cs"/>
          <w:rtl/>
          <w:lang w:bidi="ar-EG"/>
        </w:rPr>
        <w:t>وإن البلدان الأربعة مستعدة لتقديم عرض شفهي بشأن تقدم مسارات التصديق إلى الجمعية في دورتها السابعة والأربعين.</w:t>
      </w:r>
    </w:p>
    <w:p w:rsidR="000E1E81" w:rsidRPr="00096CE4" w:rsidRDefault="000E1E81" w:rsidP="00363B54">
      <w:pPr>
        <w:pStyle w:val="Heading1AR"/>
        <w:rPr>
          <w:rtl/>
          <w:lang w:bidi="ar-EG"/>
        </w:rPr>
      </w:pPr>
      <w:r w:rsidRPr="00096CE4">
        <w:rPr>
          <w:rFonts w:hint="cs"/>
          <w:rtl/>
          <w:lang w:bidi="ar-EG"/>
        </w:rPr>
        <w:t xml:space="preserve">اتساق معهد </w:t>
      </w:r>
      <w:r w:rsidR="00D33BE7" w:rsidRPr="00096CE4">
        <w:rPr>
          <w:rtl/>
          <w:lang w:bidi="ar-EG"/>
        </w:rPr>
        <w:t>فيسغراد</w:t>
      </w:r>
      <w:r w:rsidRPr="00096CE4">
        <w:rPr>
          <w:rFonts w:hint="cs"/>
          <w:rtl/>
          <w:lang w:bidi="ar-EG"/>
        </w:rPr>
        <w:t xml:space="preserve"> وسلاسة سير أعماله</w:t>
      </w:r>
    </w:p>
    <w:p w:rsidR="000E1E81" w:rsidRPr="00096CE4" w:rsidRDefault="000E1E81" w:rsidP="00D7604B">
      <w:pPr>
        <w:pStyle w:val="NumberedParaAR"/>
        <w:numPr>
          <w:ilvl w:val="0"/>
          <w:numId w:val="23"/>
        </w:numPr>
        <w:rPr>
          <w:lang w:bidi="ar-EG"/>
        </w:rPr>
      </w:pPr>
      <w:r w:rsidRPr="00096CE4">
        <w:rPr>
          <w:rFonts w:hint="cs"/>
          <w:rtl/>
          <w:lang w:bidi="ar-EG"/>
        </w:rPr>
        <w:t xml:space="preserve">تلقى تعيين </w:t>
      </w:r>
      <w:r w:rsidRPr="00096CE4">
        <w:rPr>
          <w:rtl/>
          <w:lang w:bidi="ar-EG"/>
        </w:rPr>
        <w:t>معهد فيسغراد للبراءات</w:t>
      </w:r>
      <w:r w:rsidRPr="00096CE4">
        <w:rPr>
          <w:rFonts w:hint="cs"/>
          <w:rtl/>
          <w:lang w:bidi="ar-EG"/>
        </w:rPr>
        <w:t xml:space="preserve"> </w:t>
      </w:r>
      <w:r w:rsidRPr="00096CE4">
        <w:rPr>
          <w:rtl/>
          <w:lang w:bidi="ar-EG"/>
        </w:rPr>
        <w:t>كإدارة للبحث الدولي</w:t>
      </w:r>
      <w:r w:rsidRPr="00096CE4">
        <w:rPr>
          <w:rFonts w:hint="cs"/>
          <w:rtl/>
          <w:lang w:bidi="ar-EG"/>
        </w:rPr>
        <w:t xml:space="preserve"> </w:t>
      </w:r>
      <w:r w:rsidRPr="00096CE4">
        <w:rPr>
          <w:rtl/>
          <w:lang w:bidi="ar-EG"/>
        </w:rPr>
        <w:t>وإدارة للفحص التمهيدي الدولي</w:t>
      </w:r>
      <w:r w:rsidRPr="00096CE4">
        <w:rPr>
          <w:rFonts w:hint="cs"/>
          <w:rtl/>
          <w:lang w:bidi="ar-EG"/>
        </w:rPr>
        <w:t xml:space="preserve"> </w:t>
      </w:r>
      <w:r w:rsidRPr="00096CE4">
        <w:rPr>
          <w:rtl/>
          <w:lang w:bidi="ar-EG"/>
        </w:rPr>
        <w:t>في إطار معاهدة التعاون بشأن البراءات</w:t>
      </w:r>
      <w:r w:rsidRPr="00096CE4">
        <w:rPr>
          <w:rFonts w:hint="cs"/>
          <w:rtl/>
          <w:lang w:bidi="ar-EG"/>
        </w:rPr>
        <w:t xml:space="preserve"> تأييداً واسعاً خلال الدورة الثامنة والعشرين ل</w:t>
      </w:r>
      <w:r w:rsidRPr="00096CE4">
        <w:rPr>
          <w:rtl/>
          <w:lang w:bidi="ar-EG"/>
        </w:rPr>
        <w:t>لجنة المعنية بالتعاون التقني لمعاهدة التعاون بشأن البراءات</w:t>
      </w:r>
      <w:r w:rsidRPr="00096CE4">
        <w:rPr>
          <w:rFonts w:hint="cs"/>
          <w:rtl/>
          <w:lang w:bidi="ar-EG"/>
        </w:rPr>
        <w:t>، وأشيرت خلال هذه الدورة أيضاً إ</w:t>
      </w:r>
      <w:r w:rsidRPr="00096CE4">
        <w:rPr>
          <w:rtl/>
          <w:lang w:bidi="ar-EG"/>
        </w:rPr>
        <w:t xml:space="preserve">لى أهمية تطوير الآليات الملائمة من أجل </w:t>
      </w:r>
      <w:r w:rsidR="002E0089" w:rsidRPr="00096CE4">
        <w:rPr>
          <w:rFonts w:hint="cs"/>
          <w:rtl/>
          <w:lang w:bidi="ar-EG"/>
        </w:rPr>
        <w:t xml:space="preserve">تحقيق </w:t>
      </w:r>
      <w:r w:rsidRPr="00096CE4">
        <w:rPr>
          <w:rtl/>
          <w:lang w:bidi="ar-EG"/>
        </w:rPr>
        <w:t xml:space="preserve">الاتساق </w:t>
      </w:r>
      <w:r w:rsidR="002E0089" w:rsidRPr="00096CE4">
        <w:rPr>
          <w:rFonts w:hint="cs"/>
          <w:rtl/>
          <w:lang w:bidi="ar-EG"/>
        </w:rPr>
        <w:t>بين نهوج</w:t>
      </w:r>
      <w:r w:rsidRPr="00096CE4">
        <w:rPr>
          <w:rtl/>
          <w:lang w:bidi="ar-EG"/>
        </w:rPr>
        <w:t xml:space="preserve"> المكاتب الأربعة</w:t>
      </w:r>
      <w:r w:rsidR="002E0089" w:rsidRPr="00096CE4">
        <w:rPr>
          <w:rFonts w:hint="cs"/>
          <w:rtl/>
          <w:lang w:bidi="ar-EG"/>
        </w:rPr>
        <w:t xml:space="preserve"> وإجراءاتها</w:t>
      </w:r>
      <w:r w:rsidRPr="00096CE4">
        <w:rPr>
          <w:rtl/>
          <w:lang w:bidi="ar-EG"/>
        </w:rPr>
        <w:t>، بغية ضمان السلاسة في سير العمل والإنتاج السلس لنتائج العمل المتسق</w:t>
      </w:r>
      <w:r w:rsidRPr="00096CE4">
        <w:rPr>
          <w:rFonts w:hint="cs"/>
          <w:rtl/>
          <w:lang w:bidi="ar-EG"/>
        </w:rPr>
        <w:t xml:space="preserve"> (انظر </w:t>
      </w:r>
      <w:r w:rsidR="00C53110" w:rsidRPr="00096CE4">
        <w:rPr>
          <w:rFonts w:hint="cs"/>
          <w:rtl/>
          <w:lang w:bidi="ar-EG"/>
        </w:rPr>
        <w:t>الفقرة</w:t>
      </w:r>
      <w:r w:rsidR="00C53110" w:rsidRPr="00096CE4">
        <w:rPr>
          <w:rtl/>
          <w:lang w:bidi="ar-EG"/>
        </w:rPr>
        <w:t> </w:t>
      </w:r>
      <w:r w:rsidRPr="00096CE4">
        <w:rPr>
          <w:rFonts w:hint="cs"/>
          <w:rtl/>
          <w:lang w:bidi="ar-EG"/>
        </w:rPr>
        <w:t xml:space="preserve">15 من الوثيقة </w:t>
      </w:r>
      <w:r w:rsidRPr="00096CE4">
        <w:rPr>
          <w:lang w:bidi="ar-EG"/>
        </w:rPr>
        <w:t>PCT/CTC/28/4</w:t>
      </w:r>
      <w:r w:rsidRPr="00096CE4">
        <w:rPr>
          <w:rFonts w:hint="cs"/>
          <w:rtl/>
          <w:lang w:bidi="ar-EG"/>
        </w:rPr>
        <w:t>).</w:t>
      </w:r>
    </w:p>
    <w:p w:rsidR="000E1E81" w:rsidRPr="00096CE4" w:rsidRDefault="000E1E81" w:rsidP="007B69D4">
      <w:pPr>
        <w:pStyle w:val="NumberedParaAR"/>
        <w:numPr>
          <w:ilvl w:val="0"/>
          <w:numId w:val="23"/>
        </w:numPr>
        <w:rPr>
          <w:lang w:bidi="ar-EG"/>
        </w:rPr>
      </w:pPr>
      <w:r w:rsidRPr="00096CE4">
        <w:rPr>
          <w:rFonts w:hint="cs"/>
          <w:rtl/>
          <w:lang w:bidi="ar-EG"/>
        </w:rPr>
        <w:t>وعملاً بتوصية ال</w:t>
      </w:r>
      <w:r w:rsidRPr="00096CE4">
        <w:rPr>
          <w:rtl/>
          <w:lang w:bidi="ar-EG"/>
        </w:rPr>
        <w:t>لجنة المعنية بالتعاون التقني لمعاهدة التعاون بشأن البراءات</w:t>
      </w:r>
      <w:r w:rsidR="00D3669F" w:rsidRPr="00096CE4">
        <w:rPr>
          <w:rFonts w:hint="cs"/>
          <w:rtl/>
          <w:lang w:bidi="ar-EG"/>
        </w:rPr>
        <w:t>، واصلت المكاتب الوطنية</w:t>
      </w:r>
      <w:r w:rsidR="007B69D4" w:rsidRPr="00096CE4">
        <w:rPr>
          <w:rFonts w:hint="cs"/>
          <w:rtl/>
          <w:lang w:bidi="ar-EG"/>
        </w:rPr>
        <w:t xml:space="preserve"> الأربعة</w:t>
      </w:r>
      <w:r w:rsidR="00D3669F" w:rsidRPr="00096CE4">
        <w:rPr>
          <w:rFonts w:hint="cs"/>
          <w:rtl/>
          <w:lang w:bidi="ar-EG"/>
        </w:rPr>
        <w:t xml:space="preserve"> ل</w:t>
      </w:r>
      <w:r w:rsidR="007B69D4" w:rsidRPr="00096CE4">
        <w:rPr>
          <w:rFonts w:hint="cs"/>
          <w:rtl/>
          <w:lang w:bidi="ar-EG"/>
        </w:rPr>
        <w:t>تعاون</w:t>
      </w:r>
      <w:r w:rsidR="00D3669F" w:rsidRPr="00096CE4">
        <w:rPr>
          <w:rFonts w:hint="cs"/>
          <w:rtl/>
          <w:lang w:bidi="ar-EG"/>
        </w:rPr>
        <w:t xml:space="preserve"> فيسغراد وكثفت جهودها في سبيل </w:t>
      </w:r>
      <w:r w:rsidR="007B69D4" w:rsidRPr="00096CE4">
        <w:rPr>
          <w:rFonts w:hint="cs"/>
          <w:rtl/>
          <w:lang w:bidi="ar-EG"/>
        </w:rPr>
        <w:t>إقامة</w:t>
      </w:r>
      <w:r w:rsidR="00D3669F" w:rsidRPr="00096CE4">
        <w:rPr>
          <w:rFonts w:hint="cs"/>
          <w:rtl/>
          <w:lang w:bidi="ar-EG"/>
        </w:rPr>
        <w:t xml:space="preserve"> بيئة عمل تضمن اتساق</w:t>
      </w:r>
      <w:r w:rsidR="007B69D4" w:rsidRPr="00096CE4">
        <w:rPr>
          <w:rFonts w:hint="cs"/>
          <w:rtl/>
          <w:lang w:bidi="ar-EG"/>
        </w:rPr>
        <w:t xml:space="preserve"> سير أعمال</w:t>
      </w:r>
      <w:r w:rsidR="00D3669F" w:rsidRPr="00096CE4">
        <w:rPr>
          <w:rFonts w:hint="cs"/>
          <w:rtl/>
          <w:lang w:bidi="ar-EG"/>
        </w:rPr>
        <w:t xml:space="preserve"> معهد </w:t>
      </w:r>
      <w:r w:rsidR="00D33BE7" w:rsidRPr="00096CE4">
        <w:rPr>
          <w:rtl/>
          <w:lang w:bidi="ar-EG"/>
        </w:rPr>
        <w:t>فيسغراد</w:t>
      </w:r>
      <w:r w:rsidR="00D3669F" w:rsidRPr="00096CE4">
        <w:rPr>
          <w:rFonts w:hint="cs"/>
          <w:rtl/>
          <w:lang w:bidi="ar-EG"/>
        </w:rPr>
        <w:t xml:space="preserve"> وسلاس</w:t>
      </w:r>
      <w:r w:rsidR="007B69D4" w:rsidRPr="00096CE4">
        <w:rPr>
          <w:rFonts w:hint="cs"/>
          <w:rtl/>
          <w:lang w:bidi="ar-EG"/>
        </w:rPr>
        <w:t>ته</w:t>
      </w:r>
      <w:r w:rsidR="00D3669F" w:rsidRPr="00096CE4">
        <w:rPr>
          <w:rFonts w:hint="cs"/>
          <w:rtl/>
          <w:lang w:bidi="ar-EG"/>
        </w:rPr>
        <w:t>. وتحقيقاً لذلك، است</w:t>
      </w:r>
      <w:r w:rsidR="002E0089" w:rsidRPr="00096CE4">
        <w:rPr>
          <w:rFonts w:hint="cs"/>
          <w:rtl/>
          <w:lang w:bidi="ar-EG"/>
        </w:rPr>
        <w:t>ُ</w:t>
      </w:r>
      <w:r w:rsidR="00D3669F" w:rsidRPr="00096CE4">
        <w:rPr>
          <w:rFonts w:hint="cs"/>
          <w:rtl/>
          <w:lang w:bidi="ar-EG"/>
        </w:rPr>
        <w:t xml:space="preserve">هلت عدة مسارات عمل حققت عدداً من النتائج الملموسة </w:t>
      </w:r>
      <w:r w:rsidR="007B69D4" w:rsidRPr="00096CE4">
        <w:rPr>
          <w:rFonts w:hint="cs"/>
          <w:rtl/>
          <w:lang w:bidi="ar-EG"/>
        </w:rPr>
        <w:t xml:space="preserve">التي مهدت الطريق أمام </w:t>
      </w:r>
      <w:r w:rsidR="00D3669F" w:rsidRPr="00096CE4">
        <w:rPr>
          <w:rFonts w:hint="cs"/>
          <w:rtl/>
          <w:lang w:bidi="ar-EG"/>
        </w:rPr>
        <w:t xml:space="preserve">عمل معهد </w:t>
      </w:r>
      <w:r w:rsidR="00D33BE7" w:rsidRPr="00096CE4">
        <w:rPr>
          <w:rtl/>
          <w:lang w:bidi="ar-EG"/>
        </w:rPr>
        <w:t>فيسغراد</w:t>
      </w:r>
      <w:r w:rsidR="00D3669F" w:rsidRPr="00096CE4">
        <w:rPr>
          <w:rFonts w:hint="cs"/>
          <w:rtl/>
          <w:lang w:bidi="ar-EG"/>
        </w:rPr>
        <w:t xml:space="preserve"> كإدارة دولية </w:t>
      </w:r>
      <w:r w:rsidR="007B69D4" w:rsidRPr="00096CE4">
        <w:rPr>
          <w:rFonts w:hint="cs"/>
          <w:rtl/>
          <w:lang w:bidi="ar-EG"/>
        </w:rPr>
        <w:t>بفعالية وجودة العالية</w:t>
      </w:r>
      <w:r w:rsidR="00D3669F" w:rsidRPr="00096CE4">
        <w:rPr>
          <w:rFonts w:hint="cs"/>
          <w:rtl/>
          <w:lang w:bidi="ar-EG"/>
        </w:rPr>
        <w:t>.</w:t>
      </w:r>
    </w:p>
    <w:p w:rsidR="00D3669F" w:rsidRPr="00096CE4" w:rsidRDefault="00D3669F" w:rsidP="00D7604B">
      <w:pPr>
        <w:pStyle w:val="NumberedParaAR"/>
        <w:numPr>
          <w:ilvl w:val="0"/>
          <w:numId w:val="23"/>
        </w:numPr>
        <w:rPr>
          <w:lang w:bidi="ar-EG"/>
        </w:rPr>
      </w:pPr>
      <w:r w:rsidRPr="00096CE4">
        <w:rPr>
          <w:rFonts w:hint="cs"/>
          <w:rtl/>
          <w:lang w:bidi="ar-EG"/>
        </w:rPr>
        <w:t xml:space="preserve">وعقب الدورة الثامنة والعشرين للجنة المعنية بالتعاون التقني لمعاهدة التعاون بشأن البراءات، توصلت مكاتب البلدان الأربعة إلى اتفاق مبدئي على مشروعي اللائحة التنفيذية واللائحة المالية لاتفاق </w:t>
      </w:r>
      <w:r w:rsidR="00D33BE7" w:rsidRPr="00096CE4">
        <w:rPr>
          <w:rtl/>
          <w:lang w:bidi="ar-EG"/>
        </w:rPr>
        <w:t>فيسغراد</w:t>
      </w:r>
      <w:r w:rsidRPr="00096CE4">
        <w:rPr>
          <w:rFonts w:hint="cs"/>
          <w:rtl/>
          <w:lang w:bidi="ar-EG"/>
        </w:rPr>
        <w:t xml:space="preserve">. ويعدُّ ذلك لازماً لأغراض إجراءات التصديق الوطنية وكذلك لإرساء إطار تنظيمي متين يستند إليه </w:t>
      </w:r>
      <w:r w:rsidR="00B13FF8" w:rsidRPr="00096CE4">
        <w:rPr>
          <w:rFonts w:hint="cs"/>
          <w:rtl/>
          <w:lang w:bidi="ar-EG"/>
        </w:rPr>
        <w:t xml:space="preserve">أي عمل مقبل على تطوير مسارات العمل ونظام إدارة الجودة وأدوات تكنولوجيا المعلومات الخاصة بمعهد </w:t>
      </w:r>
      <w:r w:rsidR="00D33BE7" w:rsidRPr="00096CE4">
        <w:rPr>
          <w:rtl/>
          <w:lang w:bidi="ar-EG"/>
        </w:rPr>
        <w:t>فيسغراد</w:t>
      </w:r>
      <w:r w:rsidR="00B13FF8" w:rsidRPr="00096CE4">
        <w:rPr>
          <w:rFonts w:hint="cs"/>
          <w:rtl/>
          <w:lang w:bidi="ar-EG"/>
        </w:rPr>
        <w:t>. وأقر رؤساء مكاتب البلدان الأربعة الاتفاق المبدئي على اللائحة التنفيذية واللائحة المالية خلال اجتماعهم في مارتن ب</w:t>
      </w:r>
      <w:r w:rsidR="00180836" w:rsidRPr="00096CE4">
        <w:rPr>
          <w:rFonts w:hint="cs"/>
          <w:rtl/>
          <w:lang w:bidi="ar-EG"/>
        </w:rPr>
        <w:t>جمهورية سلوفاكيا</w:t>
      </w:r>
      <w:r w:rsidR="00B13FF8" w:rsidRPr="00096CE4">
        <w:rPr>
          <w:rFonts w:hint="cs"/>
          <w:rtl/>
          <w:lang w:bidi="ar-EG"/>
        </w:rPr>
        <w:t xml:space="preserve"> في 3</w:t>
      </w:r>
      <w:r w:rsidR="002E0089" w:rsidRPr="00096CE4">
        <w:rPr>
          <w:rFonts w:hint="eastAsia"/>
          <w:rtl/>
          <w:lang w:bidi="ar-EG"/>
        </w:rPr>
        <w:t> </w:t>
      </w:r>
      <w:r w:rsidR="00B13FF8" w:rsidRPr="00096CE4">
        <w:rPr>
          <w:rFonts w:hint="cs"/>
          <w:rtl/>
          <w:lang w:bidi="ar-EG"/>
        </w:rPr>
        <w:t>يونيو</w:t>
      </w:r>
      <w:r w:rsidR="00180836" w:rsidRPr="00096CE4">
        <w:rPr>
          <w:rtl/>
          <w:lang w:bidi="ar-EG"/>
        </w:rPr>
        <w:t> </w:t>
      </w:r>
      <w:r w:rsidR="00180836" w:rsidRPr="00096CE4">
        <w:rPr>
          <w:rFonts w:hint="cs"/>
          <w:rtl/>
          <w:lang w:bidi="ar-EG"/>
        </w:rPr>
        <w:t>2015</w:t>
      </w:r>
      <w:r w:rsidR="00B13FF8" w:rsidRPr="00096CE4">
        <w:rPr>
          <w:rFonts w:hint="cs"/>
          <w:rtl/>
          <w:lang w:bidi="ar-EG"/>
        </w:rPr>
        <w:t xml:space="preserve">. وتشمل اللائحة التنفيذية عدة قضايا منها ما يلي: العلاقة بمعاهدة التعاون بشأن البراءات، الالتزامات، جوانب متنوعة من عمل المعهد بموجب معاهدة التعاون بشأن البراءات (مثل اختصاصات المعهد ولغاته ومهامه </w:t>
      </w:r>
      <w:r w:rsidR="00B13FF8" w:rsidRPr="00096CE4">
        <w:rPr>
          <w:rtl/>
          <w:lang w:bidi="ar-EG"/>
        </w:rPr>
        <w:t>كإدارة للبحث الدولي</w:t>
      </w:r>
      <w:r w:rsidR="00B13FF8" w:rsidRPr="00096CE4">
        <w:rPr>
          <w:rFonts w:hint="cs"/>
          <w:rtl/>
          <w:lang w:bidi="ar-EG"/>
        </w:rPr>
        <w:t xml:space="preserve"> و/أو </w:t>
      </w:r>
      <w:r w:rsidR="00B13FF8" w:rsidRPr="00096CE4">
        <w:rPr>
          <w:rtl/>
          <w:lang w:bidi="ar-EG"/>
        </w:rPr>
        <w:t>إدارة للفحص التمهيدي الدولي</w:t>
      </w:r>
      <w:r w:rsidR="00B13FF8" w:rsidRPr="00096CE4">
        <w:rPr>
          <w:rFonts w:hint="cs"/>
          <w:rtl/>
          <w:lang w:bidi="ar-EG"/>
        </w:rPr>
        <w:t xml:space="preserve">)، </w:t>
      </w:r>
      <w:r w:rsidR="002E0089" w:rsidRPr="00096CE4">
        <w:rPr>
          <w:rFonts w:hint="cs"/>
          <w:rtl/>
          <w:lang w:bidi="ar-EG"/>
        </w:rPr>
        <w:t>و</w:t>
      </w:r>
      <w:r w:rsidR="00B13FF8" w:rsidRPr="00096CE4">
        <w:rPr>
          <w:rFonts w:hint="cs"/>
          <w:rtl/>
          <w:lang w:bidi="ar-EG"/>
        </w:rPr>
        <w:t>إمكانية الأعمال التعاقدية، والأحكام الإدارية الخاصة بنظام إدارة الجودة والمدفوعات والاتصالات وإدارة الملفات. ويرد جدول الرسوم في مرفق اللائحة التنفيذية. وتشمل اللائحة المالية أحكاماً عديدة منها وضع الميزانية وتن</w:t>
      </w:r>
      <w:r w:rsidR="007B5457" w:rsidRPr="00096CE4">
        <w:rPr>
          <w:rFonts w:hint="cs"/>
          <w:rtl/>
          <w:lang w:bidi="ar-EG"/>
        </w:rPr>
        <w:t>فيذ برنامجها ومراجعة الحسابات</w:t>
      </w:r>
      <w:r w:rsidR="002E0089" w:rsidRPr="00096CE4">
        <w:rPr>
          <w:rFonts w:hint="cs"/>
          <w:rtl/>
          <w:lang w:bidi="ar-EG"/>
        </w:rPr>
        <w:t>،</w:t>
      </w:r>
      <w:r w:rsidR="007B5457" w:rsidRPr="00096CE4">
        <w:rPr>
          <w:rFonts w:hint="cs"/>
          <w:rtl/>
          <w:lang w:bidi="ar-EG"/>
        </w:rPr>
        <w:t xml:space="preserve"> والمبالغ المردودة للمكاتب الوطنية المشاركة</w:t>
      </w:r>
      <w:r w:rsidR="002E0089" w:rsidRPr="00096CE4">
        <w:rPr>
          <w:rFonts w:hint="cs"/>
          <w:rtl/>
          <w:lang w:bidi="ar-EG"/>
        </w:rPr>
        <w:t>،</w:t>
      </w:r>
      <w:r w:rsidR="007B5457" w:rsidRPr="00096CE4">
        <w:rPr>
          <w:rFonts w:hint="cs"/>
          <w:rtl/>
          <w:lang w:bidi="ar-EG"/>
        </w:rPr>
        <w:t xml:space="preserve"> والمسهامات المقررة على الدول المتعاقدة</w:t>
      </w:r>
      <w:r w:rsidR="002E0089" w:rsidRPr="00096CE4">
        <w:rPr>
          <w:rFonts w:hint="cs"/>
          <w:rtl/>
          <w:lang w:bidi="ar-EG"/>
        </w:rPr>
        <w:t>،</w:t>
      </w:r>
      <w:r w:rsidR="007B5457" w:rsidRPr="00096CE4">
        <w:rPr>
          <w:rFonts w:hint="cs"/>
          <w:rtl/>
          <w:lang w:bidi="ar-EG"/>
        </w:rPr>
        <w:t xml:space="preserve"> وتوزيع الفائض المحتمل. وتجدر الإشارة إلى أن </w:t>
      </w:r>
      <w:r w:rsidR="00180836" w:rsidRPr="00096CE4">
        <w:rPr>
          <w:rFonts w:hint="cs"/>
          <w:rtl/>
          <w:lang w:bidi="ar-EG"/>
        </w:rPr>
        <w:lastRenderedPageBreak/>
        <w:t>المادة</w:t>
      </w:r>
      <w:r w:rsidR="00180836" w:rsidRPr="00096CE4">
        <w:rPr>
          <w:rtl/>
          <w:lang w:bidi="ar-EG"/>
        </w:rPr>
        <w:t> </w:t>
      </w:r>
      <w:r w:rsidR="007B5457" w:rsidRPr="00096CE4">
        <w:rPr>
          <w:rFonts w:hint="cs"/>
          <w:rtl/>
          <w:lang w:bidi="ar-EG"/>
        </w:rPr>
        <w:t xml:space="preserve">12(1) من اتفاق </w:t>
      </w:r>
      <w:r w:rsidR="00D33BE7" w:rsidRPr="00096CE4">
        <w:rPr>
          <w:rtl/>
          <w:lang w:bidi="ar-EG"/>
        </w:rPr>
        <w:t>فيسغراد</w:t>
      </w:r>
      <w:r w:rsidR="007B5457" w:rsidRPr="00096CE4">
        <w:rPr>
          <w:rFonts w:hint="cs"/>
          <w:rtl/>
          <w:lang w:bidi="ar-EG"/>
        </w:rPr>
        <w:t xml:space="preserve"> تنص على أن مجلس إدارة معهد </w:t>
      </w:r>
      <w:r w:rsidR="00D33BE7" w:rsidRPr="00096CE4">
        <w:rPr>
          <w:rtl/>
          <w:lang w:bidi="ar-EG"/>
        </w:rPr>
        <w:t>فيسغراد</w:t>
      </w:r>
      <w:r w:rsidR="007B5457" w:rsidRPr="00096CE4">
        <w:rPr>
          <w:rFonts w:hint="cs"/>
          <w:rtl/>
          <w:lang w:bidi="ar-EG"/>
        </w:rPr>
        <w:t xml:space="preserve"> هو المسؤول عن اعتماد اللائحة التنفيذية واللائحة المالية رسمياً لدى دخول الاتفاق حيز النفاذ.</w:t>
      </w:r>
    </w:p>
    <w:p w:rsidR="009D4C59" w:rsidRPr="00096CE4" w:rsidRDefault="009D4C59" w:rsidP="00096CE4">
      <w:pPr>
        <w:pStyle w:val="NumberedParaAR"/>
        <w:numPr>
          <w:ilvl w:val="0"/>
          <w:numId w:val="23"/>
        </w:numPr>
        <w:rPr>
          <w:lang w:bidi="ar-EG"/>
        </w:rPr>
      </w:pPr>
      <w:r w:rsidRPr="00096CE4">
        <w:rPr>
          <w:rFonts w:hint="cs"/>
          <w:rtl/>
          <w:lang w:bidi="ar-EG"/>
        </w:rPr>
        <w:t xml:space="preserve">وبعد توضيح العناصر الأساسية للعمل المشترك، أنشأت المكاتب الوطنية المشاركة في معهد </w:t>
      </w:r>
      <w:r w:rsidR="00D33BE7" w:rsidRPr="00096CE4">
        <w:rPr>
          <w:rtl/>
          <w:lang w:bidi="ar-EG"/>
        </w:rPr>
        <w:t>فيسغراد</w:t>
      </w:r>
      <w:r w:rsidRPr="00096CE4">
        <w:rPr>
          <w:rFonts w:hint="cs"/>
          <w:rtl/>
          <w:lang w:bidi="ar-EG"/>
        </w:rPr>
        <w:t xml:space="preserve"> </w:t>
      </w:r>
      <w:r w:rsidR="00096CE4" w:rsidRPr="00096CE4">
        <w:rPr>
          <w:rFonts w:hint="cs"/>
          <w:rtl/>
          <w:lang w:bidi="ar-EG"/>
        </w:rPr>
        <w:t>فريق</w:t>
      </w:r>
      <w:r w:rsidRPr="00096CE4">
        <w:rPr>
          <w:rFonts w:hint="cs"/>
          <w:rtl/>
          <w:lang w:bidi="ar-EG"/>
        </w:rPr>
        <w:t xml:space="preserve"> عمل </w:t>
      </w:r>
      <w:r w:rsidR="00096CE4" w:rsidRPr="00096CE4">
        <w:rPr>
          <w:rFonts w:hint="cs"/>
          <w:rtl/>
          <w:lang w:bidi="ar-EG"/>
        </w:rPr>
        <w:t xml:space="preserve">ومجموعة خبراء تقنيين </w:t>
      </w:r>
      <w:r w:rsidRPr="00096CE4">
        <w:rPr>
          <w:rFonts w:hint="cs"/>
          <w:rtl/>
          <w:lang w:bidi="ar-EG"/>
        </w:rPr>
        <w:t xml:space="preserve">إضافة إلى لجنة الخبراء الرئيسية القائمة والمسؤولة عن إنشاء معهد </w:t>
      </w:r>
      <w:r w:rsidR="00D33BE7" w:rsidRPr="00096CE4">
        <w:rPr>
          <w:rtl/>
          <w:lang w:bidi="ar-EG"/>
        </w:rPr>
        <w:t>فيسغراد</w:t>
      </w:r>
      <w:r w:rsidR="00134817" w:rsidRPr="00096CE4">
        <w:rPr>
          <w:rFonts w:hint="cs"/>
          <w:rtl/>
          <w:lang w:bidi="ar-EG"/>
        </w:rPr>
        <w:t xml:space="preserve"> وتطويره</w:t>
      </w:r>
      <w:r w:rsidRPr="00096CE4">
        <w:rPr>
          <w:rFonts w:hint="cs"/>
          <w:rtl/>
          <w:lang w:bidi="ar-EG"/>
        </w:rPr>
        <w:t>.</w:t>
      </w:r>
    </w:p>
    <w:p w:rsidR="009D4C59" w:rsidRPr="00096CE4" w:rsidRDefault="009D4C59" w:rsidP="00096CE4">
      <w:pPr>
        <w:pStyle w:val="NumberedParaAR"/>
        <w:numPr>
          <w:ilvl w:val="0"/>
          <w:numId w:val="23"/>
        </w:numPr>
        <w:rPr>
          <w:lang w:bidi="ar-EG"/>
        </w:rPr>
      </w:pPr>
      <w:r w:rsidRPr="00096CE4">
        <w:rPr>
          <w:rFonts w:hint="cs"/>
          <w:rtl/>
          <w:lang w:bidi="ar-EG"/>
        </w:rPr>
        <w:t xml:space="preserve">وتتألف مجموعة الخبراء التقنيين المعنية باتفاق </w:t>
      </w:r>
      <w:r w:rsidR="00D33BE7" w:rsidRPr="00096CE4">
        <w:rPr>
          <w:rtl/>
          <w:lang w:bidi="ar-EG"/>
        </w:rPr>
        <w:t>فيسغراد</w:t>
      </w:r>
      <w:r w:rsidRPr="00096CE4">
        <w:rPr>
          <w:rFonts w:hint="cs"/>
          <w:rtl/>
          <w:lang w:bidi="ar-EG"/>
        </w:rPr>
        <w:t xml:space="preserve"> أساساً من خبراء و/أو فاحصين في مجال البراءات تابعين للمكاتب الوطنية المشاركة. وإن مهمتهم الرئيسية هي تحديد الاختلافات بين ممارسات البحث والفحص في المكاتب الوطنية المشاركة ومواءمتها. وعقدت مجموعة الخبراء التقنيين اجتماعها الأول في </w:t>
      </w:r>
      <w:r w:rsidRPr="00096CE4">
        <w:rPr>
          <w:rtl/>
          <w:lang w:bidi="ar-EG"/>
        </w:rPr>
        <w:t>بانسكا بيستريتسا</w:t>
      </w:r>
      <w:r w:rsidRPr="00096CE4">
        <w:rPr>
          <w:rFonts w:hint="cs"/>
          <w:rtl/>
          <w:lang w:bidi="ar-EG"/>
        </w:rPr>
        <w:t xml:space="preserve"> ب</w:t>
      </w:r>
      <w:r w:rsidR="00180836" w:rsidRPr="00096CE4">
        <w:rPr>
          <w:rFonts w:hint="cs"/>
          <w:rtl/>
          <w:lang w:bidi="ar-EG"/>
        </w:rPr>
        <w:t>جمهورية سلوفاكيا</w:t>
      </w:r>
      <w:r w:rsidRPr="00096CE4">
        <w:rPr>
          <w:rFonts w:hint="cs"/>
          <w:rtl/>
          <w:lang w:bidi="ar-EG"/>
        </w:rPr>
        <w:t xml:space="preserve"> في 9</w:t>
      </w:r>
      <w:r w:rsidR="00134817" w:rsidRPr="00096CE4">
        <w:rPr>
          <w:rFonts w:hint="eastAsia"/>
          <w:rtl/>
          <w:lang w:bidi="ar-EG"/>
        </w:rPr>
        <w:t> </w:t>
      </w:r>
      <w:r w:rsidRPr="00096CE4">
        <w:rPr>
          <w:rFonts w:hint="cs"/>
          <w:rtl/>
          <w:lang w:bidi="ar-EG"/>
        </w:rPr>
        <w:t>يونيو</w:t>
      </w:r>
      <w:r w:rsidR="00180836" w:rsidRPr="00096CE4">
        <w:rPr>
          <w:rtl/>
          <w:lang w:bidi="ar-EG"/>
        </w:rPr>
        <w:t> </w:t>
      </w:r>
      <w:r w:rsidR="00180836" w:rsidRPr="00096CE4">
        <w:rPr>
          <w:rFonts w:hint="cs"/>
          <w:rtl/>
          <w:lang w:bidi="ar-EG"/>
        </w:rPr>
        <w:t>2015</w:t>
      </w:r>
      <w:r w:rsidRPr="00096CE4">
        <w:rPr>
          <w:rFonts w:hint="cs"/>
          <w:rtl/>
          <w:lang w:bidi="ar-EG"/>
        </w:rPr>
        <w:t>. وقدمت عرضاً عاماً للخطوات الأساسية لمسارات البحث والفحص وقارنتها بما يرد في ا</w:t>
      </w:r>
      <w:r w:rsidRPr="00096CE4">
        <w:rPr>
          <w:rtl/>
          <w:lang w:bidi="ar-EG"/>
        </w:rPr>
        <w:t>لمبادئ التوجيهية للبحث الدولي والفحص التمهيدي الدولي بناء على معاهدة التعاون بشأن البراءات</w:t>
      </w:r>
      <w:r w:rsidRPr="00096CE4">
        <w:rPr>
          <w:rFonts w:hint="cs"/>
          <w:rtl/>
          <w:lang w:bidi="ar-EG"/>
        </w:rPr>
        <w:t xml:space="preserve"> (</w:t>
      </w:r>
      <w:r w:rsidRPr="00096CE4">
        <w:rPr>
          <w:lang w:bidi="ar-EG"/>
        </w:rPr>
        <w:t>PCT/GL/ISPE</w:t>
      </w:r>
      <w:r w:rsidRPr="00096CE4">
        <w:rPr>
          <w:rFonts w:hint="cs"/>
          <w:rtl/>
          <w:lang w:bidi="ar-EG"/>
        </w:rPr>
        <w:t xml:space="preserve">). وتبيَّن أن المكاتب الوطنية المشاركة في معهد </w:t>
      </w:r>
      <w:r w:rsidR="00D33BE7" w:rsidRPr="00096CE4">
        <w:rPr>
          <w:rtl/>
          <w:lang w:bidi="ar-EG"/>
        </w:rPr>
        <w:t>فيسغراد</w:t>
      </w:r>
      <w:r w:rsidRPr="00096CE4">
        <w:rPr>
          <w:rFonts w:hint="cs"/>
          <w:rtl/>
          <w:lang w:bidi="ar-EG"/>
        </w:rPr>
        <w:t xml:space="preserve"> ملتزمة بالإطار ال</w:t>
      </w:r>
      <w:r w:rsidR="00B942F2" w:rsidRPr="00096CE4">
        <w:rPr>
          <w:rFonts w:hint="cs"/>
          <w:rtl/>
          <w:lang w:bidi="ar-EG"/>
        </w:rPr>
        <w:t xml:space="preserve">قانوني الدولي والأوروبي ذاته ومن ثم لا مانع من أن يعمل معهد </w:t>
      </w:r>
      <w:r w:rsidR="00D33BE7" w:rsidRPr="00096CE4">
        <w:rPr>
          <w:rtl/>
          <w:lang w:bidi="ar-EG"/>
        </w:rPr>
        <w:t>فيسغراد</w:t>
      </w:r>
      <w:r w:rsidR="00B942F2" w:rsidRPr="00096CE4">
        <w:rPr>
          <w:rFonts w:hint="cs"/>
          <w:rtl/>
          <w:lang w:bidi="ar-EG"/>
        </w:rPr>
        <w:t xml:space="preserve"> عل</w:t>
      </w:r>
      <w:r w:rsidR="00096CE4" w:rsidRPr="00096CE4">
        <w:rPr>
          <w:rFonts w:hint="cs"/>
          <w:rtl/>
          <w:lang w:bidi="ar-EG"/>
        </w:rPr>
        <w:t xml:space="preserve">ى نحو متسق تماماً. ومع ذلك، أقرت مجموعة الخبراء </w:t>
      </w:r>
      <w:r w:rsidR="00B942F2" w:rsidRPr="00096CE4">
        <w:rPr>
          <w:rFonts w:hint="cs"/>
          <w:rtl/>
          <w:lang w:bidi="ar-EG"/>
        </w:rPr>
        <w:t xml:space="preserve">بأنه ثمة بعض الجوانب التقنية التي </w:t>
      </w:r>
      <w:r w:rsidR="00134817" w:rsidRPr="00096CE4">
        <w:rPr>
          <w:rFonts w:hint="cs"/>
          <w:rtl/>
          <w:lang w:bidi="ar-EG"/>
        </w:rPr>
        <w:t>تتطلب</w:t>
      </w:r>
      <w:r w:rsidR="00B942F2" w:rsidRPr="00096CE4">
        <w:rPr>
          <w:rFonts w:hint="cs"/>
          <w:rtl/>
          <w:lang w:bidi="ar-EG"/>
        </w:rPr>
        <w:t xml:space="preserve"> المزيد من المناقشة.</w:t>
      </w:r>
    </w:p>
    <w:p w:rsidR="00B942F2" w:rsidRPr="00096CE4" w:rsidRDefault="00B942F2" w:rsidP="00D7604B">
      <w:pPr>
        <w:pStyle w:val="NumberedParaAR"/>
        <w:numPr>
          <w:ilvl w:val="0"/>
          <w:numId w:val="23"/>
        </w:numPr>
        <w:rPr>
          <w:lang w:bidi="ar-EG"/>
        </w:rPr>
      </w:pPr>
      <w:r w:rsidRPr="00096CE4">
        <w:rPr>
          <w:rFonts w:hint="cs"/>
          <w:rtl/>
          <w:lang w:bidi="ar-EG"/>
        </w:rPr>
        <w:t>وعقدت مجموعة الخبراء التقنيين اجتماعها الثاني في وارسو ب</w:t>
      </w:r>
      <w:r w:rsidR="00180836" w:rsidRPr="00096CE4">
        <w:rPr>
          <w:rFonts w:hint="cs"/>
          <w:rtl/>
          <w:lang w:bidi="ar-EG"/>
        </w:rPr>
        <w:t>جمهورية بولندا</w:t>
      </w:r>
      <w:r w:rsidRPr="00096CE4">
        <w:rPr>
          <w:rFonts w:hint="cs"/>
          <w:rtl/>
          <w:lang w:bidi="ar-EG"/>
        </w:rPr>
        <w:t xml:space="preserve"> في يومي 1</w:t>
      </w:r>
      <w:r w:rsidR="00134817" w:rsidRPr="00096CE4">
        <w:rPr>
          <w:rFonts w:hint="eastAsia"/>
          <w:rtl/>
          <w:lang w:bidi="ar-EG"/>
        </w:rPr>
        <w:t> </w:t>
      </w:r>
      <w:r w:rsidRPr="00096CE4">
        <w:rPr>
          <w:rFonts w:hint="cs"/>
          <w:rtl/>
          <w:lang w:bidi="ar-EG"/>
        </w:rPr>
        <w:t>و2</w:t>
      </w:r>
      <w:r w:rsidR="00134817" w:rsidRPr="00096CE4">
        <w:rPr>
          <w:rFonts w:hint="eastAsia"/>
          <w:rtl/>
          <w:lang w:bidi="ar-EG"/>
        </w:rPr>
        <w:t> </w:t>
      </w:r>
      <w:r w:rsidRPr="00096CE4">
        <w:rPr>
          <w:rFonts w:hint="cs"/>
          <w:rtl/>
          <w:lang w:bidi="ar-EG"/>
        </w:rPr>
        <w:t>سبتمبر</w:t>
      </w:r>
      <w:r w:rsidR="00180836" w:rsidRPr="00096CE4">
        <w:rPr>
          <w:rtl/>
          <w:lang w:bidi="ar-EG"/>
        </w:rPr>
        <w:t> </w:t>
      </w:r>
      <w:r w:rsidR="00180836" w:rsidRPr="00096CE4">
        <w:rPr>
          <w:rFonts w:hint="cs"/>
          <w:rtl/>
          <w:lang w:bidi="ar-EG"/>
        </w:rPr>
        <w:t>2015</w:t>
      </w:r>
      <w:r w:rsidRPr="00096CE4">
        <w:rPr>
          <w:rFonts w:hint="cs"/>
          <w:rtl/>
          <w:lang w:bidi="ar-EG"/>
        </w:rPr>
        <w:t xml:space="preserve">. وحضر الاجتماع أيضاً خبراء من مكتب إسرائيل للبراءات أفصحوا عن تجربتهم كإدارة </w:t>
      </w:r>
      <w:r w:rsidRPr="00096CE4">
        <w:rPr>
          <w:rtl/>
          <w:lang w:bidi="ar-EG"/>
        </w:rPr>
        <w:t>للبحث الدولي وإدارة للفحص التمهيدي الدولي في إطار معاهدة التعاون بشأن البراءات</w:t>
      </w:r>
      <w:r w:rsidRPr="00096CE4">
        <w:rPr>
          <w:rFonts w:hint="cs"/>
          <w:rtl/>
          <w:lang w:bidi="ar-EG"/>
        </w:rPr>
        <w:t xml:space="preserve">. وهدف هذا الاجتماع إلى استكمال تحديد العناصر الأساسي لنموذج عمل معهد </w:t>
      </w:r>
      <w:r w:rsidR="00D33BE7" w:rsidRPr="00096CE4">
        <w:rPr>
          <w:rtl/>
          <w:lang w:bidi="ar-EG"/>
        </w:rPr>
        <w:t>فيسغراد</w:t>
      </w:r>
      <w:r w:rsidRPr="00096CE4">
        <w:rPr>
          <w:rFonts w:hint="cs"/>
          <w:rtl/>
          <w:lang w:bidi="ar-EG"/>
        </w:rPr>
        <w:t xml:space="preserve"> بما في ذلك سير العمل بين المكاتب الوطنية المشاركة وأمانة المعهد ومواص</w:t>
      </w:r>
      <w:r w:rsidR="00134817" w:rsidRPr="00096CE4">
        <w:rPr>
          <w:rFonts w:hint="cs"/>
          <w:rtl/>
          <w:lang w:bidi="ar-EG"/>
        </w:rPr>
        <w:t>ل</w:t>
      </w:r>
      <w:r w:rsidRPr="00096CE4">
        <w:rPr>
          <w:rFonts w:hint="cs"/>
          <w:rtl/>
          <w:lang w:bidi="ar-EG"/>
        </w:rPr>
        <w:t>ة مناقشة القضايا العالقة مثل خرائط تدفق سير العمل ومسارات معاهدة التعاون بشأن البراءات.</w:t>
      </w:r>
    </w:p>
    <w:p w:rsidR="00B942F2" w:rsidRPr="00096CE4" w:rsidRDefault="00B942F2" w:rsidP="00D7604B">
      <w:pPr>
        <w:pStyle w:val="NumberedParaAR"/>
        <w:numPr>
          <w:ilvl w:val="0"/>
          <w:numId w:val="23"/>
        </w:numPr>
        <w:rPr>
          <w:lang w:bidi="ar-EG"/>
        </w:rPr>
      </w:pPr>
      <w:r w:rsidRPr="00096CE4">
        <w:rPr>
          <w:rFonts w:hint="cs"/>
          <w:rtl/>
          <w:lang w:bidi="ar-EG"/>
        </w:rPr>
        <w:t>وقرر رؤساء البلدان الأربعة في اجتماعهم الذي عُقد في مارتن ب</w:t>
      </w:r>
      <w:r w:rsidR="00180836" w:rsidRPr="00096CE4">
        <w:rPr>
          <w:rFonts w:hint="cs"/>
          <w:rtl/>
          <w:lang w:bidi="ar-EG"/>
        </w:rPr>
        <w:t>جمهورية سلوفاكيا</w:t>
      </w:r>
      <w:r w:rsidRPr="00096CE4">
        <w:rPr>
          <w:rFonts w:hint="cs"/>
          <w:rtl/>
          <w:lang w:bidi="ar-EG"/>
        </w:rPr>
        <w:t xml:space="preserve"> في 3</w:t>
      </w:r>
      <w:r w:rsidR="00134817" w:rsidRPr="00096CE4">
        <w:rPr>
          <w:rFonts w:hint="eastAsia"/>
          <w:rtl/>
          <w:lang w:bidi="ar-EG"/>
        </w:rPr>
        <w:t> </w:t>
      </w:r>
      <w:r w:rsidRPr="00096CE4">
        <w:rPr>
          <w:rFonts w:hint="cs"/>
          <w:rtl/>
          <w:lang w:bidi="ar-EG"/>
        </w:rPr>
        <w:t>يونيو</w:t>
      </w:r>
      <w:r w:rsidR="00180836" w:rsidRPr="00096CE4">
        <w:rPr>
          <w:rtl/>
          <w:lang w:bidi="ar-EG"/>
        </w:rPr>
        <w:t> </w:t>
      </w:r>
      <w:r w:rsidR="00180836" w:rsidRPr="00096CE4">
        <w:rPr>
          <w:rFonts w:hint="cs"/>
          <w:rtl/>
          <w:lang w:bidi="ar-EG"/>
        </w:rPr>
        <w:t>2015</w:t>
      </w:r>
      <w:r w:rsidRPr="00096CE4">
        <w:rPr>
          <w:rFonts w:hint="cs"/>
          <w:rtl/>
          <w:lang w:bidi="ar-EG"/>
        </w:rPr>
        <w:t xml:space="preserve"> تأليف </w:t>
      </w:r>
      <w:r w:rsidR="00096CE4" w:rsidRPr="00096CE4">
        <w:rPr>
          <w:rFonts w:hint="cs"/>
          <w:rtl/>
          <w:lang w:bidi="ar-EG"/>
        </w:rPr>
        <w:t>فريق</w:t>
      </w:r>
      <w:r w:rsidRPr="00096CE4">
        <w:rPr>
          <w:rFonts w:hint="cs"/>
          <w:rtl/>
          <w:lang w:bidi="ar-EG"/>
        </w:rPr>
        <w:t xml:space="preserve"> عمل معني بتكنولوجيا المعلومات وإدارة الجودة يضم خبراء في مجالات تكنولوجيا المعلومات والبراءات وإدارة الجودة. وك</w:t>
      </w:r>
      <w:r w:rsidR="00E63765" w:rsidRPr="00096CE4">
        <w:rPr>
          <w:rFonts w:hint="cs"/>
          <w:rtl/>
          <w:lang w:bidi="ar-EG"/>
        </w:rPr>
        <w:t>ُ</w:t>
      </w:r>
      <w:r w:rsidRPr="00096CE4">
        <w:rPr>
          <w:rFonts w:hint="cs"/>
          <w:rtl/>
          <w:lang w:bidi="ar-EG"/>
        </w:rPr>
        <w:t>ل</w:t>
      </w:r>
      <w:r w:rsidR="00E63765" w:rsidRPr="00096CE4">
        <w:rPr>
          <w:rFonts w:hint="cs"/>
          <w:rtl/>
          <w:lang w:bidi="ar-EG"/>
        </w:rPr>
        <w:t>ِّ</w:t>
      </w:r>
      <w:r w:rsidRPr="00096CE4">
        <w:rPr>
          <w:rFonts w:hint="cs"/>
          <w:rtl/>
          <w:lang w:bidi="ar-EG"/>
        </w:rPr>
        <w:t>ف هذا ال</w:t>
      </w:r>
      <w:r w:rsidR="00096CE4" w:rsidRPr="00096CE4">
        <w:rPr>
          <w:rFonts w:hint="cs"/>
          <w:rtl/>
          <w:lang w:bidi="ar-EG"/>
        </w:rPr>
        <w:t>فريق</w:t>
      </w:r>
      <w:r w:rsidRPr="00096CE4">
        <w:rPr>
          <w:rFonts w:hint="cs"/>
          <w:rtl/>
          <w:lang w:bidi="ar-EG"/>
        </w:rPr>
        <w:t xml:space="preserve"> </w:t>
      </w:r>
      <w:r w:rsidR="0016605B" w:rsidRPr="00096CE4">
        <w:rPr>
          <w:rFonts w:hint="cs"/>
          <w:rtl/>
          <w:lang w:bidi="ar-EG"/>
        </w:rPr>
        <w:t xml:space="preserve">بمعالجة المشكلات التي يطرحها وضع نظام إدارة </w:t>
      </w:r>
      <w:r w:rsidR="00134817" w:rsidRPr="00096CE4">
        <w:rPr>
          <w:rFonts w:hint="cs"/>
          <w:rtl/>
          <w:lang w:bidi="ar-EG"/>
        </w:rPr>
        <w:t>ل</w:t>
      </w:r>
      <w:r w:rsidR="0016605B" w:rsidRPr="00096CE4">
        <w:rPr>
          <w:rFonts w:hint="cs"/>
          <w:rtl/>
          <w:lang w:bidi="ar-EG"/>
        </w:rPr>
        <w:t xml:space="preserve">لجودة في المعهد وتحديد المتطلبات والحلول التكنولوجية اللازمة لضمان سلاسة سير العمل. وعقد </w:t>
      </w:r>
      <w:r w:rsidR="00096CE4" w:rsidRPr="00096CE4">
        <w:rPr>
          <w:rFonts w:hint="cs"/>
          <w:rtl/>
          <w:lang w:bidi="ar-EG"/>
        </w:rPr>
        <w:t>فريق</w:t>
      </w:r>
      <w:r w:rsidR="0016605B" w:rsidRPr="00096CE4">
        <w:rPr>
          <w:rFonts w:hint="cs"/>
          <w:rtl/>
          <w:lang w:bidi="ar-EG"/>
        </w:rPr>
        <w:t xml:space="preserve"> العمل اجتماعه الأول في بودابست ب</w:t>
      </w:r>
      <w:r w:rsidR="00180836" w:rsidRPr="00096CE4">
        <w:rPr>
          <w:rFonts w:hint="cs"/>
          <w:rtl/>
          <w:lang w:bidi="ar-EG"/>
        </w:rPr>
        <w:t>جمهورية هنغاريا</w:t>
      </w:r>
      <w:r w:rsidR="0016605B" w:rsidRPr="00096CE4">
        <w:rPr>
          <w:rFonts w:hint="cs"/>
          <w:rtl/>
          <w:lang w:bidi="ar-EG"/>
        </w:rPr>
        <w:t xml:space="preserve"> في 22</w:t>
      </w:r>
      <w:r w:rsidR="00134817" w:rsidRPr="00096CE4">
        <w:rPr>
          <w:rFonts w:hint="eastAsia"/>
          <w:rtl/>
          <w:lang w:bidi="ar-EG"/>
        </w:rPr>
        <w:t> </w:t>
      </w:r>
      <w:r w:rsidR="0016605B" w:rsidRPr="00096CE4">
        <w:rPr>
          <w:rFonts w:hint="cs"/>
          <w:rtl/>
          <w:lang w:bidi="ar-EG"/>
        </w:rPr>
        <w:t>يوليو</w:t>
      </w:r>
      <w:r w:rsidR="00180836" w:rsidRPr="00096CE4">
        <w:rPr>
          <w:rtl/>
          <w:lang w:bidi="ar-EG"/>
        </w:rPr>
        <w:t> </w:t>
      </w:r>
      <w:r w:rsidR="00180836" w:rsidRPr="00096CE4">
        <w:rPr>
          <w:rFonts w:hint="cs"/>
          <w:rtl/>
          <w:lang w:bidi="ar-EG"/>
        </w:rPr>
        <w:t>2015</w:t>
      </w:r>
      <w:r w:rsidR="0016605B" w:rsidRPr="00096CE4">
        <w:rPr>
          <w:rFonts w:hint="cs"/>
          <w:rtl/>
          <w:lang w:bidi="ar-EG"/>
        </w:rPr>
        <w:t xml:space="preserve">. </w:t>
      </w:r>
      <w:r w:rsidR="00E63765" w:rsidRPr="00096CE4">
        <w:rPr>
          <w:rFonts w:hint="cs"/>
          <w:rtl/>
          <w:lang w:bidi="ar-EG"/>
        </w:rPr>
        <w:t xml:space="preserve">واتُفق </w:t>
      </w:r>
      <w:r w:rsidR="00DA4CD7" w:rsidRPr="00096CE4">
        <w:rPr>
          <w:rFonts w:hint="cs"/>
          <w:rtl/>
          <w:lang w:bidi="ar-EG"/>
        </w:rPr>
        <w:t xml:space="preserve">على جميع العناصر الأساسية المتعلقة باستلام الطلبات الدولية ومعالجتها وبالتواصل بين المكاتب الوطنية المشاركة في المعهد. وحددت مقتضيات نظام الإدارة المشتركة للمعهد حسب الأولوية. واتُفق أيضاً على الحلول التكنولوجية المحتملة للفترة </w:t>
      </w:r>
      <w:r w:rsidR="008E7773" w:rsidRPr="00096CE4">
        <w:rPr>
          <w:rFonts w:hint="cs"/>
          <w:rtl/>
          <w:lang w:bidi="ar-EG"/>
        </w:rPr>
        <w:t xml:space="preserve">المرحلية الأولى من عمليات المعهد. وحددت السمات الرئيسية للموقع الإلكتروني للمعهد (مثل مسؤولية الصيانة ومسائل اللغة والعناصر الأساسية </w:t>
      </w:r>
      <w:r w:rsidR="00C53110" w:rsidRPr="00096CE4">
        <w:rPr>
          <w:rFonts w:hint="cs"/>
          <w:rtl/>
          <w:lang w:bidi="ar-EG"/>
        </w:rPr>
        <w:t>لهيكل الموقع ومضمونه</w:t>
      </w:r>
      <w:r w:rsidR="008E7773" w:rsidRPr="00096CE4">
        <w:rPr>
          <w:rFonts w:hint="cs"/>
          <w:rtl/>
          <w:lang w:bidi="ar-EG"/>
        </w:rPr>
        <w:t xml:space="preserve">). وبعد الاجتماع الأول، وُضعت عدة وثائق عمل كأساس لاجتماع </w:t>
      </w:r>
      <w:r w:rsidR="00096CE4" w:rsidRPr="00096CE4">
        <w:rPr>
          <w:rFonts w:hint="cs"/>
          <w:rtl/>
          <w:lang w:bidi="ar-EG"/>
        </w:rPr>
        <w:t>فريق</w:t>
      </w:r>
      <w:r w:rsidR="008E7773" w:rsidRPr="00096CE4">
        <w:rPr>
          <w:rFonts w:hint="cs"/>
          <w:rtl/>
          <w:lang w:bidi="ar-EG"/>
        </w:rPr>
        <w:t xml:space="preserve"> العمل المقبل المزمع عقده في 23</w:t>
      </w:r>
      <w:r w:rsidR="00C53110" w:rsidRPr="00096CE4">
        <w:rPr>
          <w:rFonts w:hint="eastAsia"/>
          <w:rtl/>
          <w:lang w:bidi="ar-EG"/>
        </w:rPr>
        <w:t> </w:t>
      </w:r>
      <w:r w:rsidR="008E7773" w:rsidRPr="00096CE4">
        <w:rPr>
          <w:rFonts w:hint="cs"/>
          <w:rtl/>
          <w:lang w:bidi="ar-EG"/>
        </w:rPr>
        <w:t>سبتمبر</w:t>
      </w:r>
      <w:r w:rsidR="00180836" w:rsidRPr="00096CE4">
        <w:rPr>
          <w:rtl/>
          <w:lang w:bidi="ar-EG"/>
        </w:rPr>
        <w:t> </w:t>
      </w:r>
      <w:r w:rsidR="00180836" w:rsidRPr="00096CE4">
        <w:rPr>
          <w:rFonts w:hint="cs"/>
          <w:rtl/>
          <w:lang w:bidi="ar-EG"/>
        </w:rPr>
        <w:t>2015</w:t>
      </w:r>
      <w:r w:rsidR="008E7773" w:rsidRPr="00096CE4">
        <w:rPr>
          <w:rFonts w:hint="cs"/>
          <w:rtl/>
          <w:lang w:bidi="ar-EG"/>
        </w:rPr>
        <w:t xml:space="preserve"> في براغ بالجمهورية التشيكية.</w:t>
      </w:r>
    </w:p>
    <w:p w:rsidR="008E7773" w:rsidRPr="00096CE4" w:rsidRDefault="008E7773" w:rsidP="00096CE4">
      <w:pPr>
        <w:pStyle w:val="NumberedParaAR"/>
        <w:numPr>
          <w:ilvl w:val="0"/>
          <w:numId w:val="23"/>
        </w:numPr>
        <w:rPr>
          <w:lang w:bidi="ar-EG"/>
        </w:rPr>
      </w:pPr>
      <w:r w:rsidRPr="00096CE4">
        <w:rPr>
          <w:rFonts w:hint="cs"/>
          <w:rtl/>
          <w:lang w:bidi="ar-EG"/>
        </w:rPr>
        <w:t>وفي الفترة الممتدة بين مارس وسبتمبر</w:t>
      </w:r>
      <w:r w:rsidR="00180836" w:rsidRPr="00096CE4">
        <w:rPr>
          <w:rtl/>
          <w:lang w:bidi="ar-EG"/>
        </w:rPr>
        <w:t> </w:t>
      </w:r>
      <w:r w:rsidR="00180836" w:rsidRPr="00096CE4">
        <w:rPr>
          <w:rFonts w:hint="cs"/>
          <w:rtl/>
          <w:lang w:bidi="ar-EG"/>
        </w:rPr>
        <w:t>2015</w:t>
      </w:r>
      <w:r w:rsidRPr="00096CE4">
        <w:rPr>
          <w:rFonts w:hint="cs"/>
          <w:rtl/>
          <w:lang w:bidi="ar-EG"/>
        </w:rPr>
        <w:t xml:space="preserve">، زار ممثلون من مكتب إسرائيل للبراءات ومكتب اليابان للبراءات ومكتب كوريا للملكية الفكرية ومعهد البراءات لبلدان الشمال (التي تعدُّ جميعها إدارات دولية </w:t>
      </w:r>
      <w:r w:rsidR="00C53110" w:rsidRPr="00096CE4">
        <w:rPr>
          <w:rFonts w:hint="cs"/>
          <w:rtl/>
          <w:lang w:bidi="ar-EG"/>
        </w:rPr>
        <w:t>في إطار</w:t>
      </w:r>
      <w:r w:rsidRPr="00096CE4">
        <w:rPr>
          <w:rFonts w:hint="cs"/>
          <w:rtl/>
          <w:lang w:bidi="ar-EG"/>
        </w:rPr>
        <w:t xml:space="preserve"> معاهدة التعاون بشأن البراءات) المكاتب الوطنية المشاركة في المعهد بغية الإفصاح </w:t>
      </w:r>
      <w:r w:rsidR="00C53110" w:rsidRPr="00096CE4">
        <w:rPr>
          <w:rFonts w:hint="cs"/>
          <w:rtl/>
          <w:lang w:bidi="ar-EG"/>
        </w:rPr>
        <w:t xml:space="preserve">عن </w:t>
      </w:r>
      <w:r w:rsidRPr="00096CE4">
        <w:rPr>
          <w:rFonts w:hint="cs"/>
          <w:rtl/>
          <w:lang w:bidi="ar-EG"/>
        </w:rPr>
        <w:t>تجاربهم في مجال العمل المتعلق بمعاهدة التعاون بشأن البراءات وفي المسائل الخاصة بتكنولوجيا المعلومات وبإدارة الجودة. ولا شك في أن هذه الزيارات قد أسهمت</w:t>
      </w:r>
      <w:r w:rsidR="00D33BE7" w:rsidRPr="00096CE4">
        <w:rPr>
          <w:rFonts w:hint="cs"/>
          <w:rtl/>
          <w:lang w:bidi="ar-EG"/>
        </w:rPr>
        <w:t xml:space="preserve"> في تقدم أنشطة </w:t>
      </w:r>
      <w:r w:rsidR="00096CE4" w:rsidRPr="00096CE4">
        <w:rPr>
          <w:rFonts w:hint="cs"/>
          <w:rtl/>
          <w:lang w:bidi="ar-EG"/>
        </w:rPr>
        <w:t>فريق العمل ومجموعة الخبراء المعنيين</w:t>
      </w:r>
      <w:r w:rsidR="00D33BE7" w:rsidRPr="00096CE4">
        <w:rPr>
          <w:rFonts w:hint="cs"/>
          <w:rtl/>
          <w:lang w:bidi="ar-EG"/>
        </w:rPr>
        <w:t xml:space="preserve"> </w:t>
      </w:r>
      <w:r w:rsidR="00096CE4" w:rsidRPr="00096CE4">
        <w:rPr>
          <w:rFonts w:hint="cs"/>
          <w:rtl/>
          <w:lang w:bidi="ar-EG"/>
        </w:rPr>
        <w:t>ب</w:t>
      </w:r>
      <w:r w:rsidR="00D33BE7" w:rsidRPr="00096CE4">
        <w:rPr>
          <w:rFonts w:hint="cs"/>
          <w:rtl/>
          <w:lang w:bidi="ar-EG"/>
        </w:rPr>
        <w:t>المعهد.</w:t>
      </w:r>
    </w:p>
    <w:p w:rsidR="00D33BE7" w:rsidRPr="00096CE4" w:rsidRDefault="00D33BE7" w:rsidP="00096CE4">
      <w:pPr>
        <w:pStyle w:val="NumberedParaAR"/>
        <w:numPr>
          <w:ilvl w:val="0"/>
          <w:numId w:val="23"/>
        </w:numPr>
        <w:rPr>
          <w:lang w:bidi="ar-EG"/>
        </w:rPr>
      </w:pPr>
      <w:r w:rsidRPr="00096CE4">
        <w:rPr>
          <w:rFonts w:hint="cs"/>
          <w:rtl/>
          <w:lang w:bidi="ar-EG"/>
        </w:rPr>
        <w:t xml:space="preserve">وعلى الرغم من وجود بعض المسائل العالقة، فإن التقدم الذي أحرزه </w:t>
      </w:r>
      <w:r w:rsidR="00096CE4" w:rsidRPr="00096CE4">
        <w:rPr>
          <w:rFonts w:hint="cs"/>
          <w:rtl/>
          <w:lang w:bidi="ar-EG"/>
        </w:rPr>
        <w:t>فريق</w:t>
      </w:r>
      <w:r w:rsidRPr="00096CE4">
        <w:rPr>
          <w:rFonts w:hint="cs"/>
          <w:rtl/>
          <w:lang w:bidi="ar-EG"/>
        </w:rPr>
        <w:t xml:space="preserve"> العمل</w:t>
      </w:r>
      <w:r w:rsidR="00096CE4" w:rsidRPr="00096CE4">
        <w:rPr>
          <w:rFonts w:hint="cs"/>
          <w:rtl/>
          <w:lang w:bidi="ar-EG"/>
        </w:rPr>
        <w:t xml:space="preserve"> ومجموعة الخبراء</w:t>
      </w:r>
      <w:r w:rsidRPr="00096CE4">
        <w:rPr>
          <w:rFonts w:hint="cs"/>
          <w:rtl/>
          <w:lang w:bidi="ar-EG"/>
        </w:rPr>
        <w:t xml:space="preserve"> المذكوران رائعاً. ويكتسي التقدم في هذه المسائل أهمية أساسية لمواصلة تطوير نظام إدارة الجودة المزمع تطبيقه في المعهد.</w:t>
      </w:r>
    </w:p>
    <w:p w:rsidR="00D33BE7" w:rsidRPr="00096CE4" w:rsidRDefault="00D33BE7" w:rsidP="00363B54">
      <w:pPr>
        <w:pStyle w:val="Heading1AR"/>
        <w:rPr>
          <w:rtl/>
          <w:lang w:bidi="ar-EG"/>
        </w:rPr>
      </w:pPr>
      <w:r w:rsidRPr="00096CE4">
        <w:rPr>
          <w:rFonts w:hint="cs"/>
          <w:rtl/>
          <w:lang w:bidi="ar-EG"/>
        </w:rPr>
        <w:lastRenderedPageBreak/>
        <w:t>المسائل المتعلقة بإدارة الجودة وبتكنولوجيا المعلومات</w:t>
      </w:r>
    </w:p>
    <w:p w:rsidR="00D33BE7" w:rsidRPr="00096CE4" w:rsidRDefault="00F33863" w:rsidP="00D7604B">
      <w:pPr>
        <w:pStyle w:val="NumberedParaAR"/>
        <w:numPr>
          <w:ilvl w:val="0"/>
          <w:numId w:val="23"/>
        </w:numPr>
        <w:rPr>
          <w:lang w:bidi="ar-EG"/>
        </w:rPr>
      </w:pPr>
      <w:r w:rsidRPr="00096CE4">
        <w:rPr>
          <w:rtl/>
          <w:lang w:bidi="ar-EG"/>
        </w:rPr>
        <w:t xml:space="preserve">يرد في </w:t>
      </w:r>
      <w:r w:rsidR="00C53110" w:rsidRPr="00096CE4">
        <w:rPr>
          <w:rtl/>
          <w:lang w:bidi="ar-EG"/>
        </w:rPr>
        <w:t>الفقرة </w:t>
      </w:r>
      <w:r w:rsidRPr="00096CE4">
        <w:rPr>
          <w:rtl/>
          <w:lang w:bidi="ar-EG"/>
        </w:rPr>
        <w:t>(د) من التفاهم بشأن إجراءات تعيين الإدارات الدولية، الذي اعتمدته جمعية معاهدة التعاون بشأن البراءات في دورتها السادسة والأربعين في سبتمبر</w:t>
      </w:r>
      <w:r w:rsidR="00C53110" w:rsidRPr="00096CE4">
        <w:rPr>
          <w:rFonts w:hint="cs"/>
          <w:rtl/>
          <w:lang w:bidi="ar-EG"/>
        </w:rPr>
        <w:t> </w:t>
      </w:r>
      <w:r w:rsidRPr="00096CE4">
        <w:rPr>
          <w:rtl/>
          <w:lang w:bidi="ar-EG"/>
        </w:rPr>
        <w:t>2014 (المشار إليه فيما يلي بعبارة "تفاهم معاهدة البراءات 2014"</w:t>
      </w:r>
      <w:r w:rsidRPr="00096CE4">
        <w:rPr>
          <w:rFonts w:hint="cs"/>
          <w:rtl/>
          <w:lang w:bidi="ar-EG"/>
        </w:rPr>
        <w:t xml:space="preserve">، انظر </w:t>
      </w:r>
      <w:r w:rsidR="00C53110" w:rsidRPr="00096CE4">
        <w:rPr>
          <w:rFonts w:hint="cs"/>
          <w:rtl/>
          <w:lang w:bidi="ar-EG"/>
        </w:rPr>
        <w:t>الفقرة</w:t>
      </w:r>
      <w:r w:rsidR="00C53110" w:rsidRPr="00096CE4">
        <w:rPr>
          <w:rtl/>
          <w:lang w:bidi="ar-EG"/>
        </w:rPr>
        <w:t> </w:t>
      </w:r>
      <w:r w:rsidRPr="00096CE4">
        <w:rPr>
          <w:rFonts w:hint="cs"/>
          <w:rtl/>
          <w:lang w:bidi="ar-EG"/>
        </w:rPr>
        <w:t xml:space="preserve">25 من الوثيقة </w:t>
      </w:r>
      <w:r w:rsidRPr="00096CE4">
        <w:rPr>
          <w:lang w:bidi="ar-EG"/>
        </w:rPr>
        <w:t>PCT/A/46/6</w:t>
      </w:r>
      <w:r w:rsidRPr="00096CE4">
        <w:rPr>
          <w:rtl/>
          <w:lang w:bidi="ar-EG"/>
        </w:rPr>
        <w:t>)، توضيح للشرط الذي يقتضي من المكاتب الوطنية أو المنظمات الحكومية الدولية التي تلتمس التعيين أن يكون لديها نظام لإدارة الجودة وترتيبات المراجعة الداخلية وفقا للقواعد المشتركة بشأن البحث الدولي. ويرد فيها أنه في حال لم يكن ذلك النظام قائما في وقت التعيين في الجمعية، فيكفي أن يكون التخطيط لذلك النظام قد اكتمل، ويحبّذ أن تكون أنظمة مماثلة مطبقة على أعمال البحث والفحص الوطني كي تبرهن على امتلاك التجربة اللازمة.</w:t>
      </w:r>
      <w:r w:rsidRPr="00096CE4">
        <w:rPr>
          <w:rFonts w:hint="cs"/>
          <w:rtl/>
          <w:lang w:bidi="ar-EG"/>
        </w:rPr>
        <w:t xml:space="preserve"> واستيفاءً لهذا الشرط، يرد في الفقرات 50 إلى 60 من المرفق الثاني من الوثيقة</w:t>
      </w:r>
      <w:r w:rsidR="00850093" w:rsidRPr="00096CE4">
        <w:rPr>
          <w:rFonts w:hint="cs"/>
          <w:rtl/>
          <w:lang w:bidi="ar-EG"/>
        </w:rPr>
        <w:t xml:space="preserve"> </w:t>
      </w:r>
      <w:r w:rsidRPr="00096CE4">
        <w:rPr>
          <w:lang w:bidi="ar-EG"/>
        </w:rPr>
        <w:t>PCT/CTC/28/2</w:t>
      </w:r>
      <w:r w:rsidRPr="00096CE4">
        <w:rPr>
          <w:rFonts w:hint="cs"/>
          <w:rtl/>
          <w:lang w:bidi="ar-EG"/>
        </w:rPr>
        <w:t xml:space="preserve"> والملحق الأول بهذا المرفق وصفاً مفصلاً لنظام إدارة الجو</w:t>
      </w:r>
      <w:r w:rsidR="00D0135A" w:rsidRPr="00096CE4">
        <w:rPr>
          <w:rFonts w:hint="cs"/>
          <w:rtl/>
          <w:lang w:bidi="ar-EG"/>
        </w:rPr>
        <w:t>دة ولترتيبات الاستعراض الداخلية للمعهد والمكاتب المشاركة</w:t>
      </w:r>
      <w:r w:rsidR="00D0135A" w:rsidRPr="00096CE4">
        <w:rPr>
          <w:rStyle w:val="FootnoteReference"/>
          <w:rtl/>
          <w:lang w:bidi="ar-EG"/>
        </w:rPr>
        <w:footnoteReference w:id="1"/>
      </w:r>
      <w:r w:rsidR="00D0135A" w:rsidRPr="00096CE4">
        <w:rPr>
          <w:rFonts w:hint="cs"/>
          <w:rtl/>
          <w:lang w:bidi="ar-EG"/>
        </w:rPr>
        <w:t xml:space="preserve"> فضلاً عن تقرير مبدئي عن إطار الجودة في المعهد.</w:t>
      </w:r>
    </w:p>
    <w:p w:rsidR="00D0135A" w:rsidRPr="00096CE4" w:rsidRDefault="00D0135A" w:rsidP="00D7604B">
      <w:pPr>
        <w:pStyle w:val="NumberedParaAR"/>
        <w:numPr>
          <w:ilvl w:val="0"/>
          <w:numId w:val="23"/>
        </w:numPr>
        <w:rPr>
          <w:lang w:bidi="ar-EG"/>
        </w:rPr>
      </w:pPr>
      <w:r w:rsidRPr="00096CE4">
        <w:rPr>
          <w:rFonts w:hint="cs"/>
          <w:rtl/>
          <w:lang w:bidi="ar-EG"/>
        </w:rPr>
        <w:t>و</w:t>
      </w:r>
      <w:r w:rsidRPr="00096CE4">
        <w:rPr>
          <w:rtl/>
          <w:lang w:bidi="ar-EG"/>
        </w:rPr>
        <w:t xml:space="preserve">سيستند نظام إدارة الجودة في المعهد إلى الأنظمة التي تطبّقها المكاتب الوطنية المشاركة وسيوسّع نطاقه كي يغطي إجراءات المرحلة الدولية في إطار معاهدة التعاون بشأن البراءات وكي يستوفي أيضا المبادئ التوجيهية للبحث الدولي والفحص الدولي بناء على المعاهدة ذاتها </w:t>
      </w:r>
      <w:r w:rsidRPr="00096CE4">
        <w:rPr>
          <w:rFonts w:hint="cs"/>
          <w:rtl/>
          <w:lang w:bidi="ar-EG"/>
        </w:rPr>
        <w:t>(</w:t>
      </w:r>
      <w:r w:rsidRPr="00096CE4">
        <w:rPr>
          <w:cs/>
          <w:lang w:bidi="ar-EG"/>
        </w:rPr>
        <w:t>‎</w:t>
      </w:r>
      <w:r w:rsidRPr="00096CE4">
        <w:rPr>
          <w:lang w:bidi="ar-EG"/>
        </w:rPr>
        <w:t>(PCT/GL/ISPE</w:t>
      </w:r>
      <w:r w:rsidRPr="00096CE4">
        <w:rPr>
          <w:rFonts w:hint="cs"/>
          <w:rtl/>
          <w:lang w:bidi="ar-EG"/>
        </w:rPr>
        <w:t xml:space="preserve"> وبخاصة الفصل 21 منها.</w:t>
      </w:r>
    </w:p>
    <w:p w:rsidR="00D0135A" w:rsidRPr="00096CE4" w:rsidRDefault="00850093" w:rsidP="00363B54">
      <w:pPr>
        <w:pStyle w:val="Heading4AR"/>
        <w:rPr>
          <w:rtl/>
          <w:lang w:bidi="ar-EG"/>
        </w:rPr>
      </w:pPr>
      <w:r w:rsidRPr="00096CE4">
        <w:rPr>
          <w:rFonts w:hint="cs"/>
          <w:rtl/>
          <w:lang w:bidi="ar-EG"/>
        </w:rPr>
        <w:t>الإدارة</w:t>
      </w:r>
      <w:r w:rsidR="00D0135A" w:rsidRPr="00096CE4">
        <w:rPr>
          <w:rFonts w:hint="cs"/>
          <w:rtl/>
          <w:lang w:bidi="ar-EG"/>
        </w:rPr>
        <w:t xml:space="preserve"> والسياسة </w:t>
      </w:r>
      <w:r w:rsidR="00D0135A" w:rsidRPr="00096CE4">
        <w:rPr>
          <w:rtl/>
          <w:lang w:bidi="ar-EG"/>
        </w:rPr>
        <w:t>–</w:t>
      </w:r>
      <w:r w:rsidR="00D0135A" w:rsidRPr="00096CE4">
        <w:rPr>
          <w:rFonts w:hint="cs"/>
          <w:rtl/>
          <w:lang w:bidi="ar-EG"/>
        </w:rPr>
        <w:t xml:space="preserve"> دليل الجودة في معهد </w:t>
      </w:r>
      <w:r w:rsidR="00D0135A" w:rsidRPr="00096CE4">
        <w:rPr>
          <w:rtl/>
          <w:lang w:bidi="ar-EG"/>
        </w:rPr>
        <w:t>فيسغراد</w:t>
      </w:r>
    </w:p>
    <w:p w:rsidR="00D0135A" w:rsidRPr="00096CE4" w:rsidRDefault="00522280" w:rsidP="00D7604B">
      <w:pPr>
        <w:pStyle w:val="NumberedParaAR"/>
        <w:numPr>
          <w:ilvl w:val="0"/>
          <w:numId w:val="23"/>
        </w:numPr>
        <w:rPr>
          <w:lang w:bidi="ar-EG"/>
        </w:rPr>
      </w:pPr>
      <w:r w:rsidRPr="00096CE4">
        <w:rPr>
          <w:rFonts w:hint="cs"/>
          <w:rtl/>
          <w:lang w:bidi="ar-EG"/>
        </w:rPr>
        <w:t xml:space="preserve">منذ </w:t>
      </w:r>
      <w:r w:rsidR="00850093" w:rsidRPr="00096CE4">
        <w:rPr>
          <w:rFonts w:hint="cs"/>
          <w:rtl/>
          <w:lang w:bidi="ar-EG"/>
        </w:rPr>
        <w:t>تأليف</w:t>
      </w:r>
      <w:r w:rsidRPr="00096CE4">
        <w:rPr>
          <w:rFonts w:hint="cs"/>
          <w:rtl/>
          <w:lang w:bidi="ar-EG"/>
        </w:rPr>
        <w:t xml:space="preserve"> </w:t>
      </w:r>
      <w:r w:rsidR="00096CE4" w:rsidRPr="00096CE4">
        <w:rPr>
          <w:rFonts w:hint="cs"/>
          <w:rtl/>
          <w:lang w:bidi="ar-EG"/>
        </w:rPr>
        <w:t>فريق</w:t>
      </w:r>
      <w:r w:rsidRPr="00096CE4">
        <w:rPr>
          <w:rFonts w:hint="cs"/>
          <w:rtl/>
          <w:lang w:bidi="ar-EG"/>
        </w:rPr>
        <w:t xml:space="preserve"> العمل المعني بتكنولوجيا المعلومات وإدارة الجودة في معهد فيسغراد، استُهلت أعمال تحضيرية مكثفة لوضع نظام إدارة الجودة في المعهد. وأسفرت هذه الأعمال عن إعداد "مشروع دليل الجودة في معهد فيسغراد". وترد في هذا الدليل</w:t>
      </w:r>
      <w:r w:rsidR="00850093" w:rsidRPr="00096CE4">
        <w:rPr>
          <w:rFonts w:hint="cs"/>
          <w:rtl/>
          <w:lang w:bidi="ar-EG"/>
        </w:rPr>
        <w:t>، الذي سيتاح للجمهور،</w:t>
      </w:r>
      <w:r w:rsidRPr="00096CE4">
        <w:rPr>
          <w:rFonts w:hint="cs"/>
          <w:rtl/>
          <w:lang w:bidi="ar-EG"/>
        </w:rPr>
        <w:t xml:space="preserve"> العناصر الأساسية لنظام إدارة الجودة في المعهد. وإضافة إلى ذلك، قرر أعضاء </w:t>
      </w:r>
      <w:r w:rsidR="00096CE4" w:rsidRPr="00096CE4">
        <w:rPr>
          <w:rFonts w:hint="cs"/>
          <w:rtl/>
          <w:lang w:bidi="ar-EG"/>
        </w:rPr>
        <w:t>فريق</w:t>
      </w:r>
      <w:r w:rsidRPr="00096CE4">
        <w:rPr>
          <w:rFonts w:hint="cs"/>
          <w:rtl/>
          <w:lang w:bidi="ar-EG"/>
        </w:rPr>
        <w:t xml:space="preserve"> العمل أن توثَّق جميع السياسات والمسارات والإجراءات الخاصة بالمعهد. و</w:t>
      </w:r>
      <w:r w:rsidRPr="00096CE4">
        <w:rPr>
          <w:rtl/>
          <w:lang w:bidi="ar-EG"/>
        </w:rPr>
        <w:t>سيكون نظام إدارة الجودة متوافقا</w:t>
      </w:r>
      <w:r w:rsidRPr="00096CE4">
        <w:rPr>
          <w:rFonts w:hint="cs"/>
          <w:rtl/>
          <w:lang w:bidi="ar-EG"/>
        </w:rPr>
        <w:t>ً</w:t>
      </w:r>
      <w:r w:rsidRPr="00096CE4">
        <w:rPr>
          <w:rtl/>
          <w:lang w:bidi="ar-EG"/>
        </w:rPr>
        <w:t xml:space="preserve"> وشروط الفصل</w:t>
      </w:r>
      <w:r w:rsidR="00850093" w:rsidRPr="00096CE4">
        <w:rPr>
          <w:rFonts w:hint="cs"/>
          <w:rtl/>
          <w:lang w:bidi="ar-EG"/>
        </w:rPr>
        <w:t> </w:t>
      </w:r>
      <w:r w:rsidRPr="00096CE4">
        <w:rPr>
          <w:rtl/>
          <w:lang w:bidi="ar-EG"/>
        </w:rPr>
        <w:t xml:space="preserve">21 من المبادئ التوجيهية </w:t>
      </w:r>
      <w:r w:rsidRPr="00096CE4">
        <w:rPr>
          <w:cs/>
          <w:lang w:bidi="ar-EG"/>
        </w:rPr>
        <w:t>‎</w:t>
      </w:r>
      <w:r w:rsidRPr="00096CE4">
        <w:rPr>
          <w:lang w:bidi="ar-EG"/>
        </w:rPr>
        <w:t>PCT/GL/ISPE</w:t>
      </w:r>
      <w:r w:rsidRPr="00096CE4">
        <w:rPr>
          <w:rtl/>
          <w:lang w:bidi="ar-EG"/>
        </w:rPr>
        <w:t>‏ وسيضمن أداء عمل المعهد بطريقة موحّدة وعلى مستوى جودة عالية باستمرار.</w:t>
      </w:r>
    </w:p>
    <w:p w:rsidR="00522280" w:rsidRPr="00096CE4" w:rsidRDefault="00522280" w:rsidP="00363B54">
      <w:pPr>
        <w:pStyle w:val="Heading4AR"/>
        <w:rPr>
          <w:lang w:bidi="ar-EG"/>
        </w:rPr>
      </w:pPr>
      <w:r w:rsidRPr="00096CE4">
        <w:rPr>
          <w:rFonts w:hint="cs"/>
          <w:rtl/>
          <w:lang w:bidi="ar-EG"/>
        </w:rPr>
        <w:t>الموارد</w:t>
      </w:r>
    </w:p>
    <w:p w:rsidR="00522280" w:rsidRPr="00096CE4" w:rsidRDefault="00522280" w:rsidP="00D7604B">
      <w:pPr>
        <w:pStyle w:val="NumberedParaAR"/>
        <w:numPr>
          <w:ilvl w:val="0"/>
          <w:numId w:val="23"/>
        </w:numPr>
        <w:rPr>
          <w:lang w:bidi="ar-EG"/>
        </w:rPr>
      </w:pPr>
      <w:r w:rsidRPr="00096CE4">
        <w:rPr>
          <w:rFonts w:hint="cs"/>
          <w:rtl/>
          <w:lang w:bidi="ar-EG"/>
        </w:rPr>
        <w:t xml:space="preserve">ترد تفاصيل امتثال المعهد لشروط إدارة البحث الدولي وإدارة الفحص التمهيدي الدولي فيما يخص الموارد البشرية والفاحصين في الفقرات 41 إلى 43 من المرفق الثاني للوثيقة </w:t>
      </w:r>
      <w:r w:rsidRPr="00096CE4">
        <w:rPr>
          <w:lang w:bidi="ar-EG"/>
        </w:rPr>
        <w:t>PCT/CTC/28/2</w:t>
      </w:r>
      <w:r w:rsidRPr="00096CE4">
        <w:rPr>
          <w:rFonts w:hint="cs"/>
          <w:rtl/>
          <w:lang w:bidi="ar-EG"/>
        </w:rPr>
        <w:t xml:space="preserve"> والفقرات 20 إلى 24 من الملحق الأول بهذا المرفق. ونتيجة اضطلاع المكاتب المشاركة بالمزيد من العمل التحضيري، سُردت المهارات اللغوية والاختصاصات التقنية لفاحصي البراءات في المكاتب المشاركة في المعهد وأنشئت قاعدة بيانات تضم الاختصاصات التقنية والمهارات اللغوية لفاحصي البراءات. وأُثبت بذلك أن اختصاصات فاحصي المكاتب المشاركة تغطي كامل المجالات التقنية المعنية، ويعني ذلك أن معهد فيسغراد يمتلك القدرات الكافية لأداء أعماله بدرجة عالية من الجودة وإن </w:t>
      </w:r>
      <w:r w:rsidR="00850093" w:rsidRPr="00096CE4">
        <w:rPr>
          <w:rFonts w:hint="cs"/>
          <w:rtl/>
          <w:lang w:bidi="ar-EG"/>
        </w:rPr>
        <w:t>تلقى</w:t>
      </w:r>
      <w:r w:rsidRPr="00096CE4">
        <w:rPr>
          <w:rFonts w:hint="cs"/>
          <w:rtl/>
          <w:lang w:bidi="ar-EG"/>
        </w:rPr>
        <w:t xml:space="preserve"> عدداً من الطلبات الدولية أكبر مما يتوقع.</w:t>
      </w:r>
    </w:p>
    <w:p w:rsidR="00522280" w:rsidRPr="00096CE4" w:rsidRDefault="00522280" w:rsidP="00363B54">
      <w:pPr>
        <w:pStyle w:val="Heading4AR"/>
        <w:rPr>
          <w:lang w:bidi="ar-EG"/>
        </w:rPr>
      </w:pPr>
      <w:r w:rsidRPr="00096CE4">
        <w:rPr>
          <w:rFonts w:hint="cs"/>
          <w:rtl/>
          <w:lang w:bidi="ar-EG"/>
        </w:rPr>
        <w:t>تنظيم العبء الإداري</w:t>
      </w:r>
    </w:p>
    <w:p w:rsidR="00522280" w:rsidRPr="00096CE4" w:rsidRDefault="00AA6ACB" w:rsidP="00D7604B">
      <w:pPr>
        <w:pStyle w:val="NumberedParaAR"/>
        <w:numPr>
          <w:ilvl w:val="0"/>
          <w:numId w:val="23"/>
        </w:numPr>
        <w:rPr>
          <w:lang w:bidi="ar-EG"/>
        </w:rPr>
      </w:pPr>
      <w:r w:rsidRPr="00096CE4">
        <w:rPr>
          <w:rtl/>
          <w:lang w:bidi="ar-EG"/>
        </w:rPr>
        <w:t xml:space="preserve">يتولى </w:t>
      </w:r>
      <w:r w:rsidR="00850093" w:rsidRPr="00096CE4">
        <w:rPr>
          <w:rFonts w:hint="cs"/>
          <w:rtl/>
          <w:lang w:bidi="ar-EG"/>
        </w:rPr>
        <w:t>مدير المعهد وأمانته</w:t>
      </w:r>
      <w:r w:rsidRPr="00096CE4">
        <w:rPr>
          <w:rtl/>
          <w:lang w:bidi="ar-EG"/>
        </w:rPr>
        <w:t xml:space="preserve"> تنظيم عبء العمل الإداري الذي يوزَّع فيما بين المكاتب المشاركة بناء على نموذج تقاسم عمل تضعه مجموعة الخبراء التقنيين. ‏وستكون للمعهد آلية مناسبة وفعالة ومنسّقة للمراقبة من أجل ضمان إصدار تقارير البحث </w:t>
      </w:r>
      <w:r w:rsidRPr="00096CE4">
        <w:rPr>
          <w:rtl/>
          <w:lang w:bidi="ar-EG"/>
        </w:rPr>
        <w:lastRenderedPageBreak/>
        <w:t xml:space="preserve">والفحص في الآجال المحددة وفقاً لمعايير الجودة المعتمدة. وستكون المكاتب المشاركة مسؤولة عن رصد الامتثال للمعايير المنسقة وإعداد التقارير في هذا الشأن. وستعدّ تقارير إحصائية حول الأداء بصورة مرحلية. ومن هذا المنطلق، وُضعت </w:t>
      </w:r>
      <w:r w:rsidR="003D5AE3" w:rsidRPr="00096CE4">
        <w:rPr>
          <w:rFonts w:hint="cs"/>
          <w:rtl/>
          <w:lang w:bidi="ar-EG"/>
        </w:rPr>
        <w:t>ال</w:t>
      </w:r>
      <w:r w:rsidRPr="00096CE4">
        <w:rPr>
          <w:rtl/>
          <w:lang w:bidi="ar-EG"/>
        </w:rPr>
        <w:t>صيغة</w:t>
      </w:r>
      <w:r w:rsidR="003D5AE3" w:rsidRPr="00096CE4">
        <w:rPr>
          <w:rFonts w:hint="cs"/>
          <w:rtl/>
          <w:lang w:bidi="ar-EG"/>
        </w:rPr>
        <w:t xml:space="preserve"> المبدئية</w:t>
      </w:r>
      <w:r w:rsidRPr="00096CE4">
        <w:rPr>
          <w:rtl/>
          <w:lang w:bidi="ar-EG"/>
        </w:rPr>
        <w:t xml:space="preserve"> </w:t>
      </w:r>
      <w:r w:rsidR="003D5AE3" w:rsidRPr="00096CE4">
        <w:rPr>
          <w:rFonts w:hint="cs"/>
          <w:rtl/>
          <w:lang w:bidi="ar-EG"/>
        </w:rPr>
        <w:t>ل</w:t>
      </w:r>
      <w:r w:rsidRPr="00096CE4">
        <w:rPr>
          <w:rtl/>
          <w:lang w:bidi="ar-EG"/>
        </w:rPr>
        <w:t xml:space="preserve">لجداول. وللاطلاع على النتائج الأخرى المحرزة في هذا المجال، انظر </w:t>
      </w:r>
      <w:r w:rsidR="00C53110" w:rsidRPr="00096CE4">
        <w:rPr>
          <w:rtl/>
          <w:lang w:bidi="ar-EG"/>
        </w:rPr>
        <w:t>الفقرة </w:t>
      </w:r>
      <w:r w:rsidRPr="00096CE4">
        <w:rPr>
          <w:rtl/>
          <w:lang w:bidi="ar-EG"/>
        </w:rPr>
        <w:t>17 من هذه الوثيقة.</w:t>
      </w:r>
    </w:p>
    <w:p w:rsidR="00AA6ACB" w:rsidRPr="00096CE4" w:rsidRDefault="00AA6ACB" w:rsidP="00363B54">
      <w:pPr>
        <w:pStyle w:val="Heading4AR"/>
        <w:rPr>
          <w:lang w:bidi="ar-EG"/>
        </w:rPr>
      </w:pPr>
      <w:r w:rsidRPr="00096CE4">
        <w:rPr>
          <w:rFonts w:hint="cs"/>
          <w:rtl/>
          <w:lang w:bidi="ar-EG"/>
        </w:rPr>
        <w:t>ضمان الجودة</w:t>
      </w:r>
    </w:p>
    <w:p w:rsidR="00AA6ACB" w:rsidRPr="00096CE4" w:rsidRDefault="00AA6ACB" w:rsidP="00D7604B">
      <w:pPr>
        <w:pStyle w:val="NumberedParaAR"/>
        <w:numPr>
          <w:ilvl w:val="0"/>
          <w:numId w:val="23"/>
        </w:numPr>
        <w:rPr>
          <w:lang w:bidi="ar-EG"/>
        </w:rPr>
      </w:pPr>
      <w:r w:rsidRPr="00096CE4">
        <w:rPr>
          <w:rtl/>
          <w:lang w:bidi="ar-EG"/>
        </w:rPr>
        <w:t>الهدف الأساسي الذي يسعى المعهد إلى بلوغه في مجال الجودة هو إصدار تقارير بحث وتقارير فحص عالية الجودة في الآجال المقررة.</w:t>
      </w:r>
      <w:r w:rsidRPr="00096CE4">
        <w:rPr>
          <w:rFonts w:hint="cs"/>
          <w:rtl/>
          <w:lang w:bidi="ar-EG"/>
        </w:rPr>
        <w:t xml:space="preserve"> </w:t>
      </w:r>
      <w:r w:rsidRPr="00096CE4">
        <w:rPr>
          <w:rtl/>
          <w:lang w:bidi="ar-EG"/>
        </w:rPr>
        <w:t xml:space="preserve">‏ويرد وصف مفصل لعمليات البحث والفحص في مشروع دليل الجودة الذي سيُستخدم </w:t>
      </w:r>
      <w:r w:rsidR="003D5AE3" w:rsidRPr="00096CE4">
        <w:rPr>
          <w:rFonts w:hint="cs"/>
          <w:rtl/>
          <w:lang w:bidi="ar-EG"/>
        </w:rPr>
        <w:t xml:space="preserve">بوصفه </w:t>
      </w:r>
      <w:r w:rsidRPr="00096CE4">
        <w:rPr>
          <w:rtl/>
          <w:lang w:bidi="ar-EG"/>
        </w:rPr>
        <w:t xml:space="preserve">مبادئ </w:t>
      </w:r>
      <w:r w:rsidR="003D5AE3" w:rsidRPr="00096CE4">
        <w:rPr>
          <w:rtl/>
          <w:lang w:bidi="ar-EG"/>
        </w:rPr>
        <w:t>توجيهية أيضاً للبحث والفحص. وسي</w:t>
      </w:r>
      <w:r w:rsidRPr="00096CE4">
        <w:rPr>
          <w:rtl/>
          <w:lang w:bidi="ar-EG"/>
        </w:rPr>
        <w:t>تاح هذا الدليل للمستخدمين الداخل</w:t>
      </w:r>
      <w:r w:rsidR="003D5AE3" w:rsidRPr="00096CE4">
        <w:rPr>
          <w:rFonts w:hint="cs"/>
          <w:rtl/>
          <w:lang w:bidi="ar-EG"/>
        </w:rPr>
        <w:t>ي</w:t>
      </w:r>
      <w:r w:rsidRPr="00096CE4">
        <w:rPr>
          <w:rtl/>
          <w:lang w:bidi="ar-EG"/>
        </w:rPr>
        <w:t>ين والخارجيين عبر المو</w:t>
      </w:r>
      <w:r w:rsidR="003D5AE3" w:rsidRPr="00096CE4">
        <w:rPr>
          <w:rFonts w:hint="cs"/>
          <w:rtl/>
          <w:lang w:bidi="ar-EG"/>
        </w:rPr>
        <w:t>قع</w:t>
      </w:r>
      <w:r w:rsidRPr="00096CE4">
        <w:rPr>
          <w:rtl/>
          <w:lang w:bidi="ar-EG"/>
        </w:rPr>
        <w:t xml:space="preserve"> الإلكتروني للمعهد.</w:t>
      </w:r>
    </w:p>
    <w:p w:rsidR="00AA6ACB" w:rsidRPr="00096CE4" w:rsidRDefault="00AA6ACB" w:rsidP="00D7604B">
      <w:pPr>
        <w:pStyle w:val="NumberedParaAR"/>
        <w:numPr>
          <w:ilvl w:val="0"/>
          <w:numId w:val="23"/>
        </w:numPr>
        <w:rPr>
          <w:lang w:bidi="ar-EG"/>
        </w:rPr>
      </w:pPr>
      <w:r w:rsidRPr="00096CE4">
        <w:rPr>
          <w:rFonts w:hint="cs"/>
          <w:rtl/>
          <w:lang w:bidi="ar-EG"/>
        </w:rPr>
        <w:t>ولا تزال مؤشرات الأداء (</w:t>
      </w:r>
      <w:r w:rsidRPr="00096CE4">
        <w:rPr>
          <w:lang w:bidi="ar-EG"/>
        </w:rPr>
        <w:t>P</w:t>
      </w:r>
      <w:r w:rsidRPr="00096CE4">
        <w:rPr>
          <w:rFonts w:hint="cs"/>
          <w:rtl/>
          <w:lang w:bidi="ar-EG"/>
        </w:rPr>
        <w:t>) والوقت (</w:t>
      </w:r>
      <w:r w:rsidRPr="00096CE4">
        <w:rPr>
          <w:lang w:bidi="ar-EG"/>
        </w:rPr>
        <w:t>T</w:t>
      </w:r>
      <w:r w:rsidRPr="00096CE4">
        <w:rPr>
          <w:rFonts w:hint="cs"/>
          <w:rtl/>
          <w:lang w:bidi="ar-EG"/>
        </w:rPr>
        <w:t>) والجودة (</w:t>
      </w:r>
      <w:r w:rsidRPr="00096CE4">
        <w:rPr>
          <w:lang w:bidi="ar-EG"/>
        </w:rPr>
        <w:t>Q</w:t>
      </w:r>
      <w:r w:rsidRPr="00096CE4">
        <w:rPr>
          <w:rFonts w:hint="cs"/>
          <w:rtl/>
          <w:lang w:bidi="ar-EG"/>
        </w:rPr>
        <w:t>) قيد التحديد.</w:t>
      </w:r>
      <w:r w:rsidR="007278C5" w:rsidRPr="00096CE4">
        <w:rPr>
          <w:rFonts w:hint="cs"/>
          <w:rtl/>
          <w:lang w:bidi="ar-EG"/>
        </w:rPr>
        <w:t xml:space="preserve"> </w:t>
      </w:r>
      <w:r w:rsidR="007278C5" w:rsidRPr="00096CE4">
        <w:rPr>
          <w:rtl/>
          <w:lang w:bidi="ar-EG"/>
        </w:rPr>
        <w:t>وسيطبق التقييم الذاتي باستخدام استمارات للتثبت من اتباع الخطوات (أُعد عدد من هذه الاستمارات). ومن المعتزم تطبيق إجراءات منسّقة للتثبت من تقارير البحث والفحص والموافقة عليها. وسيخضع العمل لتدقيقات داخلية سنوياً. وستضمن الأدوات والإجراءات المنسّقة إفضاء البحث والفحص لأي طلب إلى النتيجة ذاتها أياً كان المكتب المشارك الذي ينفذ العمل.</w:t>
      </w:r>
    </w:p>
    <w:p w:rsidR="00AA6ACB" w:rsidRPr="00096CE4" w:rsidRDefault="00AA6ACB" w:rsidP="00363B54">
      <w:pPr>
        <w:pStyle w:val="Heading4AR"/>
        <w:rPr>
          <w:lang w:bidi="ar-EG"/>
        </w:rPr>
      </w:pPr>
      <w:r w:rsidRPr="00096CE4">
        <w:rPr>
          <w:rFonts w:hint="cs"/>
          <w:rtl/>
          <w:lang w:bidi="ar-EG"/>
        </w:rPr>
        <w:t>التواصل</w:t>
      </w:r>
    </w:p>
    <w:p w:rsidR="00AA6ACB" w:rsidRPr="00096CE4" w:rsidRDefault="00F551C8" w:rsidP="00D7604B">
      <w:pPr>
        <w:pStyle w:val="NumberedParaAR"/>
        <w:numPr>
          <w:ilvl w:val="0"/>
          <w:numId w:val="23"/>
        </w:numPr>
        <w:rPr>
          <w:lang w:bidi="ar-EG"/>
        </w:rPr>
      </w:pPr>
      <w:r w:rsidRPr="00096CE4">
        <w:rPr>
          <w:rFonts w:hint="cs"/>
          <w:rtl/>
          <w:lang w:bidi="ar-EG"/>
        </w:rPr>
        <w:t xml:space="preserve">سيحدد مدير مقر المعهد وأمانته جهات الاتصال الرئيسية. وسيعين كل مكتب مشارك في معهد فيسغراد ما لا يقل عن شخصين مسؤولين عن التواصل الداخلي. وسيكون المكتب الوطني المشارك الذي يعدُّ نتيجة عمل معاهدة التعاون بشأن البراءات مسؤولاً عادة عن التواصل </w:t>
      </w:r>
      <w:r w:rsidR="003D5AE3" w:rsidRPr="00096CE4">
        <w:rPr>
          <w:rFonts w:hint="cs"/>
          <w:rtl/>
          <w:lang w:bidi="ar-EG"/>
        </w:rPr>
        <w:t>باسم</w:t>
      </w:r>
      <w:r w:rsidRPr="00096CE4">
        <w:rPr>
          <w:rFonts w:hint="cs"/>
          <w:rtl/>
          <w:lang w:bidi="ar-EG"/>
        </w:rPr>
        <w:t xml:space="preserve"> المعهد مع مودع الطلب (أو مودعي الطلبات) والمكتب الدولي. ومع ذلك، ستكون أمانة المعهد مسؤولة في بعض الحالات عن التواصل الخارجي. إذ </w:t>
      </w:r>
      <w:r w:rsidRPr="00096CE4">
        <w:rPr>
          <w:rtl/>
          <w:lang w:bidi="ar-EG"/>
        </w:rPr>
        <w:t>سينظم المعهد منتديات للمستخدمين تناقش فيها المسائل المتعلقة بخدمات المعهد.</w:t>
      </w:r>
      <w:r w:rsidRPr="00096CE4">
        <w:rPr>
          <w:rFonts w:hint="cs"/>
          <w:rtl/>
          <w:lang w:bidi="ar-EG"/>
        </w:rPr>
        <w:t xml:space="preserve"> </w:t>
      </w:r>
      <w:r w:rsidRPr="00096CE4">
        <w:rPr>
          <w:rtl/>
          <w:lang w:bidi="ar-EG"/>
        </w:rPr>
        <w:t xml:space="preserve">وستتاح استمارات لاستقصاء رضى المستخدمين إلكترونياً (على موقع المعهد) وورقياً في المكاتب المشاركة. ويحدد مشروع دليل الجودة أهداف المعهد في مجال الجودة فضلاً عن مبادئ البحث والفحص. وسيتاح دليل الجودة، فور استكماله، على الموقع الإلكتروني للمعهد وفي </w:t>
      </w:r>
      <w:r w:rsidR="003D5AE3" w:rsidRPr="00096CE4">
        <w:rPr>
          <w:rFonts w:hint="cs"/>
          <w:rtl/>
          <w:lang w:bidi="ar-EG"/>
        </w:rPr>
        <w:t xml:space="preserve">مرافق </w:t>
      </w:r>
      <w:r w:rsidRPr="00096CE4">
        <w:rPr>
          <w:rtl/>
          <w:lang w:bidi="ar-EG"/>
        </w:rPr>
        <w:t>خدمة العملاء في المكاتب المشاركة، وسيُترجم إلى لغات المكاتب المشاركة.</w:t>
      </w:r>
    </w:p>
    <w:p w:rsidR="00F551C8" w:rsidRPr="00096CE4" w:rsidRDefault="00F551C8" w:rsidP="00363B54">
      <w:pPr>
        <w:pStyle w:val="Heading4AR"/>
        <w:rPr>
          <w:lang w:bidi="ar-EG"/>
        </w:rPr>
      </w:pPr>
      <w:r w:rsidRPr="00096CE4">
        <w:rPr>
          <w:rFonts w:hint="cs"/>
          <w:rtl/>
          <w:lang w:bidi="ar-EG"/>
        </w:rPr>
        <w:t>التوثيق</w:t>
      </w:r>
    </w:p>
    <w:p w:rsidR="00F551C8" w:rsidRPr="00096CE4" w:rsidRDefault="009F1B14" w:rsidP="00D7604B">
      <w:pPr>
        <w:pStyle w:val="NumberedParaAR"/>
        <w:numPr>
          <w:ilvl w:val="0"/>
          <w:numId w:val="23"/>
        </w:numPr>
        <w:rPr>
          <w:lang w:bidi="ar-EG"/>
        </w:rPr>
      </w:pPr>
      <w:r w:rsidRPr="00096CE4">
        <w:rPr>
          <w:rtl/>
          <w:lang w:bidi="ar-EG"/>
        </w:rPr>
        <w:t xml:space="preserve">سيدوّن الوصف الكامل لنظام إدارة الجودة في المعهد على مختلف المستويات بحيث يتسنى رصد جميع الإجراءات والمنتجات والخدمات ومراقبتها والتحقق من صحتها. وستدرج الوثائق المعنية في دليل الجودة </w:t>
      </w:r>
      <w:r w:rsidR="003D5AE3" w:rsidRPr="00096CE4">
        <w:rPr>
          <w:rFonts w:hint="cs"/>
          <w:rtl/>
          <w:lang w:bidi="ar-EG"/>
        </w:rPr>
        <w:t>المذكور</w:t>
      </w:r>
      <w:r w:rsidRPr="00096CE4">
        <w:rPr>
          <w:rFonts w:hint="cs"/>
          <w:rtl/>
          <w:lang w:bidi="ar-EG"/>
        </w:rPr>
        <w:t xml:space="preserve">. </w:t>
      </w:r>
      <w:r w:rsidRPr="00096CE4">
        <w:rPr>
          <w:rtl/>
          <w:lang w:bidi="ar-EG"/>
        </w:rPr>
        <w:t xml:space="preserve">وسيمسك المعهد سجلات وفقاً لمقتضيات الفصل 23.21 من المبادئ التوجيهية </w:t>
      </w:r>
      <w:r w:rsidRPr="00096CE4">
        <w:rPr>
          <w:cs/>
          <w:lang w:bidi="ar-EG"/>
        </w:rPr>
        <w:t>‎</w:t>
      </w:r>
      <w:r w:rsidRPr="00096CE4">
        <w:rPr>
          <w:lang w:bidi="ar-EG"/>
        </w:rPr>
        <w:t>PCT/GL/ISPE</w:t>
      </w:r>
      <w:r w:rsidRPr="00096CE4">
        <w:rPr>
          <w:rtl/>
          <w:lang w:bidi="ar-EG"/>
        </w:rPr>
        <w:t>‏. ‏وحددت عمليات البحث الدولي والفحص الدولي وإجراءات العمل التعاقدي الدولي التي سينفّذها المعهد، ووضع مشروع خطة تنظيم العمل وسيره، وحددت مؤشرات الأداء (</w:t>
      </w:r>
      <w:r w:rsidRPr="00096CE4">
        <w:rPr>
          <w:lang w:bidi="ar-EG"/>
        </w:rPr>
        <w:t>P</w:t>
      </w:r>
      <w:r w:rsidRPr="00096CE4">
        <w:rPr>
          <w:rtl/>
          <w:lang w:bidi="ar-EG"/>
        </w:rPr>
        <w:t>) والوقت (</w:t>
      </w:r>
      <w:r w:rsidRPr="00096CE4">
        <w:rPr>
          <w:lang w:bidi="ar-EG"/>
        </w:rPr>
        <w:t>T</w:t>
      </w:r>
      <w:r w:rsidRPr="00096CE4">
        <w:rPr>
          <w:rtl/>
          <w:lang w:bidi="ar-EG"/>
        </w:rPr>
        <w:t>) والجودة (</w:t>
      </w:r>
      <w:r w:rsidRPr="00096CE4">
        <w:rPr>
          <w:lang w:bidi="ar-EG"/>
        </w:rPr>
        <w:t>Q</w:t>
      </w:r>
      <w:r w:rsidRPr="00096CE4">
        <w:rPr>
          <w:rtl/>
          <w:lang w:bidi="ar-EG"/>
        </w:rPr>
        <w:t>).</w:t>
      </w:r>
      <w:r w:rsidRPr="00096CE4">
        <w:rPr>
          <w:rFonts w:hint="cs"/>
          <w:rtl/>
          <w:lang w:bidi="ar-EG"/>
        </w:rPr>
        <w:t xml:space="preserve"> وأعدت </w:t>
      </w:r>
      <w:r w:rsidRPr="00096CE4">
        <w:rPr>
          <w:rtl/>
          <w:lang w:bidi="ar-EG"/>
        </w:rPr>
        <w:t>استمارات للتثبت من اتباع الخطوات</w:t>
      </w:r>
      <w:r w:rsidRPr="00096CE4">
        <w:rPr>
          <w:rFonts w:hint="cs"/>
          <w:rtl/>
          <w:lang w:bidi="ar-EG"/>
        </w:rPr>
        <w:t xml:space="preserve"> تملؤها المكاتب المشاركة لدى استكمال النتيجة. وتخضع هذه الوثائق وما يتصل بها من جوانب إجرائية وتقنية وغيرها لمداولات مجموعة الخبراء التقنيين و</w:t>
      </w:r>
      <w:r w:rsidR="00096CE4" w:rsidRPr="00096CE4">
        <w:rPr>
          <w:rFonts w:hint="cs"/>
          <w:rtl/>
          <w:lang w:bidi="ar-EG"/>
        </w:rPr>
        <w:t>فريق</w:t>
      </w:r>
      <w:r w:rsidRPr="00096CE4">
        <w:rPr>
          <w:rFonts w:hint="cs"/>
          <w:rtl/>
          <w:lang w:bidi="ar-EG"/>
        </w:rPr>
        <w:t xml:space="preserve"> العمل المعني بتكنولوجيا المعلومات وإدارة الجودة، </w:t>
      </w:r>
      <w:r w:rsidR="00B83D05" w:rsidRPr="00096CE4">
        <w:rPr>
          <w:rFonts w:hint="cs"/>
          <w:rtl/>
          <w:lang w:bidi="ar-EG"/>
        </w:rPr>
        <w:t xml:space="preserve">مع مراعاة أن أنظمة </w:t>
      </w:r>
      <w:r w:rsidR="00B83D05" w:rsidRPr="00096CE4">
        <w:rPr>
          <w:lang w:bidi="ar-EG"/>
        </w:rPr>
        <w:t>ISO</w:t>
      </w:r>
      <w:r w:rsidR="00B83D05" w:rsidRPr="00096CE4">
        <w:rPr>
          <w:rFonts w:hint="cs"/>
          <w:rtl/>
          <w:lang w:bidi="ar-EG"/>
        </w:rPr>
        <w:t xml:space="preserve"> التي تتَّبعها المكاتب الوطنية المشاركة توفر أساساً متيناً </w:t>
      </w:r>
      <w:r w:rsidR="003D5AE3" w:rsidRPr="00096CE4">
        <w:rPr>
          <w:rFonts w:hint="cs"/>
          <w:rtl/>
          <w:lang w:bidi="ar-EG"/>
        </w:rPr>
        <w:t>للمناقشات</w:t>
      </w:r>
      <w:r w:rsidR="00B83D05" w:rsidRPr="00096CE4">
        <w:rPr>
          <w:rFonts w:hint="cs"/>
          <w:rtl/>
          <w:lang w:bidi="ar-EG"/>
        </w:rPr>
        <w:t>.</w:t>
      </w:r>
    </w:p>
    <w:p w:rsidR="00B83D05" w:rsidRPr="00096CE4" w:rsidRDefault="00B83D05" w:rsidP="00363B54">
      <w:pPr>
        <w:pStyle w:val="Heading4AR"/>
        <w:rPr>
          <w:lang w:bidi="ar-EG"/>
        </w:rPr>
      </w:pPr>
      <w:r w:rsidRPr="00096CE4">
        <w:rPr>
          <w:rFonts w:hint="cs"/>
          <w:rtl/>
          <w:lang w:bidi="ar-EG"/>
        </w:rPr>
        <w:t>توثيق عملية البحث</w:t>
      </w:r>
    </w:p>
    <w:p w:rsidR="00B83D05" w:rsidRPr="00096CE4" w:rsidRDefault="002C604D" w:rsidP="00D7604B">
      <w:pPr>
        <w:pStyle w:val="NumberedParaAR"/>
        <w:numPr>
          <w:ilvl w:val="0"/>
          <w:numId w:val="23"/>
        </w:numPr>
        <w:rPr>
          <w:lang w:bidi="ar-EG"/>
        </w:rPr>
      </w:pPr>
      <w:r w:rsidRPr="00096CE4">
        <w:rPr>
          <w:rtl/>
          <w:lang w:bidi="ar-EG"/>
        </w:rPr>
        <w:t>سيمسك الفاحصون سجلا</w:t>
      </w:r>
      <w:r w:rsidRPr="00096CE4">
        <w:rPr>
          <w:rFonts w:hint="cs"/>
          <w:rtl/>
          <w:lang w:bidi="ar-EG"/>
        </w:rPr>
        <w:t>ً</w:t>
      </w:r>
      <w:r w:rsidRPr="00096CE4">
        <w:rPr>
          <w:rtl/>
          <w:lang w:bidi="ar-EG"/>
        </w:rPr>
        <w:t xml:space="preserve"> بعمليات البحث التي ينفذونها وسيحفظونه لأغراض المراجعة والتوثيق.</w:t>
      </w:r>
      <w:r w:rsidRPr="00096CE4">
        <w:rPr>
          <w:rFonts w:hint="cs"/>
          <w:rtl/>
          <w:lang w:bidi="ar-EG"/>
        </w:rPr>
        <w:t xml:space="preserve"> وقرر أعضاء مجموعة الخبراء التقنيين في اجتماعهم الأول أن تستخدم هذه الوثائق حصراً على المستوى الداخلي لأغراض ضمان الجودة. ووافقت المجموعة أيضاً على أن تستخدم استمارات التثبت من اتباع الخطوات وأن تدوَّن استراتيجيات البحث المتبعة. وستوثَّق جميع المعلومات الخاصة بمسار البحث على النحو الواجب وبما يتماشى مع الفقرة 24.21 من المبادئ التوجيهية </w:t>
      </w:r>
      <w:r w:rsidRPr="00096CE4">
        <w:rPr>
          <w:lang w:bidi="ar-EG"/>
        </w:rPr>
        <w:lastRenderedPageBreak/>
        <w:t>PCT/GL/ISPE</w:t>
      </w:r>
      <w:r w:rsidRPr="00096CE4">
        <w:rPr>
          <w:rFonts w:hint="cs"/>
          <w:rtl/>
          <w:lang w:bidi="ar-EG"/>
        </w:rPr>
        <w:t>. و</w:t>
      </w:r>
      <w:r w:rsidR="00B83D05" w:rsidRPr="00096CE4">
        <w:rPr>
          <w:rFonts w:hint="cs"/>
          <w:rtl/>
          <w:lang w:bidi="ar-EG"/>
        </w:rPr>
        <w:t xml:space="preserve">فيما يتعلق بالفئات المبحوث عنها، ستُذكر فئات التصنيف الدولي للبراءات آلياً وستدوَّن أيضاً فئات </w:t>
      </w:r>
      <w:r w:rsidR="00B83D05" w:rsidRPr="00096CE4">
        <w:rPr>
          <w:rtl/>
          <w:lang w:bidi="ar-EG"/>
        </w:rPr>
        <w:t>التصنيف التعاوني للبراءات</w:t>
      </w:r>
      <w:r w:rsidR="00B83D05" w:rsidRPr="00096CE4">
        <w:rPr>
          <w:rFonts w:hint="cs"/>
          <w:rtl/>
          <w:lang w:bidi="ar-EG"/>
        </w:rPr>
        <w:t xml:space="preserve"> (عند الاقتضاء) لتحسين مسار البحث في قواعد البيانات المعنية.</w:t>
      </w:r>
    </w:p>
    <w:p w:rsidR="00B83D05" w:rsidRPr="00096CE4" w:rsidRDefault="00B83D05" w:rsidP="00363B54">
      <w:pPr>
        <w:pStyle w:val="Heading4AR"/>
        <w:rPr>
          <w:lang w:bidi="ar-EG"/>
        </w:rPr>
      </w:pPr>
      <w:r w:rsidRPr="00096CE4">
        <w:rPr>
          <w:rFonts w:hint="cs"/>
          <w:rtl/>
          <w:lang w:bidi="ar-EG"/>
        </w:rPr>
        <w:t>المراجعة الداخلية</w:t>
      </w:r>
    </w:p>
    <w:p w:rsidR="007E4AE2" w:rsidRPr="00096CE4" w:rsidRDefault="00B83D05" w:rsidP="00D7604B">
      <w:pPr>
        <w:pStyle w:val="NumberedParaAR"/>
        <w:numPr>
          <w:ilvl w:val="0"/>
          <w:numId w:val="23"/>
        </w:numPr>
        <w:rPr>
          <w:lang w:bidi="ar-EG"/>
        </w:rPr>
      </w:pPr>
      <w:r w:rsidRPr="00096CE4">
        <w:rPr>
          <w:rtl/>
          <w:lang w:bidi="ar-EG"/>
        </w:rPr>
        <w:t xml:space="preserve">ستوضع آلية للمراجعة من أجل رصد استيفاء معايير الجودة وإجراء عمليات مراجعة موضوعية وشفافة. وسيُنشأ داخل المعهد </w:t>
      </w:r>
      <w:r w:rsidR="00096CE4" w:rsidRPr="00096CE4">
        <w:rPr>
          <w:rtl/>
          <w:lang w:bidi="ar-EG"/>
        </w:rPr>
        <w:t>فريق</w:t>
      </w:r>
      <w:r w:rsidRPr="00096CE4">
        <w:rPr>
          <w:rtl/>
          <w:lang w:bidi="ar-EG"/>
        </w:rPr>
        <w:t xml:space="preserve"> مشترك للمراجعة الداخلية</w:t>
      </w:r>
      <w:r w:rsidRPr="00096CE4">
        <w:rPr>
          <w:rFonts w:hint="cs"/>
          <w:rtl/>
          <w:lang w:bidi="ar-EG"/>
        </w:rPr>
        <w:t xml:space="preserve"> يتألف من خبراء في إدارة الجودة في المكاتب المشاركة. وستنظم عمليات تدقيق بانتظام من خلال استخدام استمارات التثبت من اتباع الخطوات، و</w:t>
      </w:r>
      <w:r w:rsidRPr="00096CE4">
        <w:rPr>
          <w:rtl/>
          <w:lang w:bidi="ar-EG"/>
        </w:rPr>
        <w:t xml:space="preserve">ستنفّذ أعمال المراجعة </w:t>
      </w:r>
      <w:r w:rsidRPr="00096CE4">
        <w:rPr>
          <w:rFonts w:hint="cs"/>
          <w:rtl/>
          <w:lang w:bidi="ar-EG"/>
        </w:rPr>
        <w:t>بانتظام استناداً إلى</w:t>
      </w:r>
      <w:r w:rsidRPr="00096CE4">
        <w:rPr>
          <w:rtl/>
          <w:lang w:bidi="ar-EG"/>
        </w:rPr>
        <w:t xml:space="preserve"> قوائم التثبت من اتباع الخطوات وسيتعين على المراجعين تقديم ملاحظاتهم في تقارير كتابية.</w:t>
      </w:r>
      <w:r w:rsidR="00527FD3" w:rsidRPr="00096CE4">
        <w:rPr>
          <w:rFonts w:hint="cs"/>
          <w:rtl/>
          <w:lang w:bidi="ar-EG"/>
        </w:rPr>
        <w:t xml:space="preserve"> </w:t>
      </w:r>
      <w:r w:rsidRPr="00096CE4">
        <w:rPr>
          <w:rFonts w:hint="cs"/>
          <w:rtl/>
          <w:lang w:bidi="ar-EG"/>
        </w:rPr>
        <w:t xml:space="preserve">وإضافة </w:t>
      </w:r>
      <w:r w:rsidRPr="00096CE4">
        <w:rPr>
          <w:rtl/>
          <w:lang w:bidi="ar-EG"/>
        </w:rPr>
        <w:t xml:space="preserve">إلى المراجعة الداخلية، ستجرى تدقيقات خارجية دورية. ومن المقرر أن تجرى المراجعات الداخلية والتدقيقات الخارجية مرة كل سنة بهدف تقييم امتثال نظام إدارة الجودة في المعهد للمعايير المحدّدة. ومن المعتزم أن تجرى أول مراجعة داخلية بعد تشغيل المعهد بستة أشهر </w:t>
      </w:r>
      <w:r w:rsidR="00527FD3" w:rsidRPr="00096CE4">
        <w:rPr>
          <w:rFonts w:hint="cs"/>
          <w:rtl/>
          <w:lang w:bidi="ar-EG"/>
        </w:rPr>
        <w:t>كحد أقصى</w:t>
      </w:r>
      <w:r w:rsidRPr="00096CE4">
        <w:rPr>
          <w:rtl/>
          <w:lang w:bidi="ar-EG"/>
        </w:rPr>
        <w:t>. و</w:t>
      </w:r>
      <w:r w:rsidR="00527FD3" w:rsidRPr="00096CE4">
        <w:rPr>
          <w:rFonts w:hint="cs"/>
          <w:rtl/>
          <w:lang w:bidi="ar-EG"/>
        </w:rPr>
        <w:t>في الوقت ذاته</w:t>
      </w:r>
      <w:r w:rsidRPr="00096CE4">
        <w:rPr>
          <w:rtl/>
          <w:lang w:bidi="ar-EG"/>
        </w:rPr>
        <w:t xml:space="preserve">، سيعيَّن مدقق خارجي مستقل يعنى بإجراء التدقيق الخارجي وتصديق معايير </w:t>
      </w:r>
      <w:r w:rsidRPr="00096CE4">
        <w:rPr>
          <w:cs/>
          <w:lang w:bidi="ar-EG"/>
        </w:rPr>
        <w:t>‎</w:t>
      </w:r>
      <w:r w:rsidRPr="00096CE4">
        <w:rPr>
          <w:lang w:bidi="ar-EG"/>
        </w:rPr>
        <w:t>ISO</w:t>
      </w:r>
      <w:r w:rsidRPr="00096CE4">
        <w:rPr>
          <w:rtl/>
          <w:lang w:bidi="ar-EG"/>
        </w:rPr>
        <w:t>‏ الدولية.</w:t>
      </w:r>
    </w:p>
    <w:p w:rsidR="00527FD3" w:rsidRPr="00096CE4" w:rsidRDefault="00527FD3" w:rsidP="00363B54">
      <w:pPr>
        <w:pStyle w:val="Heading1AR"/>
        <w:rPr>
          <w:lang w:bidi="ar-EG"/>
        </w:rPr>
      </w:pPr>
      <w:r w:rsidRPr="00096CE4">
        <w:rPr>
          <w:rFonts w:hint="cs"/>
          <w:rtl/>
          <w:lang w:bidi="ar-EG"/>
        </w:rPr>
        <w:t>موضوعات أخرى</w:t>
      </w:r>
    </w:p>
    <w:p w:rsidR="00527FD3" w:rsidRPr="00096CE4" w:rsidRDefault="00527FD3" w:rsidP="00D7604B">
      <w:pPr>
        <w:pStyle w:val="NumberedParaAR"/>
        <w:numPr>
          <w:ilvl w:val="0"/>
          <w:numId w:val="23"/>
        </w:numPr>
        <w:rPr>
          <w:lang w:bidi="ar-EG"/>
        </w:rPr>
      </w:pPr>
      <w:r w:rsidRPr="00096CE4">
        <w:rPr>
          <w:rFonts w:hint="cs"/>
          <w:rtl/>
          <w:lang w:bidi="ar-EG"/>
        </w:rPr>
        <w:t>من النتائج الأخرى المحققة اختيار شعار معهد فيسغراد بتوافق الآراء خلال اجتماع رفيع المستوى عقدته مكاتب الملكية الفكرية للبلدان الأربعة في براغ بالجمهورية التشيكية في 28 يوليو</w:t>
      </w:r>
      <w:r w:rsidR="00180836" w:rsidRPr="00096CE4">
        <w:rPr>
          <w:rtl/>
          <w:lang w:bidi="ar-EG"/>
        </w:rPr>
        <w:t> </w:t>
      </w:r>
      <w:r w:rsidR="00180836" w:rsidRPr="00096CE4">
        <w:rPr>
          <w:rFonts w:hint="cs"/>
          <w:rtl/>
          <w:lang w:bidi="ar-EG"/>
        </w:rPr>
        <w:t>2015</w:t>
      </w:r>
      <w:r w:rsidRPr="00096CE4">
        <w:rPr>
          <w:rFonts w:hint="cs"/>
          <w:rtl/>
          <w:lang w:bidi="ar-EG"/>
        </w:rPr>
        <w:t>. وسيكتسي هذا الشعرا أهمية أساسية في إبراز صورة المعهد وإزكاء الوعي بخدماته في صفوف المستخدمين المحتملين. ويرد الشعار المذكور في الجدول 1</w:t>
      </w:r>
      <w:r w:rsidR="002C604D" w:rsidRPr="00096CE4">
        <w:rPr>
          <w:rFonts w:hint="cs"/>
          <w:rtl/>
          <w:lang w:bidi="ar-EG"/>
        </w:rPr>
        <w:t xml:space="preserve"> أدناه:</w:t>
      </w:r>
    </w:p>
    <w:p w:rsidR="00527FD3" w:rsidRPr="00096CE4" w:rsidRDefault="00527FD3" w:rsidP="00D7604B">
      <w:pPr>
        <w:pStyle w:val="NumberedParaAR"/>
        <w:keepNext/>
        <w:numPr>
          <w:ilvl w:val="0"/>
          <w:numId w:val="0"/>
        </w:numPr>
        <w:jc w:val="center"/>
        <w:rPr>
          <w:b/>
          <w:bCs/>
          <w:rtl/>
          <w:lang w:bidi="ar-EG"/>
        </w:rPr>
      </w:pPr>
      <w:r w:rsidRPr="00096CE4">
        <w:rPr>
          <w:rFonts w:hint="cs"/>
          <w:b/>
          <w:bCs/>
          <w:rtl/>
          <w:lang w:bidi="ar-EG"/>
        </w:rPr>
        <w:t xml:space="preserve">الجدول 1 </w:t>
      </w:r>
      <w:r w:rsidRPr="00096CE4">
        <w:rPr>
          <w:b/>
          <w:bCs/>
          <w:rtl/>
          <w:lang w:bidi="ar-EG"/>
        </w:rPr>
        <w:t>–</w:t>
      </w:r>
      <w:r w:rsidRPr="00096CE4">
        <w:rPr>
          <w:rFonts w:hint="cs"/>
          <w:b/>
          <w:bCs/>
          <w:rtl/>
          <w:lang w:bidi="ar-EG"/>
        </w:rPr>
        <w:t xml:space="preserve"> شعار معهد فيسغراد</w:t>
      </w:r>
    </w:p>
    <w:p w:rsidR="00527FD3" w:rsidRPr="00096CE4" w:rsidRDefault="00527FD3" w:rsidP="00D7604B">
      <w:pPr>
        <w:pStyle w:val="NumberedParaAR"/>
        <w:numPr>
          <w:ilvl w:val="0"/>
          <w:numId w:val="0"/>
        </w:numPr>
        <w:spacing w:line="240" w:lineRule="auto"/>
        <w:jc w:val="center"/>
        <w:rPr>
          <w:b/>
          <w:bCs/>
          <w:lang w:bidi="ar-EG"/>
        </w:rPr>
      </w:pPr>
      <w:r w:rsidRPr="00096CE4">
        <w:rPr>
          <w:rFonts w:eastAsia="SimSun"/>
          <w:noProof/>
        </w:rPr>
        <w:drawing>
          <wp:inline distT="0" distB="0" distL="0" distR="0" wp14:anchorId="62F2078B" wp14:editId="7A185B33">
            <wp:extent cx="2989702" cy="2114900"/>
            <wp:effectExtent l="0" t="0" r="1270" b="0"/>
            <wp:docPr id="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993613" cy="2117666"/>
                    </a:xfrm>
                    <a:prstGeom prst="rect">
                      <a:avLst/>
                    </a:prstGeom>
                    <a:noFill/>
                    <a:ln w="9525">
                      <a:noFill/>
                      <a:miter lim="800000"/>
                      <a:headEnd/>
                      <a:tailEnd/>
                    </a:ln>
                  </pic:spPr>
                </pic:pic>
              </a:graphicData>
            </a:graphic>
          </wp:inline>
        </w:drawing>
      </w:r>
    </w:p>
    <w:p w:rsidR="007E4AE2" w:rsidRPr="00096CE4" w:rsidRDefault="00527FD3" w:rsidP="007B69D4">
      <w:pPr>
        <w:pStyle w:val="NumberedParaAR"/>
        <w:numPr>
          <w:ilvl w:val="0"/>
          <w:numId w:val="23"/>
        </w:numPr>
        <w:spacing w:after="600"/>
        <w:rPr>
          <w:rFonts w:eastAsia="SimSun"/>
          <w:lang w:eastAsia="zh-CN"/>
        </w:rPr>
      </w:pPr>
      <w:r w:rsidRPr="00096CE4">
        <w:rPr>
          <w:rFonts w:eastAsia="SimSun" w:hint="cs"/>
          <w:rtl/>
          <w:lang w:eastAsia="zh-CN"/>
        </w:rPr>
        <w:t xml:space="preserve">وتجدر الإشارة أيضاً إلى أن </w:t>
      </w:r>
      <w:r w:rsidR="002C604D" w:rsidRPr="00096CE4">
        <w:rPr>
          <w:rtl/>
          <w:lang w:bidi="ar-EG"/>
        </w:rPr>
        <w:t>رؤساء المكاتب الوطنية الأربعة للملكية الفكرية</w:t>
      </w:r>
      <w:r w:rsidR="002C604D" w:rsidRPr="00096CE4">
        <w:rPr>
          <w:rFonts w:eastAsia="SimSun" w:hint="cs"/>
          <w:rtl/>
          <w:lang w:eastAsia="zh-CN"/>
        </w:rPr>
        <w:t xml:space="preserve"> </w:t>
      </w:r>
      <w:r w:rsidRPr="00096CE4">
        <w:rPr>
          <w:rFonts w:eastAsia="SimSun" w:hint="cs"/>
          <w:rtl/>
          <w:lang w:eastAsia="zh-CN"/>
        </w:rPr>
        <w:t xml:space="preserve">طلبوا مراجعة معيار الويبو </w:t>
      </w:r>
      <w:r w:rsidRPr="00096CE4">
        <w:rPr>
          <w:rFonts w:eastAsia="SimSun"/>
          <w:lang w:eastAsia="zh-CN"/>
        </w:rPr>
        <w:t>ST.3</w:t>
      </w:r>
      <w:r w:rsidRPr="00096CE4">
        <w:rPr>
          <w:rFonts w:eastAsia="SimSun" w:hint="cs"/>
          <w:rtl/>
          <w:lang w:eastAsia="zh-CN" w:bidi="ar-EG"/>
        </w:rPr>
        <w:t xml:space="preserve"> لإدراج معهد فيسغراد في المرفق ألف، القسمين 1 و2، وتخصيص رمز "</w:t>
      </w:r>
      <w:r w:rsidRPr="00096CE4">
        <w:rPr>
          <w:rFonts w:eastAsia="SimSun"/>
          <w:lang w:eastAsia="zh-CN" w:bidi="ar-EG"/>
        </w:rPr>
        <w:t>VP</w:t>
      </w:r>
      <w:r w:rsidRPr="00096CE4">
        <w:rPr>
          <w:rFonts w:eastAsia="SimSun" w:hint="cs"/>
          <w:rtl/>
          <w:lang w:eastAsia="zh-CN" w:bidi="ar-EG"/>
        </w:rPr>
        <w:t>" المكون من حرفين لمعهد فيسغراد.</w:t>
      </w:r>
    </w:p>
    <w:p w:rsidR="0016605B" w:rsidRPr="00096CE4" w:rsidRDefault="00527FD3" w:rsidP="00D7604B">
      <w:pPr>
        <w:pStyle w:val="EndofDocumentAR"/>
        <w:rPr>
          <w:lang w:bidi="ar-EG"/>
        </w:rPr>
      </w:pPr>
      <w:r w:rsidRPr="00096CE4">
        <w:rPr>
          <w:rFonts w:eastAsia="SimSun" w:hint="cs"/>
          <w:rtl/>
          <w:lang w:eastAsia="zh-CN"/>
        </w:rPr>
        <w:t>[نهاية المرفق والوثيقة]</w:t>
      </w:r>
    </w:p>
    <w:sectPr w:rsidR="0016605B" w:rsidRPr="00096CE4" w:rsidSect="009276FC">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174" w:rsidRDefault="005C3174">
      <w:r>
        <w:separator/>
      </w:r>
    </w:p>
  </w:endnote>
  <w:endnote w:type="continuationSeparator" w:id="0">
    <w:p w:rsidR="005C3174" w:rsidRDefault="005C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174" w:rsidRDefault="005C3174" w:rsidP="009622BF">
      <w:pPr>
        <w:bidi/>
      </w:pPr>
      <w:bookmarkStart w:id="0" w:name="OLE_LINK1"/>
      <w:bookmarkStart w:id="1" w:name="OLE_LINK2"/>
      <w:r>
        <w:separator/>
      </w:r>
      <w:bookmarkEnd w:id="0"/>
      <w:bookmarkEnd w:id="1"/>
    </w:p>
  </w:footnote>
  <w:footnote w:type="continuationSeparator" w:id="0">
    <w:p w:rsidR="005C3174" w:rsidRDefault="005C3174" w:rsidP="009622BF">
      <w:pPr>
        <w:bidi/>
      </w:pPr>
      <w:r>
        <w:separator/>
      </w:r>
    </w:p>
  </w:footnote>
  <w:footnote w:id="1">
    <w:p w:rsidR="00D0135A" w:rsidRPr="00C0617E" w:rsidRDefault="00D0135A" w:rsidP="002C604D">
      <w:pPr>
        <w:pStyle w:val="FootnoteText"/>
        <w:rPr>
          <w:rtl/>
          <w:lang w:bidi="ar-EG"/>
        </w:rPr>
      </w:pPr>
      <w:r>
        <w:rPr>
          <w:rStyle w:val="FootnoteReference"/>
        </w:rPr>
        <w:footnoteRef/>
      </w:r>
      <w:r>
        <w:rPr>
          <w:rFonts w:hint="cs"/>
          <w:rtl/>
        </w:rPr>
        <w:tab/>
      </w:r>
      <w:r w:rsidR="00C0617E">
        <w:rPr>
          <w:rFonts w:hint="cs"/>
          <w:rtl/>
          <w:lang w:bidi="ar-EG"/>
        </w:rPr>
        <w:t xml:space="preserve">في هذا السياق، ينبغي تحديث </w:t>
      </w:r>
      <w:r w:rsidR="00C53110">
        <w:rPr>
          <w:rFonts w:hint="cs"/>
          <w:rtl/>
          <w:lang w:bidi="ar-EG"/>
        </w:rPr>
        <w:t>الفقرة</w:t>
      </w:r>
      <w:r w:rsidR="00C53110">
        <w:rPr>
          <w:rtl/>
          <w:lang w:bidi="ar-EG"/>
        </w:rPr>
        <w:t> </w:t>
      </w:r>
      <w:r w:rsidR="00C0617E">
        <w:rPr>
          <w:rFonts w:hint="cs"/>
          <w:rtl/>
          <w:lang w:bidi="ar-EG"/>
        </w:rPr>
        <w:t xml:space="preserve">58 من المرفق الثاني من الوثيقة </w:t>
      </w:r>
      <w:r w:rsidR="00C0617E">
        <w:rPr>
          <w:lang w:bidi="ar-EG"/>
        </w:rPr>
        <w:t>PCT/CTC/28/2</w:t>
      </w:r>
      <w:r w:rsidR="00C0617E">
        <w:rPr>
          <w:rFonts w:hint="cs"/>
          <w:rtl/>
          <w:lang w:bidi="ar-EG"/>
        </w:rPr>
        <w:t xml:space="preserve"> بالمعلومات التالية</w:t>
      </w:r>
      <w:r w:rsidR="002C604D">
        <w:rPr>
          <w:lang w:bidi="ar-EG"/>
        </w:rPr>
        <w:t>:</w:t>
      </w:r>
      <w:r w:rsidR="00C0617E">
        <w:rPr>
          <w:rFonts w:hint="cs"/>
          <w:rtl/>
          <w:lang w:bidi="ar-EG"/>
        </w:rPr>
        <w:t xml:space="preserve"> مُنح مكتب </w:t>
      </w:r>
      <w:r w:rsidR="00C0617E" w:rsidRPr="00C0617E">
        <w:rPr>
          <w:rtl/>
          <w:lang w:bidi="ar-EG"/>
        </w:rPr>
        <w:t xml:space="preserve">مكتب </w:t>
      </w:r>
      <w:r w:rsidR="00180836">
        <w:rPr>
          <w:rtl/>
          <w:lang w:bidi="ar-EG"/>
        </w:rPr>
        <w:t>جمهورية بولندا</w:t>
      </w:r>
      <w:r w:rsidR="00C0617E" w:rsidRPr="00C0617E">
        <w:rPr>
          <w:rtl/>
          <w:lang w:bidi="ar-EG"/>
        </w:rPr>
        <w:t xml:space="preserve"> للبراءات</w:t>
      </w:r>
      <w:r w:rsidR="00C0617E">
        <w:rPr>
          <w:rFonts w:hint="cs"/>
          <w:rtl/>
          <w:lang w:bidi="ar-EG"/>
        </w:rPr>
        <w:t xml:space="preserve"> </w:t>
      </w:r>
      <w:r w:rsidR="00C0617E" w:rsidRPr="00C0617E">
        <w:rPr>
          <w:rtl/>
          <w:lang w:bidi="ar-EG"/>
        </w:rPr>
        <w:t xml:space="preserve">شهادة الامتثال للمعيار </w:t>
      </w:r>
      <w:r w:rsidR="00C0617E" w:rsidRPr="00C0617E">
        <w:rPr>
          <w:cs/>
          <w:lang w:bidi="ar-EG"/>
        </w:rPr>
        <w:t>‎</w:t>
      </w:r>
      <w:r w:rsidR="00C0617E" w:rsidRPr="00C0617E">
        <w:rPr>
          <w:lang w:bidi="ar-EG"/>
        </w:rPr>
        <w:t>ISO</w:t>
      </w:r>
      <w:r w:rsidR="00C0617E">
        <w:rPr>
          <w:lang w:bidi="ar-EG"/>
        </w:rPr>
        <w:t> </w:t>
      </w:r>
      <w:r w:rsidR="00C0617E" w:rsidRPr="00C0617E">
        <w:rPr>
          <w:lang w:bidi="ar-EG"/>
        </w:rPr>
        <w:t>9001:2009</w:t>
      </w:r>
      <w:r w:rsidR="00C0617E">
        <w:rPr>
          <w:rFonts w:hint="cs"/>
          <w:rtl/>
          <w:lang w:bidi="ar-EG"/>
        </w:rPr>
        <w:t xml:space="preserve"> (مماثلة لشهادة الامتثال للمعيار </w:t>
      </w:r>
      <w:r w:rsidR="00C0617E">
        <w:rPr>
          <w:lang w:bidi="ar-EG"/>
        </w:rPr>
        <w:t>ISO 9001:2008</w:t>
      </w:r>
      <w:r w:rsidR="00C0617E">
        <w:rPr>
          <w:rFonts w:hint="cs"/>
          <w:rtl/>
          <w:lang w:bidi="ar-EG"/>
        </w:rPr>
        <w:t>) في يوليو</w:t>
      </w:r>
      <w:r w:rsidR="002C604D">
        <w:rPr>
          <w:rFonts w:hint="eastAsia"/>
          <w:rtl/>
          <w:lang w:bidi="ar-EG"/>
        </w:rPr>
        <w:t> </w:t>
      </w:r>
      <w:r w:rsidR="00C0617E">
        <w:rPr>
          <w:rFonts w:hint="cs"/>
          <w:rtl/>
          <w:lang w:bidi="ar-EG"/>
        </w:rPr>
        <w:t>2011، وتسري هذه الشهادة لمدة ثلاث سنوات أي حتى يوليو</w:t>
      </w:r>
      <w:r w:rsidR="002C604D">
        <w:rPr>
          <w:rFonts w:hint="eastAsia"/>
          <w:rtl/>
          <w:lang w:bidi="ar-EG"/>
        </w:rPr>
        <w:t> </w:t>
      </w:r>
      <w:r w:rsidR="00C0617E">
        <w:rPr>
          <w:rFonts w:hint="cs"/>
          <w:rtl/>
          <w:lang w:bidi="ar-EG"/>
        </w:rPr>
        <w:t xml:space="preserve">2014. </w:t>
      </w:r>
      <w:r w:rsidR="00C0617E" w:rsidRPr="00C0617E">
        <w:rPr>
          <w:rtl/>
          <w:lang w:bidi="ar-EG"/>
        </w:rPr>
        <w:t>ونظرا</w:t>
      </w:r>
      <w:r w:rsidR="00C0617E">
        <w:rPr>
          <w:rFonts w:hint="cs"/>
          <w:rtl/>
          <w:lang w:bidi="ar-EG"/>
        </w:rPr>
        <w:t>ً</w:t>
      </w:r>
      <w:r w:rsidR="00C0617E" w:rsidRPr="00C0617E">
        <w:rPr>
          <w:rtl/>
          <w:lang w:bidi="ar-EG"/>
        </w:rPr>
        <w:t xml:space="preserve"> إلى العمل المكثف الذي كان المكتب ينجزه من أجل تحسين الإجراءات الداخلية وتغييرها، تم تعليق تمديد شهادة </w:t>
      </w:r>
      <w:r w:rsidR="00C0617E" w:rsidRPr="00C0617E">
        <w:rPr>
          <w:cs/>
          <w:lang w:bidi="ar-EG"/>
        </w:rPr>
        <w:t>‎</w:t>
      </w:r>
      <w:r w:rsidR="00C0617E" w:rsidRPr="00C0617E">
        <w:rPr>
          <w:lang w:bidi="ar-EG"/>
        </w:rPr>
        <w:t>ISO</w:t>
      </w:r>
      <w:r w:rsidR="00C0617E" w:rsidRPr="00C0617E">
        <w:rPr>
          <w:rtl/>
          <w:lang w:bidi="ar-EG"/>
        </w:rPr>
        <w:t xml:space="preserve">‏ حتى </w:t>
      </w:r>
      <w:r w:rsidR="00762523">
        <w:rPr>
          <w:rFonts w:hint="cs"/>
          <w:rtl/>
          <w:lang w:bidi="ar-EG"/>
        </w:rPr>
        <w:t>مارس</w:t>
      </w:r>
      <w:r w:rsidR="00180836">
        <w:rPr>
          <w:rtl/>
          <w:lang w:bidi="ar-EG"/>
        </w:rPr>
        <w:t> 2015</w:t>
      </w:r>
      <w:r w:rsidR="00C0617E" w:rsidRPr="00C0617E">
        <w:rPr>
          <w:rtl/>
          <w:lang w:bidi="ar-EG"/>
        </w:rPr>
        <w:t>.</w:t>
      </w:r>
      <w:r w:rsidR="00762523">
        <w:rPr>
          <w:rFonts w:hint="cs"/>
          <w:rtl/>
          <w:lang w:bidi="ar-EG"/>
        </w:rPr>
        <w:t xml:space="preserve"> وعوضاً عن ذلك، مُنح المكتب شهادة جديدة لنظام إدارة الجودة هي </w:t>
      </w:r>
      <w:r w:rsidR="00762523">
        <w:rPr>
          <w:lang w:bidi="ar-EG"/>
        </w:rPr>
        <w:t>PN</w:t>
      </w:r>
      <w:r w:rsidR="00762523">
        <w:rPr>
          <w:lang w:bidi="ar-EG"/>
        </w:rPr>
        <w:noBreakHyphen/>
        <w:t>EN ISO 9001:2009</w:t>
      </w:r>
      <w:r w:rsidR="00762523">
        <w:rPr>
          <w:rFonts w:hint="cs"/>
          <w:rtl/>
          <w:lang w:bidi="ar-EG"/>
        </w:rPr>
        <w:t xml:space="preserve"> من </w:t>
      </w:r>
      <w:r w:rsidR="00762523" w:rsidRPr="00762523">
        <w:rPr>
          <w:rtl/>
          <w:lang w:bidi="ar-EG"/>
        </w:rPr>
        <w:t>المركز البولندي للاختبار والتصديق</w:t>
      </w:r>
      <w:r w:rsidR="00762523">
        <w:rPr>
          <w:rFonts w:hint="cs"/>
          <w:rtl/>
          <w:lang w:bidi="ar-EG"/>
        </w:rPr>
        <w:t xml:space="preserve"> في 24</w:t>
      </w:r>
      <w:r w:rsidR="002C604D">
        <w:rPr>
          <w:rFonts w:hint="eastAsia"/>
          <w:rtl/>
          <w:lang w:bidi="ar-EG"/>
        </w:rPr>
        <w:t> </w:t>
      </w:r>
      <w:r w:rsidR="00762523">
        <w:rPr>
          <w:rFonts w:hint="cs"/>
          <w:rtl/>
          <w:lang w:bidi="ar-EG"/>
        </w:rPr>
        <w:t>مارس</w:t>
      </w:r>
      <w:r w:rsidR="00180836">
        <w:rPr>
          <w:rtl/>
          <w:lang w:bidi="ar-EG"/>
        </w:rPr>
        <w:t> </w:t>
      </w:r>
      <w:r w:rsidR="00180836">
        <w:rPr>
          <w:rFonts w:hint="cs"/>
          <w:rtl/>
          <w:lang w:bidi="ar-EG"/>
        </w:rPr>
        <w:t>2015</w:t>
      </w:r>
      <w:r w:rsidR="00762523">
        <w:rPr>
          <w:rFonts w:hint="cs"/>
          <w:rtl/>
          <w:lang w:bidi="ar-EG"/>
        </w:rPr>
        <w:t>، وتسري هذه الشهادة حتى 23</w:t>
      </w:r>
      <w:r w:rsidR="002C604D">
        <w:rPr>
          <w:rFonts w:hint="eastAsia"/>
          <w:rtl/>
          <w:lang w:bidi="ar-EG"/>
        </w:rPr>
        <w:t> </w:t>
      </w:r>
      <w:r w:rsidR="00762523">
        <w:rPr>
          <w:rFonts w:hint="cs"/>
          <w:rtl/>
          <w:lang w:bidi="ar-EG"/>
        </w:rPr>
        <w:t>مارس</w:t>
      </w:r>
      <w:r w:rsidR="002C604D">
        <w:rPr>
          <w:rFonts w:hint="eastAsia"/>
          <w:rtl/>
          <w:lang w:bidi="ar-EG"/>
        </w:rPr>
        <w:t> </w:t>
      </w:r>
      <w:r w:rsidR="00762523">
        <w:rPr>
          <w:rFonts w:hint="cs"/>
          <w:rtl/>
          <w:lang w:bidi="ar-EG"/>
        </w:rPr>
        <w:t>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8A7993" w:rsidP="00430CF7">
    <w:r>
      <w:t>PCT</w:t>
    </w:r>
    <w:r w:rsidR="00772E46">
      <w:t>/</w:t>
    </w:r>
    <w:r w:rsidR="0059089F">
      <w:t>A</w:t>
    </w:r>
    <w:r w:rsidR="002F77FC">
      <w:t>/</w:t>
    </w:r>
    <w:r w:rsidR="003F373A">
      <w:t>4</w:t>
    </w:r>
    <w:r w:rsidR="004123D5">
      <w:t>7</w:t>
    </w:r>
    <w:r w:rsidR="002F77FC">
      <w:t>/</w:t>
    </w:r>
    <w:r w:rsidR="00430CF7">
      <w:t>6 Add.</w:t>
    </w:r>
  </w:p>
  <w:p w:rsidR="00430CF7" w:rsidRDefault="00430CF7" w:rsidP="00D61541">
    <w:pPr>
      <w:rPr>
        <w:rFonts w:hint="cs"/>
        <w:rtl/>
      </w:rPr>
    </w:pPr>
    <w:r>
      <w:t>Annex</w:t>
    </w:r>
  </w:p>
  <w:p w:rsidR="001D4A30" w:rsidRDefault="001D4A30" w:rsidP="00D61541">
    <w:pPr>
      <w:rPr>
        <w:rFonts w:hint="cs"/>
        <w:rtl/>
      </w:rPr>
    </w:pPr>
  </w:p>
  <w:p w:rsidR="001D4A30" w:rsidRDefault="001D4A30" w:rsidP="00D61541"/>
  <w:p w:rsidR="002F77FC" w:rsidRDefault="002F77FC" w:rsidP="00430CF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30" w:rsidRDefault="001D4A30" w:rsidP="00430CF7">
    <w:r>
      <w:t>PCT/A/47/6 Add.</w:t>
    </w:r>
  </w:p>
  <w:p w:rsidR="001D4A30" w:rsidRDefault="001D4A30" w:rsidP="00D61541">
    <w:pPr>
      <w:rPr>
        <w:rFonts w:hint="cs"/>
        <w:rtl/>
      </w:rPr>
    </w:pPr>
    <w:r>
      <w:t>Annex</w:t>
    </w:r>
  </w:p>
  <w:p w:rsidR="001D4A30" w:rsidRDefault="009276FC" w:rsidP="001D4A30">
    <w:pPr>
      <w:rPr>
        <w:rFonts w:hint="cs"/>
        <w:rtl/>
      </w:rPr>
    </w:pPr>
    <w:r>
      <w:fldChar w:fldCharType="begin"/>
    </w:r>
    <w:r>
      <w:instrText xml:space="preserve"> PAGE   \* MERGEFORMAT </w:instrText>
    </w:r>
    <w:r>
      <w:fldChar w:fldCharType="separate"/>
    </w:r>
    <w:r w:rsidR="006953D8">
      <w:rPr>
        <w:noProof/>
      </w:rPr>
      <w:t>6</w:t>
    </w:r>
    <w:r>
      <w:fldChar w:fldCharType="end"/>
    </w:r>
  </w:p>
  <w:p w:rsidR="009276FC" w:rsidRDefault="009276FC" w:rsidP="001D4A3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CF7" w:rsidRDefault="00430CF7">
    <w:pPr>
      <w:pStyle w:val="Header"/>
    </w:pPr>
    <w:r>
      <w:t>PCT/A/47/6 Add.</w:t>
    </w:r>
  </w:p>
  <w:p w:rsidR="00430CF7" w:rsidRDefault="00430CF7">
    <w:pPr>
      <w:pStyle w:val="Header"/>
    </w:pPr>
    <w:r>
      <w:t>ANNEX</w:t>
    </w:r>
  </w:p>
  <w:p w:rsidR="00FE584B" w:rsidRPr="00430CF7" w:rsidRDefault="00FE584B" w:rsidP="00FE584B">
    <w:pPr>
      <w:pStyle w:val="Header"/>
      <w:bidi/>
      <w:jc w:val="right"/>
      <w:rPr>
        <w:rFonts w:ascii="Arabic Typesetting" w:hAnsi="Arabic Typesetting" w:cs="Arabic Typesetting"/>
        <w:sz w:val="36"/>
        <w:szCs w:val="36"/>
        <w:rtl/>
        <w:lang w:bidi="ar-EG"/>
      </w:rPr>
    </w:pPr>
    <w:r w:rsidRPr="00430CF7">
      <w:rPr>
        <w:rFonts w:ascii="Arabic Typesetting" w:hAnsi="Arabic Typesetting" w:cs="Arabic Typesetting"/>
        <w:sz w:val="36"/>
        <w:szCs w:val="36"/>
        <w:rtl/>
        <w:lang w:bidi="ar-EG"/>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4CCE052E"/>
    <w:lvl w:ilvl="0" w:tplc="F176F4A0">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E7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96CE4"/>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1E81"/>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4817"/>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460"/>
    <w:rsid w:val="00164691"/>
    <w:rsid w:val="00164BD2"/>
    <w:rsid w:val="00165AC3"/>
    <w:rsid w:val="0016605B"/>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0836"/>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4A30"/>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0769"/>
    <w:rsid w:val="002B14F0"/>
    <w:rsid w:val="002B1F0F"/>
    <w:rsid w:val="002B53D3"/>
    <w:rsid w:val="002B6202"/>
    <w:rsid w:val="002C014C"/>
    <w:rsid w:val="002C060C"/>
    <w:rsid w:val="002C0BA6"/>
    <w:rsid w:val="002C12A7"/>
    <w:rsid w:val="002C2B6F"/>
    <w:rsid w:val="002C314F"/>
    <w:rsid w:val="002C4AD1"/>
    <w:rsid w:val="002C604D"/>
    <w:rsid w:val="002C7D29"/>
    <w:rsid w:val="002D0298"/>
    <w:rsid w:val="002D1662"/>
    <w:rsid w:val="002D1DE5"/>
    <w:rsid w:val="002D3506"/>
    <w:rsid w:val="002D3670"/>
    <w:rsid w:val="002D4807"/>
    <w:rsid w:val="002D5DDC"/>
    <w:rsid w:val="002D5F16"/>
    <w:rsid w:val="002D62F1"/>
    <w:rsid w:val="002D6FD8"/>
    <w:rsid w:val="002D727B"/>
    <w:rsid w:val="002D7EAD"/>
    <w:rsid w:val="002E0089"/>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B54"/>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AE3"/>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73A"/>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3D5"/>
    <w:rsid w:val="004126C1"/>
    <w:rsid w:val="00413BA5"/>
    <w:rsid w:val="00414FD0"/>
    <w:rsid w:val="00417E93"/>
    <w:rsid w:val="00422A2A"/>
    <w:rsid w:val="00424BB4"/>
    <w:rsid w:val="004258CD"/>
    <w:rsid w:val="004261D2"/>
    <w:rsid w:val="004303D1"/>
    <w:rsid w:val="00430CF7"/>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3DD"/>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4D16"/>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280"/>
    <w:rsid w:val="00522E91"/>
    <w:rsid w:val="0052302D"/>
    <w:rsid w:val="005236A5"/>
    <w:rsid w:val="005266BD"/>
    <w:rsid w:val="0052772D"/>
    <w:rsid w:val="00527FD3"/>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16D"/>
    <w:rsid w:val="0055764D"/>
    <w:rsid w:val="00560C6A"/>
    <w:rsid w:val="00560F85"/>
    <w:rsid w:val="005610A0"/>
    <w:rsid w:val="0056248F"/>
    <w:rsid w:val="00564985"/>
    <w:rsid w:val="00565379"/>
    <w:rsid w:val="005674C3"/>
    <w:rsid w:val="00567990"/>
    <w:rsid w:val="00567C4C"/>
    <w:rsid w:val="005708F6"/>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174"/>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879"/>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3D8"/>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278C5"/>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523"/>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670"/>
    <w:rsid w:val="007A7B37"/>
    <w:rsid w:val="007B024C"/>
    <w:rsid w:val="007B1C4C"/>
    <w:rsid w:val="007B2800"/>
    <w:rsid w:val="007B38F7"/>
    <w:rsid w:val="007B40D4"/>
    <w:rsid w:val="007B4511"/>
    <w:rsid w:val="007B5457"/>
    <w:rsid w:val="007B5C86"/>
    <w:rsid w:val="007B6071"/>
    <w:rsid w:val="007B6540"/>
    <w:rsid w:val="007B69A2"/>
    <w:rsid w:val="007B69D4"/>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4AE2"/>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093"/>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324"/>
    <w:rsid w:val="008A7522"/>
    <w:rsid w:val="008A7993"/>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773"/>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6FC"/>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3C59"/>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4C59"/>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B14"/>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542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4DD1"/>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6759A"/>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793"/>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76A"/>
    <w:rsid w:val="00AA6AC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C6AE3"/>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3FF8"/>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3D05"/>
    <w:rsid w:val="00B851D5"/>
    <w:rsid w:val="00B85B06"/>
    <w:rsid w:val="00B90558"/>
    <w:rsid w:val="00B92958"/>
    <w:rsid w:val="00B93957"/>
    <w:rsid w:val="00B9404A"/>
    <w:rsid w:val="00B942F2"/>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BDF"/>
    <w:rsid w:val="00BF4D03"/>
    <w:rsid w:val="00BF4E85"/>
    <w:rsid w:val="00BF54BD"/>
    <w:rsid w:val="00BF5892"/>
    <w:rsid w:val="00C01804"/>
    <w:rsid w:val="00C026BC"/>
    <w:rsid w:val="00C02AD4"/>
    <w:rsid w:val="00C03869"/>
    <w:rsid w:val="00C0617E"/>
    <w:rsid w:val="00C0764F"/>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3110"/>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35A"/>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BE7"/>
    <w:rsid w:val="00D3482C"/>
    <w:rsid w:val="00D3664C"/>
    <w:rsid w:val="00D3669F"/>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604B"/>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4CD7"/>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882"/>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179"/>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765"/>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3863"/>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1C8"/>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74"/>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84B"/>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ONUME">
    <w:name w:val="ONUM E"/>
    <w:basedOn w:val="BodyText"/>
    <w:rsid w:val="007E4AE2"/>
    <w:pPr>
      <w:numPr>
        <w:numId w:val="21"/>
      </w:numPr>
      <w:spacing w:after="220"/>
    </w:pPr>
    <w:rPr>
      <w:rFonts w:eastAsia="SimSun"/>
      <w:lang w:eastAsia="zh-CN"/>
    </w:rPr>
  </w:style>
  <w:style w:type="paragraph" w:styleId="BodyText">
    <w:name w:val="Body Text"/>
    <w:basedOn w:val="Normal"/>
    <w:link w:val="BodyTextChar"/>
    <w:rsid w:val="007E4AE2"/>
    <w:pPr>
      <w:spacing w:after="120"/>
    </w:pPr>
  </w:style>
  <w:style w:type="character" w:customStyle="1" w:styleId="BodyTextChar">
    <w:name w:val="Body Text Char"/>
    <w:basedOn w:val="DefaultParagraphFont"/>
    <w:link w:val="BodyText"/>
    <w:rsid w:val="007E4AE2"/>
    <w:rPr>
      <w:rFonts w:ascii="Arial" w:hAnsi="Arial" w:cs="Arial"/>
      <w:sz w:val="22"/>
    </w:rPr>
  </w:style>
  <w:style w:type="character" w:customStyle="1" w:styleId="HeaderChar">
    <w:name w:val="Header Char"/>
    <w:basedOn w:val="DefaultParagraphFont"/>
    <w:link w:val="Header"/>
    <w:uiPriority w:val="99"/>
    <w:rsid w:val="001D4A30"/>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ONUME">
    <w:name w:val="ONUM E"/>
    <w:basedOn w:val="BodyText"/>
    <w:rsid w:val="007E4AE2"/>
    <w:pPr>
      <w:numPr>
        <w:numId w:val="21"/>
      </w:numPr>
      <w:spacing w:after="220"/>
    </w:pPr>
    <w:rPr>
      <w:rFonts w:eastAsia="SimSun"/>
      <w:lang w:eastAsia="zh-CN"/>
    </w:rPr>
  </w:style>
  <w:style w:type="paragraph" w:styleId="BodyText">
    <w:name w:val="Body Text"/>
    <w:basedOn w:val="Normal"/>
    <w:link w:val="BodyTextChar"/>
    <w:rsid w:val="007E4AE2"/>
    <w:pPr>
      <w:spacing w:after="120"/>
    </w:pPr>
  </w:style>
  <w:style w:type="character" w:customStyle="1" w:styleId="BodyTextChar">
    <w:name w:val="Body Text Char"/>
    <w:basedOn w:val="DefaultParagraphFont"/>
    <w:link w:val="BodyText"/>
    <w:rsid w:val="007E4AE2"/>
    <w:rPr>
      <w:rFonts w:ascii="Arial" w:hAnsi="Arial" w:cs="Arial"/>
      <w:sz w:val="22"/>
    </w:rPr>
  </w:style>
  <w:style w:type="character" w:customStyle="1" w:styleId="HeaderChar">
    <w:name w:val="Header Char"/>
    <w:basedOn w:val="DefaultParagraphFont"/>
    <w:link w:val="Header"/>
    <w:uiPriority w:val="99"/>
    <w:rsid w:val="001D4A30"/>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A_4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B025D-5F54-4308-9D7C-BFD471926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PCT_A_47_AR</Template>
  <TotalTime>547</TotalTime>
  <Pages>7</Pages>
  <Words>2587</Words>
  <Characters>14751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PCT/A/47/6 Add. (Arabic)</vt:lpstr>
    </vt:vector>
  </TitlesOfParts>
  <Company>World Intellectual Property Organization</Company>
  <LinksUpToDate>false</LinksUpToDate>
  <CharactersWithSpaces>17304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PCT/A/47/6 Add. (Arabic)</dc:title>
  <dc:creator>Ahmed Hassan</dc:creator>
  <cp:keywords>38092A</cp:keywords>
  <cp:lastModifiedBy>MOUJAES Michelle</cp:lastModifiedBy>
  <cp:revision>15</cp:revision>
  <cp:lastPrinted>2015-09-21T12:01:00Z</cp:lastPrinted>
  <dcterms:created xsi:type="dcterms:W3CDTF">2015-09-17T10:04:00Z</dcterms:created>
  <dcterms:modified xsi:type="dcterms:W3CDTF">2015-09-21T12:01:00Z</dcterms:modified>
</cp:coreProperties>
</file>