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8A5F73">
            <w:pPr>
              <w:pStyle w:val="DocumentCodeAR"/>
              <w:bidi/>
              <w:rPr>
                <w:rtl/>
              </w:rPr>
            </w:pPr>
            <w:r>
              <w:t>MM</w:t>
            </w:r>
            <w:r w:rsidR="00772E46">
              <w:t>/</w:t>
            </w:r>
            <w:r w:rsidR="0059089F">
              <w:t>A</w:t>
            </w:r>
            <w:r w:rsidR="00100F97">
              <w:t>/</w:t>
            </w:r>
            <w:r w:rsidR="00220323">
              <w:t>50</w:t>
            </w:r>
            <w:r w:rsidR="002A4688">
              <w:t>/3</w:t>
            </w:r>
          </w:p>
        </w:tc>
      </w:tr>
      <w:tr w:rsidR="001667B6" w:rsidTr="00BF164F">
        <w:tc>
          <w:tcPr>
            <w:tcW w:w="9571" w:type="dxa"/>
            <w:gridSpan w:val="3"/>
          </w:tcPr>
          <w:p w:rsidR="001667B6" w:rsidRPr="00B6101C" w:rsidRDefault="00B6101C" w:rsidP="002A4688">
            <w:pPr>
              <w:pStyle w:val="DocumentLanguageAR"/>
              <w:bidi/>
              <w:rPr>
                <w:rtl/>
              </w:rPr>
            </w:pPr>
            <w:r w:rsidRPr="00B6101C">
              <w:rPr>
                <w:rFonts w:hint="cs"/>
                <w:rtl/>
              </w:rPr>
              <w:t xml:space="preserve">الأصل: </w:t>
            </w:r>
            <w:r w:rsidR="002A4688">
              <w:rPr>
                <w:rFonts w:hint="cs"/>
                <w:rtl/>
              </w:rPr>
              <w:t>بالإنكليزية</w:t>
            </w:r>
          </w:p>
        </w:tc>
      </w:tr>
      <w:tr w:rsidR="001667B6" w:rsidTr="00BF164F">
        <w:tc>
          <w:tcPr>
            <w:tcW w:w="9571" w:type="dxa"/>
            <w:gridSpan w:val="3"/>
          </w:tcPr>
          <w:p w:rsidR="001667B6" w:rsidRPr="00B6101C" w:rsidRDefault="00B6101C" w:rsidP="002A4688">
            <w:pPr>
              <w:pStyle w:val="DocumentDateAR"/>
              <w:bidi/>
              <w:rPr>
                <w:rtl/>
              </w:rPr>
            </w:pPr>
            <w:r w:rsidRPr="00B6101C">
              <w:rPr>
                <w:rFonts w:hint="cs"/>
                <w:rtl/>
              </w:rPr>
              <w:t xml:space="preserve">التاريخ: </w:t>
            </w:r>
            <w:r w:rsidR="002A4688">
              <w:rPr>
                <w:rFonts w:hint="cs"/>
                <w:rtl/>
              </w:rPr>
              <w:t>4</w:t>
            </w:r>
            <w:r w:rsidRPr="00B6101C">
              <w:rPr>
                <w:rFonts w:hint="cs"/>
                <w:rtl/>
              </w:rPr>
              <w:t xml:space="preserve"> </w:t>
            </w:r>
            <w:r w:rsidR="002A4688">
              <w:rPr>
                <w:rFonts w:hint="cs"/>
                <w:rtl/>
              </w:rPr>
              <w:t>يوليو</w:t>
            </w:r>
            <w:r w:rsidRPr="00B6101C">
              <w:rPr>
                <w:rFonts w:hint="cs"/>
                <w:rtl/>
              </w:rPr>
              <w:t xml:space="preserve"> </w:t>
            </w:r>
            <w:r w:rsidR="0022032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E1775E" w:rsidP="00220323">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220323">
        <w:rPr>
          <w:rFonts w:ascii="Cambria Math" w:hAnsi="Cambria Math" w:hint="cs"/>
          <w:rtl/>
          <w:lang w:val="fr-CH"/>
        </w:rPr>
        <w:t>الخمسون</w:t>
      </w:r>
      <w:r>
        <w:rPr>
          <w:rFonts w:ascii="Cambria Math" w:hAnsi="Cambria Math" w:hint="cs"/>
          <w:rtl/>
        </w:rPr>
        <w:t xml:space="preserve"> </w:t>
      </w:r>
      <w:r w:rsidR="0059089F" w:rsidRPr="0059089F">
        <w:rPr>
          <w:rFonts w:ascii="Cambria Math" w:hAnsi="Cambria Math"/>
          <w:rtl/>
        </w:rPr>
        <w:t xml:space="preserve">(الدورة </w:t>
      </w:r>
      <w:r w:rsidR="00220323">
        <w:rPr>
          <w:rFonts w:ascii="Cambria Math" w:hAnsi="Cambria Math" w:hint="cs"/>
          <w:rtl/>
        </w:rPr>
        <w:t>الاستثنائية</w:t>
      </w:r>
      <w:r w:rsidR="00D30E1A">
        <w:rPr>
          <w:rFonts w:ascii="Cambria Math" w:hAnsi="Cambria Math" w:hint="cs"/>
          <w:rtl/>
        </w:rPr>
        <w:t xml:space="preserve"> </w:t>
      </w:r>
      <w:r w:rsidR="00220323">
        <w:rPr>
          <w:rFonts w:ascii="Cambria Math" w:hAnsi="Cambria Math" w:hint="cs"/>
          <w:rtl/>
        </w:rPr>
        <w:t>التاسعة</w:t>
      </w:r>
      <w:r w:rsidR="00D30E1A">
        <w:rPr>
          <w:rFonts w:ascii="Cambria Math" w:hAnsi="Cambria Math" w:hint="cs"/>
          <w:rtl/>
        </w:rPr>
        <w:t xml:space="preserve"> و</w:t>
      </w:r>
      <w:r w:rsidR="0059089F">
        <w:rPr>
          <w:rFonts w:ascii="Cambria Math" w:hAnsi="Cambria Math" w:hint="cs"/>
          <w:rtl/>
        </w:rPr>
        <w:t xml:space="preserve"> </w:t>
      </w:r>
      <w:r w:rsidR="0059089F" w:rsidRPr="0059089F">
        <w:rPr>
          <w:rFonts w:ascii="Cambria Math" w:hAnsi="Cambria Math"/>
          <w:rtl/>
        </w:rPr>
        <w:t>العشرون)</w:t>
      </w:r>
    </w:p>
    <w:p w:rsidR="00D61541" w:rsidRPr="00D61541" w:rsidRDefault="00D61541" w:rsidP="00220323">
      <w:pPr>
        <w:pStyle w:val="MeetingDatesAR"/>
        <w:bidi/>
        <w:rPr>
          <w:rtl/>
        </w:rPr>
      </w:pPr>
      <w:r w:rsidRPr="00D61541">
        <w:rPr>
          <w:rFonts w:hint="cs"/>
          <w:rtl/>
        </w:rPr>
        <w:t xml:space="preserve">جنيف، من </w:t>
      </w:r>
      <w:r w:rsidR="00220323">
        <w:rPr>
          <w:rFonts w:hint="cs"/>
          <w:rtl/>
        </w:rPr>
        <w:t>3</w:t>
      </w:r>
      <w:r w:rsidR="00983389">
        <w:rPr>
          <w:rFonts w:hint="cs"/>
          <w:rtl/>
        </w:rPr>
        <w:t xml:space="preserve"> </w:t>
      </w:r>
      <w:r w:rsidR="00100F97">
        <w:rPr>
          <w:rFonts w:hint="cs"/>
          <w:rtl/>
        </w:rPr>
        <w:t xml:space="preserve">إلى </w:t>
      </w:r>
      <w:r w:rsidR="00220323">
        <w:rPr>
          <w:rFonts w:hint="cs"/>
          <w:rtl/>
        </w:rPr>
        <w:t>11</w:t>
      </w:r>
      <w:r w:rsidR="00D30E1A">
        <w:rPr>
          <w:rFonts w:hint="cs"/>
          <w:rtl/>
        </w:rPr>
        <w:t xml:space="preserve"> </w:t>
      </w:r>
      <w:r w:rsidR="008A5F73">
        <w:rPr>
          <w:rFonts w:hint="cs"/>
          <w:rtl/>
        </w:rPr>
        <w:t>أكتوبر</w:t>
      </w:r>
      <w:r w:rsidR="00D30E1A">
        <w:rPr>
          <w:rFonts w:hint="cs"/>
          <w:rtl/>
        </w:rPr>
        <w:t xml:space="preserve"> </w:t>
      </w:r>
      <w:r w:rsidR="0022032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554FE" w:rsidP="00FB7EC9">
      <w:pPr>
        <w:pStyle w:val="DocumentTitleAR"/>
        <w:bidi/>
        <w:rPr>
          <w:rtl/>
        </w:rPr>
      </w:pPr>
      <w:r>
        <w:rPr>
          <w:rFonts w:hint="cs"/>
          <w:rtl/>
        </w:rPr>
        <w:t>اقتراح بشأن حالات الانضمام إلى اتفاق مدريد وحده</w:t>
      </w:r>
    </w:p>
    <w:p w:rsidR="00D61541" w:rsidRPr="00D61541" w:rsidRDefault="00E554F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220323" w:rsidRDefault="00973055" w:rsidP="006E074B">
      <w:pPr>
        <w:pStyle w:val="NumberedParaAR"/>
      </w:pPr>
      <w:r>
        <w:rPr>
          <w:rFonts w:hint="cs"/>
          <w:rtl/>
        </w:rPr>
        <w:t>في 31</w:t>
      </w:r>
      <w:r w:rsidR="006E074B">
        <w:rPr>
          <w:rFonts w:hint="eastAsia"/>
          <w:rtl/>
        </w:rPr>
        <w:t> </w:t>
      </w:r>
      <w:r>
        <w:rPr>
          <w:rFonts w:hint="cs"/>
          <w:rtl/>
        </w:rPr>
        <w:t>أكتوبر</w:t>
      </w:r>
      <w:r w:rsidR="006E074B">
        <w:rPr>
          <w:rFonts w:hint="eastAsia"/>
          <w:rtl/>
        </w:rPr>
        <w:t> </w:t>
      </w:r>
      <w:r>
        <w:rPr>
          <w:rFonts w:hint="cs"/>
          <w:rtl/>
        </w:rPr>
        <w:t>2015، دخل بروتوكول اتفاق مدريد بشأن التسجيل الدولي للعلامات (المشار إليه فيما يلي بعبارة "البروتوكول") حيّز النفاذ بالنسبة إلى الجزائر، التي كانت آخر عضو في اتحاد مدريد ملزما فقط باتفاق مدريد بشأن التسجيل الدولي للعلامات (المشار إليه فيما يلي بعبارة "الاتفاق").</w:t>
      </w:r>
    </w:p>
    <w:p w:rsidR="0055182A" w:rsidRDefault="00973055" w:rsidP="00705BBE">
      <w:pPr>
        <w:pStyle w:val="NumberedParaAR"/>
        <w:rPr>
          <w:rtl/>
        </w:rPr>
      </w:pPr>
      <w:r>
        <w:rPr>
          <w:rFonts w:hint="cs"/>
          <w:rtl/>
        </w:rPr>
        <w:t>وكان ذلك الحدث منعطفا بارزا في تاريخ نظام مدريد، فقد كان يعني أن كل الأطراف المتعاقدة باتت، منذ ذلك</w:t>
      </w:r>
      <w:r w:rsidR="008754DF">
        <w:rPr>
          <w:rFonts w:hint="cs"/>
          <w:rtl/>
        </w:rPr>
        <w:t xml:space="preserve"> التاريخ، ملز</w:t>
      </w:r>
      <w:r w:rsidR="006E074B">
        <w:rPr>
          <w:rFonts w:hint="cs"/>
          <w:rtl/>
        </w:rPr>
        <w:t>َ</w:t>
      </w:r>
      <w:r w:rsidR="008754DF">
        <w:rPr>
          <w:rFonts w:hint="cs"/>
          <w:rtl/>
        </w:rPr>
        <w:t>مة بالبروتوكول. ونتيجة لذلك أصبحت كل التعيينات في جميع التسجيلات الدولية السارية، وكل الطلبات الدولية المودعة منذ ذلك التاريخ، خاضعة للبروتوكول وحده. وذلك ناتج عن كون الأطراف المتعاقدة ملز</w:t>
      </w:r>
      <w:r w:rsidR="006E074B">
        <w:rPr>
          <w:rFonts w:hint="cs"/>
          <w:rtl/>
        </w:rPr>
        <w:t>َ</w:t>
      </w:r>
      <w:r w:rsidR="008754DF">
        <w:rPr>
          <w:rFonts w:hint="cs"/>
          <w:rtl/>
        </w:rPr>
        <w:t xml:space="preserve">مة بالبروتوكول وحده أو </w:t>
      </w:r>
      <w:r w:rsidR="00705BBE">
        <w:rPr>
          <w:rFonts w:hint="cs"/>
          <w:rtl/>
        </w:rPr>
        <w:t>ع</w:t>
      </w:r>
      <w:r w:rsidR="008754DF">
        <w:rPr>
          <w:rFonts w:hint="cs"/>
          <w:rtl/>
        </w:rPr>
        <w:t>ما تقضي به المادة 9</w:t>
      </w:r>
      <w:r w:rsidR="008754DF" w:rsidRPr="00705BBE">
        <w:rPr>
          <w:rFonts w:hint="cs"/>
          <w:vertAlign w:val="superscript"/>
          <w:rtl/>
        </w:rPr>
        <w:t>(سادسا)</w:t>
      </w:r>
      <w:r w:rsidR="008754DF">
        <w:rPr>
          <w:rFonts w:hint="cs"/>
          <w:rtl/>
        </w:rPr>
        <w:t xml:space="preserve"> (1)(أ) من البروتوكول </w:t>
      </w:r>
      <w:r w:rsidR="00705BBE">
        <w:rPr>
          <w:rFonts w:hint="cs"/>
          <w:rtl/>
        </w:rPr>
        <w:t>وهو انطباق تلك المعاهدة "[...] على العلاقات المتبادلة بين الدول الأطراف في هذا البروتوكول وفي اتفاق مدريد (</w:t>
      </w:r>
      <w:proofErr w:type="spellStart"/>
      <w:r w:rsidR="00705BBE">
        <w:rPr>
          <w:rFonts w:hint="cs"/>
          <w:rtl/>
        </w:rPr>
        <w:t>استوكهولم</w:t>
      </w:r>
      <w:proofErr w:type="spellEnd"/>
      <w:r w:rsidR="00705BBE">
        <w:rPr>
          <w:rFonts w:hint="cs"/>
          <w:rtl/>
        </w:rPr>
        <w:t>)." وبناء عليه أصبح الاتفاق، فعليا منذ ذلك التاريخ، معاهدة غير سارية وأصبح نظام مدريد، بحكم الواقع، نظاما قائما على معاهدة واحدة.</w:t>
      </w:r>
    </w:p>
    <w:p w:rsidR="0055182A" w:rsidRDefault="0055182A">
      <w:pPr>
        <w:rPr>
          <w:rFonts w:ascii="Arabic Typesetting" w:hAnsi="Arabic Typesetting" w:cs="Arabic Typesetting"/>
          <w:sz w:val="36"/>
          <w:szCs w:val="36"/>
          <w:rtl/>
        </w:rPr>
      </w:pPr>
      <w:r>
        <w:rPr>
          <w:rtl/>
        </w:rPr>
        <w:br w:type="page"/>
      </w:r>
    </w:p>
    <w:p w:rsidR="00973055" w:rsidRDefault="00952118" w:rsidP="00705BBE">
      <w:pPr>
        <w:pStyle w:val="NumberedParaAR"/>
        <w:rPr>
          <w:rFonts w:hint="cs"/>
        </w:rPr>
      </w:pPr>
      <w:r>
        <w:rPr>
          <w:rFonts w:hint="cs"/>
          <w:rtl/>
        </w:rPr>
        <w:lastRenderedPageBreak/>
        <w:t>وناقش الفريق العامل المعني بالتطوير القانوني لنظام مدريد بشأن التسجيل الدولي للعلامات (المشار إليه فيما يلي بعبارة "الفريق العامل")، في دورته الثالثة عشرة، إمكانية الإبقاء على الوضع الراهن، أي الإبقاء على نظام مدريد كنظام قائم، فعلي</w:t>
      </w:r>
      <w:r w:rsidR="00981520">
        <w:rPr>
          <w:rFonts w:hint="cs"/>
          <w:rtl/>
        </w:rPr>
        <w:t>ا، على معاهدة سارية واحدة لا غير هي البروتوكول</w:t>
      </w:r>
      <w:r w:rsidR="00981520">
        <w:rPr>
          <w:rStyle w:val="FootnoteReference"/>
          <w:rtl/>
        </w:rPr>
        <w:footnoteReference w:id="1"/>
      </w:r>
      <w:r w:rsidR="00981520">
        <w:rPr>
          <w:rFonts w:hint="cs"/>
          <w:rtl/>
        </w:rPr>
        <w:t>.</w:t>
      </w:r>
    </w:p>
    <w:p w:rsidR="00981520" w:rsidRDefault="00981520" w:rsidP="00DC421D">
      <w:pPr>
        <w:pStyle w:val="NumberedParaAR"/>
        <w:rPr>
          <w:rFonts w:hint="cs"/>
        </w:rPr>
      </w:pPr>
      <w:r>
        <w:rPr>
          <w:rFonts w:hint="cs"/>
          <w:rtl/>
        </w:rPr>
        <w:t xml:space="preserve">وفي </w:t>
      </w:r>
      <w:r w:rsidR="00210A9A">
        <w:rPr>
          <w:rFonts w:hint="cs"/>
          <w:rtl/>
        </w:rPr>
        <w:t>دورتين سابقتين</w:t>
      </w:r>
      <w:r>
        <w:rPr>
          <w:rFonts w:hint="cs"/>
          <w:rtl/>
        </w:rPr>
        <w:t xml:space="preserve"> عُقدت</w:t>
      </w:r>
      <w:r w:rsidR="00210A9A">
        <w:rPr>
          <w:rFonts w:hint="cs"/>
          <w:rtl/>
        </w:rPr>
        <w:t>ا</w:t>
      </w:r>
      <w:r>
        <w:rPr>
          <w:rFonts w:hint="cs"/>
          <w:rtl/>
        </w:rPr>
        <w:t xml:space="preserve"> في عامي 2005 و2006، عرض الفريق العامل خطة أيدتها جمعية اتحاد مدريد (المشار إل</w:t>
      </w:r>
      <w:r w:rsidR="006E074B">
        <w:rPr>
          <w:rFonts w:hint="cs"/>
          <w:rtl/>
        </w:rPr>
        <w:t xml:space="preserve">يها فيما يلي بعبارة "الجمعية") </w:t>
      </w:r>
      <w:r>
        <w:rPr>
          <w:rFonts w:hint="cs"/>
          <w:rtl/>
        </w:rPr>
        <w:t>ترمي إلى توحيد نظام مدريد باعتباره نظاما قائما على معاهدة واحدة</w:t>
      </w:r>
      <w:r>
        <w:rPr>
          <w:rStyle w:val="FootnoteReference"/>
          <w:rtl/>
        </w:rPr>
        <w:footnoteReference w:id="2"/>
      </w:r>
      <w:r>
        <w:rPr>
          <w:rFonts w:hint="cs"/>
          <w:rtl/>
        </w:rPr>
        <w:t>.</w:t>
      </w:r>
      <w:r w:rsidR="00DC421D">
        <w:rPr>
          <w:rFonts w:hint="cs"/>
          <w:rtl/>
        </w:rPr>
        <w:t xml:space="preserve"> وأفيد، في الدورتين المذكورتين، بأن الاتفاق لن يكون، بعد ذلك، </w:t>
      </w:r>
      <w:r w:rsidR="00DC421D">
        <w:rPr>
          <w:rFonts w:hint="cs"/>
          <w:rtl/>
        </w:rPr>
        <w:t>منطبقا</w:t>
      </w:r>
      <w:r w:rsidR="00DC421D">
        <w:rPr>
          <w:rFonts w:hint="cs"/>
          <w:rtl/>
        </w:rPr>
        <w:t xml:space="preserve"> على إجراءات التسجيل الدولي إذا ما استوفي كل من الشروط التالية:</w:t>
      </w:r>
    </w:p>
    <w:p w:rsidR="00DC421D" w:rsidRDefault="00DC421D" w:rsidP="00DC421D">
      <w:pPr>
        <w:pStyle w:val="NormalParaAR"/>
        <w:ind w:left="566"/>
        <w:rPr>
          <w:rFonts w:hint="cs"/>
          <w:rtl/>
        </w:rPr>
      </w:pPr>
      <w:r>
        <w:rPr>
          <w:rFonts w:hint="cs"/>
          <w:rtl/>
        </w:rPr>
        <w:t>"1"</w:t>
      </w:r>
      <w:r>
        <w:rPr>
          <w:rtl/>
        </w:rPr>
        <w:tab/>
      </w:r>
      <w:r w:rsidRPr="00DC421D">
        <w:rPr>
          <w:rtl/>
        </w:rPr>
        <w:t>أن تقرّر الجمعية إلغاء بند الضمان</w:t>
      </w:r>
      <w:r>
        <w:rPr>
          <w:rFonts w:hint="cs"/>
          <w:rtl/>
        </w:rPr>
        <w:t>؛</w:t>
      </w:r>
    </w:p>
    <w:p w:rsidR="00DC421D" w:rsidRDefault="00DC421D" w:rsidP="00DC421D">
      <w:pPr>
        <w:pStyle w:val="NormalParaAR"/>
        <w:ind w:left="566"/>
        <w:rPr>
          <w:rFonts w:hint="cs"/>
          <w:rtl/>
        </w:rPr>
      </w:pPr>
      <w:r>
        <w:rPr>
          <w:rFonts w:hint="cs"/>
          <w:rtl/>
        </w:rPr>
        <w:t>"2"</w:t>
      </w:r>
      <w:r>
        <w:rPr>
          <w:rtl/>
        </w:rPr>
        <w:tab/>
      </w:r>
      <w:r w:rsidRPr="00DC421D">
        <w:rPr>
          <w:rtl/>
        </w:rPr>
        <w:t>وأن تصبح كل البلدان المتعاقدة الملز</w:t>
      </w:r>
      <w:r>
        <w:rPr>
          <w:rFonts w:hint="cs"/>
          <w:rtl/>
        </w:rPr>
        <w:t>َ</w:t>
      </w:r>
      <w:r w:rsidRPr="00DC421D">
        <w:rPr>
          <w:rtl/>
        </w:rPr>
        <w:t>مة بموجب الاتفاق فقط ملز</w:t>
      </w:r>
      <w:r>
        <w:rPr>
          <w:rFonts w:hint="cs"/>
          <w:rtl/>
        </w:rPr>
        <w:t>َ</w:t>
      </w:r>
      <w:r w:rsidRPr="00DC421D">
        <w:rPr>
          <w:rtl/>
        </w:rPr>
        <w:t>مة أيضا بموجب البروتوكول</w:t>
      </w:r>
      <w:r>
        <w:rPr>
          <w:rFonts w:hint="cs"/>
          <w:rtl/>
        </w:rPr>
        <w:t>؛</w:t>
      </w:r>
    </w:p>
    <w:p w:rsidR="00DC421D" w:rsidRDefault="00DC421D" w:rsidP="008F6427">
      <w:pPr>
        <w:pStyle w:val="NormalParaAR"/>
        <w:ind w:left="566"/>
        <w:rPr>
          <w:rFonts w:hint="cs"/>
          <w:rtl/>
        </w:rPr>
      </w:pPr>
      <w:r>
        <w:rPr>
          <w:rFonts w:hint="cs"/>
          <w:rtl/>
        </w:rPr>
        <w:t>"3"</w:t>
      </w:r>
      <w:r>
        <w:rPr>
          <w:rtl/>
        </w:rPr>
        <w:tab/>
        <w:t xml:space="preserve">وأن تقرّر الجمعية </w:t>
      </w:r>
      <w:r w:rsidR="008F6427">
        <w:rPr>
          <w:rFonts w:hint="cs"/>
          <w:rtl/>
        </w:rPr>
        <w:t>"</w:t>
      </w:r>
      <w:r w:rsidRPr="00DC421D">
        <w:rPr>
          <w:rtl/>
        </w:rPr>
        <w:t>تجميد</w:t>
      </w:r>
      <w:r w:rsidR="008F6427">
        <w:rPr>
          <w:rFonts w:hint="cs"/>
          <w:rtl/>
        </w:rPr>
        <w:t>"</w:t>
      </w:r>
      <w:r w:rsidRPr="00DC421D">
        <w:rPr>
          <w:rtl/>
        </w:rPr>
        <w:t xml:space="preserve"> تطبيق اتفاق مدريد حتى لا يتسنى لأي بلد الانضمام إلى الاتفاق وحده في المستقبل ولا يتسنى بعد ذلك إيداع طلبات بناء على ذلك الاتفاق</w:t>
      </w:r>
      <w:r>
        <w:rPr>
          <w:rStyle w:val="FootnoteReference"/>
          <w:rtl/>
        </w:rPr>
        <w:footnoteReference w:id="3"/>
      </w:r>
      <w:r>
        <w:rPr>
          <w:rFonts w:hint="cs"/>
          <w:rtl/>
        </w:rPr>
        <w:t>.</w:t>
      </w:r>
    </w:p>
    <w:p w:rsidR="00CD0728" w:rsidRDefault="00CD0728" w:rsidP="004B41EB">
      <w:pPr>
        <w:pStyle w:val="NumberedParaAR"/>
        <w:rPr>
          <w:rFonts w:hint="cs"/>
        </w:rPr>
      </w:pPr>
      <w:r>
        <w:rPr>
          <w:rFonts w:hint="cs"/>
          <w:rtl/>
        </w:rPr>
        <w:t>واتُخذت أول خطوة نحو النظام القائم على معاهدة واحدة في سبتمبر</w:t>
      </w:r>
      <w:r w:rsidR="00DB2AB7">
        <w:rPr>
          <w:rFonts w:hint="eastAsia"/>
          <w:rtl/>
        </w:rPr>
        <w:t> </w:t>
      </w:r>
      <w:r>
        <w:rPr>
          <w:rFonts w:hint="cs"/>
          <w:rtl/>
        </w:rPr>
        <w:t xml:space="preserve">2007، حينما </w:t>
      </w:r>
      <w:r w:rsidR="00DB2AB7">
        <w:rPr>
          <w:rFonts w:hint="cs"/>
          <w:rtl/>
        </w:rPr>
        <w:t>وافقت الجمعية على تعديل للفقرة</w:t>
      </w:r>
      <w:r w:rsidR="00DB2AB7">
        <w:rPr>
          <w:rFonts w:hint="eastAsia"/>
          <w:rtl/>
        </w:rPr>
        <w:t> </w:t>
      </w:r>
      <w:r w:rsidR="00DB2AB7">
        <w:rPr>
          <w:rFonts w:hint="cs"/>
          <w:rtl/>
        </w:rPr>
        <w:t>(1) من المادة</w:t>
      </w:r>
      <w:r w:rsidR="00DB2AB7">
        <w:rPr>
          <w:rFonts w:hint="eastAsia"/>
          <w:rtl/>
        </w:rPr>
        <w:t> </w:t>
      </w:r>
      <w:r w:rsidR="00DB2AB7">
        <w:rPr>
          <w:rFonts w:hint="cs"/>
          <w:rtl/>
        </w:rPr>
        <w:t>9</w:t>
      </w:r>
      <w:r w:rsidR="00DB2AB7" w:rsidRPr="00DB2AB7">
        <w:rPr>
          <w:rFonts w:hint="cs"/>
          <w:vertAlign w:val="superscript"/>
          <w:rtl/>
        </w:rPr>
        <w:t xml:space="preserve">(سادسا) </w:t>
      </w:r>
      <w:r w:rsidR="00DB2AB7">
        <w:rPr>
          <w:rFonts w:hint="cs"/>
          <w:rtl/>
        </w:rPr>
        <w:t>من البروتوكول، وبالتالي إلغاء بند الضمان. و</w:t>
      </w:r>
      <w:r w:rsidR="004B41EB">
        <w:rPr>
          <w:rFonts w:hint="cs"/>
          <w:rtl/>
        </w:rPr>
        <w:t>أرسِي</w:t>
      </w:r>
      <w:r w:rsidR="00DB2AB7">
        <w:rPr>
          <w:rFonts w:hint="cs"/>
          <w:rtl/>
        </w:rPr>
        <w:t>، في فقرة فرعية جديد</w:t>
      </w:r>
      <w:r w:rsidR="00DB2AB7">
        <w:rPr>
          <w:rFonts w:hint="eastAsia"/>
          <w:rtl/>
        </w:rPr>
        <w:t> </w:t>
      </w:r>
      <w:r w:rsidR="00DB2AB7">
        <w:rPr>
          <w:rFonts w:hint="cs"/>
          <w:rtl/>
        </w:rPr>
        <w:t xml:space="preserve">(أ)، المبدأ القاضي بأن البروتوكول هو الذي يسري وحده على كل العلاقات </w:t>
      </w:r>
      <w:r w:rsidR="005938FE">
        <w:rPr>
          <w:rFonts w:hint="cs"/>
          <w:rtl/>
        </w:rPr>
        <w:t xml:space="preserve">المتبادلة </w:t>
      </w:r>
      <w:r w:rsidR="00DB2AB7">
        <w:rPr>
          <w:rFonts w:hint="cs"/>
          <w:rtl/>
        </w:rPr>
        <w:t xml:space="preserve">بين الدول الملزَمة بالاتفاق والبروتوكول. كما قضت الجمعية، </w:t>
      </w:r>
      <w:r w:rsidR="005938FE">
        <w:rPr>
          <w:rFonts w:hint="cs"/>
          <w:rtl/>
        </w:rPr>
        <w:t>بموجب</w:t>
      </w:r>
      <w:r w:rsidR="00DB2AB7">
        <w:rPr>
          <w:rFonts w:hint="cs"/>
          <w:rtl/>
        </w:rPr>
        <w:t xml:space="preserve"> فقرة فرعية جديد</w:t>
      </w:r>
      <w:r w:rsidR="00DB2AB7">
        <w:rPr>
          <w:rFonts w:hint="eastAsia"/>
          <w:rtl/>
        </w:rPr>
        <w:t> </w:t>
      </w:r>
      <w:r w:rsidR="00DB2AB7">
        <w:rPr>
          <w:rFonts w:hint="cs"/>
          <w:rtl/>
        </w:rPr>
        <w:t xml:space="preserve">(ب)، بأن </w:t>
      </w:r>
      <w:r w:rsidR="005938FE">
        <w:rPr>
          <w:rFonts w:hint="cs"/>
          <w:rtl/>
        </w:rPr>
        <w:t>الإعلانات المُقدمة بناء على المادة</w:t>
      </w:r>
      <w:r w:rsidR="004B41EB">
        <w:rPr>
          <w:rFonts w:hint="eastAsia"/>
          <w:rtl/>
        </w:rPr>
        <w:t> </w:t>
      </w:r>
      <w:r w:rsidR="005938FE">
        <w:rPr>
          <w:rFonts w:hint="cs"/>
          <w:rtl/>
        </w:rPr>
        <w:t>5(2)(ب) والمادة</w:t>
      </w:r>
      <w:r w:rsidR="004B41EB">
        <w:rPr>
          <w:rFonts w:hint="eastAsia"/>
          <w:rtl/>
        </w:rPr>
        <w:t> </w:t>
      </w:r>
      <w:r w:rsidR="005938FE">
        <w:rPr>
          <w:rFonts w:hint="cs"/>
          <w:rtl/>
        </w:rPr>
        <w:t>5(2)(ج) والمادة</w:t>
      </w:r>
      <w:r w:rsidR="004B41EB">
        <w:rPr>
          <w:rFonts w:hint="eastAsia"/>
          <w:rtl/>
        </w:rPr>
        <w:t> </w:t>
      </w:r>
      <w:r w:rsidR="005938FE">
        <w:rPr>
          <w:rFonts w:hint="cs"/>
          <w:rtl/>
        </w:rPr>
        <w:t>8(7) لن تنطبق في تلك العلاقات المتبادلة.</w:t>
      </w:r>
    </w:p>
    <w:p w:rsidR="005938FE" w:rsidRDefault="005938FE" w:rsidP="004B41EB">
      <w:pPr>
        <w:pStyle w:val="NumberedParaAR"/>
        <w:rPr>
          <w:rFonts w:hint="cs"/>
        </w:rPr>
      </w:pPr>
      <w:r>
        <w:rPr>
          <w:rFonts w:hint="cs"/>
          <w:rtl/>
        </w:rPr>
        <w:t>واتُخذت الخطوة الثانية في اتجاه النظام القائم على معاهدة واحدة في 31</w:t>
      </w:r>
      <w:r w:rsidR="004B41EB">
        <w:rPr>
          <w:rFonts w:hint="eastAsia"/>
          <w:rtl/>
        </w:rPr>
        <w:t> </w:t>
      </w:r>
      <w:r>
        <w:rPr>
          <w:rFonts w:hint="cs"/>
          <w:rtl/>
        </w:rPr>
        <w:t>أكتوبر</w:t>
      </w:r>
      <w:r w:rsidR="004B41EB">
        <w:rPr>
          <w:rFonts w:hint="eastAsia"/>
          <w:rtl/>
        </w:rPr>
        <w:t> </w:t>
      </w:r>
      <w:r>
        <w:rPr>
          <w:rFonts w:hint="cs"/>
          <w:rtl/>
        </w:rPr>
        <w:t>2015، حينما أصبحت الجزائر</w:t>
      </w:r>
      <w:r w:rsidRPr="005938FE">
        <w:rPr>
          <w:rFonts w:hint="cs"/>
          <w:rtl/>
        </w:rPr>
        <w:t xml:space="preserve"> </w:t>
      </w:r>
      <w:r>
        <w:rPr>
          <w:rFonts w:hint="cs"/>
          <w:rtl/>
        </w:rPr>
        <w:t>ملزمَة بالبروتكول أيضا</w:t>
      </w:r>
      <w:r>
        <w:rPr>
          <w:rFonts w:hint="cs"/>
          <w:rtl/>
        </w:rPr>
        <w:t>، بعدما كانت آخر بلد بقي ملزَما بالاتفاق</w:t>
      </w:r>
      <w:r w:rsidRPr="005938FE">
        <w:rPr>
          <w:rFonts w:hint="cs"/>
          <w:rtl/>
        </w:rPr>
        <w:t xml:space="preserve"> </w:t>
      </w:r>
      <w:r>
        <w:rPr>
          <w:rFonts w:hint="cs"/>
          <w:rtl/>
        </w:rPr>
        <w:t>فقط</w:t>
      </w:r>
      <w:r>
        <w:rPr>
          <w:rFonts w:hint="cs"/>
          <w:rtl/>
        </w:rPr>
        <w:t>.</w:t>
      </w:r>
    </w:p>
    <w:p w:rsidR="005938FE" w:rsidRDefault="005938FE" w:rsidP="004B41EB">
      <w:pPr>
        <w:pStyle w:val="NumberedParaAR"/>
        <w:rPr>
          <w:rFonts w:hint="cs"/>
        </w:rPr>
      </w:pPr>
      <w:r>
        <w:rPr>
          <w:rFonts w:hint="cs"/>
          <w:rtl/>
        </w:rPr>
        <w:t>وفي نوفمبر</w:t>
      </w:r>
      <w:r w:rsidR="009F2E1E">
        <w:rPr>
          <w:rFonts w:hint="eastAsia"/>
          <w:rtl/>
        </w:rPr>
        <w:t> </w:t>
      </w:r>
      <w:r>
        <w:rPr>
          <w:rFonts w:hint="cs"/>
          <w:rtl/>
        </w:rPr>
        <w:t xml:space="preserve">2015، ناقش الفريق العامل الخطوة الثالثة والأخيرة من الخطة بغرض الحفاظ على الوضع </w:t>
      </w:r>
      <w:r w:rsidR="009F2E1E">
        <w:rPr>
          <w:rFonts w:hint="cs"/>
          <w:rtl/>
        </w:rPr>
        <w:t xml:space="preserve">الراهن المتمثّل في نظام </w:t>
      </w:r>
      <w:r>
        <w:rPr>
          <w:rFonts w:hint="cs"/>
          <w:rtl/>
        </w:rPr>
        <w:t>قائم على معاهدة واحدة</w:t>
      </w:r>
      <w:r w:rsidR="009F2E1E">
        <w:rPr>
          <w:rFonts w:hint="cs"/>
          <w:rtl/>
        </w:rPr>
        <w:t xml:space="preserve">. وأوصى الفريق العامل بأن </w:t>
      </w:r>
      <w:r w:rsidR="009F2E1E" w:rsidRPr="009F2E1E">
        <w:rPr>
          <w:rFonts w:hint="cs"/>
          <w:rtl/>
        </w:rPr>
        <w:t xml:space="preserve">تتخذ </w:t>
      </w:r>
      <w:r w:rsidR="009F2E1E">
        <w:rPr>
          <w:rFonts w:hint="cs"/>
          <w:rtl/>
        </w:rPr>
        <w:t>الجمعية</w:t>
      </w:r>
      <w:r w:rsidR="009F2E1E" w:rsidRPr="009F2E1E">
        <w:rPr>
          <w:rFonts w:hint="cs"/>
          <w:rtl/>
        </w:rPr>
        <w:t>، في دورتها القادمة</w:t>
      </w:r>
      <w:r w:rsidR="009F2E1E">
        <w:rPr>
          <w:rFonts w:hint="cs"/>
          <w:rtl/>
        </w:rPr>
        <w:t xml:space="preserve"> في عام</w:t>
      </w:r>
      <w:r w:rsidR="004B41EB">
        <w:rPr>
          <w:rFonts w:hint="eastAsia"/>
          <w:rtl/>
        </w:rPr>
        <w:t> </w:t>
      </w:r>
      <w:r w:rsidR="009F2E1E">
        <w:rPr>
          <w:rFonts w:hint="cs"/>
          <w:rtl/>
        </w:rPr>
        <w:t>2016</w:t>
      </w:r>
      <w:r w:rsidR="009F2E1E" w:rsidRPr="009F2E1E">
        <w:rPr>
          <w:rFonts w:hint="cs"/>
          <w:rtl/>
        </w:rPr>
        <w:t xml:space="preserve">، </w:t>
      </w:r>
      <w:r w:rsidR="009F2E1E">
        <w:rPr>
          <w:rFonts w:hint="cs"/>
          <w:rtl/>
        </w:rPr>
        <w:t>"</w:t>
      </w:r>
      <w:r w:rsidR="009F2E1E" w:rsidRPr="009F2E1E">
        <w:rPr>
          <w:rFonts w:hint="cs"/>
          <w:rtl/>
        </w:rPr>
        <w:t>التدابير اللازمة للحيلولة دون حالات الانضمام إلى اتفاق مدريد وحده والتمس من المكتب الدولي أن يقترح على الجمعية المذكورة التدبير الأنسب.</w:t>
      </w:r>
      <w:r w:rsidR="009F2E1E">
        <w:rPr>
          <w:rFonts w:hint="cs"/>
          <w:rtl/>
        </w:rPr>
        <w:t>"</w:t>
      </w:r>
    </w:p>
    <w:p w:rsidR="009F2E1E" w:rsidRDefault="009F2E1E" w:rsidP="008C7788">
      <w:pPr>
        <w:pStyle w:val="NumberedParaAR"/>
        <w:rPr>
          <w:rFonts w:hint="cs"/>
        </w:rPr>
      </w:pPr>
      <w:r>
        <w:rPr>
          <w:rFonts w:hint="cs"/>
          <w:rtl/>
        </w:rPr>
        <w:t>وناقش الفريق العامل تدبيرين محتملين لبلوغ ذلك الهدف وهما:</w:t>
      </w:r>
    </w:p>
    <w:p w:rsidR="009F2E1E" w:rsidRDefault="009F2E1E" w:rsidP="00BB3EC4">
      <w:pPr>
        <w:pStyle w:val="NormalParaAR"/>
        <w:ind w:left="566"/>
        <w:rPr>
          <w:rFonts w:hint="cs"/>
          <w:rtl/>
        </w:rPr>
      </w:pPr>
      <w:r>
        <w:rPr>
          <w:rFonts w:hint="cs"/>
          <w:rtl/>
        </w:rPr>
        <w:t>"1"</w:t>
      </w:r>
      <w:r>
        <w:rPr>
          <w:rtl/>
        </w:rPr>
        <w:tab/>
      </w:r>
      <w:r w:rsidR="008C7788">
        <w:rPr>
          <w:rFonts w:hint="cs"/>
          <w:rtl/>
        </w:rPr>
        <w:t xml:space="preserve">أن </w:t>
      </w:r>
      <w:r w:rsidR="00BB3EC4">
        <w:rPr>
          <w:rFonts w:hint="cs"/>
          <w:rtl/>
        </w:rPr>
        <w:t>توجه الجمعية تعليمات إلى المدير العام للمنظمة العالمية للملكية الفكرية (الويبو) بأن لا يقبل أي انضمام آخر إلى الاتفاق وحده؛</w:t>
      </w:r>
    </w:p>
    <w:p w:rsidR="008C7788" w:rsidRDefault="00BB3EC4" w:rsidP="008C7788">
      <w:pPr>
        <w:pStyle w:val="NormalParaAR"/>
        <w:ind w:left="566"/>
        <w:rPr>
          <w:rtl/>
        </w:rPr>
      </w:pPr>
      <w:r>
        <w:rPr>
          <w:rFonts w:hint="cs"/>
          <w:rtl/>
        </w:rPr>
        <w:t>"2"</w:t>
      </w:r>
      <w:r>
        <w:rPr>
          <w:rtl/>
        </w:rPr>
        <w:tab/>
      </w:r>
      <w:r>
        <w:rPr>
          <w:rFonts w:hint="cs"/>
          <w:rtl/>
        </w:rPr>
        <w:t>وأن تقرّر الجمعية "تجميد" تطبيق المادة</w:t>
      </w:r>
      <w:r w:rsidR="008C7788">
        <w:rPr>
          <w:rFonts w:hint="eastAsia"/>
          <w:rtl/>
        </w:rPr>
        <w:t> </w:t>
      </w:r>
      <w:r>
        <w:rPr>
          <w:rFonts w:hint="cs"/>
          <w:rtl/>
        </w:rPr>
        <w:t>14(1) و2(أ) من الاتفاق.</w:t>
      </w:r>
    </w:p>
    <w:p w:rsidR="008C7788" w:rsidRDefault="008C7788" w:rsidP="0086326A">
      <w:pPr>
        <w:pStyle w:val="NumberedParaAR"/>
        <w:rPr>
          <w:rFonts w:hint="cs"/>
        </w:rPr>
      </w:pPr>
      <w:r>
        <w:rPr>
          <w:rtl/>
        </w:rPr>
        <w:br w:type="page"/>
      </w:r>
      <w:r>
        <w:rPr>
          <w:rFonts w:hint="cs"/>
          <w:rtl/>
        </w:rPr>
        <w:t xml:space="preserve">ونظر المكتب الدولي بإمعان في الخيار الأول، وهو </w:t>
      </w:r>
      <w:r w:rsidR="00C04B7F" w:rsidRPr="00C04B7F">
        <w:rPr>
          <w:rFonts w:hint="cs"/>
          <w:rtl/>
        </w:rPr>
        <w:t xml:space="preserve">أن توجه الجمعية تعليمات إلى المدير </w:t>
      </w:r>
      <w:r w:rsidR="00C04B7F">
        <w:rPr>
          <w:rFonts w:hint="cs"/>
          <w:rtl/>
        </w:rPr>
        <w:t xml:space="preserve">العام </w:t>
      </w:r>
      <w:proofErr w:type="spellStart"/>
      <w:r w:rsidR="00C04B7F">
        <w:rPr>
          <w:rFonts w:hint="cs"/>
          <w:rtl/>
        </w:rPr>
        <w:t>للويبو</w:t>
      </w:r>
      <w:proofErr w:type="spellEnd"/>
      <w:r w:rsidR="00C04B7F" w:rsidRPr="00C04B7F">
        <w:rPr>
          <w:rFonts w:hint="cs"/>
          <w:rtl/>
        </w:rPr>
        <w:t xml:space="preserve"> بأن لا يقبل أي انضمام آخر إلى الاتفاق وحده</w:t>
      </w:r>
      <w:r w:rsidR="00C04B7F">
        <w:rPr>
          <w:rFonts w:hint="cs"/>
          <w:rtl/>
        </w:rPr>
        <w:t>. ويرى المكتب الدولي بأن المدير العام ملز</w:t>
      </w:r>
      <w:r w:rsidR="0035394A">
        <w:rPr>
          <w:rFonts w:hint="cs"/>
          <w:rtl/>
        </w:rPr>
        <w:t>َ</w:t>
      </w:r>
      <w:r w:rsidR="00C04B7F">
        <w:rPr>
          <w:rFonts w:hint="cs"/>
          <w:rtl/>
        </w:rPr>
        <w:t xml:space="preserve">م، بالنظر إلى القانون الدولي العام وبصفته أمين الإيداع، </w:t>
      </w:r>
      <w:r w:rsidR="0086326A">
        <w:rPr>
          <w:rFonts w:hint="cs"/>
          <w:rtl/>
        </w:rPr>
        <w:t>ب</w:t>
      </w:r>
      <w:r w:rsidR="00C04B7F">
        <w:rPr>
          <w:rFonts w:hint="cs"/>
          <w:rtl/>
        </w:rPr>
        <w:t xml:space="preserve">أن يلتزم الحياد؛ </w:t>
      </w:r>
      <w:r w:rsidR="0086326A">
        <w:rPr>
          <w:rFonts w:hint="cs"/>
          <w:rtl/>
        </w:rPr>
        <w:t>مما يستبعد</w:t>
      </w:r>
      <w:r w:rsidR="0035394A">
        <w:rPr>
          <w:rFonts w:hint="cs"/>
          <w:rtl/>
        </w:rPr>
        <w:t xml:space="preserve"> عادة رفض إيداع وثائق الانضمام، وبالتالي فإن المكتب الدولي لا يرى </w:t>
      </w:r>
      <w:r w:rsidR="0086326A">
        <w:rPr>
          <w:rFonts w:hint="cs"/>
          <w:rtl/>
        </w:rPr>
        <w:t xml:space="preserve">أنه </w:t>
      </w:r>
      <w:r w:rsidR="0035394A">
        <w:rPr>
          <w:rFonts w:hint="cs"/>
          <w:rtl/>
        </w:rPr>
        <w:t xml:space="preserve">من </w:t>
      </w:r>
      <w:proofErr w:type="spellStart"/>
      <w:r w:rsidR="0035394A">
        <w:rPr>
          <w:rFonts w:hint="cs"/>
          <w:rtl/>
        </w:rPr>
        <w:t>المستصوب</w:t>
      </w:r>
      <w:proofErr w:type="spellEnd"/>
      <w:r w:rsidR="0035394A">
        <w:rPr>
          <w:rFonts w:hint="cs"/>
          <w:rtl/>
        </w:rPr>
        <w:t xml:space="preserve"> تقديم ذلك الاقتراح إلى الجمعية.</w:t>
      </w:r>
    </w:p>
    <w:p w:rsidR="0035394A" w:rsidRDefault="0035394A" w:rsidP="0086326A">
      <w:pPr>
        <w:pStyle w:val="NumberedParaAR"/>
        <w:rPr>
          <w:rFonts w:hint="cs"/>
        </w:rPr>
      </w:pPr>
      <w:r>
        <w:rPr>
          <w:rFonts w:hint="cs"/>
          <w:rtl/>
        </w:rPr>
        <w:t xml:space="preserve">وحظي الاقتراح الثاني، وهو أن </w:t>
      </w:r>
      <w:r w:rsidR="00F24D50" w:rsidRPr="00F24D50">
        <w:rPr>
          <w:rFonts w:hint="cs"/>
          <w:rtl/>
        </w:rPr>
        <w:t>تقرّر الجمعية "تجميد" تطبيق المادة</w:t>
      </w:r>
      <w:r w:rsidR="00F24D50" w:rsidRPr="00F24D50">
        <w:rPr>
          <w:rFonts w:hint="eastAsia"/>
          <w:rtl/>
        </w:rPr>
        <w:t> </w:t>
      </w:r>
      <w:r w:rsidR="00F24D50" w:rsidRPr="00F24D50">
        <w:rPr>
          <w:rFonts w:hint="cs"/>
          <w:rtl/>
        </w:rPr>
        <w:t>14(1) و2(أ) من الاتفاق</w:t>
      </w:r>
      <w:r w:rsidR="00F24D50">
        <w:rPr>
          <w:rFonts w:hint="cs"/>
          <w:rtl/>
        </w:rPr>
        <w:t xml:space="preserve">، بتأييد عدد من الوفود خلال مناقشات الفريق العامل، وهو يتوافق مع القانون الدولي العام وله العديد من السوابق في الويبو. وعلاوة على ذلك، </w:t>
      </w:r>
      <w:r w:rsidR="00A464A4">
        <w:rPr>
          <w:rFonts w:hint="cs"/>
          <w:rtl/>
        </w:rPr>
        <w:t xml:space="preserve">فإن </w:t>
      </w:r>
      <w:r w:rsidR="00A464A4">
        <w:rPr>
          <w:rFonts w:hint="cs"/>
          <w:rtl/>
        </w:rPr>
        <w:t xml:space="preserve">ذلك الخيار </w:t>
      </w:r>
      <w:r w:rsidR="00A464A4">
        <w:rPr>
          <w:rFonts w:hint="cs"/>
          <w:rtl/>
        </w:rPr>
        <w:t xml:space="preserve">عُبِّر عنه </w:t>
      </w:r>
      <w:r w:rsidR="00A464A4">
        <w:rPr>
          <w:rFonts w:hint="cs"/>
          <w:rtl/>
        </w:rPr>
        <w:t xml:space="preserve">بوضوح </w:t>
      </w:r>
      <w:r w:rsidR="00A464A4">
        <w:rPr>
          <w:rFonts w:hint="cs"/>
          <w:rtl/>
        </w:rPr>
        <w:t>في الخطة المذكورة التي وضعها الفريق العامل و</w:t>
      </w:r>
      <w:r w:rsidR="0086326A">
        <w:rPr>
          <w:rFonts w:hint="cs"/>
          <w:rtl/>
        </w:rPr>
        <w:t xml:space="preserve">نال </w:t>
      </w:r>
      <w:r w:rsidR="00A464A4">
        <w:rPr>
          <w:rFonts w:hint="cs"/>
          <w:rtl/>
        </w:rPr>
        <w:t>تأييد الجمعية. وبموجب ذلك الخيار، ستقرّر الجمعية  تجميد تطبيق المادة</w:t>
      </w:r>
      <w:r w:rsidR="0086326A">
        <w:rPr>
          <w:rFonts w:hint="eastAsia"/>
          <w:rtl/>
        </w:rPr>
        <w:t> </w:t>
      </w:r>
      <w:r w:rsidR="00A464A4">
        <w:rPr>
          <w:rFonts w:hint="cs"/>
          <w:rtl/>
        </w:rPr>
        <w:t>14(1) و(2)(أ)، اعتبارا من تاريخ ذلك القرار، بما سيفضي إلى الآثار التالية:</w:t>
      </w:r>
    </w:p>
    <w:p w:rsidR="00A464A4" w:rsidRDefault="0086326A" w:rsidP="00A464A4">
      <w:pPr>
        <w:pStyle w:val="NormalParaAR"/>
        <w:ind w:left="566"/>
        <w:rPr>
          <w:rFonts w:hint="cs"/>
          <w:rtl/>
        </w:rPr>
      </w:pPr>
      <w:r>
        <w:rPr>
          <w:rFonts w:hint="cs"/>
          <w:rtl/>
        </w:rPr>
        <w:t>"1"</w:t>
      </w:r>
      <w:r w:rsidR="00A464A4">
        <w:rPr>
          <w:rtl/>
        </w:rPr>
        <w:tab/>
      </w:r>
      <w:r w:rsidR="00A464A4">
        <w:rPr>
          <w:rFonts w:hint="cs"/>
          <w:rtl/>
        </w:rPr>
        <w:t>لا يمكن للأطراف المتعاقدة الجديدة التصديق على الاتفاق وحده أو الانضمام إليه ولكن يمكنها التصديق على الاتفاق والبروتوكول والانضمام إليهما في آن واحد؛</w:t>
      </w:r>
    </w:p>
    <w:p w:rsidR="00A464A4" w:rsidRDefault="0086326A" w:rsidP="0086326A">
      <w:pPr>
        <w:pStyle w:val="NormalParaAR"/>
        <w:ind w:left="566"/>
        <w:rPr>
          <w:rFonts w:hint="cs"/>
          <w:rtl/>
        </w:rPr>
      </w:pPr>
      <w:r>
        <w:rPr>
          <w:rFonts w:hint="cs"/>
          <w:rtl/>
        </w:rPr>
        <w:t>"</w:t>
      </w:r>
      <w:r w:rsidR="00A464A4">
        <w:rPr>
          <w:rFonts w:hint="cs"/>
          <w:rtl/>
        </w:rPr>
        <w:t>2</w:t>
      </w:r>
      <w:r>
        <w:rPr>
          <w:rFonts w:hint="cs"/>
          <w:rtl/>
        </w:rPr>
        <w:t>"</w:t>
      </w:r>
      <w:r w:rsidR="00A464A4">
        <w:rPr>
          <w:rtl/>
        </w:rPr>
        <w:tab/>
      </w:r>
      <w:r w:rsidR="00D36C96">
        <w:rPr>
          <w:rFonts w:hint="cs"/>
          <w:rtl/>
        </w:rPr>
        <w:t>و</w:t>
      </w:r>
      <w:r w:rsidR="00A464A4">
        <w:rPr>
          <w:rFonts w:hint="cs"/>
          <w:rtl/>
        </w:rPr>
        <w:t>يمكن للبلدان التي هي أطراف متعاقدة بموجب البروتوكول الانضمام إلى الاتفاق؛</w:t>
      </w:r>
    </w:p>
    <w:p w:rsidR="00A464A4" w:rsidRDefault="0086326A" w:rsidP="0086326A">
      <w:pPr>
        <w:pStyle w:val="NormalParaAR"/>
        <w:ind w:left="566"/>
        <w:rPr>
          <w:rFonts w:hint="cs"/>
          <w:rtl/>
        </w:rPr>
      </w:pPr>
      <w:r>
        <w:rPr>
          <w:rFonts w:hint="cs"/>
          <w:rtl/>
        </w:rPr>
        <w:t>"</w:t>
      </w:r>
      <w:r w:rsidR="00A464A4">
        <w:rPr>
          <w:rFonts w:hint="cs"/>
          <w:rtl/>
        </w:rPr>
        <w:t>3</w:t>
      </w:r>
      <w:r>
        <w:rPr>
          <w:rFonts w:hint="cs"/>
          <w:rtl/>
        </w:rPr>
        <w:t>"</w:t>
      </w:r>
      <w:r w:rsidR="00A464A4">
        <w:rPr>
          <w:rtl/>
        </w:rPr>
        <w:tab/>
      </w:r>
      <w:r w:rsidR="00D36C96">
        <w:rPr>
          <w:rFonts w:hint="cs"/>
          <w:rtl/>
        </w:rPr>
        <w:t>و</w:t>
      </w:r>
      <w:r w:rsidR="00A464A4">
        <w:rPr>
          <w:rFonts w:hint="cs"/>
          <w:rtl/>
        </w:rPr>
        <w:t xml:space="preserve">لا يمكن </w:t>
      </w:r>
      <w:r w:rsidR="00D36C96">
        <w:rPr>
          <w:rFonts w:hint="cs"/>
          <w:rtl/>
        </w:rPr>
        <w:t>أن تودع ا</w:t>
      </w:r>
      <w:r w:rsidR="00A464A4">
        <w:rPr>
          <w:rFonts w:hint="cs"/>
          <w:rtl/>
        </w:rPr>
        <w:t xml:space="preserve">لطلبات الدولية </w:t>
      </w:r>
      <w:r w:rsidR="00D36C96">
        <w:rPr>
          <w:rFonts w:hint="cs"/>
          <w:rtl/>
        </w:rPr>
        <w:t>بعد ذلك بناء على الاتفاق؛</w:t>
      </w:r>
    </w:p>
    <w:p w:rsidR="00D36C96" w:rsidRDefault="0086326A" w:rsidP="0086326A">
      <w:pPr>
        <w:pStyle w:val="NormalParaAR"/>
        <w:ind w:left="566"/>
        <w:rPr>
          <w:rFonts w:hint="cs"/>
          <w:rtl/>
        </w:rPr>
      </w:pPr>
      <w:r>
        <w:rPr>
          <w:rFonts w:hint="cs"/>
          <w:rtl/>
        </w:rPr>
        <w:t>"</w:t>
      </w:r>
      <w:r w:rsidR="00D36C96">
        <w:rPr>
          <w:rFonts w:hint="cs"/>
          <w:rtl/>
        </w:rPr>
        <w:t>4</w:t>
      </w:r>
      <w:r>
        <w:rPr>
          <w:rFonts w:hint="cs"/>
          <w:rtl/>
        </w:rPr>
        <w:t>"</w:t>
      </w:r>
      <w:r w:rsidR="00D36C96">
        <w:rPr>
          <w:rtl/>
        </w:rPr>
        <w:tab/>
      </w:r>
      <w:r w:rsidR="00D36C96">
        <w:rPr>
          <w:rFonts w:hint="cs"/>
          <w:rtl/>
        </w:rPr>
        <w:t>ولن تُجرى أي</w:t>
      </w:r>
      <w:r>
        <w:rPr>
          <w:rFonts w:hint="cs"/>
          <w:rtl/>
        </w:rPr>
        <w:t>ة</w:t>
      </w:r>
      <w:r w:rsidR="00D36C96">
        <w:rPr>
          <w:rFonts w:hint="cs"/>
          <w:rtl/>
        </w:rPr>
        <w:t xml:space="preserve"> عمليات بناء على الاتفاق، بما في ذلك تقديم تعيينات لاح</w:t>
      </w:r>
      <w:bookmarkStart w:id="2" w:name="_GoBack"/>
      <w:bookmarkEnd w:id="2"/>
      <w:r w:rsidR="00D36C96">
        <w:rPr>
          <w:rFonts w:hint="cs"/>
          <w:rtl/>
        </w:rPr>
        <w:t>قة؛</w:t>
      </w:r>
    </w:p>
    <w:p w:rsidR="00D36C96" w:rsidRDefault="0086326A" w:rsidP="0086326A">
      <w:pPr>
        <w:pStyle w:val="NormalParaAR"/>
        <w:ind w:left="566"/>
        <w:rPr>
          <w:rFonts w:hint="cs"/>
          <w:rtl/>
        </w:rPr>
      </w:pPr>
      <w:r>
        <w:rPr>
          <w:rFonts w:hint="cs"/>
          <w:rtl/>
        </w:rPr>
        <w:t>"</w:t>
      </w:r>
      <w:r w:rsidR="00D36C96">
        <w:rPr>
          <w:rFonts w:hint="cs"/>
          <w:rtl/>
        </w:rPr>
        <w:t>5</w:t>
      </w:r>
      <w:r>
        <w:rPr>
          <w:rFonts w:hint="cs"/>
          <w:rtl/>
        </w:rPr>
        <w:t>"</w:t>
      </w:r>
      <w:r w:rsidR="00D36C96">
        <w:rPr>
          <w:rtl/>
        </w:rPr>
        <w:tab/>
      </w:r>
      <w:r w:rsidR="00D36C96">
        <w:rPr>
          <w:rFonts w:hint="cs"/>
          <w:rtl/>
        </w:rPr>
        <w:t>وستظلّ المادة</w:t>
      </w:r>
      <w:r w:rsidR="00D36C96">
        <w:rPr>
          <w:rFonts w:hint="eastAsia"/>
          <w:rtl/>
        </w:rPr>
        <w:t> </w:t>
      </w:r>
      <w:r w:rsidR="00D36C96">
        <w:rPr>
          <w:rFonts w:hint="cs"/>
          <w:rtl/>
        </w:rPr>
        <w:t>9</w:t>
      </w:r>
      <w:r w:rsidR="00D36C96" w:rsidRPr="00D36C96">
        <w:rPr>
          <w:rFonts w:hint="cs"/>
          <w:vertAlign w:val="superscript"/>
          <w:rtl/>
        </w:rPr>
        <w:t>(سادسا)</w:t>
      </w:r>
      <w:r w:rsidR="00D36C96">
        <w:rPr>
          <w:rFonts w:hint="cs"/>
          <w:rtl/>
        </w:rPr>
        <w:t>(1)(ب) من البروتوكول سارية على العلاقات المتبادلة بين الأطراف المتعاقد</w:t>
      </w:r>
      <w:r w:rsidR="004B41EB">
        <w:rPr>
          <w:rFonts w:hint="cs"/>
          <w:rtl/>
        </w:rPr>
        <w:t>ة الملزَمة بالاتفاق والبروتوكول</w:t>
      </w:r>
      <w:r w:rsidR="00D36C96">
        <w:rPr>
          <w:rFonts w:hint="cs"/>
          <w:rtl/>
        </w:rPr>
        <w:t>؛</w:t>
      </w:r>
    </w:p>
    <w:p w:rsidR="002A35AF" w:rsidRDefault="00D36C96" w:rsidP="00D36C96">
      <w:pPr>
        <w:pStyle w:val="NormalParaAR"/>
        <w:ind w:left="566"/>
        <w:rPr>
          <w:rtl/>
        </w:rPr>
      </w:pPr>
      <w:r>
        <w:rPr>
          <w:rFonts w:hint="cs"/>
          <w:rtl/>
        </w:rPr>
        <w:t>"6"</w:t>
      </w:r>
      <w:r>
        <w:rPr>
          <w:rtl/>
        </w:rPr>
        <w:tab/>
      </w:r>
      <w:r>
        <w:rPr>
          <w:rFonts w:hint="cs"/>
          <w:rtl/>
        </w:rPr>
        <w:t>ويمكن للجمعية مواصلة التعامل مع كل المسائل المرتبطة بتنفيذ الاتفاق والرجوع، في أي وقت بعد ذلك، إلى قرارها القاضي بتجميد تطبيق المادة</w:t>
      </w:r>
      <w:r>
        <w:rPr>
          <w:rFonts w:hint="eastAsia"/>
          <w:rtl/>
        </w:rPr>
        <w:t> </w:t>
      </w:r>
      <w:r>
        <w:rPr>
          <w:rFonts w:hint="cs"/>
          <w:rtl/>
        </w:rPr>
        <w:t>14(1) و2(أ) من الاتفاق.</w:t>
      </w:r>
    </w:p>
    <w:p w:rsidR="002A35AF" w:rsidRDefault="002A35AF">
      <w:pPr>
        <w:rPr>
          <w:rFonts w:ascii="Arabic Typesetting" w:hAnsi="Arabic Typesetting" w:cs="Arabic Typesetting"/>
          <w:sz w:val="36"/>
          <w:szCs w:val="36"/>
          <w:rtl/>
        </w:rPr>
      </w:pPr>
      <w:r>
        <w:rPr>
          <w:rtl/>
        </w:rPr>
        <w:br w:type="page"/>
      </w:r>
    </w:p>
    <w:p w:rsidR="00D36C96" w:rsidRDefault="00D36C96" w:rsidP="002A35AF">
      <w:pPr>
        <w:pStyle w:val="NumberedParaAR"/>
        <w:rPr>
          <w:rFonts w:hint="cs"/>
        </w:rPr>
      </w:pPr>
      <w:r>
        <w:rPr>
          <w:rFonts w:hint="cs"/>
          <w:rtl/>
        </w:rPr>
        <w:t xml:space="preserve">وطلب الفريق العامل من المكتب الدولي أن يقترح على الجمعية </w:t>
      </w:r>
      <w:r w:rsidR="002A35AF">
        <w:rPr>
          <w:rFonts w:hint="cs"/>
          <w:rtl/>
        </w:rPr>
        <w:t>التدبير</w:t>
      </w:r>
      <w:r>
        <w:rPr>
          <w:rFonts w:hint="cs"/>
          <w:rtl/>
        </w:rPr>
        <w:t xml:space="preserve"> الأنسب. وبعد النظر بإمعان في الخيارين المتاحين، يقترح المكتب الدولي أن تتخذ الجمعية قرار تجميد تطبيق </w:t>
      </w:r>
      <w:r w:rsidRPr="00D36C96">
        <w:rPr>
          <w:rFonts w:hint="cs"/>
          <w:rtl/>
        </w:rPr>
        <w:t>المادة</w:t>
      </w:r>
      <w:r w:rsidRPr="00D36C96">
        <w:rPr>
          <w:rFonts w:hint="eastAsia"/>
          <w:rtl/>
        </w:rPr>
        <w:t> </w:t>
      </w:r>
      <w:r w:rsidRPr="00D36C96">
        <w:rPr>
          <w:rFonts w:hint="cs"/>
          <w:rtl/>
        </w:rPr>
        <w:t>14(1) و2(أ) من الاتفاق</w:t>
      </w:r>
      <w:r w:rsidR="002A35AF">
        <w:rPr>
          <w:rFonts w:hint="cs"/>
          <w:rtl/>
        </w:rPr>
        <w:t xml:space="preserve">، باعتباره التدبير </w:t>
      </w:r>
      <w:proofErr w:type="spellStart"/>
      <w:r w:rsidR="002A35AF">
        <w:rPr>
          <w:rFonts w:hint="cs"/>
          <w:rtl/>
        </w:rPr>
        <w:t>الأنجع</w:t>
      </w:r>
      <w:proofErr w:type="spellEnd"/>
      <w:r w:rsidR="002A35AF">
        <w:rPr>
          <w:rFonts w:hint="cs"/>
          <w:rtl/>
        </w:rPr>
        <w:t xml:space="preserve"> </w:t>
      </w:r>
      <w:r w:rsidR="0086326A">
        <w:rPr>
          <w:rFonts w:hint="cs"/>
          <w:rtl/>
        </w:rPr>
        <w:t xml:space="preserve">لضمان توحيد نظام مدريد لجعله </w:t>
      </w:r>
      <w:r w:rsidR="002A35AF">
        <w:rPr>
          <w:rFonts w:hint="cs"/>
          <w:rtl/>
        </w:rPr>
        <w:t>نظام</w:t>
      </w:r>
      <w:r w:rsidR="0086326A">
        <w:rPr>
          <w:rFonts w:hint="cs"/>
          <w:rtl/>
        </w:rPr>
        <w:t>ا</w:t>
      </w:r>
      <w:r w:rsidR="002A35AF">
        <w:rPr>
          <w:rFonts w:hint="cs"/>
          <w:rtl/>
        </w:rPr>
        <w:t xml:space="preserve"> قائم</w:t>
      </w:r>
      <w:r w:rsidR="0086326A">
        <w:rPr>
          <w:rFonts w:hint="cs"/>
          <w:rtl/>
        </w:rPr>
        <w:t>ا</w:t>
      </w:r>
      <w:r w:rsidR="002A35AF">
        <w:rPr>
          <w:rFonts w:hint="cs"/>
          <w:rtl/>
        </w:rPr>
        <w:t xml:space="preserve"> على معاهدة واحدة.</w:t>
      </w:r>
    </w:p>
    <w:p w:rsidR="002A35AF" w:rsidRDefault="002A35AF" w:rsidP="002A35AF">
      <w:pPr>
        <w:pStyle w:val="DecisionParaAR"/>
        <w:rPr>
          <w:rFonts w:hint="cs"/>
        </w:rPr>
      </w:pPr>
      <w:r>
        <w:rPr>
          <w:rFonts w:hint="cs"/>
          <w:rtl/>
        </w:rPr>
        <w:t>إن الجمعية مدعوة إلى ما يلي:</w:t>
      </w:r>
    </w:p>
    <w:p w:rsidR="002A35AF" w:rsidRDefault="002A35AF" w:rsidP="002A35AF">
      <w:pPr>
        <w:pStyle w:val="DecisionParaAR"/>
        <w:numPr>
          <w:ilvl w:val="0"/>
          <w:numId w:val="0"/>
        </w:numPr>
        <w:ind w:left="6236"/>
        <w:rPr>
          <w:rFonts w:hint="cs"/>
          <w:rtl/>
        </w:rPr>
      </w:pPr>
      <w:r>
        <w:rPr>
          <w:rFonts w:hint="cs"/>
          <w:rtl/>
        </w:rPr>
        <w:t>"1"</w:t>
      </w:r>
      <w:r>
        <w:rPr>
          <w:rtl/>
        </w:rPr>
        <w:tab/>
      </w:r>
      <w:r>
        <w:rPr>
          <w:rFonts w:hint="cs"/>
          <w:rtl/>
        </w:rPr>
        <w:t xml:space="preserve">النظر في الاقتراحات المُقدمة في الوثيقة </w:t>
      </w:r>
      <w:proofErr w:type="spellStart"/>
      <w:r>
        <w:rPr>
          <w:rFonts w:hint="cs"/>
          <w:rtl/>
        </w:rPr>
        <w:t>المعنونة</w:t>
      </w:r>
      <w:proofErr w:type="spellEnd"/>
      <w:r>
        <w:rPr>
          <w:rFonts w:hint="cs"/>
          <w:rtl/>
        </w:rPr>
        <w:t xml:space="preserve"> "</w:t>
      </w:r>
      <w:r w:rsidRPr="002A35AF">
        <w:rPr>
          <w:rtl/>
        </w:rPr>
        <w:t>اقتراح بشأن حالات الانضمام إلى اتفاق مدريد وحده</w:t>
      </w:r>
      <w:r>
        <w:rPr>
          <w:rFonts w:hint="cs"/>
          <w:rtl/>
        </w:rPr>
        <w:t>" (الوثيقة</w:t>
      </w:r>
      <w:r>
        <w:rPr>
          <w:rFonts w:hint="eastAsia"/>
          <w:rtl/>
        </w:rPr>
        <w:t> </w:t>
      </w:r>
      <w:r w:rsidRPr="002A35AF">
        <w:t>MM/A/50/3</w:t>
      </w:r>
      <w:r>
        <w:rPr>
          <w:rFonts w:hint="cs"/>
          <w:rtl/>
        </w:rPr>
        <w:t>)،</w:t>
      </w:r>
    </w:p>
    <w:p w:rsidR="002A35AF" w:rsidRDefault="002A35AF" w:rsidP="008F4701">
      <w:pPr>
        <w:pStyle w:val="DecisionParaAR"/>
        <w:numPr>
          <w:ilvl w:val="0"/>
          <w:numId w:val="0"/>
        </w:numPr>
        <w:spacing w:after="480"/>
        <w:ind w:left="6237"/>
        <w:rPr>
          <w:rFonts w:hint="cs"/>
          <w:rtl/>
        </w:rPr>
      </w:pPr>
      <w:r>
        <w:rPr>
          <w:rFonts w:hint="cs"/>
          <w:rtl/>
        </w:rPr>
        <w:t>"2"</w:t>
      </w:r>
      <w:r>
        <w:rPr>
          <w:rtl/>
        </w:rPr>
        <w:tab/>
      </w:r>
      <w:r>
        <w:rPr>
          <w:rFonts w:hint="cs"/>
          <w:rtl/>
        </w:rPr>
        <w:t xml:space="preserve">اتخاذ قرار تجميد </w:t>
      </w:r>
      <w:r w:rsidRPr="002A35AF">
        <w:rPr>
          <w:rtl/>
        </w:rPr>
        <w:t>تطبيق المادة</w:t>
      </w:r>
      <w:r>
        <w:rPr>
          <w:rFonts w:hint="cs"/>
          <w:rtl/>
        </w:rPr>
        <w:t> </w:t>
      </w:r>
      <w:r w:rsidRPr="002A35AF">
        <w:rPr>
          <w:rtl/>
        </w:rPr>
        <w:t xml:space="preserve">14(1) و2(أ) من </w:t>
      </w:r>
      <w:r>
        <w:rPr>
          <w:rFonts w:hint="cs"/>
          <w:rtl/>
        </w:rPr>
        <w:t>اتفاق مدريد بشأن التسجيل الدولي للعلامات، مع الآثار المبيّنة في الفقرة</w:t>
      </w:r>
      <w:r w:rsidR="008F4701">
        <w:rPr>
          <w:rFonts w:hint="eastAsia"/>
          <w:rtl/>
        </w:rPr>
        <w:t> </w:t>
      </w:r>
      <w:r>
        <w:rPr>
          <w:rFonts w:hint="cs"/>
          <w:rtl/>
        </w:rPr>
        <w:t>10 من الوثيقة المذكورة أعلاه، اعتبار من تاريخ ذلك القرار.</w:t>
      </w:r>
    </w:p>
    <w:p w:rsidR="002A35AF" w:rsidRDefault="002A35AF" w:rsidP="002A35AF">
      <w:pPr>
        <w:pStyle w:val="EndofDocumentAR"/>
        <w:rPr>
          <w:rtl/>
        </w:rPr>
      </w:pPr>
      <w:r>
        <w:rPr>
          <w:rFonts w:hint="cs"/>
          <w:rtl/>
        </w:rPr>
        <w:t>[نهاية الوثيقة]</w:t>
      </w:r>
    </w:p>
    <w:sectPr w:rsidR="002A35AF"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688" w:rsidRDefault="002A4688">
      <w:r>
        <w:separator/>
      </w:r>
    </w:p>
  </w:endnote>
  <w:endnote w:type="continuationSeparator" w:id="0">
    <w:p w:rsidR="002A4688" w:rsidRDefault="002A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688" w:rsidRDefault="002A4688" w:rsidP="009622BF">
      <w:pPr>
        <w:bidi/>
      </w:pPr>
      <w:bookmarkStart w:id="0" w:name="OLE_LINK1"/>
      <w:bookmarkStart w:id="1" w:name="OLE_LINK2"/>
      <w:r>
        <w:separator/>
      </w:r>
      <w:bookmarkEnd w:id="0"/>
      <w:bookmarkEnd w:id="1"/>
    </w:p>
  </w:footnote>
  <w:footnote w:type="continuationSeparator" w:id="0">
    <w:p w:rsidR="002A4688" w:rsidRDefault="002A4688" w:rsidP="009622BF">
      <w:pPr>
        <w:bidi/>
      </w:pPr>
      <w:r>
        <w:separator/>
      </w:r>
    </w:p>
  </w:footnote>
  <w:footnote w:id="1">
    <w:p w:rsidR="00981520" w:rsidRDefault="00981520" w:rsidP="00981520">
      <w:pPr>
        <w:pStyle w:val="FootnoteText"/>
        <w:rPr>
          <w:rFonts w:hint="cs"/>
        </w:rPr>
      </w:pPr>
      <w:r>
        <w:rPr>
          <w:rStyle w:val="FootnoteReference"/>
        </w:rPr>
        <w:footnoteRef/>
      </w:r>
      <w:r>
        <w:rPr>
          <w:rFonts w:hint="cs"/>
          <w:rtl/>
        </w:rPr>
        <w:tab/>
        <w:t>انظر الوثيقة</w:t>
      </w:r>
      <w:r>
        <w:rPr>
          <w:rFonts w:hint="eastAsia"/>
          <w:rtl/>
        </w:rPr>
        <w:t> </w:t>
      </w:r>
      <w:r w:rsidRPr="00981520">
        <w:t>MM/LD/WG/13/7</w:t>
      </w:r>
      <w:r>
        <w:rPr>
          <w:rFonts w:hint="cs"/>
          <w:rtl/>
        </w:rPr>
        <w:t xml:space="preserve"> "</w:t>
      </w:r>
      <w:r w:rsidRPr="00981520">
        <w:rPr>
          <w:rtl/>
        </w:rPr>
        <w:t>استعراض الاقتراح الداعي إلى تجميد تطبيق المادة</w:t>
      </w:r>
      <w:r>
        <w:rPr>
          <w:rFonts w:hint="cs"/>
          <w:rtl/>
        </w:rPr>
        <w:t> </w:t>
      </w:r>
      <w:r w:rsidRPr="00981520">
        <w:rPr>
          <w:rtl/>
        </w:rPr>
        <w:t>14(1) و(2)(أ) من اتفاق مدريد بشأن التسجيل الدولي للعلامات</w:t>
      </w:r>
      <w:r>
        <w:rPr>
          <w:rFonts w:hint="cs"/>
          <w:rtl/>
        </w:rPr>
        <w:t>" (</w:t>
      </w:r>
      <w:r w:rsidRPr="00981520">
        <w:rPr>
          <w:bCs/>
        </w:rPr>
        <w:t>http://www.wipo.int/meetings/en/doc_details.jsp?doc_id=316237</w:t>
      </w:r>
      <w:r>
        <w:rPr>
          <w:rFonts w:hint="cs"/>
          <w:rtl/>
        </w:rPr>
        <w:t>).</w:t>
      </w:r>
    </w:p>
  </w:footnote>
  <w:footnote w:id="2">
    <w:p w:rsidR="00981520" w:rsidRDefault="00981520" w:rsidP="00210A9A">
      <w:pPr>
        <w:pStyle w:val="FootnoteText"/>
        <w:rPr>
          <w:rFonts w:hint="cs"/>
        </w:rPr>
      </w:pPr>
      <w:r>
        <w:rPr>
          <w:rStyle w:val="FootnoteReference"/>
        </w:rPr>
        <w:footnoteRef/>
      </w:r>
      <w:r>
        <w:rPr>
          <w:rFonts w:hint="cs"/>
          <w:rtl/>
        </w:rPr>
        <w:tab/>
        <w:t xml:space="preserve">انظر الوثيقة </w:t>
      </w:r>
      <w:r w:rsidRPr="00981520">
        <w:t>MM/A/37/4</w:t>
      </w:r>
      <w:r w:rsidR="00210A9A">
        <w:rPr>
          <w:rFonts w:hint="cs"/>
          <w:rtl/>
        </w:rPr>
        <w:t xml:space="preserve"> "التقرير" (</w:t>
      </w:r>
      <w:r w:rsidR="00210A9A" w:rsidRPr="00210A9A">
        <w:t>http://www.wipo.int/meetings/en/doc_details.jsp?doc_id=72054</w:t>
      </w:r>
      <w:r w:rsidR="00210A9A">
        <w:rPr>
          <w:rFonts w:hint="cs"/>
          <w:rtl/>
        </w:rPr>
        <w:t>).</w:t>
      </w:r>
    </w:p>
  </w:footnote>
  <w:footnote w:id="3">
    <w:p w:rsidR="00DC421D" w:rsidRDefault="00DC421D" w:rsidP="008F6427">
      <w:pPr>
        <w:pStyle w:val="FootnoteText"/>
        <w:rPr>
          <w:rFonts w:hint="cs"/>
        </w:rPr>
      </w:pPr>
      <w:r>
        <w:rPr>
          <w:rStyle w:val="FootnoteReference"/>
        </w:rPr>
        <w:footnoteRef/>
      </w:r>
      <w:r>
        <w:rPr>
          <w:rFonts w:hint="cs"/>
          <w:rtl/>
        </w:rPr>
        <w:tab/>
        <w:t>انظر الفقرة 112 من الوثيقة</w:t>
      </w:r>
      <w:r>
        <w:rPr>
          <w:rFonts w:hint="eastAsia"/>
          <w:rtl/>
        </w:rPr>
        <w:t> </w:t>
      </w:r>
      <w:r w:rsidRPr="00DC421D">
        <w:t>MM/LD/WG/1/2</w:t>
      </w:r>
      <w:r>
        <w:rPr>
          <w:rFonts w:hint="cs"/>
          <w:rtl/>
        </w:rPr>
        <w:t xml:space="preserve"> "استعراض إجراء الرفض وبند الضمان المنصوص عليهما في بروتوكول مدريد </w:t>
      </w:r>
      <w:r w:rsidR="0077027A">
        <w:rPr>
          <w:rFonts w:hint="cs"/>
          <w:rtl/>
        </w:rPr>
        <w:t xml:space="preserve">والتعديلات </w:t>
      </w:r>
      <w:r w:rsidR="008F6427">
        <w:rPr>
          <w:rFonts w:hint="cs"/>
          <w:rtl/>
        </w:rPr>
        <w:t>الممكن</w:t>
      </w:r>
      <w:r w:rsidR="0077027A">
        <w:rPr>
          <w:rFonts w:hint="cs"/>
          <w:rtl/>
        </w:rPr>
        <w:t xml:space="preserve"> إدخالها على اللائحة التنفيذية المشتركة" (</w:t>
      </w:r>
      <w:r w:rsidR="0077027A" w:rsidRPr="0077027A">
        <w:rPr>
          <w:bCs/>
        </w:rPr>
        <w:t>http://www.wipo.int/meetings/en/doc_details.jsp?doc_id=43173</w:t>
      </w:r>
      <w:r w:rsidR="0077027A">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1775E" w:rsidP="008A5F73">
    <w:r>
      <w:t>MM</w:t>
    </w:r>
    <w:r w:rsidR="00772E46">
      <w:t>/</w:t>
    </w:r>
    <w:r w:rsidR="0059089F">
      <w:t>A</w:t>
    </w:r>
    <w:r w:rsidR="002F77FC">
      <w:t>/</w:t>
    </w:r>
    <w:r w:rsidR="00220323">
      <w:t>50</w:t>
    </w:r>
    <w:r w:rsidR="0055182A">
      <w:t>/3</w:t>
    </w:r>
  </w:p>
  <w:p w:rsidR="002F77FC" w:rsidRDefault="002F77FC" w:rsidP="00D61541">
    <w:r>
      <w:fldChar w:fldCharType="begin"/>
    </w:r>
    <w:r>
      <w:instrText xml:space="preserve"> PAGE  \* MERGEFORMAT </w:instrText>
    </w:r>
    <w:r>
      <w:fldChar w:fldCharType="separate"/>
    </w:r>
    <w:r w:rsidR="00CB2871">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8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A9A"/>
    <w:rsid w:val="002112E6"/>
    <w:rsid w:val="00213213"/>
    <w:rsid w:val="0021457F"/>
    <w:rsid w:val="0021505D"/>
    <w:rsid w:val="0021604B"/>
    <w:rsid w:val="00216545"/>
    <w:rsid w:val="00220227"/>
    <w:rsid w:val="00220323"/>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5AF"/>
    <w:rsid w:val="002A3C9D"/>
    <w:rsid w:val="002A4688"/>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394A"/>
    <w:rsid w:val="003600A2"/>
    <w:rsid w:val="003612D8"/>
    <w:rsid w:val="003637B6"/>
    <w:rsid w:val="00363F89"/>
    <w:rsid w:val="00363FB0"/>
    <w:rsid w:val="003646D6"/>
    <w:rsid w:val="00364C1B"/>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1EB"/>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82A"/>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38FE"/>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074B"/>
    <w:rsid w:val="006E4601"/>
    <w:rsid w:val="006E5B86"/>
    <w:rsid w:val="006E63FF"/>
    <w:rsid w:val="006E652D"/>
    <w:rsid w:val="006E7572"/>
    <w:rsid w:val="006F2F22"/>
    <w:rsid w:val="006F434A"/>
    <w:rsid w:val="006F7974"/>
    <w:rsid w:val="00700A60"/>
    <w:rsid w:val="00705027"/>
    <w:rsid w:val="00705BBE"/>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27A"/>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26A"/>
    <w:rsid w:val="00863F67"/>
    <w:rsid w:val="0086483A"/>
    <w:rsid w:val="0087049C"/>
    <w:rsid w:val="00870AAD"/>
    <w:rsid w:val="00870EDE"/>
    <w:rsid w:val="00871DA0"/>
    <w:rsid w:val="00872030"/>
    <w:rsid w:val="00873973"/>
    <w:rsid w:val="008754DF"/>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F7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788"/>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701"/>
    <w:rsid w:val="008F52D0"/>
    <w:rsid w:val="008F58BB"/>
    <w:rsid w:val="008F6106"/>
    <w:rsid w:val="008F6427"/>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18"/>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055"/>
    <w:rsid w:val="00973BCF"/>
    <w:rsid w:val="009744BC"/>
    <w:rsid w:val="00974E60"/>
    <w:rsid w:val="00975896"/>
    <w:rsid w:val="00975DF1"/>
    <w:rsid w:val="00976AFE"/>
    <w:rsid w:val="00981520"/>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2E1E"/>
    <w:rsid w:val="009F4190"/>
    <w:rsid w:val="009F4911"/>
    <w:rsid w:val="009F513E"/>
    <w:rsid w:val="009F5241"/>
    <w:rsid w:val="009F6807"/>
    <w:rsid w:val="009F68DF"/>
    <w:rsid w:val="009F6A24"/>
    <w:rsid w:val="00A0042C"/>
    <w:rsid w:val="00A00495"/>
    <w:rsid w:val="00A01925"/>
    <w:rsid w:val="00A01DEB"/>
    <w:rsid w:val="00A05B39"/>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4A4"/>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62"/>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EC4"/>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B7F"/>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2871"/>
    <w:rsid w:val="00CB3677"/>
    <w:rsid w:val="00CB368F"/>
    <w:rsid w:val="00CB4C42"/>
    <w:rsid w:val="00CB4DFA"/>
    <w:rsid w:val="00CB79E4"/>
    <w:rsid w:val="00CB7BD7"/>
    <w:rsid w:val="00CC4CB6"/>
    <w:rsid w:val="00CC4DB0"/>
    <w:rsid w:val="00CC5038"/>
    <w:rsid w:val="00CC5326"/>
    <w:rsid w:val="00CC7426"/>
    <w:rsid w:val="00CC7910"/>
    <w:rsid w:val="00CD0728"/>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1A"/>
    <w:rsid w:val="00D31021"/>
    <w:rsid w:val="00D329B9"/>
    <w:rsid w:val="00D33412"/>
    <w:rsid w:val="00D3482C"/>
    <w:rsid w:val="00D3664C"/>
    <w:rsid w:val="00D3683A"/>
    <w:rsid w:val="00D36C96"/>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B7"/>
    <w:rsid w:val="00DB2AF6"/>
    <w:rsid w:val="00DB364F"/>
    <w:rsid w:val="00DB39E7"/>
    <w:rsid w:val="00DB3B3E"/>
    <w:rsid w:val="00DB71DB"/>
    <w:rsid w:val="00DB71E1"/>
    <w:rsid w:val="00DB7B0F"/>
    <w:rsid w:val="00DB7CB3"/>
    <w:rsid w:val="00DC0D57"/>
    <w:rsid w:val="00DC16F7"/>
    <w:rsid w:val="00DC1CA3"/>
    <w:rsid w:val="00DC2641"/>
    <w:rsid w:val="00DC2B1E"/>
    <w:rsid w:val="00DC421D"/>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4FE"/>
    <w:rsid w:val="00E55F3E"/>
    <w:rsid w:val="00E56392"/>
    <w:rsid w:val="00E5712F"/>
    <w:rsid w:val="00E601DA"/>
    <w:rsid w:val="00E60547"/>
    <w:rsid w:val="00E609FF"/>
    <w:rsid w:val="00E61AA8"/>
    <w:rsid w:val="00E62464"/>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31B"/>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4D50"/>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A_5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DBC63-DB31-403A-A69B-DC21BFE9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MM_A_50_AR.dotx</Template>
  <TotalTime>345</TotalTime>
  <Pages>4</Pages>
  <Words>895</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MM/A/50/3 (Arabic)</vt:lpstr>
    </vt:vector>
  </TitlesOfParts>
  <Company>World Intellectual Property Organization</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MM/A/50/3 (Arabic)</dc:title>
  <dc:creator>وثيقة من إعداد المكتب الدولي</dc:creator>
  <cp:lastModifiedBy>MERZOUK Fawzi</cp:lastModifiedBy>
  <cp:revision>19</cp:revision>
  <cp:lastPrinted>2016-06-13T12:40:00Z</cp:lastPrinted>
  <dcterms:created xsi:type="dcterms:W3CDTF">2016-06-10T14:04:00Z</dcterms:created>
  <dcterms:modified xsi:type="dcterms:W3CDTF">2016-06-13T12:43:00Z</dcterms:modified>
</cp:coreProperties>
</file>