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C3E1F" w:rsidP="00EA3039">
            <w:pPr>
              <w:pStyle w:val="DocumentCodeAR"/>
              <w:bidi/>
              <w:rPr>
                <w:rtl/>
              </w:rPr>
            </w:pPr>
            <w:r>
              <w:t>MM</w:t>
            </w:r>
            <w:r w:rsidR="00772E46">
              <w:t>/</w:t>
            </w:r>
            <w:r w:rsidR="0059089F">
              <w:t>A</w:t>
            </w:r>
            <w:r w:rsidR="00100F97">
              <w:t>/</w:t>
            </w:r>
            <w:r w:rsidR="008A5F73">
              <w:t>49</w:t>
            </w:r>
            <w:r w:rsidR="00B6101C" w:rsidRPr="00B6101C">
              <w:t>/</w:t>
            </w:r>
            <w:r w:rsidR="000057C9">
              <w:t>5</w:t>
            </w:r>
          </w:p>
        </w:tc>
      </w:tr>
      <w:tr w:rsidR="001667B6" w:rsidTr="00BF164F">
        <w:tc>
          <w:tcPr>
            <w:tcW w:w="9571" w:type="dxa"/>
            <w:gridSpan w:val="3"/>
          </w:tcPr>
          <w:p w:rsidR="001667B6" w:rsidRPr="00B6101C" w:rsidRDefault="00B6101C" w:rsidP="000057C9">
            <w:pPr>
              <w:pStyle w:val="DocumentLanguageAR"/>
              <w:bidi/>
              <w:rPr>
                <w:rtl/>
              </w:rPr>
            </w:pPr>
            <w:r w:rsidRPr="00B6101C">
              <w:rPr>
                <w:rFonts w:hint="cs"/>
                <w:rtl/>
              </w:rPr>
              <w:t xml:space="preserve">الأصل: </w:t>
            </w:r>
            <w:r w:rsidR="000057C9">
              <w:rPr>
                <w:rFonts w:hint="cs"/>
                <w:rtl/>
              </w:rPr>
              <w:t>بالإنكليزية</w:t>
            </w:r>
          </w:p>
        </w:tc>
      </w:tr>
      <w:tr w:rsidR="001667B6" w:rsidTr="00BF164F">
        <w:tc>
          <w:tcPr>
            <w:tcW w:w="9571" w:type="dxa"/>
            <w:gridSpan w:val="3"/>
          </w:tcPr>
          <w:p w:rsidR="001667B6" w:rsidRPr="00B6101C" w:rsidRDefault="00B6101C" w:rsidP="00EA3039">
            <w:pPr>
              <w:pStyle w:val="DocumentDateAR"/>
              <w:bidi/>
              <w:rPr>
                <w:rtl/>
              </w:rPr>
            </w:pPr>
            <w:r w:rsidRPr="00B6101C">
              <w:rPr>
                <w:rFonts w:hint="cs"/>
                <w:rtl/>
              </w:rPr>
              <w:t xml:space="preserve">التاريخ: </w:t>
            </w:r>
            <w:r w:rsidR="00EA3039">
              <w:rPr>
                <w:rFonts w:hint="cs"/>
                <w:rtl/>
              </w:rPr>
              <w:t xml:space="preserve"> 5 فبراير </w:t>
            </w:r>
            <w:r w:rsidR="008A5F73">
              <w:rPr>
                <w:rFonts w:hint="cs"/>
                <w:rtl/>
              </w:rPr>
              <w:t>201</w:t>
            </w:r>
            <w:r w:rsidR="00EA3039">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1775E" w:rsidRDefault="00E1775E" w:rsidP="00E1775E">
      <w:pPr>
        <w:pStyle w:val="MeetingTitleAR"/>
        <w:bidi/>
        <w:rPr>
          <w:rtl/>
        </w:rPr>
      </w:pPr>
      <w:r>
        <w:rPr>
          <w:rFonts w:hint="cs"/>
          <w:rtl/>
        </w:rPr>
        <w:t>الاتحاد الخاص للتسجيل الدولي للعلامات</w:t>
      </w:r>
    </w:p>
    <w:p w:rsidR="00E1775E" w:rsidRPr="00840AF7" w:rsidRDefault="00E1775E" w:rsidP="00E1775E">
      <w:pPr>
        <w:pStyle w:val="NormalParaAR"/>
        <w:rPr>
          <w:rFonts w:cs="PT Bold Heading"/>
          <w:sz w:val="32"/>
          <w:szCs w:val="32"/>
          <w:rtl/>
        </w:rPr>
      </w:pPr>
      <w:r w:rsidRPr="00840AF7">
        <w:rPr>
          <w:rFonts w:cs="PT Bold Heading" w:hint="cs"/>
          <w:sz w:val="32"/>
          <w:szCs w:val="32"/>
          <w:rtl/>
        </w:rPr>
        <w:t>(اتحاد مدريد)</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092492">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8A5F73">
        <w:rPr>
          <w:rFonts w:ascii="Cambria Math" w:hAnsi="Cambria Math" w:hint="cs"/>
          <w:rtl/>
          <w:lang w:val="fr-CH"/>
        </w:rPr>
        <w:t>التاسعة</w:t>
      </w:r>
      <w:r>
        <w:rPr>
          <w:rFonts w:ascii="Cambria Math" w:hAnsi="Cambria Math" w:hint="cs"/>
          <w:rtl/>
          <w:lang w:val="fr-CH"/>
        </w:rPr>
        <w:t xml:space="preserve"> </w:t>
      </w:r>
      <w:r w:rsidR="000438DD">
        <w:rPr>
          <w:rFonts w:ascii="Cambria Math" w:hAnsi="Cambria Math" w:hint="cs"/>
          <w:rtl/>
        </w:rPr>
        <w:t>و</w:t>
      </w:r>
      <w:r>
        <w:rPr>
          <w:rFonts w:ascii="Cambria Math" w:hAnsi="Cambria Math" w:hint="cs"/>
          <w:rtl/>
        </w:rPr>
        <w:t xml:space="preserve">الأربعون </w:t>
      </w:r>
      <w:r w:rsidR="0059089F" w:rsidRPr="0059089F">
        <w:rPr>
          <w:rFonts w:ascii="Cambria Math" w:hAnsi="Cambria Math"/>
          <w:rtl/>
        </w:rPr>
        <w:t xml:space="preserve">(الدورة </w:t>
      </w:r>
      <w:r w:rsidR="00092492">
        <w:rPr>
          <w:rFonts w:ascii="Cambria Math" w:hAnsi="Cambria Math" w:hint="cs"/>
          <w:rtl/>
        </w:rPr>
        <w:t>العادية</w:t>
      </w:r>
      <w:r w:rsidR="00D30E1A">
        <w:rPr>
          <w:rFonts w:ascii="Cambria Math" w:hAnsi="Cambria Math" w:hint="cs"/>
          <w:rtl/>
        </w:rPr>
        <w:t xml:space="preserve"> </w:t>
      </w:r>
      <w:r w:rsidR="008A5F73">
        <w:rPr>
          <w:rFonts w:ascii="Cambria Math" w:hAnsi="Cambria Math" w:hint="cs"/>
          <w:rtl/>
        </w:rPr>
        <w:t>الحادية</w:t>
      </w:r>
      <w:r w:rsidR="00D30E1A">
        <w:rPr>
          <w:rFonts w:ascii="Cambria Math" w:hAnsi="Cambria Math" w:hint="cs"/>
          <w:rtl/>
        </w:rPr>
        <w:t xml:space="preserve"> و</w:t>
      </w:r>
      <w:r w:rsidR="0059089F">
        <w:rPr>
          <w:rFonts w:ascii="Cambria Math" w:hAnsi="Cambria Math" w:hint="cs"/>
          <w:rtl/>
        </w:rPr>
        <w:t xml:space="preserve"> </w:t>
      </w:r>
      <w:r w:rsidR="0059089F" w:rsidRPr="0059089F">
        <w:rPr>
          <w:rFonts w:ascii="Cambria Math" w:hAnsi="Cambria Math"/>
          <w:rtl/>
        </w:rPr>
        <w:t>العشرون)</w:t>
      </w:r>
    </w:p>
    <w:p w:rsidR="00D61541" w:rsidRPr="00D61541" w:rsidRDefault="00D61541" w:rsidP="008A5F73">
      <w:pPr>
        <w:pStyle w:val="MeetingDatesAR"/>
        <w:bidi/>
        <w:rPr>
          <w:rtl/>
        </w:rPr>
      </w:pPr>
      <w:r w:rsidRPr="00D61541">
        <w:rPr>
          <w:rFonts w:hint="cs"/>
          <w:rtl/>
        </w:rPr>
        <w:t xml:space="preserve">جنيف، من </w:t>
      </w:r>
      <w:r w:rsidR="008A5F73">
        <w:rPr>
          <w:rFonts w:hint="cs"/>
          <w:rtl/>
        </w:rPr>
        <w:t>5</w:t>
      </w:r>
      <w:r w:rsidR="00983389">
        <w:rPr>
          <w:rFonts w:hint="cs"/>
          <w:rtl/>
        </w:rPr>
        <w:t xml:space="preserve"> </w:t>
      </w:r>
      <w:r w:rsidR="00100F97">
        <w:rPr>
          <w:rFonts w:hint="cs"/>
          <w:rtl/>
        </w:rPr>
        <w:t xml:space="preserve">إلى </w:t>
      </w:r>
      <w:r w:rsidR="008A5F73">
        <w:rPr>
          <w:rFonts w:hint="cs"/>
          <w:rtl/>
        </w:rPr>
        <w:t>14</w:t>
      </w:r>
      <w:r w:rsidR="00D30E1A">
        <w:rPr>
          <w:rFonts w:hint="cs"/>
          <w:rtl/>
        </w:rPr>
        <w:t xml:space="preserve"> </w:t>
      </w:r>
      <w:r w:rsidR="008A5F73">
        <w:rPr>
          <w:rFonts w:hint="cs"/>
          <w:rtl/>
        </w:rPr>
        <w:t>أكتوبر</w:t>
      </w:r>
      <w:r w:rsidR="00D30E1A">
        <w:rPr>
          <w:rFonts w:hint="cs"/>
          <w:rtl/>
        </w:rPr>
        <w:t xml:space="preserve"> </w:t>
      </w:r>
      <w:r w:rsidR="008A5F73">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057C9" w:rsidP="00FB7EC9">
      <w:pPr>
        <w:pStyle w:val="DocumentTitleAR"/>
        <w:bidi/>
        <w:rPr>
          <w:rtl/>
        </w:rPr>
      </w:pPr>
      <w:r>
        <w:rPr>
          <w:rFonts w:hint="cs"/>
          <w:rtl/>
        </w:rPr>
        <w:t>التقرير</w:t>
      </w:r>
    </w:p>
    <w:p w:rsidR="00D61541" w:rsidRPr="00D61541" w:rsidRDefault="00EA3039" w:rsidP="00931859">
      <w:pPr>
        <w:pStyle w:val="PreparedbyAR"/>
        <w:bidi/>
        <w:rPr>
          <w:rtl/>
        </w:rPr>
      </w:pPr>
      <w:r>
        <w:rPr>
          <w:rFonts w:hint="cs"/>
          <w:rtl/>
        </w:rPr>
        <w:t>الذي اعتمدته الجمعية</w:t>
      </w:r>
    </w:p>
    <w:p w:rsidR="000057C9" w:rsidRPr="004D0A41" w:rsidRDefault="000057C9" w:rsidP="00EA3039">
      <w:pPr>
        <w:pStyle w:val="NumberedParaAR"/>
        <w:numPr>
          <w:ilvl w:val="0"/>
          <w:numId w:val="21"/>
        </w:numPr>
        <w:ind w:left="0" w:firstLine="0"/>
      </w:pPr>
      <w:r>
        <w:rPr>
          <w:rFonts w:hint="cs"/>
          <w:rtl/>
          <w:lang w:val="fr-CH"/>
        </w:rPr>
        <w:t>تناولت الجمعية</w:t>
      </w:r>
      <w:r>
        <w:rPr>
          <w:rFonts w:hint="cs"/>
          <w:rtl/>
        </w:rPr>
        <w:t xml:space="preserve"> البنود التالية</w:t>
      </w:r>
      <w:r>
        <w:t xml:space="preserve"> </w:t>
      </w:r>
      <w:r>
        <w:rPr>
          <w:rtl/>
        </w:rPr>
        <w:t>التي تعنيها</w:t>
      </w:r>
      <w:r>
        <w:rPr>
          <w:rFonts w:hint="cs"/>
          <w:rtl/>
        </w:rPr>
        <w:t xml:space="preserve"> من جدول الأعمال الموحّد (الوثيقة </w:t>
      </w:r>
      <w:r>
        <w:t>A/55/1</w:t>
      </w:r>
      <w:r>
        <w:rPr>
          <w:rFonts w:hint="cs"/>
          <w:rtl/>
          <w:lang w:val="fr-CH"/>
        </w:rPr>
        <w:t>): 1 و2 و3 و4 و5 و6 و10 و11 و20 و31 و32.</w:t>
      </w:r>
    </w:p>
    <w:p w:rsidR="000057C9" w:rsidRPr="003A319B" w:rsidRDefault="000057C9" w:rsidP="00EA3039">
      <w:pPr>
        <w:pStyle w:val="NumberedParaAR"/>
        <w:numPr>
          <w:ilvl w:val="0"/>
          <w:numId w:val="21"/>
        </w:numPr>
        <w:ind w:left="0" w:firstLine="0"/>
      </w:pPr>
      <w:r>
        <w:rPr>
          <w:rFonts w:hint="cs"/>
          <w:rtl/>
        </w:rPr>
        <w:t>وترد التقارير الخاصة بالبنود المذكورة</w:t>
      </w:r>
      <w:r w:rsidRPr="002C475B">
        <w:rPr>
          <w:rFonts w:hint="cs"/>
          <w:rtl/>
        </w:rPr>
        <w:t xml:space="preserve">، فيما عدا البند </w:t>
      </w:r>
      <w:r>
        <w:rPr>
          <w:rFonts w:hint="cs"/>
          <w:rtl/>
        </w:rPr>
        <w:t>20</w:t>
      </w:r>
      <w:r w:rsidRPr="002C475B">
        <w:rPr>
          <w:rFonts w:hint="cs"/>
          <w:rtl/>
        </w:rPr>
        <w:t xml:space="preserve">، </w:t>
      </w:r>
      <w:r>
        <w:rPr>
          <w:rFonts w:hint="cs"/>
          <w:rtl/>
        </w:rPr>
        <w:t xml:space="preserve">في التقرير العام (الوثيقة </w:t>
      </w:r>
      <w:r w:rsidR="00D934A8">
        <w:t>A/55/13</w:t>
      </w:r>
      <w:r w:rsidRPr="002C475B">
        <w:rPr>
          <w:rFonts w:hint="cs"/>
          <w:rtl/>
        </w:rPr>
        <w:t>).</w:t>
      </w:r>
    </w:p>
    <w:p w:rsidR="000057C9" w:rsidRPr="00A979D3" w:rsidRDefault="000057C9" w:rsidP="000057C9">
      <w:pPr>
        <w:pStyle w:val="NumberedParaAR"/>
        <w:numPr>
          <w:ilvl w:val="0"/>
          <w:numId w:val="21"/>
        </w:numPr>
        <w:ind w:left="0" w:firstLine="0"/>
      </w:pPr>
      <w:r w:rsidRPr="002C475B">
        <w:rPr>
          <w:rFonts w:hint="cs"/>
          <w:rtl/>
        </w:rPr>
        <w:t xml:space="preserve">ويرد التقرير الخاص بالبند </w:t>
      </w:r>
      <w:r>
        <w:rPr>
          <w:rFonts w:hint="cs"/>
          <w:rtl/>
        </w:rPr>
        <w:t>20</w:t>
      </w:r>
      <w:r w:rsidRPr="002C475B">
        <w:rPr>
          <w:rFonts w:hint="cs"/>
          <w:rtl/>
        </w:rPr>
        <w:t xml:space="preserve"> في هذه الوثيقة.</w:t>
      </w:r>
    </w:p>
    <w:p w:rsidR="000057C9" w:rsidRDefault="000057C9" w:rsidP="00170FCB">
      <w:pPr>
        <w:pStyle w:val="NumberedParaAR"/>
        <w:numPr>
          <w:ilvl w:val="0"/>
          <w:numId w:val="21"/>
        </w:numPr>
        <w:ind w:left="0" w:firstLine="0"/>
        <w:rPr>
          <w:rtl/>
        </w:rPr>
      </w:pPr>
      <w:r>
        <w:rPr>
          <w:rFonts w:hint="cs"/>
          <w:rtl/>
        </w:rPr>
        <w:t xml:space="preserve">وانتخب </w:t>
      </w:r>
      <w:r w:rsidR="00170FCB">
        <w:rPr>
          <w:rFonts w:hint="cs"/>
          <w:rtl/>
        </w:rPr>
        <w:t>السيد مغيل أنخيل مارغاين</w:t>
      </w:r>
      <w:r w:rsidRPr="003A319B">
        <w:rPr>
          <w:rtl/>
        </w:rPr>
        <w:t xml:space="preserve"> (</w:t>
      </w:r>
      <w:r w:rsidR="00170FCB">
        <w:rPr>
          <w:rFonts w:hint="cs"/>
          <w:rtl/>
        </w:rPr>
        <w:t>المكسيك</w:t>
      </w:r>
      <w:r w:rsidRPr="003A319B">
        <w:rPr>
          <w:rtl/>
        </w:rPr>
        <w:t>)</w:t>
      </w:r>
      <w:r w:rsidRPr="003A319B">
        <w:rPr>
          <w:rFonts w:hint="cs"/>
          <w:rtl/>
        </w:rPr>
        <w:t xml:space="preserve"> </w:t>
      </w:r>
      <w:r>
        <w:rPr>
          <w:rFonts w:hint="cs"/>
          <w:rtl/>
        </w:rPr>
        <w:t xml:space="preserve">رئيسا للجمعية؛ وانتخب </w:t>
      </w:r>
      <w:r w:rsidR="00170FCB">
        <w:rPr>
          <w:rFonts w:hint="cs"/>
          <w:rtl/>
        </w:rPr>
        <w:t>السيد ميكلوس بندزيل</w:t>
      </w:r>
      <w:r w:rsidRPr="003A319B">
        <w:rPr>
          <w:rtl/>
        </w:rPr>
        <w:t xml:space="preserve"> (</w:t>
      </w:r>
      <w:r w:rsidR="00170FCB">
        <w:rPr>
          <w:rFonts w:hint="cs"/>
          <w:rtl/>
        </w:rPr>
        <w:t>هنغاريا</w:t>
      </w:r>
      <w:r w:rsidRPr="003A319B">
        <w:rPr>
          <w:rtl/>
        </w:rPr>
        <w:t>)</w:t>
      </w:r>
      <w:r>
        <w:rPr>
          <w:rFonts w:hint="cs"/>
          <w:rtl/>
        </w:rPr>
        <w:t xml:space="preserve"> </w:t>
      </w:r>
      <w:r w:rsidR="00170FCB">
        <w:rPr>
          <w:rFonts w:hint="cs"/>
          <w:rtl/>
        </w:rPr>
        <w:t xml:space="preserve">والسيدة باميلا فيلي (ألمانيا) </w:t>
      </w:r>
      <w:r>
        <w:rPr>
          <w:rFonts w:hint="cs"/>
          <w:rtl/>
        </w:rPr>
        <w:t>نائب</w:t>
      </w:r>
      <w:r w:rsidR="00170FCB">
        <w:rPr>
          <w:rFonts w:hint="cs"/>
          <w:rtl/>
        </w:rPr>
        <w:t>ين</w:t>
      </w:r>
      <w:r>
        <w:rPr>
          <w:rFonts w:hint="cs"/>
          <w:rtl/>
        </w:rPr>
        <w:t xml:space="preserve"> للرئيس.</w:t>
      </w:r>
    </w:p>
    <w:p w:rsidR="000057C9" w:rsidRDefault="000057C9">
      <w:pPr>
        <w:rPr>
          <w:rFonts w:ascii="Arabic Typesetting" w:hAnsi="Arabic Typesetting" w:cs="Arabic Typesetting"/>
          <w:sz w:val="36"/>
          <w:szCs w:val="36"/>
          <w:rtl/>
        </w:rPr>
      </w:pPr>
      <w:r>
        <w:rPr>
          <w:rtl/>
        </w:rPr>
        <w:br w:type="page"/>
      </w:r>
    </w:p>
    <w:p w:rsidR="000057C9" w:rsidRPr="003A319B" w:rsidRDefault="000057C9" w:rsidP="000057C9">
      <w:pPr>
        <w:pStyle w:val="NormalParaAR"/>
        <w:spacing w:before="480" w:after="0" w:line="400" w:lineRule="exact"/>
        <w:rPr>
          <w:sz w:val="40"/>
          <w:szCs w:val="40"/>
          <w:rtl/>
        </w:rPr>
      </w:pPr>
      <w:r w:rsidRPr="003A319B">
        <w:rPr>
          <w:rFonts w:hint="cs"/>
          <w:sz w:val="40"/>
          <w:szCs w:val="40"/>
          <w:rtl/>
        </w:rPr>
        <w:lastRenderedPageBreak/>
        <w:t xml:space="preserve">البند </w:t>
      </w:r>
      <w:r>
        <w:rPr>
          <w:rFonts w:hint="cs"/>
          <w:sz w:val="40"/>
          <w:szCs w:val="40"/>
          <w:rtl/>
        </w:rPr>
        <w:t>20</w:t>
      </w:r>
      <w:r w:rsidRPr="003A319B">
        <w:rPr>
          <w:rFonts w:hint="cs"/>
          <w:sz w:val="40"/>
          <w:szCs w:val="40"/>
          <w:rtl/>
        </w:rPr>
        <w:t xml:space="preserve"> من جدول الأعمال الموحّد</w:t>
      </w:r>
    </w:p>
    <w:p w:rsidR="000057C9" w:rsidRPr="003A319B" w:rsidRDefault="000057C9" w:rsidP="000057C9">
      <w:pPr>
        <w:pStyle w:val="NormalParaAR"/>
        <w:spacing w:line="400" w:lineRule="exact"/>
        <w:rPr>
          <w:sz w:val="40"/>
          <w:szCs w:val="40"/>
          <w:rtl/>
        </w:rPr>
      </w:pPr>
      <w:r w:rsidRPr="003A319B">
        <w:rPr>
          <w:rFonts w:hint="cs"/>
          <w:sz w:val="40"/>
          <w:szCs w:val="40"/>
          <w:rtl/>
        </w:rPr>
        <w:t>نظام مدريد</w:t>
      </w:r>
    </w:p>
    <w:p w:rsidR="007833A4" w:rsidRDefault="007833A4" w:rsidP="007833A4">
      <w:pPr>
        <w:pStyle w:val="NumberedParaAR"/>
        <w:numPr>
          <w:ilvl w:val="0"/>
          <w:numId w:val="21"/>
        </w:numPr>
        <w:ind w:left="0" w:firstLine="0"/>
      </w:pPr>
      <w:r>
        <w:rPr>
          <w:rFonts w:hint="cs"/>
          <w:rtl/>
        </w:rPr>
        <w:t xml:space="preserve">استندت المناقشات إلى الوثائق </w:t>
      </w:r>
      <w:r w:rsidRPr="00EA376C">
        <w:t>MM</w:t>
      </w:r>
      <w:r w:rsidRPr="00392509">
        <w:t>/A/49/1</w:t>
      </w:r>
      <w:r>
        <w:rPr>
          <w:rFonts w:hint="cs"/>
          <w:rtl/>
        </w:rPr>
        <w:t xml:space="preserve"> و</w:t>
      </w:r>
      <w:r w:rsidRPr="002825FA">
        <w:t xml:space="preserve"> </w:t>
      </w:r>
      <w:r w:rsidRPr="001C27E0">
        <w:t>MM/A/49/2</w:t>
      </w:r>
      <w:r>
        <w:rPr>
          <w:rFonts w:hint="cs"/>
          <w:rtl/>
        </w:rPr>
        <w:t>و</w:t>
      </w:r>
      <w:r w:rsidRPr="002825FA">
        <w:t xml:space="preserve"> </w:t>
      </w:r>
      <w:r w:rsidRPr="001C27E0">
        <w:t>MM/A/49/3</w:t>
      </w:r>
      <w:r>
        <w:rPr>
          <w:rFonts w:hint="cs"/>
          <w:rtl/>
        </w:rPr>
        <w:t>و</w:t>
      </w:r>
      <w:r w:rsidRPr="001C27E0">
        <w:t>MM/A/49/4</w:t>
      </w:r>
      <w:r>
        <w:rPr>
          <w:rFonts w:hint="cs"/>
          <w:rtl/>
        </w:rPr>
        <w:t>.</w:t>
      </w:r>
    </w:p>
    <w:p w:rsidR="007833A4" w:rsidRDefault="007833A4" w:rsidP="007833A4">
      <w:pPr>
        <w:pStyle w:val="NumberedParaAR"/>
        <w:numPr>
          <w:ilvl w:val="0"/>
          <w:numId w:val="21"/>
        </w:numPr>
        <w:ind w:left="0" w:firstLine="0"/>
      </w:pPr>
      <w:r>
        <w:rPr>
          <w:rFonts w:hint="cs"/>
          <w:rtl/>
        </w:rPr>
        <w:t xml:space="preserve">افتتح الرئيس الجلسة معربا عن سعادته بالاهتمام المتزايد الذي يشهده </w:t>
      </w:r>
      <w:r w:rsidRPr="002825FA">
        <w:rPr>
          <w:rtl/>
        </w:rPr>
        <w:t>بروتوكول اتفاق مدريد بشأن التسجيل الدولي للعلامات (المشار إليه</w:t>
      </w:r>
      <w:r>
        <w:rPr>
          <w:rFonts w:hint="cs"/>
          <w:rtl/>
        </w:rPr>
        <w:t>ما</w:t>
      </w:r>
      <w:r w:rsidRPr="002825FA">
        <w:rPr>
          <w:rtl/>
        </w:rPr>
        <w:t xml:space="preserve"> فيما يلي</w:t>
      </w:r>
      <w:r>
        <w:rPr>
          <w:rFonts w:hint="cs"/>
          <w:rtl/>
        </w:rPr>
        <w:t xml:space="preserve"> بعبارتي "بروتوكول مدريد" و"اتفاق مدريد" على التوالي) مما يعدُّ دليلا على المنافع التي يجلبها نظام مدريد </w:t>
      </w:r>
      <w:r w:rsidRPr="002825FA">
        <w:rPr>
          <w:rtl/>
        </w:rPr>
        <w:t>للتسجيل الدولي للعلامات (المشار إليه فيما يلي بعبارة "نظام مدريد")</w:t>
      </w:r>
      <w:r>
        <w:rPr>
          <w:rFonts w:hint="cs"/>
          <w:rtl/>
        </w:rPr>
        <w:t>. و</w:t>
      </w:r>
      <w:r w:rsidRPr="002825FA">
        <w:rPr>
          <w:rtl/>
        </w:rPr>
        <w:t>هن</w:t>
      </w:r>
      <w:r>
        <w:rPr>
          <w:rFonts w:hint="cs"/>
          <w:rtl/>
        </w:rPr>
        <w:t>ّ</w:t>
      </w:r>
      <w:r w:rsidRPr="002825FA">
        <w:rPr>
          <w:rtl/>
        </w:rPr>
        <w:t xml:space="preserve">أ </w:t>
      </w:r>
      <w:r>
        <w:rPr>
          <w:rFonts w:hint="cs"/>
          <w:rtl/>
        </w:rPr>
        <w:t>ال</w:t>
      </w:r>
      <w:r w:rsidRPr="002825FA">
        <w:rPr>
          <w:rtl/>
        </w:rPr>
        <w:t xml:space="preserve">رئيس الجزائر، </w:t>
      </w:r>
      <w:r>
        <w:rPr>
          <w:rFonts w:hint="cs"/>
          <w:rtl/>
        </w:rPr>
        <w:t xml:space="preserve">وهي بلد طرف في </w:t>
      </w:r>
      <w:r w:rsidRPr="002825FA">
        <w:rPr>
          <w:rtl/>
        </w:rPr>
        <w:t>اتفاق مدريد، على انضمامها إلى بروتوكول مدريد</w:t>
      </w:r>
      <w:r>
        <w:rPr>
          <w:rFonts w:hint="cs"/>
          <w:rtl/>
        </w:rPr>
        <w:t>،</w:t>
      </w:r>
      <w:r w:rsidRPr="002825FA">
        <w:rPr>
          <w:rtl/>
        </w:rPr>
        <w:t xml:space="preserve"> و</w:t>
      </w:r>
      <w:r>
        <w:rPr>
          <w:rtl/>
        </w:rPr>
        <w:t>رحب</w:t>
      </w:r>
      <w:r w:rsidRPr="002825FA">
        <w:rPr>
          <w:rtl/>
        </w:rPr>
        <w:t xml:space="preserve"> </w:t>
      </w:r>
      <w:r>
        <w:rPr>
          <w:rFonts w:hint="cs"/>
          <w:rtl/>
        </w:rPr>
        <w:t xml:space="preserve">بكل من </w:t>
      </w:r>
      <w:r w:rsidRPr="002825FA">
        <w:rPr>
          <w:rtl/>
        </w:rPr>
        <w:t xml:space="preserve">المنظمة الأفريقية </w:t>
      </w:r>
      <w:r>
        <w:rPr>
          <w:rtl/>
        </w:rPr>
        <w:t>للملكية الفكرية وكمبوديا</w:t>
      </w:r>
      <w:r w:rsidRPr="002825FA">
        <w:rPr>
          <w:rtl/>
        </w:rPr>
        <w:t xml:space="preserve"> وغامبيا وزمبابوي كأعضاء جدد في اتحاد مدريد. وأشار الرئيس إلى أن نجاح اتحاد مدريد </w:t>
      </w:r>
      <w:r>
        <w:rPr>
          <w:rtl/>
        </w:rPr>
        <w:t>أ</w:t>
      </w:r>
      <w:r>
        <w:rPr>
          <w:rFonts w:hint="cs"/>
          <w:rtl/>
        </w:rPr>
        <w:t>ثبت</w:t>
      </w:r>
      <w:r w:rsidRPr="002825FA">
        <w:rPr>
          <w:rtl/>
        </w:rPr>
        <w:t xml:space="preserve"> أن العمل الذي قامت به </w:t>
      </w:r>
      <w:r>
        <w:rPr>
          <w:rFonts w:hint="cs"/>
          <w:rtl/>
        </w:rPr>
        <w:t>المنظمة العالمية للملكية الفكرية (الويبو) عاد بال</w:t>
      </w:r>
      <w:r w:rsidRPr="002825FA">
        <w:rPr>
          <w:rtl/>
        </w:rPr>
        <w:t>فا</w:t>
      </w:r>
      <w:r>
        <w:rPr>
          <w:rFonts w:hint="cs"/>
          <w:rtl/>
        </w:rPr>
        <w:t>ئ</w:t>
      </w:r>
      <w:r>
        <w:rPr>
          <w:rtl/>
        </w:rPr>
        <w:t>د</w:t>
      </w:r>
      <w:r>
        <w:rPr>
          <w:rFonts w:hint="cs"/>
          <w:rtl/>
        </w:rPr>
        <w:t>ة</w:t>
      </w:r>
      <w:r w:rsidRPr="002825FA">
        <w:rPr>
          <w:rtl/>
        </w:rPr>
        <w:t xml:space="preserve"> </w:t>
      </w:r>
      <w:r>
        <w:rPr>
          <w:rFonts w:hint="cs"/>
          <w:rtl/>
        </w:rPr>
        <w:t xml:space="preserve">على </w:t>
      </w:r>
      <w:r w:rsidRPr="002825FA">
        <w:rPr>
          <w:rtl/>
        </w:rPr>
        <w:t xml:space="preserve">الدول الأعضاء فيها، ودعا </w:t>
      </w:r>
      <w:r>
        <w:rPr>
          <w:rFonts w:hint="cs"/>
          <w:rtl/>
        </w:rPr>
        <w:t>الرئيس في جو من</w:t>
      </w:r>
      <w:r w:rsidRPr="002825FA">
        <w:rPr>
          <w:rtl/>
        </w:rPr>
        <w:t xml:space="preserve"> الوحدة، إلى اتباع نهج منفتح ومرن </w:t>
      </w:r>
      <w:r>
        <w:rPr>
          <w:rFonts w:hint="cs"/>
          <w:rtl/>
        </w:rPr>
        <w:t xml:space="preserve">يمكّن </w:t>
      </w:r>
      <w:r w:rsidRPr="002825FA">
        <w:rPr>
          <w:rtl/>
        </w:rPr>
        <w:t xml:space="preserve">اتحاد مدريد </w:t>
      </w:r>
      <w:r>
        <w:rPr>
          <w:rFonts w:hint="cs"/>
          <w:rtl/>
        </w:rPr>
        <w:t>من إثبات</w:t>
      </w:r>
      <w:r w:rsidRPr="002825FA">
        <w:rPr>
          <w:rtl/>
        </w:rPr>
        <w:t xml:space="preserve"> أن الوحدة داخل الويبو </w:t>
      </w:r>
      <w:r>
        <w:rPr>
          <w:rtl/>
        </w:rPr>
        <w:t xml:space="preserve">يمكن أن </w:t>
      </w:r>
      <w:r>
        <w:rPr>
          <w:rFonts w:hint="cs"/>
          <w:rtl/>
        </w:rPr>
        <w:t xml:space="preserve">تولد </w:t>
      </w:r>
      <w:r w:rsidRPr="002825FA">
        <w:rPr>
          <w:rtl/>
        </w:rPr>
        <w:t>نجاح</w:t>
      </w:r>
      <w:r>
        <w:rPr>
          <w:rFonts w:hint="cs"/>
          <w:rtl/>
        </w:rPr>
        <w:t>ا</w:t>
      </w:r>
      <w:r w:rsidRPr="002825FA">
        <w:rPr>
          <w:rtl/>
        </w:rPr>
        <w:t xml:space="preserve"> كبير</w:t>
      </w:r>
      <w:r>
        <w:rPr>
          <w:rFonts w:hint="cs"/>
          <w:rtl/>
        </w:rPr>
        <w:t>ا</w:t>
      </w:r>
      <w:r w:rsidRPr="002825FA">
        <w:rPr>
          <w:rtl/>
        </w:rPr>
        <w:t>. وأخيرا، دعا الرئيس الأمانة إلى تقديم الوثائق.</w:t>
      </w:r>
    </w:p>
    <w:p w:rsidR="007833A4" w:rsidRPr="002825FA" w:rsidRDefault="007833A4" w:rsidP="00170FCB">
      <w:pPr>
        <w:pStyle w:val="Heading3AR"/>
        <w:spacing w:after="240"/>
      </w:pPr>
      <w:r w:rsidRPr="002825FA">
        <w:rPr>
          <w:rtl/>
        </w:rPr>
        <w:t>التقرير النهائي عن برنامج تحديث تكنولوجيا المعلومات (نظام مدريد للتسجيل الدولي)</w:t>
      </w:r>
    </w:p>
    <w:p w:rsidR="007833A4" w:rsidRDefault="007833A4" w:rsidP="007833A4">
      <w:pPr>
        <w:pStyle w:val="NumberedParaAR"/>
        <w:numPr>
          <w:ilvl w:val="0"/>
          <w:numId w:val="21"/>
        </w:numPr>
        <w:ind w:left="0" w:firstLine="0"/>
      </w:pPr>
      <w:r>
        <w:rPr>
          <w:rFonts w:hint="cs"/>
          <w:rtl/>
        </w:rPr>
        <w:t xml:space="preserve">استندت المناقشات إلى الوثيقة </w:t>
      </w:r>
      <w:r w:rsidRPr="00EA376C">
        <w:t>MM</w:t>
      </w:r>
      <w:r w:rsidRPr="001C27E0">
        <w:t>/A/49/1</w:t>
      </w:r>
      <w:r>
        <w:rPr>
          <w:rFonts w:hint="cs"/>
          <w:rtl/>
        </w:rPr>
        <w:t>.</w:t>
      </w:r>
    </w:p>
    <w:p w:rsidR="007833A4" w:rsidRDefault="007833A4" w:rsidP="007833A4">
      <w:pPr>
        <w:pStyle w:val="NumberedParaAR"/>
        <w:numPr>
          <w:ilvl w:val="0"/>
          <w:numId w:val="21"/>
        </w:numPr>
        <w:ind w:left="0" w:firstLine="0"/>
      </w:pPr>
      <w:r>
        <w:rPr>
          <w:rtl/>
        </w:rPr>
        <w:t>و</w:t>
      </w:r>
      <w:r>
        <w:rPr>
          <w:rFonts w:hint="cs"/>
          <w:rtl/>
        </w:rPr>
        <w:t>ذكّ</w:t>
      </w:r>
      <w:r w:rsidRPr="00EF0044">
        <w:rPr>
          <w:rtl/>
        </w:rPr>
        <w:t xml:space="preserve">رت </w:t>
      </w:r>
      <w:r>
        <w:rPr>
          <w:rtl/>
        </w:rPr>
        <w:t xml:space="preserve">الأمانة </w:t>
      </w:r>
      <w:r>
        <w:rPr>
          <w:rFonts w:hint="cs"/>
          <w:rtl/>
        </w:rPr>
        <w:t>ب</w:t>
      </w:r>
      <w:r w:rsidRPr="00EF0044">
        <w:rPr>
          <w:rtl/>
        </w:rPr>
        <w:t>أنه</w:t>
      </w:r>
      <w:r>
        <w:rPr>
          <w:rFonts w:hint="cs"/>
          <w:rtl/>
        </w:rPr>
        <w:t>ا</w:t>
      </w:r>
      <w:r w:rsidRPr="00EF0044">
        <w:rPr>
          <w:rtl/>
        </w:rPr>
        <w:t xml:space="preserve"> </w:t>
      </w:r>
      <w:r>
        <w:rPr>
          <w:rFonts w:hint="cs"/>
          <w:rtl/>
        </w:rPr>
        <w:t>نقلت، خلال</w:t>
      </w:r>
      <w:r w:rsidRPr="00EF0044">
        <w:rPr>
          <w:rtl/>
        </w:rPr>
        <w:t xml:space="preserve"> الدورة </w:t>
      </w:r>
      <w:r>
        <w:rPr>
          <w:rtl/>
        </w:rPr>
        <w:t>السابقة ل</w:t>
      </w:r>
      <w:r w:rsidRPr="00EF0044">
        <w:rPr>
          <w:rtl/>
        </w:rPr>
        <w:t>جمعية اتحاد مدريد</w:t>
      </w:r>
      <w:r>
        <w:rPr>
          <w:rFonts w:hint="cs"/>
          <w:rtl/>
        </w:rPr>
        <w:t xml:space="preserve"> وفي </w:t>
      </w:r>
      <w:r w:rsidRPr="00EF0044">
        <w:rPr>
          <w:rtl/>
        </w:rPr>
        <w:t>الوثيقة</w:t>
      </w:r>
      <w:r>
        <w:rPr>
          <w:rFonts w:hint="cs"/>
          <w:rtl/>
        </w:rPr>
        <w:t xml:space="preserve"> </w:t>
      </w:r>
      <w:r>
        <w:t>MM/A/48/1</w:t>
      </w:r>
      <w:r>
        <w:rPr>
          <w:rFonts w:hint="cs"/>
          <w:rtl/>
        </w:rPr>
        <w:t xml:space="preserve">، </w:t>
      </w:r>
      <w:r w:rsidRPr="00EF0044">
        <w:rPr>
          <w:rtl/>
        </w:rPr>
        <w:t>أن عملية التثبيت والتحقق المستقلة</w:t>
      </w:r>
      <w:r>
        <w:rPr>
          <w:rFonts w:hint="cs"/>
          <w:rtl/>
        </w:rPr>
        <w:t xml:space="preserve"> </w:t>
      </w:r>
      <w:r w:rsidRPr="00EF0044">
        <w:rPr>
          <w:rtl/>
        </w:rPr>
        <w:t>كانت جارية</w:t>
      </w:r>
      <w:r>
        <w:rPr>
          <w:rtl/>
        </w:rPr>
        <w:t>، وأن</w:t>
      </w:r>
      <w:r>
        <w:rPr>
          <w:rFonts w:hint="cs"/>
          <w:rtl/>
        </w:rPr>
        <w:t xml:space="preserve"> هذه العملية ست</w:t>
      </w:r>
      <w:r w:rsidRPr="00EF0044">
        <w:rPr>
          <w:rtl/>
        </w:rPr>
        <w:t xml:space="preserve">كتمل بحلول نهاية عام 2015. وأبلغت الأمانة أن المكتب الدولي قد ركز على تنفيذ التوصيات الناتجة عن هذه العملية وعلى </w:t>
      </w:r>
      <w:r>
        <w:rPr>
          <w:rFonts w:hint="cs"/>
          <w:rtl/>
        </w:rPr>
        <w:t>الانتقال إلى</w:t>
      </w:r>
      <w:r w:rsidRPr="00EF0044">
        <w:rPr>
          <w:rtl/>
        </w:rPr>
        <w:t xml:space="preserve"> المرحلة الثانية من برنامج التحديث. وأشارت الأمانة إلى أن هذه المرحلة </w:t>
      </w:r>
      <w:r>
        <w:rPr>
          <w:rFonts w:hint="cs"/>
          <w:rtl/>
        </w:rPr>
        <w:t>يحتمل</w:t>
      </w:r>
      <w:r w:rsidRPr="00EF0044">
        <w:rPr>
          <w:rtl/>
        </w:rPr>
        <w:t xml:space="preserve"> </w:t>
      </w:r>
      <w:r>
        <w:rPr>
          <w:rtl/>
        </w:rPr>
        <w:t xml:space="preserve">أن </w:t>
      </w:r>
      <w:r>
        <w:rPr>
          <w:rFonts w:hint="cs"/>
          <w:rtl/>
        </w:rPr>
        <w:t>ت</w:t>
      </w:r>
      <w:r w:rsidRPr="00EF0044">
        <w:rPr>
          <w:rtl/>
        </w:rPr>
        <w:t xml:space="preserve">كتمل بحلول 23 نوفمبر 2015 </w:t>
      </w:r>
      <w:r>
        <w:rPr>
          <w:rFonts w:hint="cs"/>
          <w:rtl/>
        </w:rPr>
        <w:t xml:space="preserve">أي </w:t>
      </w:r>
      <w:r w:rsidRPr="00EF0044">
        <w:rPr>
          <w:rtl/>
        </w:rPr>
        <w:t>قبل الموعد المحدد</w:t>
      </w:r>
      <w:r>
        <w:rPr>
          <w:rFonts w:hint="cs"/>
          <w:rtl/>
        </w:rPr>
        <w:t>،</w:t>
      </w:r>
      <w:r w:rsidRPr="00EF0044">
        <w:rPr>
          <w:rtl/>
        </w:rPr>
        <w:t xml:space="preserve"> </w:t>
      </w:r>
      <w:r>
        <w:rPr>
          <w:rFonts w:hint="cs"/>
          <w:rtl/>
        </w:rPr>
        <w:t>وأضافت</w:t>
      </w:r>
      <w:r>
        <w:rPr>
          <w:rtl/>
        </w:rPr>
        <w:t xml:space="preserve"> أن</w:t>
      </w:r>
      <w:r>
        <w:rPr>
          <w:rFonts w:hint="cs"/>
          <w:rtl/>
        </w:rPr>
        <w:t xml:space="preserve">ه على اعتبار أن هذا </w:t>
      </w:r>
      <w:r w:rsidRPr="00EF0044">
        <w:rPr>
          <w:rtl/>
        </w:rPr>
        <w:t xml:space="preserve">التقرير </w:t>
      </w:r>
      <w:r>
        <w:rPr>
          <w:rFonts w:hint="cs"/>
          <w:rtl/>
        </w:rPr>
        <w:t xml:space="preserve">سيكون التقرير </w:t>
      </w:r>
      <w:r w:rsidRPr="00EF0044">
        <w:rPr>
          <w:rtl/>
        </w:rPr>
        <w:t xml:space="preserve">النهائي بشأن برنامج التحديث، </w:t>
      </w:r>
      <w:r>
        <w:rPr>
          <w:rFonts w:hint="cs"/>
          <w:rtl/>
        </w:rPr>
        <w:t xml:space="preserve">فإن </w:t>
      </w:r>
      <w:r w:rsidRPr="00EF0044">
        <w:rPr>
          <w:rtl/>
        </w:rPr>
        <w:t xml:space="preserve">قائمة من التوصيات الناتجة عن عملية </w:t>
      </w:r>
      <w:r>
        <w:rPr>
          <w:rtl/>
        </w:rPr>
        <w:t>التثبيت والتحقق</w:t>
      </w:r>
      <w:r w:rsidRPr="00EF0044">
        <w:rPr>
          <w:rtl/>
        </w:rPr>
        <w:t xml:space="preserve">، فضلا عن قائمة </w:t>
      </w:r>
      <w:r>
        <w:rPr>
          <w:rFonts w:hint="cs"/>
          <w:rtl/>
        </w:rPr>
        <w:t>ب</w:t>
      </w:r>
      <w:r w:rsidRPr="00EF0044">
        <w:rPr>
          <w:rtl/>
        </w:rPr>
        <w:t>إنجازات البرنامج</w:t>
      </w:r>
      <w:r>
        <w:rPr>
          <w:rFonts w:hint="cs"/>
          <w:rtl/>
        </w:rPr>
        <w:t>،</w:t>
      </w:r>
      <w:r w:rsidRPr="00EF0044">
        <w:rPr>
          <w:rtl/>
        </w:rPr>
        <w:t xml:space="preserve"> </w:t>
      </w:r>
      <w:r>
        <w:rPr>
          <w:rFonts w:hint="cs"/>
          <w:rtl/>
        </w:rPr>
        <w:t>قد أرفقتا با</w:t>
      </w:r>
      <w:r w:rsidRPr="00EF0044">
        <w:rPr>
          <w:rtl/>
        </w:rPr>
        <w:t>لوثيقة.</w:t>
      </w:r>
    </w:p>
    <w:p w:rsidR="007833A4" w:rsidRPr="007F38D1" w:rsidRDefault="007833A4" w:rsidP="007833A4">
      <w:pPr>
        <w:pStyle w:val="NumberedParaAR"/>
        <w:numPr>
          <w:ilvl w:val="0"/>
          <w:numId w:val="21"/>
        </w:numPr>
        <w:ind w:left="566" w:firstLine="0"/>
      </w:pPr>
      <w:r>
        <w:rPr>
          <w:rFonts w:hint="cs"/>
          <w:rtl/>
        </w:rPr>
        <w:t>إ</w:t>
      </w:r>
      <w:r>
        <w:rPr>
          <w:rtl/>
        </w:rPr>
        <w:t xml:space="preserve">ن الجمعية </w:t>
      </w:r>
      <w:r>
        <w:rPr>
          <w:rFonts w:hint="cs"/>
          <w:rtl/>
        </w:rPr>
        <w:t>أ</w:t>
      </w:r>
      <w:r>
        <w:rPr>
          <w:rtl/>
        </w:rPr>
        <w:t>حاط</w:t>
      </w:r>
      <w:r>
        <w:rPr>
          <w:rFonts w:hint="cs"/>
          <w:rtl/>
        </w:rPr>
        <w:t>ت</w:t>
      </w:r>
      <w:r w:rsidRPr="00376F88">
        <w:rPr>
          <w:rtl/>
        </w:rPr>
        <w:t xml:space="preserve"> علما </w:t>
      </w:r>
      <w:r>
        <w:rPr>
          <w:rFonts w:hint="cs"/>
          <w:rtl/>
        </w:rPr>
        <w:t xml:space="preserve">بمضمون </w:t>
      </w:r>
      <w:r w:rsidRPr="00376F88">
        <w:rPr>
          <w:rtl/>
        </w:rPr>
        <w:t xml:space="preserve">"التقرير النهائي عن برنامج تحديث تكنولوجيا المعلومات (نظام مدريد للتسجيل الدولي)"(الوثيقة </w:t>
      </w:r>
      <w:r w:rsidRPr="00376F88">
        <w:rPr>
          <w:cs/>
        </w:rPr>
        <w:t>‎</w:t>
      </w:r>
      <w:r w:rsidRPr="00376F88">
        <w:t>MM/A/49/1</w:t>
      </w:r>
      <w:r w:rsidRPr="00376F88">
        <w:rPr>
          <w:rtl/>
        </w:rPr>
        <w:t>‏).</w:t>
      </w:r>
    </w:p>
    <w:p w:rsidR="007833A4" w:rsidRPr="0091285A" w:rsidRDefault="007833A4" w:rsidP="00170FCB">
      <w:pPr>
        <w:pStyle w:val="Heading3AR"/>
        <w:spacing w:after="240"/>
        <w:rPr>
          <w:rtl/>
        </w:rPr>
      </w:pPr>
      <w:r w:rsidRPr="0091285A">
        <w:rPr>
          <w:rtl/>
        </w:rPr>
        <w:t>التقرير المرحلي عن قاعدة بيانات نظام مدريد بشأن السلع والخدمات</w:t>
      </w:r>
    </w:p>
    <w:p w:rsidR="007833A4" w:rsidRPr="0091285A" w:rsidRDefault="007833A4" w:rsidP="007833A4">
      <w:pPr>
        <w:pStyle w:val="NumberedParaAR"/>
        <w:numPr>
          <w:ilvl w:val="0"/>
          <w:numId w:val="21"/>
        </w:numPr>
        <w:ind w:left="0" w:firstLine="0"/>
        <w:rPr>
          <w:rtl/>
        </w:rPr>
      </w:pPr>
      <w:r w:rsidRPr="0091285A">
        <w:rPr>
          <w:rtl/>
        </w:rPr>
        <w:t xml:space="preserve">استندت المناقشات إلى الوثيقة </w:t>
      </w:r>
      <w:r w:rsidRPr="0091285A">
        <w:t>MM/A/49/2</w:t>
      </w:r>
      <w:r w:rsidRPr="0091285A">
        <w:rPr>
          <w:rtl/>
        </w:rPr>
        <w:t>.</w:t>
      </w:r>
    </w:p>
    <w:p w:rsidR="007833A4" w:rsidRPr="0091285A" w:rsidRDefault="007833A4" w:rsidP="007833A4">
      <w:pPr>
        <w:pStyle w:val="NumberedParaAR"/>
        <w:numPr>
          <w:ilvl w:val="0"/>
          <w:numId w:val="21"/>
        </w:numPr>
        <w:ind w:left="0" w:firstLine="0"/>
        <w:rPr>
          <w:rtl/>
        </w:rPr>
      </w:pPr>
      <w:r w:rsidRPr="0091285A">
        <w:rPr>
          <w:rtl/>
        </w:rPr>
        <w:t>عرضت الأمانة الوثيقة المذكورة التي بيَّنت التقدم المحرز في قاعدة بيانات إدارة السلع والخدمات في نظام مدريد خلال الفترة الممتدة من يونيو</w:t>
      </w:r>
      <w:r>
        <w:rPr>
          <w:rFonts w:hint="cs"/>
          <w:rtl/>
        </w:rPr>
        <w:t> </w:t>
      </w:r>
      <w:r w:rsidRPr="0091285A">
        <w:rPr>
          <w:rtl/>
        </w:rPr>
        <w:t>2014 إلى مايو</w:t>
      </w:r>
      <w:r>
        <w:rPr>
          <w:rFonts w:hint="cs"/>
          <w:rtl/>
        </w:rPr>
        <w:t> </w:t>
      </w:r>
      <w:r w:rsidRPr="0091285A">
        <w:rPr>
          <w:rtl/>
        </w:rPr>
        <w:t>2015، وأشارت إلى ما شهده مجالا عدد المصطلحات والتمثيل اللغوي من تقدم. فأفادت الأمانة بأن عدد المصطلحات قد سجَّل، حتى سبتمبر</w:t>
      </w:r>
      <w:r>
        <w:rPr>
          <w:rFonts w:hint="cs"/>
          <w:rtl/>
        </w:rPr>
        <w:t> </w:t>
      </w:r>
      <w:r w:rsidRPr="0091285A">
        <w:rPr>
          <w:rtl/>
        </w:rPr>
        <w:t>2015، زيادة قدرها 18</w:t>
      </w:r>
      <w:r>
        <w:rPr>
          <w:rFonts w:hint="cs"/>
          <w:rtl/>
        </w:rPr>
        <w:t> </w:t>
      </w:r>
      <w:r w:rsidRPr="0091285A">
        <w:rPr>
          <w:rtl/>
        </w:rPr>
        <w:t>بالمئة ليبلغ مجموعه 000</w:t>
      </w:r>
      <w:r>
        <w:rPr>
          <w:rFonts w:hint="cs"/>
          <w:rtl/>
        </w:rPr>
        <w:t> </w:t>
      </w:r>
      <w:r w:rsidRPr="0091285A">
        <w:rPr>
          <w:rtl/>
        </w:rPr>
        <w:t>74 مصطلح أي ما يعادل نصف مليون مصطلح بجميع لغات قاعدة البيانات. وأما في مجال التمثيل اللغوي، فنوهت الأمانة بالتحسن الواضح فيما يخص اللغات الصينية واليابانية والكورية. وفي الختام، شددت الأمانة على ما أُدخل من تحسينات في وظيفة "تحقَّق من القبول" بشأن عدة أعضاء منها الصين واليابان وجمهورية كوريا والاتحاد الروسي والولايات المتحدة الأمريكية.</w:t>
      </w:r>
    </w:p>
    <w:p w:rsidR="007833A4" w:rsidRPr="0091285A" w:rsidRDefault="007833A4" w:rsidP="00170FCB">
      <w:pPr>
        <w:pStyle w:val="NumberedParaAR"/>
        <w:keepNext/>
        <w:numPr>
          <w:ilvl w:val="0"/>
          <w:numId w:val="21"/>
        </w:numPr>
        <w:ind w:left="566" w:firstLine="0"/>
        <w:rPr>
          <w:rtl/>
        </w:rPr>
      </w:pPr>
      <w:r w:rsidRPr="0091285A">
        <w:rPr>
          <w:rtl/>
        </w:rPr>
        <w:lastRenderedPageBreak/>
        <w:t>إن الجمعية:</w:t>
      </w:r>
    </w:p>
    <w:p w:rsidR="007833A4" w:rsidRPr="0091285A" w:rsidRDefault="007833A4" w:rsidP="007833A4">
      <w:pPr>
        <w:pStyle w:val="NumberedParaAR"/>
        <w:numPr>
          <w:ilvl w:val="0"/>
          <w:numId w:val="0"/>
        </w:numPr>
        <w:ind w:left="1133"/>
        <w:rPr>
          <w:rtl/>
        </w:rPr>
      </w:pPr>
      <w:r w:rsidRPr="0091285A">
        <w:rPr>
          <w:rtl/>
        </w:rPr>
        <w:t>"1"</w:t>
      </w:r>
      <w:r w:rsidRPr="0091285A">
        <w:rPr>
          <w:rtl/>
        </w:rPr>
        <w:tab/>
        <w:t>أحاطت علماً بمضمون "التقرير المرحلي عن قاعدة بيانات نظام مدريد بشأن السلع والخدمات" (الوثيقة</w:t>
      </w:r>
      <w:r>
        <w:rPr>
          <w:rFonts w:hint="cs"/>
          <w:rtl/>
        </w:rPr>
        <w:t> </w:t>
      </w:r>
      <w:r w:rsidRPr="0091285A">
        <w:t>MM/A/49/2</w:t>
      </w:r>
      <w:r w:rsidRPr="0091285A">
        <w:rPr>
          <w:rtl/>
        </w:rPr>
        <w:t>) بما في ذلك الفقرة</w:t>
      </w:r>
      <w:r>
        <w:rPr>
          <w:rFonts w:hint="cs"/>
          <w:rtl/>
        </w:rPr>
        <w:t> </w:t>
      </w:r>
      <w:r w:rsidRPr="0091285A">
        <w:rPr>
          <w:rtl/>
        </w:rPr>
        <w:t>27 المتعلقة بأموال المشروع المتبقية؛</w:t>
      </w:r>
    </w:p>
    <w:p w:rsidR="007833A4" w:rsidRPr="0091285A" w:rsidRDefault="007833A4" w:rsidP="007833A4">
      <w:pPr>
        <w:pStyle w:val="NumberedParaAR"/>
        <w:numPr>
          <w:ilvl w:val="0"/>
          <w:numId w:val="0"/>
        </w:numPr>
        <w:ind w:left="1133"/>
        <w:rPr>
          <w:rtl/>
        </w:rPr>
      </w:pPr>
      <w:r w:rsidRPr="0091285A">
        <w:rPr>
          <w:rtl/>
        </w:rPr>
        <w:t>"2"</w:t>
      </w:r>
      <w:r w:rsidRPr="0091285A">
        <w:rPr>
          <w:rtl/>
        </w:rPr>
        <w:tab/>
        <w:t>والتمست من المكتب الدولي للويبو أن يقدِّم تقريراً مرحلياً جديداً إلى الجمعية في عام</w:t>
      </w:r>
      <w:r>
        <w:rPr>
          <w:rFonts w:hint="cs"/>
          <w:rtl/>
        </w:rPr>
        <w:t> </w:t>
      </w:r>
      <w:r w:rsidRPr="0091285A">
        <w:rPr>
          <w:rtl/>
        </w:rPr>
        <w:t>2016 بشأن التقدم المحرز في تنفيذ قاعدة بيانات نظام مدريد بشأن السلع والخدمات، بما في ذلك استخدام أموال المشروع</w:t>
      </w:r>
      <w:r>
        <w:t> </w:t>
      </w:r>
      <w:r w:rsidRPr="0091285A">
        <w:rPr>
          <w:rtl/>
        </w:rPr>
        <w:t>المتبقية.</w:t>
      </w:r>
    </w:p>
    <w:p w:rsidR="007833A4" w:rsidRPr="0091285A" w:rsidRDefault="007833A4" w:rsidP="00170FCB">
      <w:pPr>
        <w:pStyle w:val="Heading3AR"/>
        <w:spacing w:after="240"/>
        <w:rPr>
          <w:rtl/>
        </w:rPr>
      </w:pPr>
      <w:r w:rsidRPr="0091285A">
        <w:rPr>
          <w:rtl/>
        </w:rPr>
        <w:t>التعديلات المقترح إدخالها على اللائحة التنفيذية المشتركة بين اتفاق وبروتوكول مدريد بشأن التسجيل الدولي للعلامات</w:t>
      </w:r>
    </w:p>
    <w:p w:rsidR="007833A4" w:rsidRPr="0091285A" w:rsidRDefault="007833A4" w:rsidP="007833A4">
      <w:pPr>
        <w:pStyle w:val="NumberedParaAR"/>
        <w:numPr>
          <w:ilvl w:val="0"/>
          <w:numId w:val="21"/>
        </w:numPr>
        <w:ind w:left="0" w:firstLine="0"/>
        <w:rPr>
          <w:rtl/>
        </w:rPr>
      </w:pPr>
      <w:r w:rsidRPr="0091285A">
        <w:rPr>
          <w:rtl/>
        </w:rPr>
        <w:t xml:space="preserve">استندت المناقشات إلى الوثيقة </w:t>
      </w:r>
      <w:r w:rsidRPr="0091285A">
        <w:t>MM/A/49/3</w:t>
      </w:r>
      <w:r w:rsidRPr="0091285A">
        <w:rPr>
          <w:rtl/>
        </w:rPr>
        <w:t>.</w:t>
      </w:r>
    </w:p>
    <w:p w:rsidR="007833A4" w:rsidRPr="0091285A" w:rsidRDefault="007833A4" w:rsidP="007833A4">
      <w:pPr>
        <w:pStyle w:val="NumberedParaAR"/>
        <w:numPr>
          <w:ilvl w:val="0"/>
          <w:numId w:val="21"/>
        </w:numPr>
        <w:ind w:left="0" w:firstLine="0"/>
        <w:rPr>
          <w:rtl/>
        </w:rPr>
      </w:pPr>
      <w:r w:rsidRPr="0091285A">
        <w:rPr>
          <w:rtl/>
        </w:rPr>
        <w:t xml:space="preserve">أشارت الأمانة إلى أن الوثيقة </w:t>
      </w:r>
      <w:r w:rsidRPr="0091285A">
        <w:t>MM/A/49/3</w:t>
      </w:r>
      <w:r w:rsidRPr="0091285A">
        <w:rPr>
          <w:rtl/>
        </w:rPr>
        <w:t xml:space="preserve"> تحتوي على أربعة اقتراحات لإدخال تعديلات على اللائحة المشتركة بين اتفاق وبروتوكول مدريد بشأن التسجيل الدولي للعلامات (المشار إليها فيما يلي بعبارة "اللائحة التنفيذية المشتركة")، أوصى بها الفريق العامل المعني بالتطوير القانوني لنظام مدريد للتسجيل الدولي للعلامات، كي تعتمدها جمعية اتحاد مدريد.</w:t>
      </w:r>
    </w:p>
    <w:p w:rsidR="007833A4" w:rsidRPr="0091285A" w:rsidRDefault="007833A4" w:rsidP="007833A4">
      <w:pPr>
        <w:pStyle w:val="NumberedParaAR"/>
        <w:numPr>
          <w:ilvl w:val="0"/>
          <w:numId w:val="21"/>
        </w:numPr>
        <w:ind w:left="0" w:firstLine="0"/>
        <w:rPr>
          <w:rtl/>
        </w:rPr>
      </w:pPr>
      <w:r w:rsidRPr="0091285A">
        <w:rPr>
          <w:rtl/>
        </w:rPr>
        <w:t>وأوضحت الأمانة أن الاقتراح الأول يخص تعديل القاعدة 5 من اللائحة التنفيذية المشتركة لتنص على تدابير تصحيحية في حال كان التأخر في تسلم التبليغات الموجَّهة إلى المكتب الدولي ناجماً عن تعطل الخدمات الإلكترونية. وأضافت الأمانة أن الاقتراح الثاني يتعلق بتعديل القاعدة 9(4) من اللائحة التنفيذية المشتركة لتمكين مقدمي الطلبات من إدراج أي وصف للعلامة في الطلب الدولي.</w:t>
      </w:r>
    </w:p>
    <w:p w:rsidR="007833A4" w:rsidRPr="0091285A" w:rsidRDefault="007833A4" w:rsidP="007833A4">
      <w:pPr>
        <w:pStyle w:val="NumberedParaAR"/>
        <w:numPr>
          <w:ilvl w:val="0"/>
          <w:numId w:val="21"/>
        </w:numPr>
        <w:ind w:left="0" w:firstLine="0"/>
        <w:rPr>
          <w:rtl/>
        </w:rPr>
      </w:pPr>
      <w:r w:rsidRPr="0091285A">
        <w:rPr>
          <w:rtl/>
        </w:rPr>
        <w:t xml:space="preserve">وأشارت إلى الاقتراح الثالث الوارد في الوثيقة </w:t>
      </w:r>
      <w:r w:rsidRPr="0091285A">
        <w:t>MM/A/49/3</w:t>
      </w:r>
      <w:r w:rsidRPr="0091285A">
        <w:rPr>
          <w:rtl/>
        </w:rPr>
        <w:t xml:space="preserve"> قائلةً إنه يخص تعديل القاعدة 24(5) من اللائحة التنفيذية المشتركة. وستعدَّل الفقرتان (أ) و(د) من القاعدة 24(5) لتنصان على تطبيق القاعدتين 12 و13 مع ما يلزم من تبديل في حال كان التعيين اللاحق لا يخص سوى جزء من السلع والخدمات المدرجة في التسجيل الدولي. ويرمي تعديل الفقرة (د) من القاعدة 24(5) إلى الحد من العواقب الناجمة عن المخالفات التي لم تصحَّح والتي تتعلق بعدم وجود إعلان نية استخدام العلامة أو وجود نقص فيه. وذكرت الأمانة أن الاقتراح الرابع هو تعديل القاعدة 36 لتوضيح أن طلبات تدوين بعض التعديلات ستكون معفاة من الرسوم.</w:t>
      </w:r>
    </w:p>
    <w:p w:rsidR="007833A4" w:rsidRPr="0091285A" w:rsidRDefault="007833A4" w:rsidP="007833A4">
      <w:pPr>
        <w:pStyle w:val="NumberedParaAR"/>
        <w:numPr>
          <w:ilvl w:val="0"/>
          <w:numId w:val="21"/>
        </w:numPr>
        <w:ind w:left="566" w:firstLine="0"/>
      </w:pPr>
      <w:r>
        <w:rPr>
          <w:rFonts w:hint="cs"/>
          <w:rtl/>
          <w:lang w:val="fr-CH"/>
        </w:rPr>
        <w:t>و</w:t>
      </w:r>
      <w:r w:rsidRPr="0091285A">
        <w:rPr>
          <w:rtl/>
        </w:rPr>
        <w:t xml:space="preserve">اعتمدت الجمعية التعديلات المقترح إدخالها على القاعدتين 5 و36 من اللائحة التنفيذية المشتركة، على أن تدخل حيّز النفاذ في 1 أبريل 2016، وعلى القاعدتين 9 و24 من اللائحة التنفيذية المشتركة، على أن تدخل حيّز النفاذ في 1 نوفمبر 2017، كما هو وارد في "التعديلات المقترح إدخالها على اللائحة التنفيذية المشتركة بين اتفاق وبروتوكول مدريد بشأن التسجيل الدولي للعلامات" (الوثيقة </w:t>
      </w:r>
      <w:r w:rsidRPr="0091285A">
        <w:rPr>
          <w:cs/>
        </w:rPr>
        <w:t>‎</w:t>
      </w:r>
      <w:r w:rsidRPr="0091285A">
        <w:t>MM/A/49/3</w:t>
      </w:r>
      <w:r w:rsidRPr="0091285A">
        <w:rPr>
          <w:rtl/>
        </w:rPr>
        <w:t>‏).</w:t>
      </w:r>
    </w:p>
    <w:p w:rsidR="007833A4" w:rsidRPr="00B532B4" w:rsidRDefault="007833A4" w:rsidP="00170FCB">
      <w:pPr>
        <w:pStyle w:val="Heading3AR"/>
        <w:spacing w:after="240"/>
        <w:rPr>
          <w:rtl/>
        </w:rPr>
      </w:pPr>
      <w:r w:rsidRPr="00B532B4">
        <w:rPr>
          <w:rtl/>
        </w:rPr>
        <w:t>بعض المسائل المتعلقة باتحادي مدريد ولشبونة: اقتراح الولايات المتحدة الأمريكية إلى جمعية مدريد</w:t>
      </w:r>
    </w:p>
    <w:p w:rsidR="007833A4" w:rsidRPr="00C74DE1" w:rsidRDefault="007833A4" w:rsidP="007833A4">
      <w:pPr>
        <w:pStyle w:val="NumberedParaAR"/>
        <w:numPr>
          <w:ilvl w:val="0"/>
          <w:numId w:val="21"/>
        </w:numPr>
        <w:ind w:left="0" w:firstLine="0"/>
      </w:pPr>
      <w:r>
        <w:rPr>
          <w:rFonts w:hint="cs"/>
          <w:rtl/>
        </w:rPr>
        <w:t xml:space="preserve">استندت المناقشات إلى الوثيقة </w:t>
      </w:r>
      <w:r>
        <w:t>MM/A/49/4</w:t>
      </w:r>
      <w:r>
        <w:rPr>
          <w:rFonts w:hint="cs"/>
          <w:rtl/>
        </w:rPr>
        <w:t>.</w:t>
      </w:r>
    </w:p>
    <w:p w:rsidR="007833A4" w:rsidRPr="00C74DE1" w:rsidRDefault="007833A4" w:rsidP="007833A4">
      <w:pPr>
        <w:pStyle w:val="NumberedParaAR"/>
        <w:numPr>
          <w:ilvl w:val="0"/>
          <w:numId w:val="21"/>
        </w:numPr>
        <w:ind w:left="0" w:firstLine="0"/>
        <w:rPr>
          <w:rtl/>
        </w:rPr>
      </w:pPr>
      <w:r>
        <w:rPr>
          <w:rFonts w:hint="cs"/>
          <w:rtl/>
        </w:rPr>
        <w:t xml:space="preserve">وأشار وفد الولايات المتحدة الأمريكية إلى أنه اقترح إدراج هذا البند في جدول الأعمال وأنه قدم الوثيقة قيد المناقشة لأن الجمعية لم تناقش منذ عدة سنوات مآل أي فائض في إيرادات اتفاق مدريد وبروتوكوله، وللإقرار بأن الجمعية لها الحق في البت في هذه المسألة. وذكّر بأن المادة 8(4) من اتفاق مدريد وبروتوكوله تنص على توزيع أي فائض بالتساوي على أعضاء اتحاد مدريد. وأشار إلى أنه بينما كان يتناول تمويل مختلف الاتحادات بالبحث، </w:t>
      </w:r>
      <w:r w:rsidRPr="00887C7A">
        <w:rPr>
          <w:rFonts w:hint="cs"/>
          <w:rtl/>
        </w:rPr>
        <w:t xml:space="preserve">اكتشف أن الفائض المتراكم كان يعتزم </w:t>
      </w:r>
      <w:r w:rsidRPr="00887C7A">
        <w:rPr>
          <w:rFonts w:hint="cs"/>
          <w:rtl/>
        </w:rPr>
        <w:lastRenderedPageBreak/>
        <w:t>استخدامه أصلا في تمويل المصروفات الخاصة</w:t>
      </w:r>
      <w:r>
        <w:rPr>
          <w:rFonts w:hint="cs"/>
          <w:rtl/>
        </w:rPr>
        <w:t xml:space="preserve"> بمشروعات تكنولوجيا المعلومات، إلا أن هذا التمويل لم يعد لازما على ما يبدو. وعليه التمس من الأمانة موافاته بمستجدات المصروفات الخاصة بمشروعات تكنولوجيا المعلومات في نظام مدريد منذ عام</w:t>
      </w:r>
      <w:r>
        <w:rPr>
          <w:rFonts w:hint="eastAsia"/>
          <w:rtl/>
        </w:rPr>
        <w:t> </w:t>
      </w:r>
      <w:r>
        <w:rPr>
          <w:rFonts w:hint="cs"/>
          <w:rtl/>
        </w:rPr>
        <w:t>2007، وتكاليفها المتوقعة في المستقبل والأموال التي قد تلزم لتمويلها. وصرح بأن الجمعية ينبغي لها النظر في أن توزع أي فائض أو تراكمه ضمن الأموال الاحتياطية لاتحاد مدريد</w:t>
      </w:r>
      <w:r w:rsidRPr="00E446BC">
        <w:rPr>
          <w:rFonts w:hint="cs"/>
          <w:rtl/>
        </w:rPr>
        <w:t>، ومن ثم</w:t>
      </w:r>
      <w:r>
        <w:rPr>
          <w:rFonts w:hint="cs"/>
          <w:rtl/>
        </w:rPr>
        <w:t xml:space="preserve"> ستفوق الأموال الاحتياطية المستويات الضرورية والمنشودة بقدر هائل. وقال الوفد إن هذا القرار اتخذته الجمعية، رهنا بطبيعة المشروعات الجارية التي تهم اتحاد مدريد. وذكّر بأن الجمعية قررت توزيع أي فائض، بين عام 1972 وعام 1990، غير أنها قررت في عام 1990 تخصيص الفائض إلى برامج تحديث تكنولوجيا المعلومات، ثم قررت مجددا توزيعه في عام 2000. وأضاف أن في عام 2007 كان من المتوقع تحقيق فائض خصصته الجمعية لتمويل برنامج جديد لتحديث تكنولوجيا المعلومات. وأشار أيضا إلى أن هذا البرنامج قد استُكمل، ومع ذلك استمر تراكم الأموال الاحتياطية. واستدرك قائلا إنه نظر في الوثيقة </w:t>
      </w:r>
      <w:r>
        <w:t>A/55/6</w:t>
      </w:r>
      <w:r>
        <w:rPr>
          <w:rFonts w:hint="cs"/>
          <w:rtl/>
        </w:rPr>
        <w:t xml:space="preserve"> المعنونة "</w:t>
      </w:r>
      <w:r w:rsidRPr="006F45A6">
        <w:rPr>
          <w:rtl/>
        </w:rPr>
        <w:t>تقرير أداء البرنامج لعام 2014</w:t>
      </w:r>
      <w:r>
        <w:rPr>
          <w:rFonts w:hint="cs"/>
          <w:rtl/>
        </w:rPr>
        <w:t xml:space="preserve">" والوثيقة </w:t>
      </w:r>
      <w:r w:rsidRPr="0095604D">
        <w:t>A/55/5</w:t>
      </w:r>
      <w:r>
        <w:t> Rev.</w:t>
      </w:r>
      <w:r>
        <w:rPr>
          <w:rFonts w:hint="cs"/>
          <w:rtl/>
        </w:rPr>
        <w:t xml:space="preserve"> المعنونة "</w:t>
      </w:r>
      <w:r w:rsidRPr="008F342D">
        <w:rPr>
          <w:rtl/>
        </w:rPr>
        <w:t>اقتراح البرنامج والميزانية للثنائية</w:t>
      </w:r>
      <w:r>
        <w:rPr>
          <w:rFonts w:hint="cs"/>
          <w:rtl/>
        </w:rPr>
        <w:t xml:space="preserve"> 2016/17"، واكتشف أن الأموال الاحتياطية ومبالغ صناديق رأس المال العامل الخاصة باتحاد مدريد تجاوزت المبلغ المنشود وقدره 31.5 مليون فرنك سويسري للثنائية 2016/17 بمبلغ قدره 15 مليون فرنك سويسري، وقال إن هذا المبلغ متاح للتوزيع على أعضاء اتحاد مدريد بموجب المادة 8(4) من اتفاق مدريد وبروتوكوله. والتمس الوفد من الأمانة أن تؤكد له أن الجمعية يمكنها البت في توزيع هذا المبلغ، وقال إن بحسب تقديراته يمكن أن يحصل كل عضو من أعضاء اتحاد مدريد على مبلغ 000 150 فرنك سويسري، على النحو المبين في جدول عرضه على الأمانة كجزء من مساهمته، وتساءل إن كان هذا الجدول قد عُمم. </w:t>
      </w:r>
      <w:r w:rsidR="00170FCB">
        <w:rPr>
          <w:rFonts w:hint="cs"/>
          <w:rtl/>
        </w:rPr>
        <w:t xml:space="preserve">واستفسر الوفد أيضا من الأمانة عن إن كانت تلك المساهمة ستؤثر في تمويل أية أجزاء أخرى من المنظمة. </w:t>
      </w:r>
      <w:r>
        <w:rPr>
          <w:rFonts w:hint="cs"/>
          <w:rtl/>
        </w:rPr>
        <w:t xml:space="preserve">وراح يقول إنه قدم اقتراحه أولا كي يقترح وقف ممارسة الاحتفاظ بالفائض والعودة إلى توزيعه؛ وثانيا للإقرار بأن اتحاد لشبونة يعاني من عجز ويلزمه إنشاء صندوق رأس مال عامل على نحو بنّاء، كي يتسنى اعتماد وثيقة برنامج وميزانية تحتوي على ميزانية متوازنة لاتحاد لشبونة. وصرح بأن توزيع الفائض قد يكون مفيدا لأعضاء اتحاد مدريد واتحاد لشبونة على حد سواء، فقد ترغب هذه الأعضاء في النظر في إعادة استخدام هذا الفائض الموزع ضمن اشتراكاتها في اتحاد لشبونة. ونوه بأن العجز الذي يعاني منه اتحاد لشبونة كان يغطيه دائما الفائض المحقق في اتحادي مدريد ومعاهدة التعاون بشأن البراءات. وذكّر بأنه إذا تبين وجود عجز لمدة طويلة، فإن المادة 4(8) من اللائحة المالية تكلف الجمعية العامة للويبو أو جمعيات الاتحادات المعنية بالبت في التدابير الرامية إلى تصحيح الوضع المالي، مشيرا إلى أن اتحاد مدريد، باعتباره اتحادا معنيا، يمكنه أن يقرر عدم استخدام ما يحققه من فائض للسماح لاتحاد لشبونة بتسوية مشكلاته المالية، وأن يوزع هذا الفائض عوضا عن ذلك على أعضاء اتحاد مدريد، مقترحا أن جمعية اتحاد مدريد يمكنها أيضا أن تقرر توزيع الفائض رهنا بخصم الاشتراكات المقررة بناء على اتفاق لشبونة </w:t>
      </w:r>
      <w:r>
        <w:rPr>
          <w:rtl/>
        </w:rPr>
        <w:t>بشأن حماية تسميات المنش</w:t>
      </w:r>
      <w:r>
        <w:rPr>
          <w:rFonts w:hint="cs"/>
          <w:rtl/>
        </w:rPr>
        <w:t xml:space="preserve">أ </w:t>
      </w:r>
      <w:r>
        <w:rPr>
          <w:rtl/>
        </w:rPr>
        <w:t>وتسجيلها على الصعيد الدولي</w:t>
      </w:r>
      <w:r>
        <w:rPr>
          <w:rFonts w:hint="cs"/>
          <w:rtl/>
        </w:rPr>
        <w:t>. وأوضح أنه، بالاستشهاد بهذا القرار، يسعى إلى التذكير بأن موافقة جمعية اتحاد مدريد لازمة قبل استخدام أي دخل يولده الاتحاد لتغطية مصروفات الاتحادات الأخرى التى لا تحقق القدر ذاته من الأداء. واختتم الوفد ملاحظاته مقترحا أن يطبق أي توزيع للفائض أولا على أية اشتراكات لم يسددها الأعضاء بعد لاتحاد مدريد، واقترح أن يساهم أعضاء اتحادي مدريد ولشبونة على حد سواء بحصتهم من الفائض الموزع المذكور أعلاه في صندوق رأس المال العامل لاتحاد لشبونة</w:t>
      </w:r>
      <w:r w:rsidR="00D97A9D">
        <w:rPr>
          <w:rFonts w:hint="cs"/>
          <w:rtl/>
        </w:rPr>
        <w:t xml:space="preserve"> (انظر المرفق، الذي هو جزء من البيان)</w:t>
      </w:r>
      <w:r>
        <w:rPr>
          <w:rFonts w:hint="cs"/>
          <w:rtl/>
        </w:rPr>
        <w:t>.</w:t>
      </w:r>
    </w:p>
    <w:p w:rsidR="007833A4" w:rsidRPr="007833A4" w:rsidRDefault="007833A4" w:rsidP="003C7577">
      <w:pPr>
        <w:pStyle w:val="NumberedParaAR"/>
        <w:numPr>
          <w:ilvl w:val="0"/>
          <w:numId w:val="21"/>
        </w:numPr>
        <w:ind w:left="0" w:firstLine="0"/>
      </w:pPr>
      <w:r w:rsidRPr="007833A4">
        <w:rPr>
          <w:rFonts w:hint="cs"/>
          <w:rtl/>
        </w:rPr>
        <w:t xml:space="preserve">وقالت الأمانة إنها فهمت أن اقتراح الولايات المتحدة الأمريكية له شقان وأشارت إلى أن الشق الأول قد نُوقش خلال جمعية اتحاد </w:t>
      </w:r>
      <w:r w:rsidRPr="007833A4">
        <w:rPr>
          <w:rtl/>
        </w:rPr>
        <w:t>معاهدة التعاون بشأن البراءات</w:t>
      </w:r>
      <w:r w:rsidRPr="007833A4">
        <w:rPr>
          <w:rFonts w:hint="cs"/>
          <w:rtl/>
        </w:rPr>
        <w:t>، وأعربت عن استعدادها لتقديم أي معلومات إضافية لازمة. وتطرقت الأمانة إلى الشق الثاني من الاقتراح وأكّدت أن جمعية اتحاد مدريد جمعية ذات سيادة وتمتلك سلطة أ</w:t>
      </w:r>
      <w:r w:rsidR="00F42B6E">
        <w:rPr>
          <w:rFonts w:hint="cs"/>
          <w:rtl/>
        </w:rPr>
        <w:t>ن تحدد أين يمكن استخدام فائض ما</w:t>
      </w:r>
      <w:r w:rsidRPr="007833A4">
        <w:rPr>
          <w:rFonts w:hint="cs"/>
          <w:rtl/>
        </w:rPr>
        <w:t>. وأشارت الأمانة إلى أن المنظمة حالياً في منتصف الثنائية وذكّرت بأن الويبو لا تعتمد ميزانية سنوية، علماً بأن ذلك كان قد اقتُرح في آخر التسعينات حين دُرست الميزانية الأحادية، ولم يُعتمد. والتفتت الأمانة إلى أنه وإن كان</w:t>
      </w:r>
      <w:r w:rsidR="00F42B6E">
        <w:rPr>
          <w:rFonts w:hint="cs"/>
          <w:rtl/>
        </w:rPr>
        <w:t>ت</w:t>
      </w:r>
      <w:r w:rsidRPr="007833A4">
        <w:rPr>
          <w:rFonts w:hint="cs"/>
          <w:rtl/>
        </w:rPr>
        <w:t xml:space="preserve"> </w:t>
      </w:r>
      <w:r w:rsidR="00F42B6E">
        <w:rPr>
          <w:rFonts w:hint="cs"/>
          <w:rtl/>
        </w:rPr>
        <w:t>المنظمة</w:t>
      </w:r>
      <w:r w:rsidRPr="007833A4">
        <w:rPr>
          <w:rFonts w:hint="cs"/>
          <w:rtl/>
        </w:rPr>
        <w:t xml:space="preserve"> </w:t>
      </w:r>
      <w:r w:rsidR="00F42B6E">
        <w:rPr>
          <w:rFonts w:hint="cs"/>
          <w:rtl/>
        </w:rPr>
        <w:t>قد أنهت</w:t>
      </w:r>
      <w:r w:rsidRPr="007833A4">
        <w:rPr>
          <w:rFonts w:hint="cs"/>
          <w:rtl/>
        </w:rPr>
        <w:t xml:space="preserve"> السنة الأولى من الثنائية بفائض بلغ 37</w:t>
      </w:r>
      <w:r w:rsidR="00F42B6E">
        <w:rPr>
          <w:rFonts w:hint="eastAsia"/>
          <w:rtl/>
        </w:rPr>
        <w:t> </w:t>
      </w:r>
      <w:r w:rsidR="00F42B6E">
        <w:rPr>
          <w:rFonts w:hint="cs"/>
          <w:rtl/>
        </w:rPr>
        <w:t>مليون فرنك سويسري، فنتيجة الثنائية</w:t>
      </w:r>
      <w:r w:rsidRPr="007833A4">
        <w:rPr>
          <w:rFonts w:hint="cs"/>
          <w:rtl/>
        </w:rPr>
        <w:t xml:space="preserve"> لن </w:t>
      </w:r>
      <w:r w:rsidR="00F42B6E">
        <w:rPr>
          <w:rFonts w:hint="cs"/>
          <w:rtl/>
        </w:rPr>
        <w:t>تُعرف سوى في نهاية</w:t>
      </w:r>
      <w:r w:rsidR="00F42B6E">
        <w:rPr>
          <w:rFonts w:hint="eastAsia"/>
          <w:rtl/>
        </w:rPr>
        <w:t> </w:t>
      </w:r>
      <w:r w:rsidR="00F42B6E">
        <w:rPr>
          <w:rFonts w:hint="cs"/>
          <w:rtl/>
        </w:rPr>
        <w:t xml:space="preserve">2015، </w:t>
      </w:r>
      <w:r w:rsidRPr="007833A4">
        <w:rPr>
          <w:rFonts w:hint="cs"/>
          <w:rtl/>
        </w:rPr>
        <w:t>بعد أن تُغلق ا</w:t>
      </w:r>
      <w:r w:rsidR="00F42B6E">
        <w:rPr>
          <w:rFonts w:hint="cs"/>
          <w:rtl/>
        </w:rPr>
        <w:t>لحسابات وتُدقق</w:t>
      </w:r>
      <w:r w:rsidRPr="007833A4">
        <w:rPr>
          <w:rFonts w:hint="cs"/>
          <w:rtl/>
        </w:rPr>
        <w:t xml:space="preserve">. ومضت الأمانة تقول إن المنظمة تنشر </w:t>
      </w:r>
      <w:r w:rsidR="003C7577">
        <w:rPr>
          <w:rFonts w:hint="cs"/>
          <w:rtl/>
        </w:rPr>
        <w:t>تقارير</w:t>
      </w:r>
      <w:r w:rsidRPr="007833A4">
        <w:rPr>
          <w:rFonts w:hint="cs"/>
          <w:rtl/>
        </w:rPr>
        <w:t xml:space="preserve"> </w:t>
      </w:r>
      <w:r w:rsidR="003C7577">
        <w:rPr>
          <w:rFonts w:hint="cs"/>
          <w:rtl/>
        </w:rPr>
        <w:t xml:space="preserve">مالية فصلية وسنوية بغرض </w:t>
      </w:r>
      <w:r w:rsidR="003C7577">
        <w:rPr>
          <w:rFonts w:hint="cs"/>
          <w:rtl/>
        </w:rPr>
        <w:lastRenderedPageBreak/>
        <w:t>إ</w:t>
      </w:r>
      <w:r w:rsidRPr="007833A4">
        <w:rPr>
          <w:rFonts w:hint="cs"/>
          <w:rtl/>
        </w:rPr>
        <w:t>طلاع الأعضاء على الوضع والتوقعات حتى نهاية الثنائية. وقالت الأمانة إنه يمكن لاتحاد مدريد</w:t>
      </w:r>
      <w:r w:rsidR="003C7577">
        <w:rPr>
          <w:rFonts w:hint="cs"/>
          <w:rtl/>
        </w:rPr>
        <w:t>،</w:t>
      </w:r>
      <w:r w:rsidRPr="007833A4">
        <w:rPr>
          <w:rFonts w:hint="cs"/>
          <w:rtl/>
        </w:rPr>
        <w:t xml:space="preserve"> </w:t>
      </w:r>
      <w:r w:rsidR="003C7577" w:rsidRPr="007833A4">
        <w:rPr>
          <w:rFonts w:hint="cs"/>
          <w:rtl/>
        </w:rPr>
        <w:t>في نهاية الثنائية حين يُعرف حجم الفائض</w:t>
      </w:r>
      <w:r w:rsidR="003C7577">
        <w:rPr>
          <w:rFonts w:hint="cs"/>
          <w:rtl/>
        </w:rPr>
        <w:t>،</w:t>
      </w:r>
      <w:r w:rsidR="003C7577" w:rsidRPr="007833A4">
        <w:rPr>
          <w:rFonts w:hint="cs"/>
          <w:rtl/>
        </w:rPr>
        <w:t xml:space="preserve"> </w:t>
      </w:r>
      <w:r w:rsidRPr="007833A4">
        <w:rPr>
          <w:rFonts w:hint="cs"/>
          <w:rtl/>
        </w:rPr>
        <w:t xml:space="preserve">أن </w:t>
      </w:r>
      <w:r w:rsidR="003C7577">
        <w:rPr>
          <w:rFonts w:hint="cs"/>
          <w:rtl/>
        </w:rPr>
        <w:t>ينظر</w:t>
      </w:r>
      <w:r w:rsidRPr="007833A4">
        <w:rPr>
          <w:rFonts w:hint="cs"/>
          <w:rtl/>
        </w:rPr>
        <w:t xml:space="preserve"> </w:t>
      </w:r>
      <w:r w:rsidR="003C7577">
        <w:rPr>
          <w:rFonts w:hint="cs"/>
          <w:rtl/>
        </w:rPr>
        <w:t xml:space="preserve">في </w:t>
      </w:r>
      <w:r w:rsidRPr="007833A4">
        <w:rPr>
          <w:rFonts w:hint="cs"/>
          <w:rtl/>
        </w:rPr>
        <w:t>القرار الذي اقترحه وفد الولايات المتحدة الأمريكية.</w:t>
      </w:r>
    </w:p>
    <w:p w:rsidR="007833A4" w:rsidRPr="007833A4" w:rsidRDefault="007833A4" w:rsidP="007833A4">
      <w:pPr>
        <w:pStyle w:val="NumberedParaAR"/>
        <w:numPr>
          <w:ilvl w:val="0"/>
          <w:numId w:val="21"/>
        </w:numPr>
        <w:ind w:left="0" w:firstLine="0"/>
      </w:pPr>
      <w:r w:rsidRPr="007833A4">
        <w:rPr>
          <w:rFonts w:hint="cs"/>
          <w:rtl/>
        </w:rPr>
        <w:t>وقال وفد الولايات المتحدة الأمريكية إن ما فهمه هو أن اتحاد مدريد حين قرر في السابق توزيع الفائض قام بذلك بناءً على ما يترقبه من فائض، وأنه حين اتخّذ هذا القرار آخر مرة، لم يكن هناك في الواقع أي فائض للتوزيع. وأضاف الوفد أن بإمكان الجمعية أن تتخّذ قراراً استناداً إلى الفائض المرتقب البالغ 15 مليون فرنك سويسري، وتعيد توزيع المبلغ في نهاية الثناية، إن تبيّن أن التقدير كان خاطئاً.</w:t>
      </w:r>
    </w:p>
    <w:p w:rsidR="007833A4" w:rsidRPr="007F38D1" w:rsidRDefault="007833A4" w:rsidP="002E168B">
      <w:pPr>
        <w:pStyle w:val="NumberedParaAR"/>
        <w:numPr>
          <w:ilvl w:val="0"/>
          <w:numId w:val="21"/>
        </w:numPr>
        <w:ind w:left="0" w:firstLine="0"/>
      </w:pPr>
      <w:r w:rsidRPr="007833A4">
        <w:rPr>
          <w:rFonts w:hint="cs"/>
          <w:rtl/>
        </w:rPr>
        <w:t>و</w:t>
      </w:r>
      <w:r w:rsidR="00223C62">
        <w:rPr>
          <w:rFonts w:hint="cs"/>
          <w:rtl/>
        </w:rPr>
        <w:t xml:space="preserve">ردا على مداخلة لوفد الولايات المتحدة الأمريكية، </w:t>
      </w:r>
      <w:r w:rsidRPr="007833A4">
        <w:rPr>
          <w:rFonts w:hint="cs"/>
          <w:rtl/>
        </w:rPr>
        <w:t xml:space="preserve">أكّدت الأمانة </w:t>
      </w:r>
      <w:r w:rsidR="00223C62">
        <w:rPr>
          <w:rFonts w:hint="cs"/>
          <w:rtl/>
        </w:rPr>
        <w:t xml:space="preserve">كذلك </w:t>
      </w:r>
      <w:r w:rsidRPr="007833A4">
        <w:rPr>
          <w:rFonts w:hint="cs"/>
          <w:rtl/>
        </w:rPr>
        <w:t>أن جمعية ا</w:t>
      </w:r>
      <w:r w:rsidR="00987578">
        <w:rPr>
          <w:rFonts w:hint="cs"/>
          <w:rtl/>
        </w:rPr>
        <w:t>تحاد مدريد جمعية ذات سيادة وأن بإمكانها اتخاذ قرارا بشأن</w:t>
      </w:r>
      <w:r w:rsidR="00D13087">
        <w:rPr>
          <w:rFonts w:hint="cs"/>
          <w:rtl/>
        </w:rPr>
        <w:t xml:space="preserve"> قضية الفائض وأوضحت</w:t>
      </w:r>
      <w:r w:rsidRPr="007833A4">
        <w:rPr>
          <w:rFonts w:hint="cs"/>
          <w:rtl/>
        </w:rPr>
        <w:t xml:space="preserve"> أن أي فائض محتمل لا يتحقق إلا في نهاية الثنائية. وطرحت الأمانة كذلك موضوعاً آخر للبحث يتعلق بتوصية لجنة الميزانية بأن تُرفع نسبة الأموال المودعة في الأموال الاحتياطية من </w:t>
      </w:r>
      <w:r w:rsidR="002E168B">
        <w:rPr>
          <w:rFonts w:hint="cs"/>
          <w:rtl/>
        </w:rPr>
        <w:t>18.5</w:t>
      </w:r>
      <w:r w:rsidR="002E168B">
        <w:rPr>
          <w:rFonts w:hint="eastAsia"/>
          <w:rtl/>
        </w:rPr>
        <w:t> </w:t>
      </w:r>
      <w:r w:rsidRPr="007833A4">
        <w:rPr>
          <w:rFonts w:hint="cs"/>
          <w:rtl/>
        </w:rPr>
        <w:t>بالمائة إلى 22 بالمائة. وذكّرت الأمانة بأنه ينب</w:t>
      </w:r>
      <w:r w:rsidRPr="007833A4">
        <w:rPr>
          <w:rFonts w:hint="eastAsia"/>
          <w:rtl/>
        </w:rPr>
        <w:t>غي</w:t>
      </w:r>
      <w:r w:rsidRPr="007833A4">
        <w:rPr>
          <w:rtl/>
        </w:rPr>
        <w:t xml:space="preserve"> </w:t>
      </w:r>
      <w:r w:rsidRPr="007833A4">
        <w:rPr>
          <w:rFonts w:hint="eastAsia"/>
          <w:rtl/>
        </w:rPr>
        <w:t>من</w:t>
      </w:r>
      <w:r w:rsidRPr="007833A4">
        <w:rPr>
          <w:rtl/>
        </w:rPr>
        <w:t xml:space="preserve"> </w:t>
      </w:r>
      <w:r w:rsidRPr="007833A4">
        <w:rPr>
          <w:rFonts w:hint="eastAsia"/>
          <w:rtl/>
        </w:rPr>
        <w:t>حيث</w:t>
      </w:r>
      <w:r w:rsidRPr="007833A4">
        <w:rPr>
          <w:rtl/>
        </w:rPr>
        <w:t xml:space="preserve"> </w:t>
      </w:r>
      <w:r w:rsidRPr="007833A4">
        <w:rPr>
          <w:rFonts w:hint="eastAsia"/>
          <w:rtl/>
        </w:rPr>
        <w:t>المبدأ</w:t>
      </w:r>
      <w:r w:rsidRPr="007833A4">
        <w:rPr>
          <w:rtl/>
        </w:rPr>
        <w:t xml:space="preserve"> </w:t>
      </w:r>
      <w:r w:rsidRPr="007833A4">
        <w:rPr>
          <w:rFonts w:hint="eastAsia"/>
          <w:rtl/>
        </w:rPr>
        <w:t>أن</w:t>
      </w:r>
      <w:r w:rsidRPr="007833A4">
        <w:rPr>
          <w:rtl/>
        </w:rPr>
        <w:t xml:space="preserve"> </w:t>
      </w:r>
      <w:r w:rsidRPr="007833A4">
        <w:rPr>
          <w:rFonts w:hint="eastAsia"/>
          <w:rtl/>
        </w:rPr>
        <w:t>تغطي</w:t>
      </w:r>
      <w:r w:rsidRPr="007833A4">
        <w:rPr>
          <w:rtl/>
        </w:rPr>
        <w:t xml:space="preserve"> </w:t>
      </w:r>
      <w:r w:rsidRPr="007833A4">
        <w:rPr>
          <w:rFonts w:hint="eastAsia"/>
          <w:rtl/>
        </w:rPr>
        <w:t>الأموال</w:t>
      </w:r>
      <w:r w:rsidRPr="007833A4">
        <w:rPr>
          <w:rtl/>
        </w:rPr>
        <w:t xml:space="preserve"> </w:t>
      </w:r>
      <w:r w:rsidRPr="007833A4">
        <w:rPr>
          <w:rFonts w:hint="eastAsia"/>
          <w:rtl/>
        </w:rPr>
        <w:t>الاحتياطية</w:t>
      </w:r>
      <w:r w:rsidRPr="007833A4">
        <w:rPr>
          <w:rtl/>
        </w:rPr>
        <w:t xml:space="preserve"> </w:t>
      </w:r>
      <w:r w:rsidRPr="007833A4">
        <w:rPr>
          <w:rFonts w:hint="eastAsia"/>
          <w:rtl/>
        </w:rPr>
        <w:t>النفقات</w:t>
      </w:r>
      <w:r w:rsidRPr="007833A4">
        <w:rPr>
          <w:rtl/>
        </w:rPr>
        <w:t xml:space="preserve"> </w:t>
      </w:r>
      <w:r w:rsidRPr="007833A4">
        <w:rPr>
          <w:rFonts w:hint="eastAsia"/>
          <w:rtl/>
        </w:rPr>
        <w:t>لمدة</w:t>
      </w:r>
      <w:r w:rsidRPr="007833A4">
        <w:rPr>
          <w:rtl/>
        </w:rPr>
        <w:t xml:space="preserve"> </w:t>
      </w:r>
      <w:r w:rsidRPr="007833A4">
        <w:rPr>
          <w:rFonts w:hint="eastAsia"/>
          <w:rtl/>
        </w:rPr>
        <w:t>ستة</w:t>
      </w:r>
      <w:r w:rsidRPr="007833A4">
        <w:rPr>
          <w:rtl/>
        </w:rPr>
        <w:t xml:space="preserve"> </w:t>
      </w:r>
      <w:r w:rsidRPr="007833A4">
        <w:rPr>
          <w:rFonts w:hint="eastAsia"/>
          <w:rtl/>
        </w:rPr>
        <w:t>أشهر،</w:t>
      </w:r>
      <w:r w:rsidRPr="007833A4">
        <w:rPr>
          <w:rtl/>
        </w:rPr>
        <w:t xml:space="preserve"> </w:t>
      </w:r>
      <w:r w:rsidRPr="007833A4">
        <w:rPr>
          <w:rFonts w:hint="eastAsia"/>
          <w:rtl/>
        </w:rPr>
        <w:t>في</w:t>
      </w:r>
      <w:r w:rsidRPr="007833A4">
        <w:rPr>
          <w:rtl/>
        </w:rPr>
        <w:t xml:space="preserve"> </w:t>
      </w:r>
      <w:r w:rsidRPr="007833A4">
        <w:rPr>
          <w:rFonts w:hint="eastAsia"/>
          <w:rtl/>
        </w:rPr>
        <w:t>ظل</w:t>
      </w:r>
      <w:r w:rsidRPr="007833A4">
        <w:rPr>
          <w:rtl/>
        </w:rPr>
        <w:t xml:space="preserve"> ميزانية </w:t>
      </w:r>
      <w:r w:rsidRPr="007833A4">
        <w:rPr>
          <w:rFonts w:hint="eastAsia"/>
          <w:rtl/>
        </w:rPr>
        <w:t>لا</w:t>
      </w:r>
      <w:r w:rsidRPr="007833A4">
        <w:rPr>
          <w:rtl/>
        </w:rPr>
        <w:t xml:space="preserve"> </w:t>
      </w:r>
      <w:r w:rsidRPr="007833A4">
        <w:rPr>
          <w:rFonts w:hint="eastAsia"/>
          <w:rtl/>
        </w:rPr>
        <w:t>تنفك</w:t>
      </w:r>
      <w:r w:rsidRPr="007833A4">
        <w:rPr>
          <w:rtl/>
        </w:rPr>
        <w:t xml:space="preserve"> </w:t>
      </w:r>
      <w:r w:rsidRPr="007833A4">
        <w:rPr>
          <w:rFonts w:hint="eastAsia"/>
          <w:rtl/>
        </w:rPr>
        <w:t>ترتفع،</w:t>
      </w:r>
      <w:r w:rsidRPr="007833A4">
        <w:rPr>
          <w:rtl/>
        </w:rPr>
        <w:t xml:space="preserve"> </w:t>
      </w:r>
      <w:r w:rsidRPr="007833A4">
        <w:rPr>
          <w:rFonts w:hint="eastAsia"/>
          <w:rtl/>
        </w:rPr>
        <w:t>وأن</w:t>
      </w:r>
      <w:r w:rsidRPr="007833A4">
        <w:rPr>
          <w:rtl/>
        </w:rPr>
        <w:t xml:space="preserve"> </w:t>
      </w:r>
      <w:r w:rsidRPr="007833A4">
        <w:rPr>
          <w:rFonts w:hint="eastAsia"/>
          <w:rtl/>
        </w:rPr>
        <w:t>مراجعي</w:t>
      </w:r>
      <w:r w:rsidRPr="007833A4">
        <w:rPr>
          <w:rtl/>
        </w:rPr>
        <w:t xml:space="preserve"> </w:t>
      </w:r>
      <w:r w:rsidRPr="007833A4">
        <w:rPr>
          <w:rFonts w:hint="eastAsia"/>
          <w:rtl/>
        </w:rPr>
        <w:t>الحسابات</w:t>
      </w:r>
      <w:r w:rsidRPr="007833A4">
        <w:rPr>
          <w:rtl/>
        </w:rPr>
        <w:t xml:space="preserve"> </w:t>
      </w:r>
      <w:r w:rsidRPr="007833A4">
        <w:rPr>
          <w:rFonts w:hint="eastAsia"/>
          <w:rtl/>
        </w:rPr>
        <w:t>الخارجيين</w:t>
      </w:r>
      <w:r w:rsidRPr="007833A4">
        <w:rPr>
          <w:rtl/>
        </w:rPr>
        <w:t xml:space="preserve"> كان</w:t>
      </w:r>
      <w:r w:rsidRPr="007833A4">
        <w:rPr>
          <w:rFonts w:hint="eastAsia"/>
          <w:rtl/>
        </w:rPr>
        <w:t>وا</w:t>
      </w:r>
      <w:r w:rsidRPr="007833A4">
        <w:rPr>
          <w:rtl/>
        </w:rPr>
        <w:t xml:space="preserve"> قد أوصوا بأن </w:t>
      </w:r>
      <w:r w:rsidRPr="007833A4">
        <w:rPr>
          <w:rFonts w:hint="eastAsia"/>
          <w:rtl/>
        </w:rPr>
        <w:t>تكون</w:t>
      </w:r>
      <w:r w:rsidRPr="007833A4">
        <w:rPr>
          <w:rtl/>
        </w:rPr>
        <w:t xml:space="preserve"> هذه النسبة 25</w:t>
      </w:r>
      <w:r w:rsidR="002E168B">
        <w:rPr>
          <w:rFonts w:hint="cs"/>
          <w:rtl/>
        </w:rPr>
        <w:t> </w:t>
      </w:r>
      <w:r w:rsidRPr="007833A4">
        <w:rPr>
          <w:rtl/>
        </w:rPr>
        <w:t>بالمائة، لكن الدول الأعضاء قر</w:t>
      </w:r>
      <w:r w:rsidR="002E168B">
        <w:rPr>
          <w:rFonts w:hint="cs"/>
          <w:rtl/>
        </w:rPr>
        <w:t>ّ</w:t>
      </w:r>
      <w:r w:rsidRPr="007833A4">
        <w:rPr>
          <w:rtl/>
        </w:rPr>
        <w:t xml:space="preserve">رت قبل عشر سنوات تحديد </w:t>
      </w:r>
      <w:r w:rsidRPr="007833A4">
        <w:rPr>
          <w:rFonts w:hint="eastAsia"/>
          <w:rtl/>
        </w:rPr>
        <w:t>حجم</w:t>
      </w:r>
      <w:r w:rsidRPr="007833A4">
        <w:rPr>
          <w:rtl/>
        </w:rPr>
        <w:t xml:space="preserve"> الأموال الاحتياطية بنسبة </w:t>
      </w:r>
      <w:r w:rsidR="002E168B">
        <w:rPr>
          <w:rFonts w:hint="cs"/>
          <w:rtl/>
        </w:rPr>
        <w:t>18.5 </w:t>
      </w:r>
      <w:r w:rsidRPr="007833A4">
        <w:rPr>
          <w:rtl/>
        </w:rPr>
        <w:t xml:space="preserve">بالمائة. </w:t>
      </w:r>
      <w:r w:rsidRPr="007833A4">
        <w:rPr>
          <w:rFonts w:hint="eastAsia"/>
          <w:rtl/>
        </w:rPr>
        <w:t>وبالإضافة</w:t>
      </w:r>
      <w:r w:rsidRPr="007833A4">
        <w:rPr>
          <w:rtl/>
        </w:rPr>
        <w:t xml:space="preserve"> إلى ذلك، التفتت الأمانة إلى أن زيادة السيولة في </w:t>
      </w:r>
      <w:r w:rsidRPr="007833A4">
        <w:rPr>
          <w:rFonts w:hint="eastAsia"/>
          <w:rtl/>
        </w:rPr>
        <w:t>الأموال</w:t>
      </w:r>
      <w:r w:rsidRPr="007833A4">
        <w:rPr>
          <w:rtl/>
        </w:rPr>
        <w:t xml:space="preserve"> </w:t>
      </w:r>
      <w:r w:rsidRPr="007833A4">
        <w:rPr>
          <w:rFonts w:hint="eastAsia"/>
          <w:rtl/>
        </w:rPr>
        <w:t>الاحتياطية</w:t>
      </w:r>
      <w:r w:rsidRPr="007833A4">
        <w:rPr>
          <w:rtl/>
        </w:rPr>
        <w:t xml:space="preserve"> ضروري لتغطية أي حدث غير متوقع قد يؤثر سلباً على الاقتصاد العالمي، نظراً إلى أن الأموال الاحتياطية </w:t>
      </w:r>
      <w:r w:rsidRPr="007833A4">
        <w:rPr>
          <w:rFonts w:hint="eastAsia"/>
          <w:rtl/>
        </w:rPr>
        <w:t>تضم</w:t>
      </w:r>
      <w:r w:rsidRPr="007833A4">
        <w:rPr>
          <w:rtl/>
        </w:rPr>
        <w:t xml:space="preserve"> صا</w:t>
      </w:r>
      <w:r w:rsidRPr="007833A4">
        <w:rPr>
          <w:rFonts w:hint="eastAsia"/>
          <w:rtl/>
        </w:rPr>
        <w:t>في</w:t>
      </w:r>
      <w:r w:rsidRPr="007833A4">
        <w:rPr>
          <w:rtl/>
        </w:rPr>
        <w:t xml:space="preserve"> الأصول التي </w:t>
      </w:r>
      <w:r w:rsidRPr="007833A4">
        <w:rPr>
          <w:rFonts w:hint="eastAsia"/>
          <w:rtl/>
        </w:rPr>
        <w:t>تشمل</w:t>
      </w:r>
      <w:r w:rsidRPr="007833A4">
        <w:rPr>
          <w:rtl/>
        </w:rPr>
        <w:t xml:space="preserve"> </w:t>
      </w:r>
      <w:r w:rsidRPr="007833A4">
        <w:rPr>
          <w:rFonts w:hint="eastAsia"/>
          <w:rtl/>
        </w:rPr>
        <w:t>مباني</w:t>
      </w:r>
      <w:r w:rsidRPr="007833A4">
        <w:rPr>
          <w:rtl/>
        </w:rPr>
        <w:t xml:space="preserve"> </w:t>
      </w:r>
      <w:r w:rsidRPr="007833A4">
        <w:rPr>
          <w:rFonts w:hint="eastAsia"/>
          <w:rtl/>
        </w:rPr>
        <w:t>المنظمة،</w:t>
      </w:r>
      <w:r w:rsidRPr="007833A4">
        <w:rPr>
          <w:rtl/>
        </w:rPr>
        <w:t xml:space="preserve"> </w:t>
      </w:r>
      <w:r w:rsidRPr="007833A4">
        <w:rPr>
          <w:rFonts w:hint="eastAsia"/>
          <w:rtl/>
        </w:rPr>
        <w:t>من</w:t>
      </w:r>
      <w:r w:rsidRPr="007833A4">
        <w:rPr>
          <w:rtl/>
        </w:rPr>
        <w:t xml:space="preserve"> </w:t>
      </w:r>
      <w:r w:rsidRPr="007833A4">
        <w:rPr>
          <w:rFonts w:hint="eastAsia"/>
          <w:rtl/>
        </w:rPr>
        <w:t>ضمن</w:t>
      </w:r>
      <w:r w:rsidRPr="007833A4">
        <w:rPr>
          <w:rtl/>
        </w:rPr>
        <w:t xml:space="preserve"> </w:t>
      </w:r>
      <w:r w:rsidRPr="007833A4">
        <w:rPr>
          <w:rFonts w:hint="eastAsia"/>
          <w:rtl/>
        </w:rPr>
        <w:t>أصول</w:t>
      </w:r>
      <w:r w:rsidRPr="007833A4">
        <w:rPr>
          <w:rtl/>
        </w:rPr>
        <w:t xml:space="preserve"> </w:t>
      </w:r>
      <w:r w:rsidRPr="007833A4">
        <w:rPr>
          <w:rFonts w:hint="eastAsia"/>
          <w:rtl/>
        </w:rPr>
        <w:t>أخرى</w:t>
      </w:r>
      <w:r w:rsidRPr="007833A4">
        <w:rPr>
          <w:rtl/>
        </w:rPr>
        <w:t>.</w:t>
      </w:r>
    </w:p>
    <w:p w:rsidR="007833A4" w:rsidRDefault="007833A4" w:rsidP="007833A4">
      <w:pPr>
        <w:pStyle w:val="NumberedParaAR"/>
        <w:numPr>
          <w:ilvl w:val="0"/>
          <w:numId w:val="21"/>
        </w:numPr>
        <w:ind w:left="0" w:firstLine="0"/>
      </w:pPr>
      <w:r>
        <w:rPr>
          <w:rFonts w:hint="cs"/>
          <w:rtl/>
        </w:rPr>
        <w:t>وطلب</w:t>
      </w:r>
      <w:r w:rsidRPr="00550F48">
        <w:rPr>
          <w:rtl/>
        </w:rPr>
        <w:t xml:space="preserve"> وفد أستراليا توضيحا بشأن الآثار المترتبة على التوزيع المقترح في مشاريع تكنولوجيا المعلومات، وتحديث</w:t>
      </w:r>
      <w:r>
        <w:rPr>
          <w:rtl/>
        </w:rPr>
        <w:t xml:space="preserve"> نظام مدريد، والمساعدة التقنية و</w:t>
      </w:r>
      <w:r w:rsidRPr="00550F48">
        <w:rPr>
          <w:rtl/>
        </w:rPr>
        <w:t>غيرها من البرامج.</w:t>
      </w:r>
    </w:p>
    <w:p w:rsidR="007833A4" w:rsidRDefault="007833A4" w:rsidP="007833A4">
      <w:pPr>
        <w:pStyle w:val="NumberedParaAR"/>
        <w:numPr>
          <w:ilvl w:val="0"/>
          <w:numId w:val="21"/>
        </w:numPr>
        <w:ind w:left="0" w:firstLine="0"/>
      </w:pPr>
      <w:r>
        <w:rPr>
          <w:rFonts w:hint="cs"/>
          <w:rtl/>
        </w:rPr>
        <w:t>و</w:t>
      </w:r>
      <w:r w:rsidRPr="00550F48">
        <w:rPr>
          <w:rtl/>
        </w:rPr>
        <w:t>أشارت الأمانة إلى أن</w:t>
      </w:r>
      <w:r>
        <w:rPr>
          <w:rFonts w:hint="cs"/>
          <w:rtl/>
        </w:rPr>
        <w:t>ه</w:t>
      </w:r>
      <w:r w:rsidRPr="00550F48">
        <w:rPr>
          <w:rtl/>
        </w:rPr>
        <w:t xml:space="preserve"> ينبغي النظر بدقة </w:t>
      </w:r>
      <w:r>
        <w:rPr>
          <w:rFonts w:hint="cs"/>
          <w:rtl/>
        </w:rPr>
        <w:t xml:space="preserve">في </w:t>
      </w:r>
      <w:r w:rsidRPr="00550F48">
        <w:rPr>
          <w:rtl/>
        </w:rPr>
        <w:t>السؤال الذي طرحه وفد أستراليا</w:t>
      </w:r>
      <w:r>
        <w:rPr>
          <w:rFonts w:hint="cs"/>
          <w:rtl/>
        </w:rPr>
        <w:t>،</w:t>
      </w:r>
      <w:r w:rsidRPr="00550F48">
        <w:rPr>
          <w:rtl/>
        </w:rPr>
        <w:t xml:space="preserve"> </w:t>
      </w:r>
      <w:r>
        <w:rPr>
          <w:rtl/>
        </w:rPr>
        <w:t>لأنه</w:t>
      </w:r>
      <w:r w:rsidRPr="00550F48">
        <w:rPr>
          <w:rtl/>
        </w:rPr>
        <w:t xml:space="preserve"> </w:t>
      </w:r>
      <w:r>
        <w:rPr>
          <w:rFonts w:hint="cs"/>
          <w:rtl/>
        </w:rPr>
        <w:t xml:space="preserve">رغم </w:t>
      </w:r>
      <w:r w:rsidRPr="00550F48">
        <w:rPr>
          <w:rtl/>
        </w:rPr>
        <w:t xml:space="preserve">الانتهاء من برنامج تحديث تكنولوجيا المعلومات، </w:t>
      </w:r>
      <w:r>
        <w:rPr>
          <w:rFonts w:hint="cs"/>
          <w:rtl/>
        </w:rPr>
        <w:t xml:space="preserve">فهناك حاجة </w:t>
      </w:r>
      <w:r w:rsidRPr="00550F48">
        <w:rPr>
          <w:rtl/>
        </w:rPr>
        <w:t>إلى مزيد من الاستثمار في تكنولوجيا المعلومات</w:t>
      </w:r>
      <w:r>
        <w:rPr>
          <w:rFonts w:hint="cs"/>
          <w:rtl/>
        </w:rPr>
        <w:t xml:space="preserve">، </w:t>
      </w:r>
      <w:r w:rsidRPr="00550F48">
        <w:rPr>
          <w:rtl/>
        </w:rPr>
        <w:t>وأشار</w:t>
      </w:r>
      <w:r>
        <w:rPr>
          <w:rFonts w:hint="cs"/>
          <w:rtl/>
        </w:rPr>
        <w:t>ت</w:t>
      </w:r>
      <w:r w:rsidRPr="00550F48">
        <w:rPr>
          <w:rtl/>
        </w:rPr>
        <w:t xml:space="preserve"> إلى أن</w:t>
      </w:r>
      <w:r>
        <w:rPr>
          <w:rFonts w:hint="cs"/>
          <w:rtl/>
        </w:rPr>
        <w:t>ه لا يزال هناك عمل متبق</w:t>
      </w:r>
      <w:r w:rsidRPr="00550F48">
        <w:rPr>
          <w:rtl/>
        </w:rPr>
        <w:t xml:space="preserve"> </w:t>
      </w:r>
      <w:r>
        <w:rPr>
          <w:rFonts w:hint="cs"/>
          <w:rtl/>
        </w:rPr>
        <w:t xml:space="preserve">في </w:t>
      </w:r>
      <w:r w:rsidRPr="00550F48">
        <w:rPr>
          <w:rtl/>
        </w:rPr>
        <w:t>تطو</w:t>
      </w:r>
      <w:r>
        <w:rPr>
          <w:rFonts w:hint="cs"/>
          <w:rtl/>
        </w:rPr>
        <w:t>ي</w:t>
      </w:r>
      <w:r w:rsidRPr="00550F48">
        <w:rPr>
          <w:rtl/>
        </w:rPr>
        <w:t xml:space="preserve">ر </w:t>
      </w:r>
      <w:r>
        <w:rPr>
          <w:rFonts w:hint="cs"/>
          <w:rtl/>
        </w:rPr>
        <w:t>نظام مدريد الإلكتروني</w:t>
      </w:r>
      <w:r w:rsidRPr="00550F48">
        <w:rPr>
          <w:rtl/>
        </w:rPr>
        <w:t>. وقال</w:t>
      </w:r>
      <w:r>
        <w:rPr>
          <w:rFonts w:hint="cs"/>
          <w:rtl/>
        </w:rPr>
        <w:t>ت</w:t>
      </w:r>
      <w:r w:rsidRPr="00550F48">
        <w:rPr>
          <w:rtl/>
        </w:rPr>
        <w:t xml:space="preserve"> </w:t>
      </w:r>
      <w:r>
        <w:rPr>
          <w:rFonts w:hint="cs"/>
          <w:rtl/>
        </w:rPr>
        <w:t>إ</w:t>
      </w:r>
      <w:r w:rsidRPr="00550F48">
        <w:rPr>
          <w:rtl/>
        </w:rPr>
        <w:t>ن جميع النفقات في هذا الصدد، في المستقبل القريب</w:t>
      </w:r>
      <w:r>
        <w:rPr>
          <w:rtl/>
        </w:rPr>
        <w:t>،</w:t>
      </w:r>
      <w:r w:rsidRPr="00550F48">
        <w:rPr>
          <w:rtl/>
        </w:rPr>
        <w:t xml:space="preserve"> أدرجت في مشروع البرنامج والميزانية</w:t>
      </w:r>
      <w:r>
        <w:rPr>
          <w:rFonts w:hint="cs"/>
          <w:rtl/>
        </w:rPr>
        <w:t>،</w:t>
      </w:r>
      <w:r w:rsidRPr="00550F48">
        <w:rPr>
          <w:rtl/>
        </w:rPr>
        <w:t xml:space="preserve"> ولكن </w:t>
      </w:r>
      <w:r>
        <w:rPr>
          <w:rFonts w:hint="cs"/>
          <w:rtl/>
        </w:rPr>
        <w:t>أضافت ملاحظة ب</w:t>
      </w:r>
      <w:r w:rsidRPr="00550F48">
        <w:rPr>
          <w:rtl/>
        </w:rPr>
        <w:t>أنه، نظر</w:t>
      </w:r>
      <w:r>
        <w:rPr>
          <w:rFonts w:hint="cs"/>
          <w:rtl/>
        </w:rPr>
        <w:t>ا</w:t>
      </w:r>
      <w:r w:rsidRPr="00550F48">
        <w:rPr>
          <w:rtl/>
        </w:rPr>
        <w:t xml:space="preserve"> إلى أن تكنولوجيا المعلومات </w:t>
      </w:r>
      <w:r>
        <w:rPr>
          <w:rFonts w:hint="cs"/>
          <w:rtl/>
        </w:rPr>
        <w:t>تت</w:t>
      </w:r>
      <w:r>
        <w:rPr>
          <w:rtl/>
        </w:rPr>
        <w:t>طلب</w:t>
      </w:r>
      <w:r w:rsidRPr="00550F48">
        <w:rPr>
          <w:rtl/>
        </w:rPr>
        <w:t xml:space="preserve"> باستمرار </w:t>
      </w:r>
      <w:r>
        <w:rPr>
          <w:rFonts w:hint="cs"/>
          <w:rtl/>
        </w:rPr>
        <w:t>ال</w:t>
      </w:r>
      <w:r w:rsidRPr="00550F48">
        <w:rPr>
          <w:rtl/>
        </w:rPr>
        <w:t>مزيد من التطو</w:t>
      </w:r>
      <w:r>
        <w:rPr>
          <w:rFonts w:hint="cs"/>
          <w:rtl/>
        </w:rPr>
        <w:t>ي</w:t>
      </w:r>
      <w:r>
        <w:rPr>
          <w:rtl/>
        </w:rPr>
        <w:t>ر</w:t>
      </w:r>
      <w:r w:rsidRPr="00550F48">
        <w:rPr>
          <w:rtl/>
        </w:rPr>
        <w:t xml:space="preserve"> </w:t>
      </w:r>
      <w:r>
        <w:rPr>
          <w:rtl/>
        </w:rPr>
        <w:t xml:space="preserve">والتحسين، </w:t>
      </w:r>
      <w:r>
        <w:rPr>
          <w:rFonts w:hint="cs"/>
          <w:rtl/>
        </w:rPr>
        <w:t xml:space="preserve">فإن </w:t>
      </w:r>
      <w:r w:rsidRPr="00550F48">
        <w:rPr>
          <w:rtl/>
        </w:rPr>
        <w:t xml:space="preserve">السؤال الذي طرحه وفد أستراليا يستحق دراسة متأنية قبل </w:t>
      </w:r>
      <w:r>
        <w:rPr>
          <w:rtl/>
        </w:rPr>
        <w:t xml:space="preserve">الإجابة </w:t>
      </w:r>
      <w:r>
        <w:rPr>
          <w:rFonts w:hint="cs"/>
          <w:rtl/>
        </w:rPr>
        <w:t>عنه</w:t>
      </w:r>
      <w:r w:rsidRPr="00550F48">
        <w:rPr>
          <w:rtl/>
        </w:rPr>
        <w:t>.</w:t>
      </w:r>
    </w:p>
    <w:p w:rsidR="007833A4" w:rsidRDefault="007833A4" w:rsidP="00EA3039">
      <w:pPr>
        <w:pStyle w:val="NumberedParaAR"/>
        <w:numPr>
          <w:ilvl w:val="0"/>
          <w:numId w:val="21"/>
        </w:numPr>
        <w:ind w:left="0" w:firstLine="0"/>
      </w:pPr>
      <w:r w:rsidRPr="00AB1EB2">
        <w:rPr>
          <w:rtl/>
        </w:rPr>
        <w:t xml:space="preserve">وطلب وفد سويسرا </w:t>
      </w:r>
      <w:r>
        <w:rPr>
          <w:rFonts w:hint="cs"/>
          <w:rtl/>
        </w:rPr>
        <w:t>م</w:t>
      </w:r>
      <w:r w:rsidRPr="00AB1EB2">
        <w:rPr>
          <w:rtl/>
        </w:rPr>
        <w:t xml:space="preserve">ن وفد الولايات المتحدة الأمريكية </w:t>
      </w:r>
      <w:r>
        <w:rPr>
          <w:rtl/>
        </w:rPr>
        <w:t xml:space="preserve">أن </w:t>
      </w:r>
      <w:r>
        <w:rPr>
          <w:rFonts w:hint="cs"/>
          <w:rtl/>
        </w:rPr>
        <w:t>ي</w:t>
      </w:r>
      <w:r w:rsidRPr="00AB1EB2">
        <w:rPr>
          <w:rtl/>
        </w:rPr>
        <w:t>وضح إذا كان ا</w:t>
      </w:r>
      <w:r>
        <w:rPr>
          <w:rtl/>
        </w:rPr>
        <w:t>قتراحه</w:t>
      </w:r>
      <w:r w:rsidRPr="00AB1EB2">
        <w:rPr>
          <w:rtl/>
        </w:rPr>
        <w:t xml:space="preserve"> </w:t>
      </w:r>
      <w:r>
        <w:rPr>
          <w:rFonts w:hint="cs"/>
          <w:rtl/>
        </w:rPr>
        <w:t>ب</w:t>
      </w:r>
      <w:r w:rsidRPr="00AB1EB2">
        <w:rPr>
          <w:rtl/>
        </w:rPr>
        <w:t xml:space="preserve">توزيع جميع </w:t>
      </w:r>
      <w:r>
        <w:rPr>
          <w:rFonts w:hint="cs"/>
          <w:rtl/>
        </w:rPr>
        <w:t xml:space="preserve">الفوائض في </w:t>
      </w:r>
      <w:r w:rsidRPr="00AB1EB2">
        <w:rPr>
          <w:rtl/>
        </w:rPr>
        <w:t xml:space="preserve">الإيرادات </w:t>
      </w:r>
      <w:r>
        <w:rPr>
          <w:rFonts w:hint="cs"/>
          <w:rtl/>
        </w:rPr>
        <w:t>يشير</w:t>
      </w:r>
      <w:r>
        <w:rPr>
          <w:rtl/>
        </w:rPr>
        <w:t xml:space="preserve"> إل</w:t>
      </w:r>
      <w:r>
        <w:rPr>
          <w:rFonts w:hint="cs"/>
          <w:rtl/>
        </w:rPr>
        <w:t>ى</w:t>
      </w:r>
      <w:r w:rsidRPr="00AB1EB2">
        <w:rPr>
          <w:rtl/>
        </w:rPr>
        <w:t xml:space="preserve"> رأس المال </w:t>
      </w:r>
      <w:r>
        <w:rPr>
          <w:rFonts w:hint="cs"/>
          <w:rtl/>
        </w:rPr>
        <w:t xml:space="preserve">العامل والأموال الاحتياطية، إذ ربما يشير </w:t>
      </w:r>
      <w:r w:rsidRPr="00E14382">
        <w:rPr>
          <w:rFonts w:hint="cs"/>
          <w:rtl/>
        </w:rPr>
        <w:t xml:space="preserve">المجموع البالغ 15 </w:t>
      </w:r>
      <w:r w:rsidRPr="00E14382">
        <w:rPr>
          <w:rtl/>
        </w:rPr>
        <w:t>مليون</w:t>
      </w:r>
      <w:r w:rsidRPr="00AB1EB2">
        <w:rPr>
          <w:rtl/>
        </w:rPr>
        <w:t xml:space="preserve"> </w:t>
      </w:r>
      <w:r>
        <w:rPr>
          <w:rFonts w:hint="cs"/>
          <w:rtl/>
        </w:rPr>
        <w:t>الذي ذكره</w:t>
      </w:r>
      <w:r w:rsidRPr="00AB1EB2">
        <w:rPr>
          <w:rtl/>
        </w:rPr>
        <w:t xml:space="preserve"> وفد الولايات المتحدة الأمريكية</w:t>
      </w:r>
      <w:r>
        <w:rPr>
          <w:rtl/>
        </w:rPr>
        <w:t xml:space="preserve"> إلي</w:t>
      </w:r>
      <w:r w:rsidRPr="00AB1EB2">
        <w:rPr>
          <w:rtl/>
        </w:rPr>
        <w:t xml:space="preserve"> </w:t>
      </w:r>
      <w:r>
        <w:rPr>
          <w:rFonts w:hint="cs"/>
          <w:rtl/>
        </w:rPr>
        <w:t>البندين المذكورين</w:t>
      </w:r>
      <w:r w:rsidRPr="00AB1EB2">
        <w:rPr>
          <w:rtl/>
        </w:rPr>
        <w:t xml:space="preserve"> </w:t>
      </w:r>
      <w:r>
        <w:rPr>
          <w:rFonts w:hint="cs"/>
          <w:rtl/>
        </w:rPr>
        <w:t>اللذين</w:t>
      </w:r>
      <w:r w:rsidRPr="00AB1EB2">
        <w:rPr>
          <w:rtl/>
        </w:rPr>
        <w:t xml:space="preserve"> </w:t>
      </w:r>
      <w:r>
        <w:rPr>
          <w:rFonts w:hint="cs"/>
          <w:rtl/>
        </w:rPr>
        <w:t>يتجاوز جمعهما</w:t>
      </w:r>
      <w:r w:rsidRPr="00AB1EB2">
        <w:rPr>
          <w:rtl/>
        </w:rPr>
        <w:t xml:space="preserve"> المبلغ المطلوب، </w:t>
      </w:r>
      <w:r>
        <w:rPr>
          <w:rFonts w:hint="cs"/>
          <w:rtl/>
        </w:rPr>
        <w:t>وأضاف الوفد</w:t>
      </w:r>
      <w:r w:rsidRPr="00AB1EB2">
        <w:rPr>
          <w:rtl/>
        </w:rPr>
        <w:t xml:space="preserve"> </w:t>
      </w:r>
      <w:r>
        <w:rPr>
          <w:rFonts w:hint="cs"/>
          <w:rtl/>
        </w:rPr>
        <w:t>أ</w:t>
      </w:r>
      <w:r w:rsidRPr="00AB1EB2">
        <w:rPr>
          <w:rtl/>
        </w:rPr>
        <w:t>ن</w:t>
      </w:r>
      <w:r>
        <w:rPr>
          <w:rFonts w:hint="cs"/>
          <w:rtl/>
        </w:rPr>
        <w:t xml:space="preserve"> هذه البنود</w:t>
      </w:r>
      <w:r w:rsidRPr="00AB1EB2">
        <w:rPr>
          <w:rtl/>
        </w:rPr>
        <w:t xml:space="preserve"> مختلفة في طبيعتها</w:t>
      </w:r>
      <w:r>
        <w:rPr>
          <w:rtl/>
        </w:rPr>
        <w:t xml:space="preserve">، </w:t>
      </w:r>
      <w:r>
        <w:rPr>
          <w:rFonts w:hint="cs"/>
          <w:rtl/>
        </w:rPr>
        <w:t>لأ</w:t>
      </w:r>
      <w:r w:rsidRPr="00AB1EB2">
        <w:rPr>
          <w:rtl/>
        </w:rPr>
        <w:t xml:space="preserve">ن رأس المال العامل </w:t>
      </w:r>
      <w:r>
        <w:rPr>
          <w:rFonts w:hint="cs"/>
          <w:rtl/>
        </w:rPr>
        <w:t xml:space="preserve">هو ملك </w:t>
      </w:r>
      <w:r w:rsidR="00EA3039">
        <w:rPr>
          <w:rFonts w:hint="cs"/>
          <w:rtl/>
        </w:rPr>
        <w:t xml:space="preserve">للدول الأعضاء في الاتحاد </w:t>
      </w:r>
      <w:r w:rsidRPr="00AB1EB2">
        <w:rPr>
          <w:rtl/>
        </w:rPr>
        <w:t xml:space="preserve">في حين أن </w:t>
      </w:r>
      <w:r>
        <w:rPr>
          <w:rFonts w:hint="cs"/>
          <w:rtl/>
        </w:rPr>
        <w:t>الأموال</w:t>
      </w:r>
      <w:r w:rsidRPr="00AB1EB2">
        <w:rPr>
          <w:rtl/>
        </w:rPr>
        <w:t xml:space="preserve"> الاحتياطية </w:t>
      </w:r>
      <w:r>
        <w:rPr>
          <w:rFonts w:hint="cs"/>
          <w:rtl/>
        </w:rPr>
        <w:t>هي نتاج الفوائض في</w:t>
      </w:r>
      <w:r w:rsidRPr="00AB1EB2">
        <w:rPr>
          <w:rtl/>
        </w:rPr>
        <w:t xml:space="preserve"> </w:t>
      </w:r>
      <w:r>
        <w:rPr>
          <w:rFonts w:hint="cs"/>
          <w:rtl/>
        </w:rPr>
        <w:t>الإير</w:t>
      </w:r>
      <w:r w:rsidRPr="00AB1EB2">
        <w:rPr>
          <w:rtl/>
        </w:rPr>
        <w:t>ا</w:t>
      </w:r>
      <w:r>
        <w:rPr>
          <w:rFonts w:hint="cs"/>
          <w:rtl/>
        </w:rPr>
        <w:t>دا</w:t>
      </w:r>
      <w:r w:rsidRPr="00AB1EB2">
        <w:rPr>
          <w:rtl/>
        </w:rPr>
        <w:t>ت</w:t>
      </w:r>
      <w:r w:rsidR="00EA3039">
        <w:rPr>
          <w:rFonts w:hint="cs"/>
          <w:rtl/>
        </w:rPr>
        <w:t xml:space="preserve"> وهي تعود للمنظمة</w:t>
      </w:r>
      <w:r w:rsidRPr="00AB1EB2">
        <w:rPr>
          <w:rtl/>
        </w:rPr>
        <w:t xml:space="preserve">. </w:t>
      </w:r>
      <w:r>
        <w:rPr>
          <w:rFonts w:hint="cs"/>
          <w:rtl/>
        </w:rPr>
        <w:t xml:space="preserve">كما </w:t>
      </w:r>
      <w:r w:rsidRPr="00AB1EB2">
        <w:rPr>
          <w:rtl/>
        </w:rPr>
        <w:t xml:space="preserve">طلب الوفد مزيدا من التوضيح </w:t>
      </w:r>
      <w:r>
        <w:rPr>
          <w:rtl/>
        </w:rPr>
        <w:t xml:space="preserve">من الأمانة </w:t>
      </w:r>
      <w:r w:rsidRPr="00AB1EB2">
        <w:rPr>
          <w:rtl/>
        </w:rPr>
        <w:t xml:space="preserve">بشأن الوضع المالي </w:t>
      </w:r>
      <w:r w:rsidR="00EA3039">
        <w:rPr>
          <w:rFonts w:hint="cs"/>
          <w:rtl/>
        </w:rPr>
        <w:t xml:space="preserve">الحالي للاتحاد وبشأن </w:t>
      </w:r>
      <w:r w:rsidRPr="00AB1EB2">
        <w:rPr>
          <w:rtl/>
        </w:rPr>
        <w:t xml:space="preserve">مشاريع تكنولوجيا المعلومات </w:t>
      </w:r>
      <w:r>
        <w:rPr>
          <w:rFonts w:hint="cs"/>
          <w:rtl/>
        </w:rPr>
        <w:t>الجديدة</w:t>
      </w:r>
      <w:r w:rsidRPr="00AB1EB2">
        <w:rPr>
          <w:rtl/>
        </w:rPr>
        <w:t>، و</w:t>
      </w:r>
      <w:r>
        <w:rPr>
          <w:rFonts w:hint="cs"/>
          <w:rtl/>
        </w:rPr>
        <w:t>ال</w:t>
      </w:r>
      <w:r w:rsidRPr="00AB1EB2">
        <w:rPr>
          <w:rtl/>
        </w:rPr>
        <w:t xml:space="preserve">أثر </w:t>
      </w:r>
      <w:r>
        <w:rPr>
          <w:rFonts w:hint="cs"/>
          <w:rtl/>
        </w:rPr>
        <w:t>المحتمل ل</w:t>
      </w:r>
      <w:r w:rsidRPr="00AB1EB2">
        <w:rPr>
          <w:rtl/>
        </w:rPr>
        <w:t>هذا الاقتراح</w:t>
      </w:r>
      <w:r>
        <w:rPr>
          <w:rFonts w:hint="cs"/>
          <w:rtl/>
        </w:rPr>
        <w:t xml:space="preserve"> </w:t>
      </w:r>
      <w:r w:rsidRPr="00AB1EB2">
        <w:rPr>
          <w:rtl/>
        </w:rPr>
        <w:t xml:space="preserve">على سياسة </w:t>
      </w:r>
      <w:r>
        <w:rPr>
          <w:rFonts w:hint="cs"/>
          <w:rtl/>
        </w:rPr>
        <w:t>ا</w:t>
      </w:r>
      <w:r w:rsidRPr="00AB1EB2">
        <w:rPr>
          <w:rtl/>
        </w:rPr>
        <w:t>لمنظمة</w:t>
      </w:r>
      <w:r>
        <w:rPr>
          <w:rFonts w:hint="cs"/>
          <w:rtl/>
        </w:rPr>
        <w:t xml:space="preserve"> العامة بشأن الأموال الاحتياطية</w:t>
      </w:r>
      <w:r w:rsidRPr="00AB1EB2">
        <w:rPr>
          <w:rtl/>
        </w:rPr>
        <w:t>.</w:t>
      </w:r>
    </w:p>
    <w:p w:rsidR="007833A4" w:rsidRPr="007F38D1" w:rsidRDefault="007833A4" w:rsidP="007833A4">
      <w:pPr>
        <w:pStyle w:val="NumberedParaAR"/>
        <w:numPr>
          <w:ilvl w:val="0"/>
          <w:numId w:val="21"/>
        </w:numPr>
        <w:ind w:left="0" w:firstLine="0"/>
      </w:pPr>
      <w:r w:rsidRPr="00AB1EB2">
        <w:rPr>
          <w:rtl/>
        </w:rPr>
        <w:t xml:space="preserve">وذكر وفد كولومبيا أنه بناء على الاقتراح الذي </w:t>
      </w:r>
      <w:r>
        <w:rPr>
          <w:rFonts w:hint="cs"/>
          <w:rtl/>
        </w:rPr>
        <w:t>قدمه</w:t>
      </w:r>
      <w:r w:rsidRPr="00AB1EB2">
        <w:rPr>
          <w:rtl/>
        </w:rPr>
        <w:t xml:space="preserve"> وفد الولايات المتحدة الأمريكية وعلى التوضيحات التي قدمتها </w:t>
      </w:r>
      <w:r>
        <w:rPr>
          <w:rtl/>
        </w:rPr>
        <w:t>الأمانة</w:t>
      </w:r>
      <w:r w:rsidRPr="00AB1EB2">
        <w:rPr>
          <w:rtl/>
        </w:rPr>
        <w:t xml:space="preserve">، </w:t>
      </w:r>
      <w:r>
        <w:rPr>
          <w:rFonts w:hint="cs"/>
          <w:rtl/>
        </w:rPr>
        <w:t>فمن الم</w:t>
      </w:r>
      <w:r>
        <w:rPr>
          <w:rtl/>
        </w:rPr>
        <w:t>مكن بد</w:t>
      </w:r>
      <w:r>
        <w:rPr>
          <w:rFonts w:hint="cs"/>
          <w:rtl/>
        </w:rPr>
        <w:t>ء</w:t>
      </w:r>
      <w:r w:rsidRPr="00AB1EB2">
        <w:rPr>
          <w:rtl/>
        </w:rPr>
        <w:t xml:space="preserve"> المناقشات بشأن هذه المسألة. وأشار إلى أن طبيعة نظام مدريد </w:t>
      </w:r>
      <w:r>
        <w:rPr>
          <w:rFonts w:hint="cs"/>
          <w:rtl/>
        </w:rPr>
        <w:t>تقضي ب</w:t>
      </w:r>
      <w:r w:rsidRPr="00AB1EB2">
        <w:rPr>
          <w:rtl/>
        </w:rPr>
        <w:t xml:space="preserve">أن قرار توزيع أي فائض يعتمد على الحاجة إلى بنية تحتية تكنولوجية أو عوامل أخرى يمكن أن تمنع هذا التوزيع أو </w:t>
      </w:r>
      <w:r>
        <w:rPr>
          <w:rtl/>
        </w:rPr>
        <w:t xml:space="preserve">تجعل </w:t>
      </w:r>
      <w:r w:rsidRPr="00AB1EB2">
        <w:rPr>
          <w:rtl/>
        </w:rPr>
        <w:t xml:space="preserve">تمويل </w:t>
      </w:r>
      <w:r>
        <w:rPr>
          <w:rFonts w:hint="cs"/>
          <w:rtl/>
        </w:rPr>
        <w:t>الاتحادات</w:t>
      </w:r>
      <w:r w:rsidRPr="00AB1EB2">
        <w:rPr>
          <w:rtl/>
        </w:rPr>
        <w:t xml:space="preserve"> الأخرى</w:t>
      </w:r>
      <w:r>
        <w:rPr>
          <w:rFonts w:hint="cs"/>
          <w:rtl/>
        </w:rPr>
        <w:t xml:space="preserve"> مستحيلا</w:t>
      </w:r>
      <w:r w:rsidRPr="00AB1EB2">
        <w:rPr>
          <w:rtl/>
        </w:rPr>
        <w:t xml:space="preserve">. ومع ذلك، قال الوفد </w:t>
      </w:r>
      <w:r>
        <w:rPr>
          <w:rFonts w:hint="cs"/>
          <w:rtl/>
        </w:rPr>
        <w:t>إ</w:t>
      </w:r>
      <w:r>
        <w:rPr>
          <w:rtl/>
        </w:rPr>
        <w:t>نه</w:t>
      </w:r>
      <w:r w:rsidRPr="00AB1EB2">
        <w:rPr>
          <w:rtl/>
        </w:rPr>
        <w:t xml:space="preserve"> </w:t>
      </w:r>
      <w:r>
        <w:rPr>
          <w:rFonts w:hint="cs"/>
          <w:rtl/>
        </w:rPr>
        <w:t xml:space="preserve">يظل </w:t>
      </w:r>
      <w:r w:rsidRPr="00193A9E">
        <w:rPr>
          <w:rtl/>
        </w:rPr>
        <w:t xml:space="preserve">منفتحا لمزيد من المناقشة حول </w:t>
      </w:r>
      <w:r>
        <w:rPr>
          <w:rFonts w:hint="cs"/>
          <w:rtl/>
        </w:rPr>
        <w:t xml:space="preserve">هذا </w:t>
      </w:r>
      <w:r w:rsidRPr="00AB1EB2">
        <w:rPr>
          <w:rtl/>
        </w:rPr>
        <w:t>الاقتراح.</w:t>
      </w:r>
    </w:p>
    <w:p w:rsidR="007833A4" w:rsidRDefault="007833A4" w:rsidP="007833A4">
      <w:pPr>
        <w:pStyle w:val="NumberedParaAR"/>
        <w:numPr>
          <w:ilvl w:val="0"/>
          <w:numId w:val="21"/>
        </w:numPr>
        <w:ind w:left="0" w:firstLine="0"/>
      </w:pPr>
      <w:r>
        <w:rPr>
          <w:rFonts w:hint="cs"/>
          <w:rtl/>
        </w:rPr>
        <w:t xml:space="preserve">وطلب وفد إسبانيا المزيد من المعلومات عن النتائج المحتملة لتوزيع أي فائض محتمل. وذكَّر بالمسألة المعلقة الخاصة بترجمة بعض التدوينات، وبأن الجمعية قد منحت المكتب الدولي وقتاً لإجراء الاستثمارات التكنولوجية اللازمة لتنفيذ مسار ترجمة فعال لهذه التدوينات. وأيد الشواغل التي أبداها وفد سويسرا إزاء عواقب هذا الاقتراح على السلامة المالية للمنظمة، </w:t>
      </w:r>
      <w:r>
        <w:rPr>
          <w:rFonts w:hint="cs"/>
          <w:rtl/>
        </w:rPr>
        <w:lastRenderedPageBreak/>
        <w:t>وأشار مجدداً إلى وجود تحديات متوسطة وطويلة الأجل تخص نظامي المعاشات التقاعدية والتأمين الصحي للموظفين، وتساءل عن كفاية الأموال الاحتياطية الحالية لتغطية هذه الالتزامات نظراً بوجه خاص إلى أن جزءاً من هذه الأموال الاحتياطية يقوم على تقييم مباني المنظمة وأن هذا التقييم معرض للتقلب.</w:t>
      </w:r>
    </w:p>
    <w:p w:rsidR="007833A4" w:rsidRDefault="007833A4" w:rsidP="007833A4">
      <w:pPr>
        <w:pStyle w:val="NumberedParaAR"/>
        <w:numPr>
          <w:ilvl w:val="0"/>
          <w:numId w:val="21"/>
        </w:numPr>
        <w:ind w:left="0" w:firstLine="0"/>
      </w:pPr>
      <w:r>
        <w:rPr>
          <w:rFonts w:hint="cs"/>
          <w:rtl/>
        </w:rPr>
        <w:t>وقال وفد الولايات المتحدة الأمريكية إن وثيقة البرنامج والميزانية المقترحة تشمل، في مفهومه، جميع الاستثمارات المتوقعة في مجال تكنولوجيا المعلومات وجميع مشاريع الترجمة؛ وإنه يتوقع رغم ذلك بلوغ الهدف الجديد وهو</w:t>
      </w:r>
      <w:r>
        <w:rPr>
          <w:rFonts w:hint="eastAsia"/>
          <w:rtl/>
        </w:rPr>
        <w:t> </w:t>
      </w:r>
      <w:r>
        <w:rPr>
          <w:rFonts w:hint="cs"/>
          <w:rtl/>
        </w:rPr>
        <w:t>25 بالمئة ما</w:t>
      </w:r>
      <w:r>
        <w:rPr>
          <w:rFonts w:hint="eastAsia"/>
          <w:rtl/>
        </w:rPr>
        <w:t> </w:t>
      </w:r>
      <w:r>
        <w:rPr>
          <w:rFonts w:hint="cs"/>
          <w:rtl/>
        </w:rPr>
        <w:t>سيعادل 31.5 مليون فرنك سويسري؛ وذكَّر بأن التقرير المالي السنوي لعام</w:t>
      </w:r>
      <w:r>
        <w:rPr>
          <w:rFonts w:hint="eastAsia"/>
          <w:rtl/>
        </w:rPr>
        <w:t> </w:t>
      </w:r>
      <w:r>
        <w:rPr>
          <w:rFonts w:hint="cs"/>
          <w:rtl/>
        </w:rPr>
        <w:t>2014 بيَّن وجود 50 مليون فرنك سويسري في رأس المال العامل والأموال الاحتياطية. ورداً على ملاحظة وفد سويسرا، أقر وفد الولايات المتحدة الأمريكية بأن رأس المال العامل يختلف عن الأموال الاحتياطية مشيراً إلى أنهما يردان،</w:t>
      </w:r>
      <w:r w:rsidRPr="00EA2A48">
        <w:rPr>
          <w:rFonts w:hint="cs"/>
          <w:rtl/>
        </w:rPr>
        <w:t xml:space="preserve"> </w:t>
      </w:r>
      <w:r>
        <w:rPr>
          <w:rFonts w:hint="cs"/>
          <w:rtl/>
        </w:rPr>
        <w:t>رغم ذلك، في بند واحد في التقارير المالية. ومع</w:t>
      </w:r>
      <w:r>
        <w:rPr>
          <w:rFonts w:hint="eastAsia"/>
          <w:rtl/>
        </w:rPr>
        <w:t> </w:t>
      </w:r>
      <w:r>
        <w:rPr>
          <w:rFonts w:hint="cs"/>
          <w:rtl/>
        </w:rPr>
        <w:t>ذلك، رأى الوفد أن الأموال الاحتياطية ورأس المال العامل قد تجاوزا هدفيهما وأن وثيقة البرنامج والميزانية تشمل جميع المصروفات الممكنة. وطلب الوفد أن يظل هذا الموضوع مفتوحاً كي يتسنى للأمانة تقديم المزيد من المعلومات لا سيما عن تكلفة تنفيذ المرحلة الثالثة من</w:t>
      </w:r>
      <w:r w:rsidRPr="00953B5B">
        <w:rPr>
          <w:rtl/>
        </w:rPr>
        <w:t xml:space="preserve"> برنامج تحديث تكنولوجيا المعلومات</w:t>
      </w:r>
      <w:r>
        <w:rPr>
          <w:rFonts w:hint="cs"/>
          <w:rtl/>
        </w:rPr>
        <w:t>.</w:t>
      </w:r>
    </w:p>
    <w:p w:rsidR="007833A4" w:rsidRPr="0091285A" w:rsidRDefault="007833A4" w:rsidP="00DF5A4E">
      <w:pPr>
        <w:pStyle w:val="NumberedParaAR"/>
        <w:numPr>
          <w:ilvl w:val="0"/>
          <w:numId w:val="21"/>
        </w:numPr>
        <w:ind w:left="0" w:firstLine="0"/>
        <w:rPr>
          <w:rtl/>
        </w:rPr>
      </w:pPr>
      <w:r>
        <w:rPr>
          <w:rFonts w:hint="cs"/>
          <w:rtl/>
        </w:rPr>
        <w:t>واقترحت الأ</w:t>
      </w:r>
      <w:r w:rsidR="00654770">
        <w:rPr>
          <w:rFonts w:hint="cs"/>
          <w:rtl/>
        </w:rPr>
        <w:t xml:space="preserve">مانة تقديم المزيد من البيانات لإجراء </w:t>
      </w:r>
      <w:r>
        <w:rPr>
          <w:rFonts w:hint="cs"/>
          <w:rtl/>
        </w:rPr>
        <w:t xml:space="preserve">دراسة </w:t>
      </w:r>
      <w:r w:rsidR="00654770">
        <w:rPr>
          <w:rFonts w:hint="cs"/>
          <w:rtl/>
        </w:rPr>
        <w:t xml:space="preserve">أدق، </w:t>
      </w:r>
      <w:r>
        <w:rPr>
          <w:rFonts w:hint="cs"/>
          <w:rtl/>
        </w:rPr>
        <w:t xml:space="preserve">مشيرة إلى أن مشروع البرنامج والميزانية يضم الإيرادات المقدَّرة استناداً إلى </w:t>
      </w:r>
      <w:r w:rsidR="00DF5A4E">
        <w:rPr>
          <w:rFonts w:hint="cs"/>
          <w:rtl/>
        </w:rPr>
        <w:t>السيناريو الأساسي الذي يعده</w:t>
      </w:r>
      <w:r>
        <w:rPr>
          <w:rFonts w:hint="cs"/>
          <w:rtl/>
        </w:rPr>
        <w:t xml:space="preserve"> </w:t>
      </w:r>
      <w:r w:rsidRPr="00EA2A48">
        <w:rPr>
          <w:rtl/>
        </w:rPr>
        <w:t>كبير الاقتصاديين</w:t>
      </w:r>
      <w:r>
        <w:rPr>
          <w:rFonts w:hint="cs"/>
          <w:rtl/>
        </w:rPr>
        <w:t xml:space="preserve"> بشأن أنظمة لاهاي ومدريد و</w:t>
      </w:r>
      <w:r w:rsidR="00DF5A4E">
        <w:rPr>
          <w:rFonts w:hint="cs"/>
          <w:rtl/>
        </w:rPr>
        <w:t>معاهدة التعاون بشأن البراءات، و</w:t>
      </w:r>
      <w:r>
        <w:rPr>
          <w:rFonts w:hint="cs"/>
          <w:rtl/>
        </w:rPr>
        <w:t>أن تحديد أولويات المصروفات استند إلى الإيرادات المتوقعة؛ وأضافت أن الميزانية لا تضم جميع المصروفات اللازمة وأن</w:t>
      </w:r>
      <w:r w:rsidR="00DF5A4E">
        <w:rPr>
          <w:rFonts w:hint="cs"/>
          <w:rtl/>
        </w:rPr>
        <w:t>ه يتم إرجاء</w:t>
      </w:r>
      <w:r>
        <w:rPr>
          <w:rFonts w:hint="cs"/>
          <w:rtl/>
        </w:rPr>
        <w:t xml:space="preserve"> بعض </w:t>
      </w:r>
      <w:r w:rsidR="00DF5A4E">
        <w:rPr>
          <w:rFonts w:hint="cs"/>
          <w:rtl/>
        </w:rPr>
        <w:t>منها</w:t>
      </w:r>
      <w:r>
        <w:rPr>
          <w:rFonts w:hint="cs"/>
          <w:rtl/>
        </w:rPr>
        <w:t>.</w:t>
      </w:r>
    </w:p>
    <w:p w:rsidR="007833A4" w:rsidRDefault="007833A4" w:rsidP="00666A25">
      <w:pPr>
        <w:pStyle w:val="NumberedParaAR"/>
        <w:numPr>
          <w:ilvl w:val="0"/>
          <w:numId w:val="21"/>
        </w:numPr>
        <w:ind w:left="-1" w:firstLine="0"/>
      </w:pPr>
      <w:r>
        <w:rPr>
          <w:rFonts w:hint="cs"/>
          <w:rtl/>
        </w:rPr>
        <w:t>وأشار الرئيس إلى اختتام عمل جمعية اتحاد مدريد وإلى إغلاق مناقشة البند 20 من جدول الأعمال الموح</w:t>
      </w:r>
      <w:r w:rsidR="00F40948">
        <w:rPr>
          <w:rFonts w:hint="cs"/>
          <w:rtl/>
        </w:rPr>
        <w:t>ّ</w:t>
      </w:r>
      <w:r>
        <w:rPr>
          <w:rFonts w:hint="cs"/>
          <w:rtl/>
        </w:rPr>
        <w:t>د با</w:t>
      </w:r>
      <w:bookmarkStart w:id="2" w:name="_GoBack"/>
      <w:bookmarkEnd w:id="2"/>
      <w:r>
        <w:rPr>
          <w:rFonts w:hint="cs"/>
          <w:rtl/>
        </w:rPr>
        <w:t xml:space="preserve">ستثناء الوثيقة </w:t>
      </w:r>
      <w:r>
        <w:t>MM/A/49/4</w:t>
      </w:r>
      <w:r>
        <w:rPr>
          <w:rFonts w:hint="cs"/>
          <w:rtl/>
        </w:rPr>
        <w:t xml:space="preserve"> التي ستناقشها الجمعية مجدداً في مرحلة لاحقة.</w:t>
      </w:r>
    </w:p>
    <w:p w:rsidR="00D97A9D" w:rsidRDefault="00D97A9D" w:rsidP="00CE7678">
      <w:pPr>
        <w:pStyle w:val="NumberedParaAR"/>
        <w:numPr>
          <w:ilvl w:val="0"/>
          <w:numId w:val="21"/>
        </w:numPr>
        <w:ind w:left="0" w:firstLine="0"/>
      </w:pPr>
      <w:r>
        <w:rPr>
          <w:rFonts w:hint="cs"/>
          <w:rtl/>
        </w:rPr>
        <w:t>وأعلن الرئيس أن البند 20</w:t>
      </w:r>
      <w:r w:rsidR="00CE7678">
        <w:rPr>
          <w:rFonts w:hint="cs"/>
          <w:rtl/>
        </w:rPr>
        <w:t xml:space="preserve"> "نظام مدريد"</w:t>
      </w:r>
      <w:r>
        <w:rPr>
          <w:rFonts w:hint="cs"/>
          <w:rtl/>
        </w:rPr>
        <w:t xml:space="preserve"> من جدول الأعمال سيظل مفتوحا قيد المشاورات غير الرسمية</w:t>
      </w:r>
      <w:r w:rsidR="00CE7678">
        <w:rPr>
          <w:rFonts w:hint="cs"/>
          <w:rtl/>
        </w:rPr>
        <w:t xml:space="preserve"> (الجارية إلى جانب المشاورات حول المسائل الوجيهة المطروحة في إطار بنود أخرى على جدول الأعمال)</w:t>
      </w:r>
      <w:r>
        <w:rPr>
          <w:rFonts w:hint="cs"/>
          <w:rtl/>
        </w:rPr>
        <w:t>.</w:t>
      </w:r>
    </w:p>
    <w:p w:rsidR="00D97A9D" w:rsidRDefault="00D97A9D" w:rsidP="00CE7678">
      <w:pPr>
        <w:pStyle w:val="NumberedParaAR"/>
        <w:numPr>
          <w:ilvl w:val="0"/>
          <w:numId w:val="21"/>
        </w:numPr>
        <w:ind w:left="0" w:firstLine="0"/>
      </w:pPr>
      <w:r>
        <w:rPr>
          <w:rFonts w:hint="cs"/>
          <w:rtl/>
        </w:rPr>
        <w:t>و</w:t>
      </w:r>
      <w:r w:rsidR="00CE7678">
        <w:rPr>
          <w:rFonts w:hint="cs"/>
          <w:rtl/>
        </w:rPr>
        <w:t xml:space="preserve">خلال الدورة </w:t>
      </w:r>
      <w:r>
        <w:rPr>
          <w:rFonts w:hint="cs"/>
          <w:rtl/>
        </w:rPr>
        <w:t>قدّم رئيس الجمعية العامة</w:t>
      </w:r>
      <w:r w:rsidR="00DC3415">
        <w:rPr>
          <w:rFonts w:hint="cs"/>
          <w:rtl/>
        </w:rPr>
        <w:t xml:space="preserve"> إلى الجلسة العامة</w:t>
      </w:r>
      <w:r w:rsidR="00CE7678">
        <w:rPr>
          <w:rFonts w:hint="cs"/>
          <w:rtl/>
        </w:rPr>
        <w:t xml:space="preserve"> للجمعيات</w:t>
      </w:r>
      <w:r w:rsidR="00DC3415">
        <w:rPr>
          <w:rFonts w:hint="cs"/>
          <w:rtl/>
        </w:rPr>
        <w:t xml:space="preserve">، </w:t>
      </w:r>
      <w:r>
        <w:rPr>
          <w:rFonts w:hint="cs"/>
          <w:rtl/>
        </w:rPr>
        <w:t>مستجدات متواصلة حول حالة تلك المشاورات غير الرسمية</w:t>
      </w:r>
      <w:r w:rsidR="00CE7678">
        <w:rPr>
          <w:rFonts w:hint="cs"/>
          <w:rtl/>
        </w:rPr>
        <w:t>، بما في ذلك جمعية اتحاد مدريد</w:t>
      </w:r>
      <w:r>
        <w:rPr>
          <w:rFonts w:hint="cs"/>
          <w:rtl/>
        </w:rPr>
        <w:t>. وترد تقارير تلك المستجدات تحت البند 11 من جدول الأعمال "تقرير لجنة البرنامج والميزانية".</w:t>
      </w:r>
    </w:p>
    <w:p w:rsidR="00B524F2" w:rsidRPr="0091285A" w:rsidRDefault="00CE7678" w:rsidP="000D3EA3">
      <w:pPr>
        <w:pStyle w:val="NumberedParaAR"/>
        <w:numPr>
          <w:ilvl w:val="0"/>
          <w:numId w:val="21"/>
        </w:numPr>
        <w:ind w:left="895"/>
        <w:rPr>
          <w:rtl/>
        </w:rPr>
      </w:pPr>
      <w:r>
        <w:rPr>
          <w:rFonts w:hint="cs"/>
          <w:rtl/>
        </w:rPr>
        <w:t xml:space="preserve">نظرت جمعية اتحاد مدريد في الوثيقة </w:t>
      </w:r>
      <w:r w:rsidRPr="00CE7678">
        <w:t>MM/A/49/4</w:t>
      </w:r>
      <w:r w:rsidRPr="00CE7678">
        <w:rPr>
          <w:rtl/>
        </w:rPr>
        <w:t xml:space="preserve"> </w:t>
      </w:r>
      <w:r>
        <w:rPr>
          <w:rFonts w:hint="cs"/>
          <w:rtl/>
        </w:rPr>
        <w:t xml:space="preserve"> ولم تتوصل إلى توافق في الآراء.</w:t>
      </w:r>
    </w:p>
    <w:p w:rsidR="007833A4" w:rsidRPr="0091285A" w:rsidRDefault="007833A4" w:rsidP="005E0ACD">
      <w:pPr>
        <w:pStyle w:val="EndofDocumentAR"/>
        <w:spacing w:before="480"/>
        <w:ind w:left="5530"/>
        <w:rPr>
          <w:lang w:bidi="ar-EG"/>
        </w:rPr>
      </w:pPr>
      <w:r>
        <w:rPr>
          <w:rFonts w:hint="cs"/>
          <w:rtl/>
          <w:lang w:bidi="ar-EG"/>
        </w:rPr>
        <w:t>[</w:t>
      </w:r>
      <w:r w:rsidR="005E0ACD">
        <w:rPr>
          <w:rFonts w:hint="cs"/>
          <w:rtl/>
          <w:lang w:bidi="ar-EG"/>
        </w:rPr>
        <w:t>يلي ذلك المرفق</w:t>
      </w:r>
      <w:r>
        <w:rPr>
          <w:rFonts w:hint="cs"/>
          <w:rtl/>
          <w:lang w:bidi="ar-EG"/>
        </w:rPr>
        <w:t>]</w:t>
      </w:r>
    </w:p>
    <w:p w:rsidR="000D3EA3" w:rsidRDefault="000D3EA3" w:rsidP="00CE7678">
      <w:pPr>
        <w:pStyle w:val="NumberedParaAR"/>
        <w:numPr>
          <w:ilvl w:val="0"/>
          <w:numId w:val="0"/>
        </w:numPr>
        <w:spacing w:after="0"/>
        <w:jc w:val="center"/>
        <w:rPr>
          <w:b/>
          <w:bCs/>
          <w:rtl/>
        </w:rPr>
        <w:sectPr w:rsidR="000D3EA3" w:rsidSect="00EB7752">
          <w:headerReference w:type="default" r:id="rId10"/>
          <w:footerReference w:type="default" r:id="rId11"/>
          <w:pgSz w:w="11907" w:h="16840" w:code="9"/>
          <w:pgMar w:top="567" w:right="1418" w:bottom="1418" w:left="1134" w:header="510" w:footer="1021" w:gutter="0"/>
          <w:cols w:space="720"/>
          <w:titlePg/>
          <w:docGrid w:linePitch="299"/>
        </w:sectPr>
      </w:pPr>
    </w:p>
    <w:p w:rsidR="000057C9" w:rsidRPr="000D3EA3" w:rsidRDefault="00CE7678" w:rsidP="000D3EA3">
      <w:pPr>
        <w:pStyle w:val="NumberedParaAR"/>
        <w:numPr>
          <w:ilvl w:val="0"/>
          <w:numId w:val="0"/>
        </w:numPr>
        <w:spacing w:after="0"/>
        <w:jc w:val="center"/>
        <w:rPr>
          <w:b/>
          <w:bCs/>
          <w:rtl/>
        </w:rPr>
      </w:pPr>
      <w:r w:rsidRPr="000D3EA3">
        <w:rPr>
          <w:rFonts w:hint="cs"/>
          <w:b/>
          <w:bCs/>
          <w:rtl/>
        </w:rPr>
        <w:lastRenderedPageBreak/>
        <w:t>المنظمة العالمية للملكية الفكرية</w:t>
      </w:r>
    </w:p>
    <w:p w:rsidR="00CE7678" w:rsidRPr="000D3EA3" w:rsidRDefault="00CE7678" w:rsidP="000D3EA3">
      <w:pPr>
        <w:pStyle w:val="NumberedParaAR"/>
        <w:numPr>
          <w:ilvl w:val="0"/>
          <w:numId w:val="0"/>
        </w:numPr>
        <w:spacing w:after="0"/>
        <w:jc w:val="center"/>
        <w:rPr>
          <w:b/>
          <w:bCs/>
          <w:rtl/>
        </w:rPr>
      </w:pPr>
      <w:r w:rsidRPr="000D3EA3">
        <w:rPr>
          <w:rFonts w:hint="cs"/>
          <w:b/>
          <w:bCs/>
          <w:rtl/>
        </w:rPr>
        <w:t>جمعيات الدول الأعضاء</w:t>
      </w:r>
    </w:p>
    <w:p w:rsidR="00CE7678" w:rsidRPr="000D3EA3" w:rsidRDefault="00CE7678" w:rsidP="000D3EA3">
      <w:pPr>
        <w:pStyle w:val="NumberedParaAR"/>
        <w:numPr>
          <w:ilvl w:val="0"/>
          <w:numId w:val="0"/>
        </w:numPr>
        <w:spacing w:after="0"/>
        <w:jc w:val="center"/>
        <w:rPr>
          <w:b/>
          <w:bCs/>
          <w:rtl/>
        </w:rPr>
      </w:pPr>
      <w:r w:rsidRPr="000D3EA3">
        <w:rPr>
          <w:rFonts w:hint="cs"/>
          <w:b/>
          <w:bCs/>
          <w:rtl/>
        </w:rPr>
        <w:t>في الاتحاد الخاص للتسجيل الدولي للعلامات</w:t>
      </w:r>
    </w:p>
    <w:p w:rsidR="00CE7678" w:rsidRPr="000D3EA3" w:rsidRDefault="00CE7678" w:rsidP="000D3EA3">
      <w:pPr>
        <w:pStyle w:val="NumberedParaAR"/>
        <w:numPr>
          <w:ilvl w:val="0"/>
          <w:numId w:val="0"/>
        </w:numPr>
        <w:spacing w:after="0"/>
        <w:jc w:val="center"/>
        <w:rPr>
          <w:b/>
          <w:bCs/>
          <w:rtl/>
        </w:rPr>
      </w:pPr>
      <w:r w:rsidRPr="000D3EA3">
        <w:rPr>
          <w:rFonts w:hint="cs"/>
          <w:b/>
          <w:bCs/>
          <w:rtl/>
        </w:rPr>
        <w:t>(اتحاد مدريد)</w:t>
      </w:r>
    </w:p>
    <w:p w:rsidR="00CE7678" w:rsidRPr="000D3EA3" w:rsidRDefault="00CE7678" w:rsidP="000D3EA3">
      <w:pPr>
        <w:pStyle w:val="NumberedParaAR"/>
        <w:numPr>
          <w:ilvl w:val="0"/>
          <w:numId w:val="0"/>
        </w:numPr>
        <w:jc w:val="center"/>
        <w:rPr>
          <w:b/>
          <w:bCs/>
          <w:rtl/>
        </w:rPr>
      </w:pPr>
      <w:r w:rsidRPr="000D3EA3">
        <w:rPr>
          <w:rFonts w:hint="cs"/>
          <w:b/>
          <w:bCs/>
          <w:rtl/>
        </w:rPr>
        <w:t>من 5 إلى 14 أكتوبر 2015</w:t>
      </w:r>
    </w:p>
    <w:p w:rsidR="005E0ACD" w:rsidRDefault="00CE7678" w:rsidP="00340744">
      <w:pPr>
        <w:pStyle w:val="NumberedParaAR"/>
        <w:numPr>
          <w:ilvl w:val="0"/>
          <w:numId w:val="0"/>
        </w:numPr>
        <w:rPr>
          <w:rtl/>
        </w:rPr>
      </w:pPr>
      <w:r w:rsidRPr="000D3EA3">
        <w:rPr>
          <w:rFonts w:hint="cs"/>
          <w:b/>
          <w:bCs/>
          <w:rtl/>
        </w:rPr>
        <w:t>البند 20-4 من جدول الأعمال</w:t>
      </w:r>
      <w:r>
        <w:rPr>
          <w:rFonts w:hint="cs"/>
          <w:rtl/>
        </w:rPr>
        <w:t xml:space="preserve">: اقتراح الولايات المتحدة </w:t>
      </w:r>
      <w:r w:rsidR="00340744">
        <w:rPr>
          <w:rFonts w:hint="cs"/>
          <w:rtl/>
        </w:rPr>
        <w:t xml:space="preserve">بدعوة جمعية اتحاد مدريد إلى </w:t>
      </w:r>
      <w:r>
        <w:rPr>
          <w:rFonts w:hint="cs"/>
          <w:rtl/>
        </w:rPr>
        <w:t>اتخاذ قرار بشأن تمويل اتحاد لشبونة</w:t>
      </w:r>
    </w:p>
    <w:p w:rsidR="00CE7678" w:rsidRDefault="00CE7678" w:rsidP="00CE7678">
      <w:pPr>
        <w:pStyle w:val="NumberedParaAR"/>
        <w:numPr>
          <w:ilvl w:val="0"/>
          <w:numId w:val="0"/>
        </w:numPr>
        <w:rPr>
          <w:rtl/>
        </w:rPr>
      </w:pPr>
      <w:r w:rsidRPr="00340744">
        <w:rPr>
          <w:rFonts w:hint="cs"/>
          <w:b/>
          <w:bCs/>
          <w:rtl/>
        </w:rPr>
        <w:t>الوثيقة</w:t>
      </w:r>
      <w:r>
        <w:rPr>
          <w:rFonts w:hint="cs"/>
          <w:rtl/>
        </w:rPr>
        <w:t xml:space="preserve">: </w:t>
      </w:r>
      <w:r w:rsidRPr="005E6132">
        <w:rPr>
          <w:szCs w:val="22"/>
        </w:rPr>
        <w:t>MM/A/49/4</w:t>
      </w:r>
      <w:r>
        <w:rPr>
          <w:rFonts w:hint="cs"/>
          <w:szCs w:val="22"/>
          <w:rtl/>
        </w:rPr>
        <w:t xml:space="preserve"> </w:t>
      </w:r>
      <w:r w:rsidRPr="000D3EA3">
        <w:rPr>
          <w:rFonts w:hint="cs"/>
          <w:rtl/>
        </w:rPr>
        <w:t>بيان الولايات المتحدة</w:t>
      </w:r>
    </w:p>
    <w:p w:rsidR="00CE7678" w:rsidRDefault="00CE7678" w:rsidP="00340744">
      <w:pPr>
        <w:pStyle w:val="NumberedParaAR"/>
        <w:numPr>
          <w:ilvl w:val="0"/>
          <w:numId w:val="28"/>
        </w:numPr>
      </w:pPr>
      <w:r>
        <w:rPr>
          <w:rFonts w:hint="cs"/>
          <w:rtl/>
        </w:rPr>
        <w:t xml:space="preserve">شكرا </w:t>
      </w:r>
      <w:r w:rsidR="00340744">
        <w:rPr>
          <w:rFonts w:hint="cs"/>
          <w:rtl/>
        </w:rPr>
        <w:t xml:space="preserve">سيدي الرئيس. </w:t>
      </w:r>
      <w:r>
        <w:rPr>
          <w:rFonts w:hint="cs"/>
          <w:rtl/>
        </w:rPr>
        <w:t>نظرا لأن هذه أول مرة نأخذ</w:t>
      </w:r>
      <w:r w:rsidR="00340744">
        <w:rPr>
          <w:rFonts w:hint="cs"/>
          <w:rtl/>
        </w:rPr>
        <w:t xml:space="preserve"> فيها</w:t>
      </w:r>
      <w:r>
        <w:rPr>
          <w:rFonts w:hint="cs"/>
          <w:rtl/>
        </w:rPr>
        <w:t xml:space="preserve"> الكلمة للحديث </w:t>
      </w:r>
      <w:r w:rsidR="00340744">
        <w:rPr>
          <w:rFonts w:hint="cs"/>
          <w:rtl/>
        </w:rPr>
        <w:t>عن هذا</w:t>
      </w:r>
      <w:r>
        <w:rPr>
          <w:rFonts w:hint="cs"/>
          <w:rtl/>
        </w:rPr>
        <w:t xml:space="preserve"> البند من جدول الأعمال، نود أن نستهل حديثنا </w:t>
      </w:r>
      <w:r w:rsidR="003D05C3">
        <w:rPr>
          <w:rFonts w:hint="cs"/>
          <w:rtl/>
        </w:rPr>
        <w:t>بتهنئتك</w:t>
      </w:r>
      <w:r w:rsidR="003D05C3">
        <w:rPr>
          <w:rFonts w:hint="eastAsia"/>
          <w:rtl/>
        </w:rPr>
        <w:t>م</w:t>
      </w:r>
      <w:r>
        <w:rPr>
          <w:rFonts w:hint="cs"/>
          <w:rtl/>
        </w:rPr>
        <w:t xml:space="preserve"> أنتم ونائبي الرئيس على انتخابكم.</w:t>
      </w:r>
    </w:p>
    <w:p w:rsidR="00CE7678" w:rsidRDefault="00340744" w:rsidP="000D3EA3">
      <w:pPr>
        <w:pStyle w:val="NumberedParaAR"/>
        <w:numPr>
          <w:ilvl w:val="0"/>
          <w:numId w:val="28"/>
        </w:numPr>
      </w:pPr>
      <w:r>
        <w:rPr>
          <w:rFonts w:hint="cs"/>
          <w:rtl/>
        </w:rPr>
        <w:t>ل</w:t>
      </w:r>
      <w:r w:rsidR="00CE7678">
        <w:rPr>
          <w:rFonts w:hint="cs"/>
          <w:rtl/>
        </w:rPr>
        <w:t xml:space="preserve">قد اقترحت الولايات المتحدة </w:t>
      </w:r>
      <w:r w:rsidR="00AE7D53">
        <w:rPr>
          <w:rFonts w:hint="cs"/>
          <w:rtl/>
        </w:rPr>
        <w:t xml:space="preserve">مناقشة هذه المسألة في إطار البند 20 من جدول الأعمال وقدمت الوثيقة </w:t>
      </w:r>
      <w:r w:rsidR="00AE7D53" w:rsidRPr="00AE7D53">
        <w:t>MM/A/49/4</w:t>
      </w:r>
      <w:r w:rsidR="00AE7D53">
        <w:rPr>
          <w:rFonts w:hint="cs"/>
          <w:rtl/>
        </w:rPr>
        <w:t xml:space="preserve"> لكي تنظر فيها جمعية اتحاد مدريد، لأن سنين عديدة قد مضت منذ آخر مرة درسنا </w:t>
      </w:r>
      <w:r>
        <w:rPr>
          <w:rFonts w:hint="cs"/>
          <w:rtl/>
        </w:rPr>
        <w:t xml:space="preserve">فيها </w:t>
      </w:r>
      <w:r w:rsidR="00AE7D53">
        <w:rPr>
          <w:rFonts w:hint="cs"/>
          <w:rtl/>
        </w:rPr>
        <w:t>كيفية استخدام فائض الإيرادات المحصلة في إطار اتفاق مدريد وبروتوكوله، والإقرار بأن اتحاد مدريد له الحق في البت في طريقة استخدام ما يحققه من فائض.</w:t>
      </w:r>
    </w:p>
    <w:p w:rsidR="00AE7D53" w:rsidRDefault="00AE7D53" w:rsidP="000D3EA3">
      <w:pPr>
        <w:pStyle w:val="NumberedParaAR"/>
        <w:numPr>
          <w:ilvl w:val="0"/>
          <w:numId w:val="28"/>
        </w:numPr>
      </w:pPr>
      <w:r>
        <w:rPr>
          <w:rFonts w:hint="cs"/>
          <w:rtl/>
        </w:rPr>
        <w:t>وتنص المادة 8(4) من اتفاق مدريد وبروتوكوله على توزيع أي فائض يحقق على الأطراف المتعاقدة بالتساوي.</w:t>
      </w:r>
    </w:p>
    <w:p w:rsidR="00AE7D53" w:rsidRDefault="00AE7D53" w:rsidP="000D3EA3">
      <w:pPr>
        <w:pStyle w:val="NumberedParaAR"/>
        <w:numPr>
          <w:ilvl w:val="0"/>
          <w:numId w:val="28"/>
        </w:numPr>
      </w:pPr>
      <w:r>
        <w:rPr>
          <w:rFonts w:hint="cs"/>
          <w:rtl/>
        </w:rPr>
        <w:t>وعند دراسة تمويل مختلف الاتحادات في الماضي، لاحظنا أن نظام مدريد أخذ يحقق فائضا كان من المفترض استخدامه أصلا لتمويل مشروع تحديث تكنولوجيا المعلومات، إلا أن هذا التمويل لم يعد لازما</w:t>
      </w:r>
      <w:r w:rsidR="00340744">
        <w:rPr>
          <w:rFonts w:hint="cs"/>
          <w:rtl/>
        </w:rPr>
        <w:t xml:space="preserve"> على ما يبدو</w:t>
      </w:r>
      <w:r>
        <w:rPr>
          <w:rFonts w:hint="cs"/>
          <w:rtl/>
        </w:rPr>
        <w:t>.</w:t>
      </w:r>
    </w:p>
    <w:p w:rsidR="00AE7D53" w:rsidRDefault="00FA1D28" w:rsidP="00FA1D28">
      <w:pPr>
        <w:pStyle w:val="NumberedParaAR"/>
        <w:numPr>
          <w:ilvl w:val="0"/>
          <w:numId w:val="28"/>
        </w:numPr>
      </w:pPr>
      <w:r>
        <w:rPr>
          <w:rFonts w:hint="cs"/>
          <w:rtl/>
        </w:rPr>
        <w:t>و</w:t>
      </w:r>
      <w:r w:rsidR="00AE7D53">
        <w:rPr>
          <w:rFonts w:hint="cs"/>
          <w:rtl/>
        </w:rPr>
        <w:t xml:space="preserve">نود أن تطلعنا </w:t>
      </w:r>
      <w:r>
        <w:rPr>
          <w:rFonts w:hint="cs"/>
          <w:rtl/>
        </w:rPr>
        <w:t xml:space="preserve">الأمانة </w:t>
      </w:r>
      <w:r w:rsidR="00AE7D53">
        <w:rPr>
          <w:rFonts w:hint="cs"/>
          <w:rtl/>
        </w:rPr>
        <w:t>على مستجدات نفقات مشروعات تكنولوجيا المعلومات في إطار نظام مدريد منذ عام 2007، والتكاليف المتوقعة في المستقبل لتلك المشروعات، والقدر اللازم من الأموال الاحتياطية</w:t>
      </w:r>
      <w:r w:rsidR="00340744">
        <w:rPr>
          <w:rFonts w:hint="cs"/>
          <w:rtl/>
        </w:rPr>
        <w:t xml:space="preserve"> لتمويلها</w:t>
      </w:r>
      <w:r w:rsidR="00AE7D53">
        <w:rPr>
          <w:rFonts w:hint="cs"/>
          <w:rtl/>
        </w:rPr>
        <w:t>.</w:t>
      </w:r>
    </w:p>
    <w:p w:rsidR="00AE7D53" w:rsidRDefault="00340744" w:rsidP="00FA1D28">
      <w:pPr>
        <w:pStyle w:val="NumberedParaAR"/>
        <w:numPr>
          <w:ilvl w:val="0"/>
          <w:numId w:val="28"/>
        </w:numPr>
      </w:pPr>
      <w:r>
        <w:rPr>
          <w:rFonts w:hint="cs"/>
          <w:rtl/>
        </w:rPr>
        <w:t>و</w:t>
      </w:r>
      <w:r w:rsidR="00AE7D53">
        <w:rPr>
          <w:rFonts w:hint="cs"/>
          <w:rtl/>
        </w:rPr>
        <w:t xml:space="preserve">نظن أن من اللازم التدبر من جديد في هذا الفائض لمعرفة إن كان ينبغي توزعيه على الأطراف المتعاقدة في نظام مدريد بموجب المادة 8(4) أو </w:t>
      </w:r>
      <w:r w:rsidR="00FA1D28">
        <w:rPr>
          <w:rFonts w:hint="cs"/>
          <w:rtl/>
        </w:rPr>
        <w:t>السماح بادخارها</w:t>
      </w:r>
      <w:r w:rsidR="003D05C3">
        <w:rPr>
          <w:rFonts w:hint="cs"/>
          <w:rtl/>
        </w:rPr>
        <w:t xml:space="preserve"> في صندوق</w:t>
      </w:r>
      <w:r w:rsidR="00AE7D53">
        <w:rPr>
          <w:rFonts w:hint="cs"/>
          <w:rtl/>
        </w:rPr>
        <w:t xml:space="preserve"> الأموال الاحتياطية لنظام مدريد وإن تجاوزت المستويات الضرورية والمنشودة.</w:t>
      </w:r>
    </w:p>
    <w:p w:rsidR="00AE7D53" w:rsidRDefault="00AE7D53" w:rsidP="00FA1D28">
      <w:pPr>
        <w:pStyle w:val="NumberedParaAR"/>
        <w:numPr>
          <w:ilvl w:val="0"/>
          <w:numId w:val="28"/>
        </w:numPr>
      </w:pPr>
      <w:r>
        <w:rPr>
          <w:rFonts w:hint="cs"/>
          <w:rtl/>
        </w:rPr>
        <w:t>وقد اتخذت جمعية مدريد قرارات في السابق</w:t>
      </w:r>
      <w:r w:rsidR="00FA1D28">
        <w:rPr>
          <w:rFonts w:hint="cs"/>
          <w:rtl/>
        </w:rPr>
        <w:t xml:space="preserve"> </w:t>
      </w:r>
      <w:r>
        <w:rPr>
          <w:rFonts w:hint="cs"/>
          <w:rtl/>
        </w:rPr>
        <w:t>بتوزيع أي فائض</w:t>
      </w:r>
      <w:r w:rsidR="00FA1D28">
        <w:rPr>
          <w:rFonts w:hint="cs"/>
          <w:rtl/>
        </w:rPr>
        <w:t xml:space="preserve"> تارة</w:t>
      </w:r>
      <w:r>
        <w:rPr>
          <w:rFonts w:hint="cs"/>
          <w:rtl/>
        </w:rPr>
        <w:t xml:space="preserve"> </w:t>
      </w:r>
      <w:r w:rsidR="00FA1D28">
        <w:rPr>
          <w:rFonts w:hint="cs"/>
          <w:rtl/>
        </w:rPr>
        <w:t>و</w:t>
      </w:r>
      <w:r>
        <w:rPr>
          <w:rFonts w:hint="cs"/>
          <w:rtl/>
        </w:rPr>
        <w:t xml:space="preserve">بتخصيصه لصندوق الأموال الاحتياطية </w:t>
      </w:r>
      <w:r w:rsidR="00FA1D28">
        <w:rPr>
          <w:rFonts w:hint="cs"/>
          <w:rtl/>
        </w:rPr>
        <w:t>تارة</w:t>
      </w:r>
      <w:r>
        <w:rPr>
          <w:rFonts w:hint="cs"/>
          <w:rtl/>
        </w:rPr>
        <w:t xml:space="preserve"> أخرى، رهنا بطبيعة المشروعات الجاري تنفيذها لفائدة الاتحاد.</w:t>
      </w:r>
      <w:r>
        <w:rPr>
          <w:rStyle w:val="FootnoteReference"/>
          <w:rtl/>
        </w:rPr>
        <w:footnoteReference w:id="1"/>
      </w:r>
    </w:p>
    <w:p w:rsidR="00AE7D53" w:rsidRDefault="004929E9" w:rsidP="000D3EA3">
      <w:pPr>
        <w:pStyle w:val="NumberedParaAR"/>
        <w:numPr>
          <w:ilvl w:val="0"/>
          <w:numId w:val="28"/>
        </w:numPr>
      </w:pPr>
      <w:r>
        <w:rPr>
          <w:rFonts w:hint="cs"/>
          <w:rtl/>
        </w:rPr>
        <w:t>وفي الفترة من عام 1972 إلى عام 1990 قررت الجمعية توزيع أي فائض يحقق على الأطراف المتعاقدة.</w:t>
      </w:r>
    </w:p>
    <w:p w:rsidR="004929E9" w:rsidRDefault="004929E9" w:rsidP="000D3EA3">
      <w:pPr>
        <w:pStyle w:val="NumberedParaAR"/>
        <w:numPr>
          <w:ilvl w:val="0"/>
          <w:numId w:val="28"/>
        </w:numPr>
      </w:pPr>
      <w:r>
        <w:rPr>
          <w:rFonts w:hint="cs"/>
          <w:rtl/>
        </w:rPr>
        <w:t>وفي عام 1990 قررت الجمعية تخصيص الفائض لتحديث تكنولوجيا المعلومات.</w:t>
      </w:r>
    </w:p>
    <w:p w:rsidR="004929E9" w:rsidRDefault="004929E9" w:rsidP="000D3EA3">
      <w:pPr>
        <w:pStyle w:val="NumberedParaAR"/>
        <w:numPr>
          <w:ilvl w:val="0"/>
          <w:numId w:val="28"/>
        </w:numPr>
      </w:pPr>
      <w:r>
        <w:rPr>
          <w:rFonts w:hint="cs"/>
          <w:rtl/>
        </w:rPr>
        <w:t>وفي عام 2000 قررت الجمعية ثانية توزيع الفائض.</w:t>
      </w:r>
    </w:p>
    <w:p w:rsidR="004929E9" w:rsidRDefault="004929E9" w:rsidP="00FA1D28">
      <w:pPr>
        <w:pStyle w:val="NumberedParaAR"/>
        <w:numPr>
          <w:ilvl w:val="0"/>
          <w:numId w:val="28"/>
        </w:numPr>
      </w:pPr>
      <w:r>
        <w:rPr>
          <w:rFonts w:hint="cs"/>
          <w:rtl/>
        </w:rPr>
        <w:lastRenderedPageBreak/>
        <w:t>وفي عام 2000، توقع أعضاء اتحاد مدريد تحقيق فائض كبير، فقرروا الاحتفاظ بذلك الفائض لتنفيذ برامج تحديث تكنولوجيا المعلومات.</w:t>
      </w:r>
    </w:p>
    <w:p w:rsidR="004929E9" w:rsidRDefault="004929E9" w:rsidP="000D3EA3">
      <w:pPr>
        <w:pStyle w:val="NumberedParaAR"/>
        <w:numPr>
          <w:ilvl w:val="0"/>
          <w:numId w:val="28"/>
        </w:numPr>
      </w:pPr>
      <w:r>
        <w:rPr>
          <w:rFonts w:hint="cs"/>
          <w:rtl/>
        </w:rPr>
        <w:t>ومنذ ذلك الحين أنجزت أعمال تحديث تكنولوجيا المعلومات وتواصل الفائض في النمو.</w:t>
      </w:r>
    </w:p>
    <w:p w:rsidR="004929E9" w:rsidRDefault="004929E9" w:rsidP="000D3EA3">
      <w:pPr>
        <w:pStyle w:val="NumberedParaAR"/>
        <w:numPr>
          <w:ilvl w:val="0"/>
          <w:numId w:val="28"/>
        </w:numPr>
      </w:pPr>
      <w:r>
        <w:rPr>
          <w:rFonts w:hint="cs"/>
          <w:rtl/>
        </w:rPr>
        <w:t xml:space="preserve">واليوم وبعد الاطلاع على الوثيقة </w:t>
      </w:r>
      <w:r w:rsidRPr="004929E9">
        <w:t>A/55/6</w:t>
      </w:r>
      <w:r>
        <w:rPr>
          <w:rFonts w:hint="cs"/>
          <w:rtl/>
        </w:rPr>
        <w:t>، تقرير أداء البرنامج لعام 2014</w:t>
      </w:r>
      <w:r w:rsidR="00FA1D28">
        <w:rPr>
          <w:rFonts w:hint="cs"/>
          <w:rtl/>
        </w:rPr>
        <w:t>،</w:t>
      </w:r>
      <w:r>
        <w:rPr>
          <w:rFonts w:hint="cs"/>
          <w:rtl/>
        </w:rPr>
        <w:t xml:space="preserve"> والوثيقة </w:t>
      </w:r>
      <w:r w:rsidRPr="004929E9">
        <w:t>A/55/5 REV</w:t>
      </w:r>
      <w:r>
        <w:rPr>
          <w:rFonts w:hint="cs"/>
          <w:rtl/>
        </w:rPr>
        <w:t>، اقتراح البرنامج وال</w:t>
      </w:r>
      <w:r w:rsidR="00FA1D28">
        <w:rPr>
          <w:rFonts w:hint="cs"/>
          <w:rtl/>
        </w:rPr>
        <w:t>ميزانية المنقح للثنائية 2016/17،</w:t>
      </w:r>
      <w:r>
        <w:rPr>
          <w:rFonts w:hint="cs"/>
          <w:rtl/>
        </w:rPr>
        <w:t xml:space="preserve"> اكتشفنا أن الأموال الاحتياطية لاتحاد مدريد والأموال المتاحة في صندوق رأس المال العامل تتجاوز كثيرا الآن المبلغ المنشود للثنائية 2016/17 وقدره 31.5 مليون فرنك سويسري بمبلغ 15 مليون فرنك سويسري.</w:t>
      </w:r>
    </w:p>
    <w:p w:rsidR="004929E9" w:rsidRDefault="004929E9" w:rsidP="00FA1D28">
      <w:pPr>
        <w:pStyle w:val="NumberedParaAR"/>
        <w:numPr>
          <w:ilvl w:val="0"/>
          <w:numId w:val="28"/>
        </w:numPr>
      </w:pPr>
      <w:r>
        <w:rPr>
          <w:rFonts w:hint="cs"/>
          <w:rtl/>
        </w:rPr>
        <w:t>وطبقا لاتفاق مدريد، فإن ذلك يعني أن المبلغ الذي يصل قدره إلى 15 مليون فرنك سويسري تقريبا قد يكو</w:t>
      </w:r>
      <w:r w:rsidR="00FA1D28">
        <w:rPr>
          <w:rFonts w:hint="cs"/>
          <w:rtl/>
        </w:rPr>
        <w:t>ن</w:t>
      </w:r>
      <w:r>
        <w:rPr>
          <w:rFonts w:hint="cs"/>
          <w:rtl/>
        </w:rPr>
        <w:t xml:space="preserve"> </w:t>
      </w:r>
      <w:r w:rsidR="00FA1D28">
        <w:rPr>
          <w:rFonts w:hint="cs"/>
          <w:rtl/>
        </w:rPr>
        <w:t>م</w:t>
      </w:r>
      <w:r>
        <w:rPr>
          <w:rFonts w:hint="cs"/>
          <w:rtl/>
        </w:rPr>
        <w:t>تاحا كي يوزع على الأطراف المتعاقدة في حصص متساوية.</w:t>
      </w:r>
    </w:p>
    <w:p w:rsidR="004929E9" w:rsidRDefault="004929E9" w:rsidP="000D3EA3">
      <w:pPr>
        <w:pStyle w:val="NumberedParaAR"/>
        <w:numPr>
          <w:ilvl w:val="0"/>
          <w:numId w:val="28"/>
        </w:numPr>
      </w:pPr>
      <w:r>
        <w:rPr>
          <w:rFonts w:hint="cs"/>
          <w:rtl/>
        </w:rPr>
        <w:t>ونود أن نحصل من الأمانة على تأكيد بأن اتحاد مدريد يمكن أن يبت في توزيع هذه الأموال على الأعضاء، عملا بأحكام المادة 8(4).</w:t>
      </w:r>
    </w:p>
    <w:p w:rsidR="004929E9" w:rsidRDefault="004929E9" w:rsidP="000D3EA3">
      <w:pPr>
        <w:pStyle w:val="NumberedParaAR"/>
        <w:numPr>
          <w:ilvl w:val="0"/>
          <w:numId w:val="28"/>
        </w:numPr>
      </w:pPr>
      <w:r>
        <w:rPr>
          <w:rFonts w:hint="cs"/>
          <w:rtl/>
        </w:rPr>
        <w:t>ونود أيضا الحصول على معلومات عما إن كان توزيع فائض اتحاد مدريد سيؤثر في تمويل أية أجزاء أخرى في المنظمة.</w:t>
      </w:r>
    </w:p>
    <w:p w:rsidR="004929E9" w:rsidRDefault="00A204D3" w:rsidP="000D3EA3">
      <w:pPr>
        <w:pStyle w:val="NumberedParaAR"/>
        <w:numPr>
          <w:ilvl w:val="0"/>
          <w:numId w:val="28"/>
        </w:numPr>
      </w:pPr>
      <w:r>
        <w:rPr>
          <w:rFonts w:hint="cs"/>
          <w:rtl/>
        </w:rPr>
        <w:t>ولقد أعددنا</w:t>
      </w:r>
      <w:r w:rsidR="00FA1D28">
        <w:rPr>
          <w:rFonts w:hint="cs"/>
          <w:rtl/>
        </w:rPr>
        <w:t>،</w:t>
      </w:r>
      <w:r>
        <w:rPr>
          <w:rFonts w:hint="cs"/>
          <w:rtl/>
        </w:rPr>
        <w:t xml:space="preserve"> من أجل محضر الاجتماع</w:t>
      </w:r>
      <w:r w:rsidR="00FA1D28">
        <w:rPr>
          <w:rFonts w:hint="cs"/>
          <w:rtl/>
        </w:rPr>
        <w:t>،</w:t>
      </w:r>
      <w:r>
        <w:rPr>
          <w:rFonts w:hint="cs"/>
          <w:rtl/>
        </w:rPr>
        <w:t xml:space="preserve"> جدولا يبين المبلغ المستحق لكل عضو من أعضاء </w:t>
      </w:r>
      <w:r w:rsidR="00FA1D28">
        <w:rPr>
          <w:rFonts w:hint="cs"/>
          <w:rtl/>
        </w:rPr>
        <w:t xml:space="preserve">اتحاد </w:t>
      </w:r>
      <w:r>
        <w:rPr>
          <w:rFonts w:hint="cs"/>
          <w:rtl/>
        </w:rPr>
        <w:t xml:space="preserve">مدريد، ومبلغ صندوق رأس المال العامل الذي اقترحت الأمانة أن ينظر فيه اتحاد لشبونة (في الوثيقة </w:t>
      </w:r>
      <w:r w:rsidRPr="00A204D3">
        <w:t>LI/A/32/4</w:t>
      </w:r>
      <w:r>
        <w:rPr>
          <w:rFonts w:hint="cs"/>
          <w:rtl/>
        </w:rPr>
        <w:t>)، وتوقعات لما إن كان يحق لأعضاء مدريد الحصول على الفائض الموزع، والحسابات المناسبة لكل عضو من أعضاء اتحاد لشبونة، ونلتمس إدراج هذا الجدول في محضر الاجتماع.</w:t>
      </w:r>
    </w:p>
    <w:p w:rsidR="00A204D3" w:rsidRDefault="00A204D3" w:rsidP="000D3EA3">
      <w:pPr>
        <w:pStyle w:val="NumberedParaAR"/>
        <w:numPr>
          <w:ilvl w:val="0"/>
          <w:numId w:val="28"/>
        </w:numPr>
      </w:pPr>
      <w:r>
        <w:rPr>
          <w:rFonts w:hint="cs"/>
          <w:rtl/>
        </w:rPr>
        <w:t xml:space="preserve">وخلاصة القول فإن السبب الأول الذي دفعنا إلى تقديم الوثيقة </w:t>
      </w:r>
      <w:r w:rsidRPr="00A204D3">
        <w:t>MM/A/49/4</w:t>
      </w:r>
      <w:r>
        <w:rPr>
          <w:rFonts w:hint="cs"/>
          <w:rtl/>
        </w:rPr>
        <w:t>، هو أن نقترح على الأمانة وقف ممارسة الاحتفاظ بالفائض لزيادة الأموال الاحتياطية، والعودة إلى توزيع هذا الفائض، على النحو المنصوص عليه في اتفاق مدريد وبروتوكوله.</w:t>
      </w:r>
    </w:p>
    <w:p w:rsidR="00A204D3" w:rsidRDefault="00A204D3" w:rsidP="000D3EA3">
      <w:pPr>
        <w:pStyle w:val="NumberedParaAR"/>
        <w:numPr>
          <w:ilvl w:val="0"/>
          <w:numId w:val="28"/>
        </w:numPr>
      </w:pPr>
      <w:r>
        <w:rPr>
          <w:rFonts w:hint="cs"/>
          <w:rtl/>
        </w:rPr>
        <w:t>أما السبب الثاني في تقديم هذا الاقتراح هو أننا نقر بأن اتحاد لشبونة يعاني من عجز وأنه يحتاج إلى صندوق رأس مال عامل، كما أننا نود التحلي بروح بناءة من أجل اعتماد وثيقة منقحة للبرنامج والميزانية تحتوي على ميزانية متوازنه لاتحاد لشبونة.</w:t>
      </w:r>
    </w:p>
    <w:p w:rsidR="00A204D3" w:rsidRDefault="00A204D3" w:rsidP="000D3EA3">
      <w:pPr>
        <w:pStyle w:val="NumberedParaAR"/>
        <w:numPr>
          <w:ilvl w:val="0"/>
          <w:numId w:val="28"/>
        </w:numPr>
      </w:pPr>
      <w:r>
        <w:rPr>
          <w:rFonts w:hint="cs"/>
          <w:rtl/>
        </w:rPr>
        <w:t>ويمكن أن يكون توزيع فائض اتحاد مدريد مفيدا لأعضاء اتحاد لشبونة الأطراف في اتفاقي مدريد ولشبونة على حد سواء.</w:t>
      </w:r>
    </w:p>
    <w:p w:rsidR="00A204D3" w:rsidRDefault="00A204D3" w:rsidP="000D3EA3">
      <w:pPr>
        <w:pStyle w:val="NumberedParaAR"/>
        <w:numPr>
          <w:ilvl w:val="0"/>
          <w:numId w:val="28"/>
        </w:numPr>
      </w:pPr>
      <w:r>
        <w:rPr>
          <w:rFonts w:hint="cs"/>
          <w:rtl/>
        </w:rPr>
        <w:t>وقد يرغب أعضاء اتحاد لشبونة الساعين إلى إيجاد حل لصندوق رأس المال العام</w:t>
      </w:r>
      <w:r w:rsidR="00FA1D28">
        <w:rPr>
          <w:rFonts w:hint="cs"/>
          <w:rtl/>
        </w:rPr>
        <w:t>ل</w:t>
      </w:r>
      <w:r>
        <w:rPr>
          <w:rFonts w:hint="cs"/>
          <w:rtl/>
        </w:rPr>
        <w:t xml:space="preserve"> المقترح لاتحاد لشبونة النظر في إمكانية إعادة توجيه الأموال الموزعة من فائض اتحاد مدريد على الأطراف المتعاقدة في نظامي مدريد ولشبونة على حد سواء لسداد اشتراكات اتحاد لشبونة.</w:t>
      </w:r>
    </w:p>
    <w:p w:rsidR="00A204D3" w:rsidRDefault="00A204D3" w:rsidP="000D3EA3">
      <w:pPr>
        <w:pStyle w:val="NumberedParaAR"/>
        <w:numPr>
          <w:ilvl w:val="0"/>
          <w:numId w:val="28"/>
        </w:numPr>
      </w:pPr>
      <w:r>
        <w:rPr>
          <w:rFonts w:hint="cs"/>
          <w:rtl/>
        </w:rPr>
        <w:t xml:space="preserve">فاتحاد لشبونة يعاني من عجز وليس لديه صندوق للأموال الاحتياطية. </w:t>
      </w:r>
      <w:r w:rsidR="00F03D29">
        <w:rPr>
          <w:rFonts w:hint="cs"/>
          <w:rtl/>
        </w:rPr>
        <w:t>وما رأيناه أن العادة قد جرت على سد عجز اتحاد لشبونة من الفائض الذي يحققه اتحادان آخران، ألا وهوما مدريد ومعاهدة التعاون بشأن البراءات.</w:t>
      </w:r>
    </w:p>
    <w:p w:rsidR="00F03D29" w:rsidRDefault="00F03D29" w:rsidP="00FA1D28">
      <w:pPr>
        <w:pStyle w:val="NumberedParaAR"/>
        <w:numPr>
          <w:ilvl w:val="0"/>
          <w:numId w:val="28"/>
        </w:numPr>
      </w:pPr>
      <w:r>
        <w:rPr>
          <w:rFonts w:hint="cs"/>
          <w:rtl/>
        </w:rPr>
        <w:lastRenderedPageBreak/>
        <w:t xml:space="preserve">ومع </w:t>
      </w:r>
      <w:r w:rsidR="00FA1D28">
        <w:rPr>
          <w:rFonts w:hint="cs"/>
          <w:rtl/>
        </w:rPr>
        <w:t xml:space="preserve">ذلك </w:t>
      </w:r>
      <w:r>
        <w:rPr>
          <w:rFonts w:hint="cs"/>
          <w:rtl/>
        </w:rPr>
        <w:t xml:space="preserve">فإن المادة </w:t>
      </w:r>
      <w:r w:rsidR="00FA1D28">
        <w:rPr>
          <w:rFonts w:hint="cs"/>
          <w:rtl/>
        </w:rPr>
        <w:t>8.4</w:t>
      </w:r>
      <w:r>
        <w:rPr>
          <w:rFonts w:hint="cs"/>
          <w:rtl/>
        </w:rPr>
        <w:t xml:space="preserve"> من اللائحة المالية تنص على ما يلي</w:t>
      </w:r>
      <w:r w:rsidR="00FA1D28">
        <w:rPr>
          <w:rFonts w:hint="cs"/>
          <w:rtl/>
        </w:rPr>
        <w:t>،</w:t>
      </w:r>
      <w:r>
        <w:rPr>
          <w:rFonts w:hint="cs"/>
          <w:rtl/>
        </w:rPr>
        <w:t xml:space="preserve"> إذا تبين وجود عجز مطول</w:t>
      </w:r>
      <w:r w:rsidR="00FA1D28">
        <w:rPr>
          <w:rFonts w:hint="cs"/>
          <w:rtl/>
        </w:rPr>
        <w:t>،</w:t>
      </w:r>
      <w:r>
        <w:rPr>
          <w:rFonts w:hint="cs"/>
          <w:rtl/>
        </w:rPr>
        <w:t xml:space="preserve"> "[...] </w:t>
      </w:r>
      <w:r>
        <w:rPr>
          <w:rtl/>
        </w:rPr>
        <w:t>تولت</w:t>
      </w:r>
      <w:r>
        <w:rPr>
          <w:rFonts w:hint="cs"/>
          <w:rtl/>
        </w:rPr>
        <w:t xml:space="preserve"> </w:t>
      </w:r>
      <w:r>
        <w:rPr>
          <w:rtl/>
        </w:rPr>
        <w:t>الجمعية العامة للويبو أو جَ</w:t>
      </w:r>
      <w:r w:rsidR="003D05C3">
        <w:rPr>
          <w:rFonts w:hint="cs"/>
          <w:rtl/>
        </w:rPr>
        <w:t>م</w:t>
      </w:r>
      <w:r>
        <w:rPr>
          <w:rtl/>
        </w:rPr>
        <w:t>عيات الاتحادات المعنية، حسب الحال، البت في التدابير الرامية إلى تصحيح الوضع المالي</w:t>
      </w:r>
      <w:r>
        <w:rPr>
          <w:rFonts w:hint="cs"/>
          <w:rtl/>
        </w:rPr>
        <w:t>".</w:t>
      </w:r>
    </w:p>
    <w:p w:rsidR="00F03D29" w:rsidRDefault="00F03D29" w:rsidP="00FA1D28">
      <w:pPr>
        <w:pStyle w:val="NumberedParaAR"/>
        <w:numPr>
          <w:ilvl w:val="0"/>
          <w:numId w:val="28"/>
        </w:numPr>
      </w:pPr>
      <w:r>
        <w:rPr>
          <w:rFonts w:hint="cs"/>
          <w:rtl/>
        </w:rPr>
        <w:t xml:space="preserve">ونظرا لأن اتحاد مدريد معني بالأمر، فيمكنه ألا يصرّح بمواصلة استخدام ما يحققه من فائض في الإيرادات </w:t>
      </w:r>
      <w:r w:rsidR="00FA1D28">
        <w:rPr>
          <w:rFonts w:hint="cs"/>
          <w:rtl/>
        </w:rPr>
        <w:t xml:space="preserve">بما يؤدي بأعضاء </w:t>
      </w:r>
      <w:r>
        <w:rPr>
          <w:rFonts w:hint="cs"/>
          <w:rtl/>
        </w:rPr>
        <w:t xml:space="preserve">اتحاد لشبونة </w:t>
      </w:r>
      <w:r w:rsidR="00FA1D28">
        <w:rPr>
          <w:rFonts w:hint="cs"/>
          <w:rtl/>
        </w:rPr>
        <w:t>إلى عدم تسوية مشاكل الاتحاد</w:t>
      </w:r>
      <w:r>
        <w:rPr>
          <w:rFonts w:hint="cs"/>
          <w:rtl/>
        </w:rPr>
        <w:t xml:space="preserve"> المالية، بل</w:t>
      </w:r>
      <w:r w:rsidR="00FA1D28">
        <w:rPr>
          <w:rFonts w:hint="cs"/>
          <w:rtl/>
        </w:rPr>
        <w:t xml:space="preserve"> يمكن أن يصرح</w:t>
      </w:r>
      <w:r>
        <w:rPr>
          <w:rFonts w:hint="cs"/>
          <w:rtl/>
        </w:rPr>
        <w:t xml:space="preserve"> بإعادتها، بحسب ما ينص عليه الاتفاق نفسه، إلى الأطراف المتعاقدة.</w:t>
      </w:r>
    </w:p>
    <w:p w:rsidR="00F03D29" w:rsidRDefault="00F03D29" w:rsidP="000D3EA3">
      <w:pPr>
        <w:pStyle w:val="NumberedParaAR"/>
        <w:numPr>
          <w:ilvl w:val="0"/>
          <w:numId w:val="28"/>
        </w:numPr>
      </w:pPr>
      <w:r>
        <w:rPr>
          <w:rFonts w:hint="cs"/>
          <w:rtl/>
        </w:rPr>
        <w:t>ويمكن للاتحاد أيضا البت في اتخاذ تدابير ترمي إلى المساعدة على تسوية الوضع المالي بالاتفاق على توزيع الفائض على أعضاء اتفاق مدريد وبروتوكوله، وخصم أية اشتراكات مستحقة لاتفاق لشبونة من حصة كل عضو.</w:t>
      </w:r>
    </w:p>
    <w:p w:rsidR="00F03D29" w:rsidRDefault="00F03D29" w:rsidP="000D3EA3">
      <w:pPr>
        <w:pStyle w:val="NumberedParaAR"/>
        <w:numPr>
          <w:ilvl w:val="0"/>
          <w:numId w:val="28"/>
        </w:numPr>
      </w:pPr>
      <w:r>
        <w:rPr>
          <w:rFonts w:hint="cs"/>
          <w:rtl/>
        </w:rPr>
        <w:t>ونحن نطلب من جمعية</w:t>
      </w:r>
      <w:r w:rsidR="00FA1D28">
        <w:rPr>
          <w:rFonts w:hint="cs"/>
          <w:rtl/>
        </w:rPr>
        <w:t xml:space="preserve"> اتحاد</w:t>
      </w:r>
      <w:r>
        <w:rPr>
          <w:rFonts w:hint="cs"/>
          <w:rtl/>
        </w:rPr>
        <w:t xml:space="preserve"> مدريد اتخاذ قرار من أجل</w:t>
      </w:r>
      <w:r w:rsidR="00FA1D28">
        <w:rPr>
          <w:rFonts w:hint="cs"/>
          <w:rtl/>
        </w:rPr>
        <w:t>:</w:t>
      </w:r>
    </w:p>
    <w:p w:rsidR="00F03D29" w:rsidRDefault="00F03D29" w:rsidP="000D3EA3">
      <w:pPr>
        <w:pStyle w:val="NumberedParaAR"/>
        <w:numPr>
          <w:ilvl w:val="1"/>
          <w:numId w:val="28"/>
        </w:numPr>
      </w:pPr>
      <w:r>
        <w:rPr>
          <w:rFonts w:hint="cs"/>
          <w:rtl/>
        </w:rPr>
        <w:t xml:space="preserve">تذكير سائر الاتحادات بضرورة الحصول على موافقتها قبل </w:t>
      </w:r>
      <w:r w:rsidR="007D074D">
        <w:rPr>
          <w:rFonts w:hint="cs"/>
          <w:rtl/>
        </w:rPr>
        <w:t>أن يلزم اتحاد تسجيل آخر تموله الروسم اتحاد مدريد بأن يغطي بدخله المتأتي من الرسوم نفقات اتحاد آخر منخفض الأداء.</w:t>
      </w:r>
    </w:p>
    <w:p w:rsidR="007D074D" w:rsidRDefault="007D074D" w:rsidP="000D3EA3">
      <w:pPr>
        <w:pStyle w:val="NumberedParaAR"/>
        <w:numPr>
          <w:ilvl w:val="1"/>
          <w:numId w:val="28"/>
        </w:numPr>
      </w:pPr>
      <w:r>
        <w:rPr>
          <w:rFonts w:hint="cs"/>
          <w:rtl/>
        </w:rPr>
        <w:t>الإلزام بتوزيع الأموال الاحتياطية التي تتجاوز المبالغ المنشودة من صندوق رأس المال العامل للأموال الاحتياطية على الأطراف المتعاقدة في اتفاق مدريد وبروتوكوله، بموجب الاتفاقية.</w:t>
      </w:r>
    </w:p>
    <w:p w:rsidR="007D074D" w:rsidRDefault="007D074D" w:rsidP="00FA1D28">
      <w:pPr>
        <w:pStyle w:val="NumberedParaAR"/>
        <w:numPr>
          <w:ilvl w:val="1"/>
          <w:numId w:val="28"/>
        </w:numPr>
      </w:pPr>
      <w:r>
        <w:rPr>
          <w:rFonts w:hint="cs"/>
          <w:rtl/>
        </w:rPr>
        <w:t>وفي هذا الصدد، نشير إلى أن بعض الأطراف المتعاقدة في اتحاد مدريد متأخر</w:t>
      </w:r>
      <w:r w:rsidR="00FA1D28">
        <w:rPr>
          <w:rFonts w:hint="cs"/>
          <w:rtl/>
        </w:rPr>
        <w:t>ة قليلا عن سداد اشتراكاتها، و</w:t>
      </w:r>
      <w:r>
        <w:rPr>
          <w:rFonts w:hint="cs"/>
          <w:rtl/>
        </w:rPr>
        <w:t>نلتمس استخدام الأموال الموزعة من الفائض أولا لتمويل أية اشتراكات مستحقة على أعضاء اتحاد مدريد.</w:t>
      </w:r>
    </w:p>
    <w:p w:rsidR="007D074D" w:rsidRDefault="007D074D" w:rsidP="00FA1D28">
      <w:pPr>
        <w:pStyle w:val="NumberedParaAR"/>
        <w:numPr>
          <w:ilvl w:val="1"/>
          <w:numId w:val="28"/>
        </w:numPr>
      </w:pPr>
      <w:r>
        <w:rPr>
          <w:rFonts w:hint="cs"/>
          <w:rtl/>
        </w:rPr>
        <w:t xml:space="preserve">ونقر ثانيا بأن أعضاء اتحاد لشبونة ينظرون في إنشاء صندوق رأس مال عامل. ونقترح بأن تستخدم الحصة الموزعة من الفائض على أي عضو في اتحاد مدريد يكون عضوا أيضا في اتحاد لشبونة، لصندوق رأس المال العامل لاتحاد لشبونة. </w:t>
      </w:r>
      <w:r w:rsidR="00FA1D28">
        <w:rPr>
          <w:rFonts w:hint="cs"/>
          <w:rtl/>
        </w:rPr>
        <w:t>و</w:t>
      </w:r>
      <w:r>
        <w:rPr>
          <w:rFonts w:hint="cs"/>
          <w:rtl/>
        </w:rPr>
        <w:t>نفهم أن تحويل هذه الأموال سيساعد صندوق رأس المال العامل المذكور على تحقيق انطلاقة جيدة، ومساعدة اتحاد لشبونة على سد عجزه.</w:t>
      </w:r>
    </w:p>
    <w:p w:rsidR="007D074D" w:rsidRDefault="007D074D" w:rsidP="000D3EA3">
      <w:pPr>
        <w:pStyle w:val="NumberedParaAR"/>
        <w:numPr>
          <w:ilvl w:val="0"/>
          <w:numId w:val="28"/>
        </w:numPr>
        <w:rPr>
          <w:rtl/>
        </w:rPr>
      </w:pPr>
      <w:r>
        <w:rPr>
          <w:rFonts w:hint="cs"/>
          <w:rtl/>
        </w:rPr>
        <w:t>وشكرا سيدي الرئيس.</w:t>
      </w:r>
    </w:p>
    <w:p w:rsidR="005E0ACD" w:rsidRDefault="005E0ACD" w:rsidP="007833A4">
      <w:pPr>
        <w:pStyle w:val="NumberedParaAR"/>
        <w:numPr>
          <w:ilvl w:val="0"/>
          <w:numId w:val="0"/>
        </w:numPr>
        <w:rPr>
          <w:rtl/>
        </w:rPr>
      </w:pPr>
    </w:p>
    <w:p w:rsidR="00CE7678" w:rsidRDefault="00CE7678" w:rsidP="007833A4">
      <w:pPr>
        <w:pStyle w:val="NumberedParaAR"/>
        <w:numPr>
          <w:ilvl w:val="0"/>
          <w:numId w:val="0"/>
        </w:numPr>
        <w:rPr>
          <w:rtl/>
        </w:rPr>
        <w:sectPr w:rsidR="00CE7678" w:rsidSect="000D3EA3">
          <w:headerReference w:type="default" r:id="rId12"/>
          <w:headerReference w:type="first" r:id="rId13"/>
          <w:footerReference w:type="first" r:id="rId14"/>
          <w:pgSz w:w="11907" w:h="16840" w:code="9"/>
          <w:pgMar w:top="567" w:right="1418" w:bottom="1418" w:left="1134" w:header="510" w:footer="1021" w:gutter="0"/>
          <w:pgNumType w:start="1"/>
          <w:cols w:space="720"/>
          <w:titlePg/>
          <w:docGrid w:linePitch="299"/>
        </w:sectPr>
      </w:pPr>
    </w:p>
    <w:p w:rsidR="005E0ACD" w:rsidRDefault="00B524F2" w:rsidP="00B524F2">
      <w:pPr>
        <w:pStyle w:val="NumberedParaAR"/>
        <w:numPr>
          <w:ilvl w:val="0"/>
          <w:numId w:val="0"/>
        </w:numPr>
        <w:jc w:val="center"/>
        <w:rPr>
          <w:rtl/>
        </w:rPr>
      </w:pPr>
      <w:r w:rsidRPr="00B524F2">
        <w:rPr>
          <w:rtl/>
        </w:rPr>
        <w:lastRenderedPageBreak/>
        <w:t>جدول يبيّن التوزيع المقدّر للفائض على أعضاء اتحاد مدريد</w:t>
      </w:r>
      <w:r>
        <w:rPr>
          <w:rFonts w:hint="cs"/>
          <w:rtl/>
        </w:rPr>
        <w:br/>
      </w:r>
      <w:r w:rsidRPr="00B524F2">
        <w:rPr>
          <w:rtl/>
        </w:rPr>
        <w:t>والاشتراكات المطلوبة بموجب اتفاق لشبونة (في حال لم تغط الرسوم المحصّلة بناء على اتفاق لشبونة المصروفات المتكبّدة بناء على ذلك الاتفاق)</w:t>
      </w:r>
    </w:p>
    <w:tbl>
      <w:tblPr>
        <w:bidiVisual/>
        <w:tblW w:w="14445" w:type="dxa"/>
        <w:tblInd w:w="93" w:type="dxa"/>
        <w:tblLook w:val="04A0" w:firstRow="1" w:lastRow="0" w:firstColumn="1" w:lastColumn="0" w:noHBand="0" w:noVBand="1"/>
      </w:tblPr>
      <w:tblGrid>
        <w:gridCol w:w="2821"/>
        <w:gridCol w:w="1418"/>
        <w:gridCol w:w="1701"/>
        <w:gridCol w:w="1276"/>
        <w:gridCol w:w="1559"/>
        <w:gridCol w:w="1701"/>
        <w:gridCol w:w="2126"/>
        <w:gridCol w:w="1843"/>
      </w:tblGrid>
      <w:tr w:rsidR="00B524F2" w:rsidRPr="00B524F2" w:rsidTr="00DC3415">
        <w:trPr>
          <w:trHeight w:val="1438"/>
          <w:tblHeader/>
        </w:trPr>
        <w:tc>
          <w:tcPr>
            <w:tcW w:w="2821" w:type="dxa"/>
            <w:tcBorders>
              <w:top w:val="single" w:sz="4" w:space="0" w:color="auto"/>
              <w:left w:val="single" w:sz="4" w:space="0" w:color="auto"/>
              <w:bottom w:val="single" w:sz="4" w:space="0" w:color="auto"/>
              <w:right w:val="nil"/>
            </w:tcBorders>
            <w:shd w:val="clear" w:color="000000" w:fill="99FF66"/>
            <w:vAlign w:val="center"/>
            <w:hideMark/>
          </w:tcPr>
          <w:p w:rsidR="00B524F2" w:rsidRPr="00B524F2" w:rsidRDefault="00B524F2" w:rsidP="00B524F2">
            <w:pPr>
              <w:bidi/>
              <w:jc w:val="center"/>
              <w:rPr>
                <w:color w:val="000000"/>
                <w:szCs w:val="22"/>
              </w:rPr>
            </w:pPr>
            <w:bookmarkStart w:id="3" w:name="RANGE!A1:H105"/>
            <w:r w:rsidRPr="00B524F2">
              <w:rPr>
                <w:color w:val="000000"/>
                <w:szCs w:val="22"/>
                <w:rtl/>
              </w:rPr>
              <w:t>البلد أو المنظمة الحكومية الدولية</w:t>
            </w:r>
            <w:bookmarkEnd w:id="3"/>
          </w:p>
        </w:tc>
        <w:tc>
          <w:tcPr>
            <w:tcW w:w="1418" w:type="dxa"/>
            <w:tcBorders>
              <w:top w:val="single" w:sz="4" w:space="0" w:color="auto"/>
              <w:left w:val="single" w:sz="4" w:space="0" w:color="auto"/>
              <w:bottom w:val="single" w:sz="4" w:space="0" w:color="auto"/>
              <w:right w:val="single" w:sz="4" w:space="0" w:color="auto"/>
            </w:tcBorders>
            <w:shd w:val="clear" w:color="000000" w:fill="B1A0C7"/>
            <w:vAlign w:val="center"/>
            <w:hideMark/>
          </w:tcPr>
          <w:p w:rsidR="00B524F2" w:rsidRPr="00B524F2" w:rsidRDefault="00B524F2" w:rsidP="00B524F2">
            <w:pPr>
              <w:bidi/>
              <w:jc w:val="center"/>
              <w:rPr>
                <w:color w:val="000000"/>
                <w:szCs w:val="22"/>
              </w:rPr>
            </w:pPr>
            <w:r w:rsidRPr="00B524F2">
              <w:rPr>
                <w:color w:val="000000"/>
                <w:szCs w:val="22"/>
                <w:rtl/>
              </w:rPr>
              <w:t>عضو في اتحاد مدريد؟</w:t>
            </w:r>
          </w:p>
        </w:tc>
        <w:tc>
          <w:tcPr>
            <w:tcW w:w="1701" w:type="dxa"/>
            <w:tcBorders>
              <w:top w:val="single" w:sz="4" w:space="0" w:color="auto"/>
              <w:left w:val="single" w:sz="4" w:space="0" w:color="auto"/>
              <w:bottom w:val="single" w:sz="4" w:space="0" w:color="auto"/>
              <w:right w:val="single" w:sz="4" w:space="0" w:color="auto"/>
            </w:tcBorders>
            <w:shd w:val="clear" w:color="000000" w:fill="B1A0C7"/>
            <w:vAlign w:val="center"/>
            <w:hideMark/>
          </w:tcPr>
          <w:p w:rsidR="00B524F2" w:rsidRPr="00B524F2" w:rsidRDefault="00B524F2" w:rsidP="00B524F2">
            <w:pPr>
              <w:bidi/>
              <w:jc w:val="center"/>
              <w:rPr>
                <w:color w:val="000000"/>
                <w:szCs w:val="22"/>
              </w:rPr>
            </w:pPr>
            <w:r w:rsidRPr="00B524F2">
              <w:rPr>
                <w:color w:val="000000"/>
                <w:szCs w:val="22"/>
                <w:rtl/>
              </w:rPr>
              <w:t>الحصة من فائض اتحاد مدريد بموجب المادة 8(4) (مقدّرة)</w:t>
            </w:r>
          </w:p>
        </w:tc>
        <w:tc>
          <w:tcPr>
            <w:tcW w:w="1276" w:type="dxa"/>
            <w:tcBorders>
              <w:top w:val="single" w:sz="4" w:space="0" w:color="auto"/>
              <w:left w:val="single" w:sz="4" w:space="0" w:color="auto"/>
              <w:bottom w:val="single" w:sz="4" w:space="0" w:color="auto"/>
              <w:right w:val="single" w:sz="4" w:space="0" w:color="auto"/>
            </w:tcBorders>
            <w:shd w:val="clear" w:color="000000" w:fill="B1A0C7"/>
            <w:vAlign w:val="center"/>
            <w:hideMark/>
          </w:tcPr>
          <w:p w:rsidR="00B524F2" w:rsidRPr="00B524F2" w:rsidRDefault="00B524F2" w:rsidP="00B524F2">
            <w:pPr>
              <w:bidi/>
              <w:jc w:val="center"/>
              <w:rPr>
                <w:color w:val="000000"/>
                <w:szCs w:val="22"/>
              </w:rPr>
            </w:pPr>
            <w:r w:rsidRPr="00B524F2">
              <w:rPr>
                <w:color w:val="000000"/>
                <w:szCs w:val="22"/>
                <w:rtl/>
              </w:rPr>
              <w:t>عضو في اتحاد لشبونة؟</w:t>
            </w:r>
          </w:p>
        </w:tc>
        <w:tc>
          <w:tcPr>
            <w:tcW w:w="1559" w:type="dxa"/>
            <w:tcBorders>
              <w:top w:val="single" w:sz="4" w:space="0" w:color="auto"/>
              <w:left w:val="single" w:sz="4" w:space="0" w:color="auto"/>
              <w:bottom w:val="single" w:sz="4" w:space="0" w:color="auto"/>
              <w:right w:val="single" w:sz="4" w:space="0" w:color="auto"/>
            </w:tcBorders>
            <w:shd w:val="clear" w:color="000000" w:fill="B1A0C7"/>
            <w:vAlign w:val="center"/>
            <w:hideMark/>
          </w:tcPr>
          <w:p w:rsidR="00B524F2" w:rsidRPr="00B524F2" w:rsidRDefault="00B524F2" w:rsidP="00B524F2">
            <w:pPr>
              <w:bidi/>
              <w:jc w:val="center"/>
              <w:rPr>
                <w:color w:val="000000"/>
                <w:szCs w:val="22"/>
              </w:rPr>
            </w:pPr>
            <w:r w:rsidRPr="00B524F2">
              <w:rPr>
                <w:color w:val="000000"/>
                <w:szCs w:val="22"/>
                <w:rtl/>
              </w:rPr>
              <w:t>إذا عضو في اتحاد لشبونة، الفئة المحدّدة في اتفاقية باريس</w:t>
            </w:r>
          </w:p>
        </w:tc>
        <w:tc>
          <w:tcPr>
            <w:tcW w:w="1701" w:type="dxa"/>
            <w:tcBorders>
              <w:top w:val="single" w:sz="4" w:space="0" w:color="auto"/>
              <w:left w:val="single" w:sz="4" w:space="0" w:color="auto"/>
              <w:bottom w:val="single" w:sz="4" w:space="0" w:color="auto"/>
              <w:right w:val="single" w:sz="4" w:space="0" w:color="auto"/>
            </w:tcBorders>
            <w:shd w:val="clear" w:color="000000" w:fill="B1A0C7"/>
            <w:vAlign w:val="center"/>
            <w:hideMark/>
          </w:tcPr>
          <w:p w:rsidR="00B524F2" w:rsidRPr="00B524F2" w:rsidRDefault="00B524F2" w:rsidP="00B524F2">
            <w:pPr>
              <w:bidi/>
              <w:jc w:val="center"/>
              <w:rPr>
                <w:color w:val="000000"/>
                <w:szCs w:val="22"/>
              </w:rPr>
            </w:pPr>
            <w:r w:rsidRPr="00B524F2">
              <w:rPr>
                <w:color w:val="000000"/>
                <w:szCs w:val="22"/>
                <w:rtl/>
              </w:rPr>
              <w:t>إذا عضو في اتحاد لشبونة، الوحدة المحدّدة في اتفاقية باريس</w:t>
            </w:r>
          </w:p>
        </w:tc>
        <w:tc>
          <w:tcPr>
            <w:tcW w:w="2126" w:type="dxa"/>
            <w:tcBorders>
              <w:top w:val="single" w:sz="4" w:space="0" w:color="auto"/>
              <w:left w:val="single" w:sz="4" w:space="0" w:color="auto"/>
              <w:bottom w:val="single" w:sz="4" w:space="0" w:color="auto"/>
              <w:right w:val="single" w:sz="4" w:space="0" w:color="auto"/>
            </w:tcBorders>
            <w:shd w:val="clear" w:color="000000" w:fill="B1A0C7"/>
            <w:vAlign w:val="center"/>
            <w:hideMark/>
          </w:tcPr>
          <w:p w:rsidR="00B524F2" w:rsidRPr="00B524F2" w:rsidRDefault="00B524F2" w:rsidP="00B524F2">
            <w:pPr>
              <w:bidi/>
              <w:jc w:val="center"/>
              <w:rPr>
                <w:b/>
                <w:bCs/>
                <w:i/>
                <w:iCs/>
                <w:color w:val="000000"/>
                <w:sz w:val="20"/>
              </w:rPr>
            </w:pPr>
            <w:r w:rsidRPr="00B524F2">
              <w:rPr>
                <w:b/>
                <w:bCs/>
                <w:i/>
                <w:iCs/>
                <w:color w:val="000000"/>
                <w:sz w:val="20"/>
                <w:rtl/>
              </w:rPr>
              <w:t xml:space="preserve">مخصصات صندوق رأس المال العامل لاتحاد لشبونة بمقتضى المادة 11(3)"5" من اتفاق لشبونة (مقتطفة من الوثيقة </w:t>
            </w:r>
            <w:r w:rsidRPr="00B524F2">
              <w:rPr>
                <w:b/>
                <w:bCs/>
                <w:i/>
                <w:iCs/>
                <w:color w:val="000000"/>
                <w:sz w:val="20"/>
              </w:rPr>
              <w:t>LI/A/32/4</w:t>
            </w:r>
            <w:r w:rsidRPr="00B524F2">
              <w:rPr>
                <w:b/>
                <w:bCs/>
                <w:i/>
                <w:iCs/>
                <w:color w:val="000000"/>
                <w:sz w:val="20"/>
                <w:rtl/>
              </w:rPr>
              <w:t>)</w:t>
            </w:r>
          </w:p>
        </w:tc>
        <w:tc>
          <w:tcPr>
            <w:tcW w:w="1843" w:type="dxa"/>
            <w:tcBorders>
              <w:top w:val="single" w:sz="4" w:space="0" w:color="auto"/>
              <w:left w:val="single" w:sz="4" w:space="0" w:color="auto"/>
              <w:bottom w:val="single" w:sz="4" w:space="0" w:color="auto"/>
              <w:right w:val="single" w:sz="4" w:space="0" w:color="auto"/>
            </w:tcBorders>
            <w:shd w:val="clear" w:color="000000" w:fill="B1A0C7"/>
            <w:vAlign w:val="center"/>
            <w:hideMark/>
          </w:tcPr>
          <w:p w:rsidR="00B524F2" w:rsidRPr="00B524F2" w:rsidRDefault="00B524F2" w:rsidP="00B524F2">
            <w:pPr>
              <w:bidi/>
              <w:jc w:val="center"/>
              <w:rPr>
                <w:b/>
                <w:bCs/>
                <w:i/>
                <w:iCs/>
                <w:color w:val="000000"/>
                <w:sz w:val="20"/>
              </w:rPr>
            </w:pPr>
            <w:r w:rsidRPr="00B524F2">
              <w:rPr>
                <w:b/>
                <w:bCs/>
                <w:i/>
                <w:iCs/>
                <w:color w:val="000000"/>
                <w:sz w:val="20"/>
                <w:rtl/>
              </w:rPr>
              <w:t>فائض اتحاد مدريد الموزّع ناقص احتياطي اتحاد لشبونة</w:t>
            </w:r>
          </w:p>
        </w:tc>
      </w:tr>
      <w:tr w:rsidR="00B524F2" w:rsidRPr="00B524F2" w:rsidTr="00B524F2">
        <w:trPr>
          <w:trHeight w:val="300"/>
        </w:trPr>
        <w:tc>
          <w:tcPr>
            <w:tcW w:w="2821" w:type="dxa"/>
            <w:tcBorders>
              <w:top w:val="single" w:sz="4" w:space="0" w:color="auto"/>
              <w:left w:val="single" w:sz="4" w:space="0" w:color="auto"/>
              <w:bottom w:val="single" w:sz="4" w:space="0" w:color="auto"/>
              <w:right w:val="single" w:sz="4" w:space="0" w:color="auto"/>
            </w:tcBorders>
            <w:shd w:val="clear" w:color="000000" w:fill="99FF66"/>
            <w:vAlign w:val="center"/>
            <w:hideMark/>
          </w:tcPr>
          <w:p w:rsidR="00B524F2" w:rsidRPr="00B524F2" w:rsidRDefault="00B524F2" w:rsidP="00DC3415">
            <w:pPr>
              <w:bidi/>
              <w:jc w:val="center"/>
              <w:rPr>
                <w:color w:val="3B3B3B"/>
                <w:szCs w:val="22"/>
              </w:rPr>
            </w:pPr>
            <w:r w:rsidRPr="00B524F2">
              <w:rPr>
                <w:color w:val="3B3B3B"/>
                <w:szCs w:val="22"/>
                <w:rtl/>
              </w:rPr>
              <w:t>المنظمة الأفريق</w:t>
            </w:r>
            <w:r>
              <w:rPr>
                <w:rFonts w:hint="cs"/>
                <w:color w:val="3B3B3B"/>
                <w:szCs w:val="22"/>
                <w:rtl/>
              </w:rPr>
              <w:t>ي</w:t>
            </w:r>
            <w:r w:rsidRPr="00B524F2">
              <w:rPr>
                <w:color w:val="3B3B3B"/>
                <w:szCs w:val="22"/>
                <w:rtl/>
              </w:rPr>
              <w:t>ة</w:t>
            </w:r>
            <w:r w:rsidR="00DC3415">
              <w:rPr>
                <w:rFonts w:hint="cs"/>
                <w:color w:val="3B3B3B"/>
                <w:szCs w:val="22"/>
                <w:rtl/>
              </w:rPr>
              <w:br/>
            </w:r>
            <w:r w:rsidRPr="00B524F2">
              <w:rPr>
                <w:color w:val="3B3B3B"/>
                <w:szCs w:val="22"/>
                <w:rtl/>
              </w:rPr>
              <w:t>للملكية الفكرية</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ألبانيا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الجزائر</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color w:val="000000"/>
                <w:sz w:val="18"/>
                <w:szCs w:val="18"/>
              </w:rPr>
            </w:pPr>
            <w:r w:rsidRPr="00B524F2">
              <w:rPr>
                <w:color w:val="000000"/>
                <w:sz w:val="18"/>
                <w:szCs w:val="18"/>
                <w:rtl/>
              </w:rPr>
              <w:t>نعم</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6935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143065</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أنتيغوا وبربودا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أرمينيا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Pr>
                <w:rFonts w:hint="cs"/>
                <w:color w:val="3B3B3B"/>
                <w:szCs w:val="22"/>
                <w:rtl/>
              </w:rPr>
              <w:t>أ</w:t>
            </w:r>
            <w:r w:rsidRPr="00B524F2">
              <w:rPr>
                <w:color w:val="3B3B3B"/>
                <w:szCs w:val="22"/>
                <w:rtl/>
              </w:rPr>
              <w:t>ستراليا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النمسا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أذربيجان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البحرين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بيلاروس</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بلجيكا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بوتان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البوسنة والهرسك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color w:val="000000"/>
                <w:sz w:val="18"/>
                <w:szCs w:val="18"/>
              </w:rPr>
            </w:pPr>
            <w:r w:rsidRPr="00B524F2">
              <w:rPr>
                <w:color w:val="000000"/>
                <w:sz w:val="18"/>
                <w:szCs w:val="18"/>
                <w:rtl/>
              </w:rPr>
              <w:t>خاء(ثانيا)</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0.0625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1734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148266</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بوتسوانا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بلغاريا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color w:val="000000"/>
                <w:sz w:val="18"/>
                <w:szCs w:val="18"/>
              </w:rPr>
            </w:pPr>
            <w:r w:rsidRPr="00B524F2">
              <w:rPr>
                <w:color w:val="000000"/>
                <w:sz w:val="18"/>
                <w:szCs w:val="18"/>
                <w:rtl/>
              </w:rPr>
              <w:t>6(ثانيا)</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55483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94517</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000000"/>
                <w:szCs w:val="22"/>
              </w:rPr>
            </w:pPr>
            <w:r w:rsidRPr="00B524F2">
              <w:rPr>
                <w:color w:val="000000"/>
                <w:szCs w:val="22"/>
                <w:rtl/>
              </w:rPr>
              <w:t>بوركينا فاسو</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rFonts w:ascii="Calibri" w:hAnsi="Calibri" w:cs="Times New Roman"/>
                <w:color w:val="000000"/>
                <w:szCs w:val="22"/>
              </w:rPr>
            </w:pPr>
            <w:r w:rsidRPr="00B524F2">
              <w:rPr>
                <w:rFonts w:ascii="Calibri" w:hAnsi="Calibri" w:cs="Times New Roman"/>
                <w:color w:val="000000"/>
                <w:szCs w:val="22"/>
                <w:rtl/>
              </w:rPr>
              <w:t>لا ينطبق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color w:val="000000"/>
                <w:sz w:val="18"/>
                <w:szCs w:val="18"/>
              </w:rPr>
            </w:pPr>
            <w:r w:rsidRPr="00B524F2">
              <w:rPr>
                <w:color w:val="000000"/>
                <w:sz w:val="18"/>
                <w:szCs w:val="18"/>
                <w:rtl/>
              </w:rPr>
              <w:t>خاء(ثالثا)</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0.03125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867</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-867</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كمبوديا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color w:val="000000"/>
                <w:sz w:val="18"/>
                <w:szCs w:val="18"/>
              </w:rPr>
            </w:pPr>
            <w:r w:rsidRPr="00B524F2">
              <w:rPr>
                <w:color w:val="000000"/>
                <w:sz w:val="18"/>
                <w:szCs w:val="18"/>
                <w:rtl/>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الصين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color w:val="000000"/>
                <w:sz w:val="18"/>
                <w:szCs w:val="18"/>
              </w:rPr>
            </w:pPr>
            <w:r w:rsidRPr="00B524F2">
              <w:rPr>
                <w:color w:val="000000"/>
                <w:sz w:val="18"/>
                <w:szCs w:val="18"/>
                <w:rtl/>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كولومبيا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color w:val="000000"/>
                <w:sz w:val="18"/>
                <w:szCs w:val="18"/>
              </w:rPr>
            </w:pPr>
            <w:r w:rsidRPr="00B524F2">
              <w:rPr>
                <w:color w:val="000000"/>
                <w:sz w:val="18"/>
                <w:szCs w:val="18"/>
                <w:rtl/>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000000"/>
                <w:szCs w:val="22"/>
              </w:rPr>
            </w:pPr>
            <w:r w:rsidRPr="00B524F2">
              <w:rPr>
                <w:color w:val="000000"/>
                <w:szCs w:val="22"/>
                <w:rtl/>
              </w:rPr>
              <w:lastRenderedPageBreak/>
              <w:t>الكونغو</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rFonts w:ascii="Calibri" w:hAnsi="Calibri" w:cs="Times New Roman"/>
                <w:color w:val="000000"/>
                <w:szCs w:val="22"/>
              </w:rPr>
            </w:pPr>
            <w:r w:rsidRPr="00B524F2">
              <w:rPr>
                <w:rFonts w:ascii="Calibri" w:hAnsi="Calibri" w:cs="Times New Roman"/>
                <w:color w:val="000000"/>
                <w:szCs w:val="22"/>
                <w:rtl/>
              </w:rPr>
              <w:t>لا ينطبق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B524F2" w:rsidRPr="00B524F2" w:rsidRDefault="00B524F2" w:rsidP="00B524F2">
            <w:pPr>
              <w:bidi/>
              <w:jc w:val="center"/>
              <w:rPr>
                <w:color w:val="000000"/>
                <w:sz w:val="18"/>
                <w:szCs w:val="18"/>
              </w:rPr>
            </w:pPr>
            <w:r w:rsidRPr="00B524F2">
              <w:rPr>
                <w:color w:val="000000"/>
                <w:sz w:val="18"/>
                <w:szCs w:val="18"/>
                <w:rtl/>
              </w:rPr>
              <w:t>خاء(ثانيا)</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0.0625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1734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-1734</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DC3415">
            <w:pPr>
              <w:keepNext/>
              <w:bidi/>
              <w:jc w:val="center"/>
              <w:rPr>
                <w:color w:val="000000"/>
                <w:szCs w:val="22"/>
              </w:rPr>
            </w:pPr>
            <w:r w:rsidRPr="00B524F2">
              <w:rPr>
                <w:color w:val="000000"/>
                <w:szCs w:val="22"/>
                <w:rtl/>
              </w:rPr>
              <w:t>كوستاريكا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3B3B3B"/>
                <w:szCs w:val="22"/>
              </w:rPr>
            </w:pPr>
            <w:r w:rsidRPr="00B524F2">
              <w:rPr>
                <w:color w:val="3B3B3B"/>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bidi/>
              <w:jc w:val="center"/>
              <w:rPr>
                <w:rFonts w:ascii="Calibri" w:hAnsi="Calibri" w:cs="Times New Roman"/>
                <w:color w:val="000000"/>
                <w:szCs w:val="22"/>
              </w:rPr>
            </w:pPr>
            <w:r w:rsidRPr="00B524F2">
              <w:rPr>
                <w:rFonts w:ascii="Calibri" w:hAnsi="Calibri" w:cs="Times New Roman"/>
                <w:color w:val="000000"/>
                <w:szCs w:val="22"/>
                <w:rtl/>
              </w:rPr>
              <w:t>لا ينطبق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000000"/>
                <w:sz w:val="18"/>
                <w:szCs w:val="18"/>
              </w:rPr>
            </w:pPr>
            <w:r w:rsidRPr="00B524F2">
              <w:rPr>
                <w:color w:val="000000"/>
                <w:sz w:val="18"/>
                <w:szCs w:val="18"/>
              </w:rPr>
              <w:t>X</w:t>
            </w:r>
          </w:p>
        </w:tc>
        <w:tc>
          <w:tcPr>
            <w:tcW w:w="1559" w:type="dxa"/>
            <w:tcBorders>
              <w:top w:val="single" w:sz="4" w:space="0" w:color="auto"/>
              <w:left w:val="nil"/>
              <w:bottom w:val="single" w:sz="4" w:space="0" w:color="auto"/>
              <w:right w:val="nil"/>
            </w:tcBorders>
            <w:shd w:val="clear" w:color="auto" w:fill="auto"/>
            <w:noWrap/>
            <w:vAlign w:val="bottom"/>
            <w:hideMark/>
          </w:tcPr>
          <w:p w:rsidR="00B524F2" w:rsidRPr="00B524F2" w:rsidRDefault="00B524F2" w:rsidP="00DC3415">
            <w:pPr>
              <w:keepNext/>
              <w:bidi/>
              <w:jc w:val="center"/>
              <w:rPr>
                <w:color w:val="000000"/>
                <w:sz w:val="18"/>
                <w:szCs w:val="18"/>
              </w:rPr>
            </w:pPr>
            <w:r w:rsidRPr="00B524F2">
              <w:rPr>
                <w:color w:val="000000"/>
                <w:sz w:val="18"/>
                <w:szCs w:val="18"/>
                <w:rtl/>
              </w:rPr>
              <w:t>خاء</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000000"/>
                <w:sz w:val="20"/>
              </w:rPr>
            </w:pPr>
            <w:r w:rsidRPr="00B524F2">
              <w:rPr>
                <w:color w:val="000000"/>
                <w:sz w:val="20"/>
              </w:rPr>
              <w:t>0.125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rFonts w:ascii="Calibri" w:hAnsi="Calibri" w:cs="Times New Roman"/>
                <w:color w:val="000000"/>
                <w:szCs w:val="22"/>
              </w:rPr>
            </w:pPr>
            <w:r w:rsidRPr="00B524F2">
              <w:rPr>
                <w:rFonts w:ascii="Calibri" w:hAnsi="Calibri" w:cs="Times New Roman"/>
                <w:color w:val="000000"/>
                <w:szCs w:val="22"/>
              </w:rPr>
              <w:t>3468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rFonts w:ascii="Calibri" w:hAnsi="Calibri" w:cs="Times New Roman"/>
                <w:color w:val="000000"/>
                <w:szCs w:val="22"/>
              </w:rPr>
            </w:pPr>
            <w:r w:rsidRPr="00B524F2">
              <w:rPr>
                <w:rFonts w:ascii="Calibri" w:hAnsi="Calibri" w:cs="Times New Roman"/>
                <w:color w:val="000000"/>
                <w:szCs w:val="22"/>
              </w:rPr>
              <w:t>-3468</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DC3415">
            <w:pPr>
              <w:keepNext/>
              <w:bidi/>
              <w:jc w:val="center"/>
              <w:rPr>
                <w:color w:val="3B3B3B"/>
                <w:szCs w:val="22"/>
              </w:rPr>
            </w:pPr>
            <w:r w:rsidRPr="00B524F2">
              <w:rPr>
                <w:color w:val="3B3B3B"/>
                <w:szCs w:val="22"/>
                <w:rtl/>
              </w:rPr>
              <w:t>كرواتيا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000000"/>
                <w:sz w:val="18"/>
                <w:szCs w:val="18"/>
              </w:rPr>
            </w:pPr>
            <w:r w:rsidRPr="00B524F2">
              <w:rPr>
                <w:color w:val="000000"/>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24F2" w:rsidRPr="00B524F2" w:rsidRDefault="00B524F2" w:rsidP="00DC3415">
            <w:pPr>
              <w:keepNext/>
              <w:bidi/>
              <w:jc w:val="center"/>
              <w:rPr>
                <w:color w:val="000000"/>
                <w:sz w:val="18"/>
                <w:szCs w:val="18"/>
              </w:rPr>
            </w:pPr>
            <w:r w:rsidRPr="00B524F2">
              <w:rPr>
                <w:color w:val="000000"/>
                <w:sz w:val="18"/>
                <w:szCs w:val="18"/>
                <w:rtl/>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كوبا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B524F2" w:rsidRPr="00B524F2" w:rsidRDefault="00B524F2" w:rsidP="00B524F2">
            <w:pPr>
              <w:bidi/>
              <w:jc w:val="center"/>
              <w:rPr>
                <w:color w:val="000000"/>
                <w:sz w:val="18"/>
                <w:szCs w:val="18"/>
              </w:rPr>
            </w:pPr>
            <w:r w:rsidRPr="00B524F2">
              <w:rPr>
                <w:color w:val="000000"/>
                <w:sz w:val="18"/>
                <w:szCs w:val="18"/>
                <w:rtl/>
              </w:rPr>
              <w:t>خاء</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0.125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3468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146532</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قبرص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B524F2" w:rsidRPr="00B524F2" w:rsidRDefault="00B524F2" w:rsidP="00B524F2">
            <w:pPr>
              <w:bidi/>
              <w:jc w:val="center"/>
              <w:rPr>
                <w:color w:val="000000"/>
                <w:sz w:val="18"/>
                <w:szCs w:val="18"/>
              </w:rPr>
            </w:pPr>
            <w:r w:rsidRPr="00B524F2">
              <w:rPr>
                <w:color w:val="000000"/>
                <w:sz w:val="18"/>
                <w:szCs w:val="18"/>
                <w:rtl/>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الجمهورية التشيكية</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B524F2" w:rsidRPr="00B524F2" w:rsidRDefault="00B524F2" w:rsidP="00B524F2">
            <w:pPr>
              <w:bidi/>
              <w:jc w:val="center"/>
              <w:rPr>
                <w:color w:val="000000"/>
                <w:sz w:val="18"/>
                <w:szCs w:val="18"/>
              </w:rPr>
            </w:pPr>
            <w:r w:rsidRPr="00B524F2">
              <w:rPr>
                <w:color w:val="000000"/>
                <w:sz w:val="18"/>
                <w:szCs w:val="18"/>
                <w:rtl/>
              </w:rPr>
              <w:t>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83225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66775</w:t>
            </w:r>
          </w:p>
        </w:tc>
      </w:tr>
      <w:tr w:rsidR="00B524F2" w:rsidRPr="00B524F2" w:rsidTr="00B524F2">
        <w:trPr>
          <w:trHeight w:val="57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DC3415">
            <w:pPr>
              <w:bidi/>
              <w:jc w:val="center"/>
              <w:rPr>
                <w:color w:val="3B3B3B"/>
                <w:szCs w:val="22"/>
              </w:rPr>
            </w:pPr>
            <w:r w:rsidRPr="00B524F2">
              <w:rPr>
                <w:color w:val="3B3B3B"/>
                <w:szCs w:val="22"/>
                <w:rtl/>
              </w:rPr>
              <w:t>جمهورية كوريا</w:t>
            </w:r>
            <w:r w:rsidR="00DC3415">
              <w:rPr>
                <w:rFonts w:hint="cs"/>
                <w:color w:val="3B3B3B"/>
                <w:szCs w:val="22"/>
                <w:rtl/>
              </w:rPr>
              <w:br/>
            </w:r>
            <w:r w:rsidRPr="00B524F2">
              <w:rPr>
                <w:color w:val="3B3B3B"/>
                <w:szCs w:val="22"/>
                <w:rtl/>
              </w:rPr>
              <w:t>الشعبية الديمقراطية</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B524F2" w:rsidRPr="00B524F2" w:rsidRDefault="00B524F2" w:rsidP="00B524F2">
            <w:pPr>
              <w:bidi/>
              <w:jc w:val="center"/>
              <w:rPr>
                <w:color w:val="000000"/>
                <w:sz w:val="18"/>
                <w:szCs w:val="18"/>
              </w:rPr>
            </w:pPr>
            <w:r w:rsidRPr="00B524F2">
              <w:rPr>
                <w:color w:val="000000"/>
                <w:sz w:val="18"/>
                <w:szCs w:val="18"/>
                <w:rtl/>
              </w:rPr>
              <w:t>خاء(ثانيا)</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0.0625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1734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148266</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الدانمرك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B524F2" w:rsidRPr="00B524F2" w:rsidRDefault="00B524F2" w:rsidP="00B524F2">
            <w:pPr>
              <w:bidi/>
              <w:jc w:val="center"/>
              <w:rPr>
                <w:color w:val="000000"/>
                <w:sz w:val="18"/>
                <w:szCs w:val="18"/>
              </w:rPr>
            </w:pPr>
            <w:r w:rsidRPr="00B524F2">
              <w:rPr>
                <w:color w:val="000000"/>
                <w:sz w:val="18"/>
                <w:szCs w:val="18"/>
                <w:rtl/>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مصر</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B524F2" w:rsidRPr="00B524F2" w:rsidRDefault="00B524F2" w:rsidP="00B524F2">
            <w:pPr>
              <w:bidi/>
              <w:jc w:val="center"/>
              <w:rPr>
                <w:color w:val="000000"/>
                <w:sz w:val="18"/>
                <w:szCs w:val="18"/>
              </w:rPr>
            </w:pPr>
            <w:r w:rsidRPr="00B524F2">
              <w:rPr>
                <w:color w:val="000000"/>
                <w:sz w:val="18"/>
                <w:szCs w:val="18"/>
                <w:rtl/>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إستونيا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B524F2" w:rsidRPr="00B524F2" w:rsidRDefault="00B524F2" w:rsidP="00B524F2">
            <w:pPr>
              <w:bidi/>
              <w:jc w:val="center"/>
              <w:rPr>
                <w:color w:val="000000"/>
                <w:sz w:val="18"/>
                <w:szCs w:val="18"/>
              </w:rPr>
            </w:pPr>
            <w:r w:rsidRPr="00B524F2">
              <w:rPr>
                <w:color w:val="000000"/>
                <w:sz w:val="18"/>
                <w:szCs w:val="18"/>
                <w:rtl/>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الاتحاد الأوروبي</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فنلندا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فرنسا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693541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-543541</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000000"/>
                <w:szCs w:val="22"/>
              </w:rPr>
            </w:pPr>
            <w:r w:rsidRPr="00B524F2">
              <w:rPr>
                <w:color w:val="000000"/>
                <w:szCs w:val="22"/>
                <w:rtl/>
              </w:rPr>
              <w:t>غابون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rFonts w:ascii="Calibri" w:hAnsi="Calibri" w:cs="Times New Roman"/>
                <w:color w:val="000000"/>
                <w:szCs w:val="22"/>
              </w:rPr>
            </w:pPr>
            <w:r w:rsidRPr="00B524F2">
              <w:rPr>
                <w:rFonts w:ascii="Calibri" w:hAnsi="Calibri" w:cs="Times New Roman"/>
                <w:color w:val="000000"/>
                <w:szCs w:val="22"/>
                <w:rtl/>
              </w:rPr>
              <w:t>لا ينطبق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color w:val="000000"/>
                <w:sz w:val="18"/>
                <w:szCs w:val="18"/>
              </w:rPr>
            </w:pPr>
            <w:r w:rsidRPr="00B524F2">
              <w:rPr>
                <w:color w:val="000000"/>
                <w:sz w:val="18"/>
                <w:szCs w:val="18"/>
                <w:rtl/>
              </w:rPr>
              <w:t>خاء</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0.125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3468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-3468</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جورجيا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0.25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6935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143065</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ألمانيا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غانا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اليونان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000000"/>
                <w:szCs w:val="22"/>
              </w:rPr>
            </w:pPr>
            <w:r w:rsidRPr="00B524F2">
              <w:rPr>
                <w:color w:val="000000"/>
                <w:szCs w:val="22"/>
                <w:rtl/>
              </w:rPr>
              <w:t>هايتي</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rFonts w:ascii="Calibri" w:hAnsi="Calibri" w:cs="Times New Roman"/>
                <w:color w:val="000000"/>
                <w:szCs w:val="22"/>
              </w:rPr>
            </w:pPr>
            <w:r w:rsidRPr="00B524F2">
              <w:rPr>
                <w:rFonts w:ascii="Calibri" w:hAnsi="Calibri" w:cs="Times New Roman"/>
                <w:color w:val="000000"/>
                <w:szCs w:val="22"/>
                <w:rtl/>
              </w:rPr>
              <w:t>لا ينطبق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nil"/>
              <w:bottom w:val="nil"/>
              <w:right w:val="nil"/>
            </w:tcBorders>
            <w:shd w:val="clear" w:color="auto" w:fill="auto"/>
            <w:noWrap/>
            <w:vAlign w:val="bottom"/>
            <w:hideMark/>
          </w:tcPr>
          <w:p w:rsidR="00B524F2" w:rsidRPr="00B524F2" w:rsidRDefault="00B524F2" w:rsidP="00B524F2">
            <w:pPr>
              <w:bidi/>
              <w:jc w:val="center"/>
              <w:rPr>
                <w:color w:val="000000"/>
                <w:sz w:val="18"/>
                <w:szCs w:val="18"/>
              </w:rPr>
            </w:pPr>
            <w:r w:rsidRPr="00B524F2">
              <w:rPr>
                <w:color w:val="000000"/>
                <w:sz w:val="18"/>
                <w:szCs w:val="18"/>
                <w:rtl/>
              </w:rPr>
              <w:t>خاء(ثالثا)</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0.03125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867</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-867</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هنغاريا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83225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66775</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lastRenderedPageBreak/>
              <w:t>إيسلندا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الهند</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DC3415">
            <w:pPr>
              <w:keepNext/>
              <w:bidi/>
              <w:jc w:val="center"/>
              <w:rPr>
                <w:color w:val="3B3B3B"/>
                <w:szCs w:val="22"/>
              </w:rPr>
            </w:pPr>
            <w:r w:rsidRPr="00B524F2">
              <w:rPr>
                <w:color w:val="3B3B3B"/>
                <w:szCs w:val="22"/>
                <w:rtl/>
              </w:rPr>
              <w:t>إيران (جمهورية - الإسلامية)</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000000"/>
                <w:sz w:val="18"/>
                <w:szCs w:val="18"/>
              </w:rPr>
            </w:pPr>
            <w:r w:rsidRPr="00B524F2">
              <w:rPr>
                <w:color w:val="000000"/>
                <w:sz w:val="18"/>
                <w:szCs w:val="18"/>
              </w:rPr>
              <w:t>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000000"/>
                <w:sz w:val="20"/>
              </w:rPr>
            </w:pPr>
            <w:r w:rsidRPr="00B524F2">
              <w:rPr>
                <w:color w:val="000000"/>
                <w:sz w:val="20"/>
              </w:rPr>
              <w:t>1</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rFonts w:ascii="Calibri" w:hAnsi="Calibri" w:cs="Times New Roman"/>
                <w:color w:val="000000"/>
                <w:szCs w:val="22"/>
              </w:rPr>
            </w:pPr>
            <w:r w:rsidRPr="00B524F2">
              <w:rPr>
                <w:rFonts w:ascii="Calibri" w:hAnsi="Calibri" w:cs="Times New Roman"/>
                <w:color w:val="000000"/>
                <w:szCs w:val="22"/>
              </w:rPr>
              <w:t>27742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rFonts w:ascii="Calibri" w:hAnsi="Calibri" w:cs="Times New Roman"/>
                <w:color w:val="000000"/>
                <w:szCs w:val="22"/>
              </w:rPr>
            </w:pPr>
            <w:r w:rsidRPr="00B524F2">
              <w:rPr>
                <w:rFonts w:ascii="Calibri" w:hAnsi="Calibri" w:cs="Times New Roman"/>
                <w:color w:val="000000"/>
                <w:szCs w:val="22"/>
              </w:rPr>
              <w:t>122258</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إسرائيل</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w:t>
            </w:r>
            <w:r w:rsidRPr="00B524F2">
              <w:rPr>
                <w:color w:val="000000"/>
                <w:sz w:val="18"/>
                <w:szCs w:val="18"/>
                <w:rtl/>
              </w:rPr>
              <w:t>ثانيا)6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55483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94517</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إيطاليا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15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416125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-266125</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اليابان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كازاخستان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كينيا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قيرغيزستان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لاتفيا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ليسوتو</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ليبيريا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ليختنشتاين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ليتوانيا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لكسمبرغ</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مدغشقر</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المكسيك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w:t>
            </w:r>
            <w:r w:rsidRPr="00B524F2">
              <w:rPr>
                <w:color w:val="000000"/>
                <w:sz w:val="18"/>
                <w:szCs w:val="18"/>
                <w:rtl/>
              </w:rPr>
              <w:t>ثانيا)4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7.5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208062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-58062</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موناكو</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منغوليا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الجبل الأسود</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6935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143065</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المغرب</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lastRenderedPageBreak/>
              <w:t>موزامبيق</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ناميبيا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هولندا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DC3415">
            <w:pPr>
              <w:keepNext/>
              <w:bidi/>
              <w:jc w:val="center"/>
              <w:rPr>
                <w:color w:val="3B3B3B"/>
                <w:szCs w:val="22"/>
              </w:rPr>
            </w:pPr>
            <w:r w:rsidRPr="00B524F2">
              <w:rPr>
                <w:color w:val="3B3B3B"/>
                <w:szCs w:val="22"/>
                <w:rtl/>
              </w:rPr>
              <w:t>نيوزيلندا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DC3415">
            <w:pPr>
              <w:keepNext/>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000000"/>
                <w:szCs w:val="22"/>
              </w:rPr>
            </w:pPr>
            <w:r w:rsidRPr="00B524F2">
              <w:rPr>
                <w:color w:val="000000"/>
                <w:szCs w:val="22"/>
                <w:rtl/>
              </w:rPr>
              <w:t>نيكاراغوا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rFonts w:ascii="Calibri" w:hAnsi="Calibri" w:cs="Times New Roman"/>
                <w:color w:val="000000"/>
                <w:szCs w:val="22"/>
              </w:rPr>
            </w:pPr>
            <w:r w:rsidRPr="00B524F2">
              <w:rPr>
                <w:rFonts w:ascii="Calibri" w:hAnsi="Calibri" w:cs="Times New Roman"/>
                <w:color w:val="000000"/>
                <w:szCs w:val="22"/>
                <w:rtl/>
              </w:rPr>
              <w:t>لا ينطبق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color w:val="000000"/>
                <w:sz w:val="18"/>
                <w:szCs w:val="18"/>
              </w:rPr>
            </w:pPr>
            <w:r w:rsidRPr="00B524F2">
              <w:rPr>
                <w:color w:val="000000"/>
                <w:sz w:val="18"/>
                <w:szCs w:val="18"/>
                <w:rtl/>
              </w:rPr>
              <w:t>خاء(ثانيا)</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0.0625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1734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-1734</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النرويج</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nil"/>
              <w:bottom w:val="nil"/>
              <w:right w:val="nil"/>
            </w:tcBorders>
            <w:shd w:val="clear" w:color="auto" w:fill="auto"/>
            <w:noWrap/>
            <w:vAlign w:val="bottom"/>
            <w:hideMark/>
          </w:tcPr>
          <w:p w:rsidR="00B524F2" w:rsidRPr="00B524F2" w:rsidRDefault="00B524F2" w:rsidP="00B524F2">
            <w:pPr>
              <w:rPr>
                <w:rFonts w:ascii="Calibri" w:hAnsi="Calibri" w:cs="Times New Roman"/>
                <w:color w:val="000000"/>
                <w:szCs w:val="22"/>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عُمان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000000"/>
                <w:szCs w:val="22"/>
              </w:rPr>
            </w:pPr>
            <w:r w:rsidRPr="00B524F2">
              <w:rPr>
                <w:color w:val="000000"/>
                <w:szCs w:val="22"/>
                <w:rtl/>
              </w:rPr>
              <w:t>بيرو</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rFonts w:ascii="Calibri" w:hAnsi="Calibri" w:cs="Times New Roman"/>
                <w:color w:val="000000"/>
                <w:szCs w:val="22"/>
              </w:rPr>
            </w:pPr>
            <w:r w:rsidRPr="00B524F2">
              <w:rPr>
                <w:rFonts w:ascii="Calibri" w:hAnsi="Calibri" w:cs="Times New Roman"/>
                <w:color w:val="000000"/>
                <w:szCs w:val="22"/>
                <w:rtl/>
              </w:rPr>
              <w:t>لا ينطبق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6935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-6935</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الفلبين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بولندا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البرتغال</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w:t>
            </w:r>
            <w:r w:rsidRPr="00B524F2">
              <w:rPr>
                <w:color w:val="000000"/>
                <w:sz w:val="18"/>
                <w:szCs w:val="18"/>
                <w:rtl/>
              </w:rPr>
              <w:t>ثانيا)4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7.5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208062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-58062</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جمهورية كوريا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جمهورية مولدوفا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6935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143065</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رومانيا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الاتحاد الروسي</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رواندا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سان مارينو</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سان تومي وبرينسيبي</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السنغال</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صربيا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13871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136129</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سيراليون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lastRenderedPageBreak/>
              <w:t>سنغافورة</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سلوفاكيا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83225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66775</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سلوفينيا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إسبانيا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السودان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سوازيلند</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السويد</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سويسرا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الجمهورية العربية السورية</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طاجيكستان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57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جمهورية مقدونيا اليوغوسلافية سابقا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13871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136129</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000000"/>
                <w:szCs w:val="22"/>
              </w:rPr>
            </w:pPr>
            <w:r w:rsidRPr="00B524F2">
              <w:rPr>
                <w:color w:val="000000"/>
                <w:szCs w:val="22"/>
                <w:rtl/>
              </w:rPr>
              <w:t>توغو</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rFonts w:ascii="Calibri" w:hAnsi="Calibri" w:cs="Times New Roman"/>
                <w:color w:val="000000"/>
                <w:szCs w:val="22"/>
              </w:rPr>
            </w:pPr>
            <w:r w:rsidRPr="00B524F2">
              <w:rPr>
                <w:rFonts w:ascii="Calibri" w:hAnsi="Calibri" w:cs="Times New Roman"/>
                <w:color w:val="000000"/>
                <w:szCs w:val="22"/>
                <w:rtl/>
              </w:rPr>
              <w:t>لا ينطبق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color w:val="000000"/>
                <w:sz w:val="18"/>
                <w:szCs w:val="18"/>
              </w:rPr>
            </w:pPr>
            <w:r w:rsidRPr="00B524F2">
              <w:rPr>
                <w:color w:val="000000"/>
                <w:sz w:val="18"/>
                <w:szCs w:val="18"/>
                <w:rtl/>
              </w:rPr>
              <w:t>خاء(ثالثا)</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0.03125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867</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-867</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تونس</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18"/>
                <w:szCs w:val="18"/>
              </w:rPr>
            </w:pPr>
            <w:r w:rsidRPr="00B524F2">
              <w:rPr>
                <w:color w:val="000000"/>
                <w:sz w:val="18"/>
                <w:szCs w:val="18"/>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bidi/>
              <w:jc w:val="center"/>
              <w:rPr>
                <w:color w:val="000000"/>
                <w:sz w:val="18"/>
                <w:szCs w:val="18"/>
              </w:rPr>
            </w:pPr>
            <w:r w:rsidRPr="00B524F2">
              <w:rPr>
                <w:color w:val="000000"/>
                <w:sz w:val="18"/>
                <w:szCs w:val="18"/>
                <w:rtl/>
              </w:rPr>
              <w:t>خاء</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000000"/>
                <w:sz w:val="20"/>
              </w:rPr>
            </w:pPr>
            <w:r w:rsidRPr="00B524F2">
              <w:rPr>
                <w:color w:val="000000"/>
                <w:sz w:val="20"/>
              </w:rPr>
              <w:t>0.125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3468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146532</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تركيا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تركمانستان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أوكرانيا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المملكة المتحدة</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الولايات المتحدة الأمريكية</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أوزبكستان</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فييت نام</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B524F2">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lastRenderedPageBreak/>
              <w:t>زامبيا</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DC3415">
        <w:trPr>
          <w:trHeight w:val="300"/>
        </w:trPr>
        <w:tc>
          <w:tcPr>
            <w:tcW w:w="2821" w:type="dxa"/>
            <w:tcBorders>
              <w:top w:val="nil"/>
              <w:left w:val="single" w:sz="4" w:space="0" w:color="auto"/>
              <w:bottom w:val="single" w:sz="4" w:space="0" w:color="auto"/>
              <w:right w:val="single" w:sz="4" w:space="0" w:color="auto"/>
            </w:tcBorders>
            <w:shd w:val="clear" w:color="000000" w:fill="99FF66"/>
            <w:vAlign w:val="center"/>
            <w:hideMark/>
          </w:tcPr>
          <w:p w:rsidR="00B524F2" w:rsidRPr="00B524F2" w:rsidRDefault="00B524F2" w:rsidP="00B524F2">
            <w:pPr>
              <w:bidi/>
              <w:jc w:val="center"/>
              <w:rPr>
                <w:color w:val="3B3B3B"/>
                <w:szCs w:val="22"/>
              </w:rPr>
            </w:pPr>
            <w:r w:rsidRPr="00B524F2">
              <w:rPr>
                <w:color w:val="3B3B3B"/>
                <w:szCs w:val="22"/>
                <w:rtl/>
              </w:rPr>
              <w:t>زمبابوي</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color w:val="3B3B3B"/>
                <w:szCs w:val="22"/>
              </w:rPr>
            </w:pPr>
            <w:r w:rsidRPr="00B524F2">
              <w:rPr>
                <w:color w:val="3B3B3B"/>
                <w:szCs w:val="22"/>
              </w:rPr>
              <w:t>X</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B524F2" w:rsidRPr="00B524F2" w:rsidRDefault="00B524F2" w:rsidP="00B524F2">
            <w:pPr>
              <w:jc w:val="center"/>
              <w:rPr>
                <w:rFonts w:ascii="Calibri" w:hAnsi="Calibri" w:cs="Times New Roman"/>
                <w:color w:val="000000"/>
                <w:szCs w:val="22"/>
              </w:rPr>
            </w:pPr>
            <w:r w:rsidRPr="00B524F2">
              <w:rPr>
                <w:rFonts w:ascii="Calibri" w:hAnsi="Calibri" w:cs="Times New Roman"/>
                <w:color w:val="000000"/>
                <w:szCs w:val="22"/>
              </w:rPr>
              <w:t>150000</w:t>
            </w:r>
          </w:p>
        </w:tc>
      </w:tr>
      <w:tr w:rsidR="00B524F2" w:rsidRPr="00B524F2" w:rsidTr="00DC3415">
        <w:trPr>
          <w:trHeight w:val="300"/>
        </w:trPr>
        <w:tc>
          <w:tcPr>
            <w:tcW w:w="2821" w:type="dxa"/>
            <w:tcBorders>
              <w:top w:val="single" w:sz="4" w:space="0" w:color="auto"/>
              <w:left w:val="single" w:sz="4" w:space="0" w:color="auto"/>
              <w:bottom w:val="single" w:sz="4" w:space="0" w:color="auto"/>
              <w:right w:val="nil"/>
            </w:tcBorders>
            <w:shd w:val="clear" w:color="auto" w:fill="auto"/>
            <w:noWrap/>
            <w:vAlign w:val="bottom"/>
            <w:hideMark/>
          </w:tcPr>
          <w:p w:rsidR="00B524F2" w:rsidRPr="00B524F2" w:rsidRDefault="00B524F2" w:rsidP="00B524F2">
            <w:pPr>
              <w:rPr>
                <w:rFonts w:ascii="Calibri" w:hAnsi="Calibri" w:cs="Times New Roman"/>
                <w:color w:val="000000"/>
                <w:szCs w:val="22"/>
              </w:rPr>
            </w:pPr>
          </w:p>
        </w:tc>
        <w:tc>
          <w:tcPr>
            <w:tcW w:w="1418" w:type="dxa"/>
            <w:tcBorders>
              <w:top w:val="single" w:sz="4" w:space="0" w:color="auto"/>
              <w:left w:val="nil"/>
              <w:bottom w:val="single" w:sz="4" w:space="0" w:color="auto"/>
              <w:right w:val="nil"/>
            </w:tcBorders>
            <w:shd w:val="clear" w:color="auto" w:fill="auto"/>
            <w:noWrap/>
            <w:vAlign w:val="bottom"/>
            <w:hideMark/>
          </w:tcPr>
          <w:p w:rsidR="00B524F2" w:rsidRPr="00B524F2" w:rsidRDefault="00B524F2" w:rsidP="00B524F2">
            <w:pPr>
              <w:rPr>
                <w:rFonts w:ascii="Calibri" w:hAnsi="Calibri" w:cs="Times New Roman"/>
                <w:color w:val="000000"/>
                <w:szCs w:val="22"/>
              </w:rPr>
            </w:pPr>
          </w:p>
        </w:tc>
        <w:tc>
          <w:tcPr>
            <w:tcW w:w="1701" w:type="dxa"/>
            <w:tcBorders>
              <w:top w:val="single" w:sz="4" w:space="0" w:color="auto"/>
              <w:left w:val="nil"/>
              <w:bottom w:val="single" w:sz="4" w:space="0" w:color="auto"/>
              <w:right w:val="nil"/>
            </w:tcBorders>
            <w:shd w:val="clear" w:color="auto" w:fill="auto"/>
            <w:noWrap/>
            <w:vAlign w:val="bottom"/>
            <w:hideMark/>
          </w:tcPr>
          <w:p w:rsidR="00B524F2" w:rsidRPr="00B524F2" w:rsidRDefault="00B524F2" w:rsidP="00B524F2">
            <w:pPr>
              <w:jc w:val="right"/>
              <w:rPr>
                <w:rFonts w:ascii="Calibri" w:hAnsi="Calibri" w:cs="Times New Roman"/>
                <w:color w:val="000000"/>
                <w:szCs w:val="22"/>
              </w:rPr>
            </w:pPr>
            <w:r w:rsidRPr="00B524F2">
              <w:rPr>
                <w:rFonts w:ascii="Calibri" w:hAnsi="Calibri" w:cs="Times New Roman"/>
                <w:color w:val="000000"/>
                <w:szCs w:val="22"/>
              </w:rPr>
              <w:t>14250000</w:t>
            </w:r>
          </w:p>
        </w:tc>
        <w:tc>
          <w:tcPr>
            <w:tcW w:w="1276" w:type="dxa"/>
            <w:tcBorders>
              <w:top w:val="single" w:sz="4" w:space="0" w:color="auto"/>
              <w:left w:val="nil"/>
              <w:bottom w:val="single" w:sz="4" w:space="0" w:color="auto"/>
              <w:right w:val="nil"/>
            </w:tcBorders>
            <w:shd w:val="clear" w:color="auto" w:fill="auto"/>
            <w:noWrap/>
            <w:vAlign w:val="bottom"/>
            <w:hideMark/>
          </w:tcPr>
          <w:p w:rsidR="00B524F2" w:rsidRPr="00B524F2" w:rsidRDefault="00B524F2" w:rsidP="00B524F2">
            <w:pPr>
              <w:rPr>
                <w:rFonts w:ascii="Calibri" w:hAnsi="Calibri" w:cs="Times New Roman"/>
                <w:color w:val="000000"/>
                <w:szCs w:val="22"/>
              </w:rPr>
            </w:pPr>
          </w:p>
        </w:tc>
        <w:tc>
          <w:tcPr>
            <w:tcW w:w="1559" w:type="dxa"/>
            <w:tcBorders>
              <w:top w:val="single" w:sz="4" w:space="0" w:color="auto"/>
              <w:left w:val="nil"/>
              <w:bottom w:val="single" w:sz="4" w:space="0" w:color="auto"/>
              <w:right w:val="nil"/>
            </w:tcBorders>
            <w:shd w:val="clear" w:color="auto" w:fill="auto"/>
            <w:noWrap/>
            <w:vAlign w:val="bottom"/>
            <w:hideMark/>
          </w:tcPr>
          <w:p w:rsidR="00B524F2" w:rsidRPr="00B524F2" w:rsidRDefault="00B524F2" w:rsidP="00B524F2">
            <w:pPr>
              <w:rPr>
                <w:rFonts w:ascii="Calibri" w:hAnsi="Calibri" w:cs="Times New Roman"/>
                <w:color w:val="000000"/>
                <w:szCs w:val="22"/>
              </w:rPr>
            </w:pPr>
          </w:p>
        </w:tc>
        <w:tc>
          <w:tcPr>
            <w:tcW w:w="1701" w:type="dxa"/>
            <w:tcBorders>
              <w:top w:val="single" w:sz="4" w:space="0" w:color="auto"/>
              <w:left w:val="nil"/>
              <w:bottom w:val="single" w:sz="4" w:space="0" w:color="auto"/>
              <w:right w:val="nil"/>
            </w:tcBorders>
            <w:shd w:val="clear" w:color="auto" w:fill="auto"/>
            <w:noWrap/>
            <w:vAlign w:val="bottom"/>
            <w:hideMark/>
          </w:tcPr>
          <w:p w:rsidR="00B524F2" w:rsidRPr="00B524F2" w:rsidRDefault="00B524F2" w:rsidP="00B524F2">
            <w:pPr>
              <w:rPr>
                <w:rFonts w:ascii="Calibri" w:hAnsi="Calibri" w:cs="Times New Roman"/>
                <w:color w:val="000000"/>
                <w:szCs w:val="22"/>
              </w:rPr>
            </w:pPr>
          </w:p>
        </w:tc>
        <w:tc>
          <w:tcPr>
            <w:tcW w:w="2126" w:type="dxa"/>
            <w:tcBorders>
              <w:top w:val="single" w:sz="4" w:space="0" w:color="auto"/>
              <w:left w:val="nil"/>
              <w:bottom w:val="single" w:sz="4" w:space="0" w:color="auto"/>
              <w:right w:val="nil"/>
            </w:tcBorders>
            <w:shd w:val="clear" w:color="auto" w:fill="auto"/>
            <w:noWrap/>
            <w:vAlign w:val="bottom"/>
            <w:hideMark/>
          </w:tcPr>
          <w:p w:rsidR="00B524F2" w:rsidRPr="00B524F2" w:rsidRDefault="00B524F2" w:rsidP="00B524F2">
            <w:pPr>
              <w:jc w:val="right"/>
              <w:rPr>
                <w:rFonts w:ascii="Calibri" w:hAnsi="Calibri" w:cs="Times New Roman"/>
                <w:color w:val="000000"/>
                <w:szCs w:val="22"/>
              </w:rPr>
            </w:pPr>
            <w:r w:rsidRPr="00B524F2">
              <w:rPr>
                <w:rFonts w:ascii="Calibri" w:hAnsi="Calibri" w:cs="Times New Roman"/>
                <w:color w:val="000000"/>
                <w:szCs w:val="22"/>
              </w:rPr>
              <w:t>1999999</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B524F2" w:rsidRPr="00B524F2" w:rsidRDefault="00B524F2" w:rsidP="00B524F2">
            <w:pPr>
              <w:jc w:val="right"/>
              <w:rPr>
                <w:rFonts w:ascii="Calibri" w:hAnsi="Calibri" w:cs="Times New Roman"/>
                <w:color w:val="000000"/>
                <w:szCs w:val="22"/>
              </w:rPr>
            </w:pPr>
            <w:r w:rsidRPr="00B524F2">
              <w:rPr>
                <w:rFonts w:ascii="Calibri" w:hAnsi="Calibri" w:cs="Times New Roman"/>
                <w:color w:val="000000"/>
                <w:szCs w:val="22"/>
              </w:rPr>
              <w:t>12250001</w:t>
            </w:r>
          </w:p>
        </w:tc>
      </w:tr>
    </w:tbl>
    <w:p w:rsidR="00DC3415" w:rsidRDefault="00DC3415" w:rsidP="00DC3415">
      <w:pPr>
        <w:pStyle w:val="NumberedParaAR"/>
        <w:numPr>
          <w:ilvl w:val="0"/>
          <w:numId w:val="0"/>
        </w:numPr>
        <w:ind w:left="9894"/>
        <w:rPr>
          <w:rtl/>
        </w:rPr>
      </w:pPr>
    </w:p>
    <w:p w:rsidR="000438DD" w:rsidRDefault="00DC3415" w:rsidP="00DC3415">
      <w:pPr>
        <w:pStyle w:val="NumberedParaAR"/>
        <w:numPr>
          <w:ilvl w:val="0"/>
          <w:numId w:val="0"/>
        </w:numPr>
        <w:ind w:left="9894"/>
        <w:rPr>
          <w:rtl/>
        </w:rPr>
      </w:pPr>
      <w:r>
        <w:rPr>
          <w:rFonts w:hint="cs"/>
          <w:rtl/>
        </w:rPr>
        <w:t>[نهاية المرفق والوثيقة]</w:t>
      </w:r>
    </w:p>
    <w:sectPr w:rsidR="000438DD" w:rsidSect="000D3EA3">
      <w:headerReference w:type="default" r:id="rId15"/>
      <w:footerReference w:type="default" r:id="rId16"/>
      <w:headerReference w:type="first" r:id="rId17"/>
      <w:footerReference w:type="first" r:id="rId18"/>
      <w:pgSz w:w="16840" w:h="11907" w:orient="landscape" w:code="9"/>
      <w:pgMar w:top="1134" w:right="1134" w:bottom="1134"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D53" w:rsidRDefault="00AE7D53">
      <w:r>
        <w:separator/>
      </w:r>
    </w:p>
  </w:endnote>
  <w:endnote w:type="continuationSeparator" w:id="0">
    <w:p w:rsidR="00AE7D53" w:rsidRDefault="00AE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EA3" w:rsidRPr="000D3EA3" w:rsidRDefault="000D3EA3" w:rsidP="000D3EA3">
    <w:pPr>
      <w:pStyle w:val="Footer"/>
      <w:bid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EA3" w:rsidRDefault="000D3EA3" w:rsidP="000D3EA3">
    <w:pPr>
      <w:pStyle w:val="Footer"/>
    </w:pPr>
  </w:p>
  <w:p w:rsidR="000D3EA3" w:rsidRDefault="000D3E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EA3" w:rsidRPr="007E111C" w:rsidRDefault="000D3EA3" w:rsidP="000D3EA3">
    <w:pPr>
      <w:pStyle w:val="Footer"/>
      <w:bidi/>
      <w:jc w:val="center"/>
      <w:rPr>
        <w:rFonts w:ascii="Arabic Typesetting" w:hAnsi="Arabic Typesetting" w:cs="Arabic Typesetting"/>
        <w:sz w:val="36"/>
        <w:szCs w:val="36"/>
      </w:rPr>
    </w:pPr>
    <w:r w:rsidRPr="007E111C">
      <w:rPr>
        <w:rFonts w:ascii="Arabic Typesetting" w:hAnsi="Arabic Typesetting" w:cs="Arabic Typesetting"/>
        <w:sz w:val="36"/>
        <w:szCs w:val="36"/>
        <w:rtl/>
      </w:rPr>
      <w:t>جزء من بيان الولايات المتحدة في إطار البند 20</w:t>
    </w:r>
    <w:r w:rsidR="00990D9E">
      <w:rPr>
        <w:rFonts w:ascii="Arabic Typesetting" w:hAnsi="Arabic Typesetting" w:cs="Arabic Typesetting" w:hint="cs"/>
        <w:sz w:val="36"/>
        <w:szCs w:val="36"/>
        <w:rtl/>
      </w:rPr>
      <w:t xml:space="preserve"> من جدول الأعمال</w:t>
    </w:r>
  </w:p>
  <w:p w:rsidR="000D3EA3" w:rsidRPr="000D3EA3" w:rsidRDefault="000D3EA3" w:rsidP="000D3EA3">
    <w:pPr>
      <w:pStyle w:val="Footer"/>
      <w:bid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EA3" w:rsidRPr="000D3EA3" w:rsidRDefault="000D3EA3" w:rsidP="000D3EA3">
    <w:pPr>
      <w:pStyle w:val="Footer"/>
      <w:bidi/>
      <w:jc w:val="center"/>
      <w:rPr>
        <w:rFonts w:ascii="Arabic Typesetting" w:hAnsi="Arabic Typesetting" w:cs="Arabic Typesetting"/>
        <w:sz w:val="36"/>
        <w:szCs w:val="36"/>
      </w:rPr>
    </w:pPr>
    <w:r w:rsidRPr="000D3EA3">
      <w:rPr>
        <w:rFonts w:ascii="Arabic Typesetting" w:hAnsi="Arabic Typesetting" w:cs="Arabic Typesetting"/>
        <w:sz w:val="36"/>
        <w:szCs w:val="36"/>
        <w:rtl/>
      </w:rPr>
      <w:t>جزء من بيان الولايات المتحدة في إطار البند 20</w:t>
    </w:r>
  </w:p>
  <w:p w:rsidR="000D3EA3" w:rsidRDefault="000D3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D53" w:rsidRDefault="00AE7D53" w:rsidP="009622BF">
      <w:pPr>
        <w:bidi/>
      </w:pPr>
      <w:bookmarkStart w:id="0" w:name="OLE_LINK1"/>
      <w:bookmarkStart w:id="1" w:name="OLE_LINK2"/>
      <w:r>
        <w:separator/>
      </w:r>
      <w:bookmarkEnd w:id="0"/>
      <w:bookmarkEnd w:id="1"/>
    </w:p>
  </w:footnote>
  <w:footnote w:type="continuationSeparator" w:id="0">
    <w:p w:rsidR="00AE7D53" w:rsidRDefault="00AE7D53" w:rsidP="009622BF">
      <w:pPr>
        <w:bidi/>
      </w:pPr>
      <w:r>
        <w:separator/>
      </w:r>
    </w:p>
  </w:footnote>
  <w:footnote w:id="1">
    <w:p w:rsidR="00AE7D53" w:rsidRDefault="00AE7D53" w:rsidP="00FA1D28">
      <w:pPr>
        <w:pStyle w:val="FootnoteText"/>
      </w:pPr>
      <w:r>
        <w:rPr>
          <w:rStyle w:val="FootnoteReference"/>
        </w:rPr>
        <w:footnoteRef/>
      </w:r>
      <w:r>
        <w:rPr>
          <w:rtl/>
        </w:rPr>
        <w:t xml:space="preserve"> </w:t>
      </w:r>
      <w:r w:rsidR="000D3EA3">
        <w:rPr>
          <w:rFonts w:hint="cs"/>
          <w:rtl/>
        </w:rPr>
        <w:t xml:space="preserve">انظر المرفق الثالث للوثيقة </w:t>
      </w:r>
      <w:r w:rsidR="000D3EA3" w:rsidRPr="000D3EA3">
        <w:t>MM/A/38/4</w:t>
      </w:r>
      <w:r w:rsidR="000D3EA3">
        <w:rPr>
          <w:rFonts w:hint="cs"/>
          <w:rtl/>
        </w:rPr>
        <w:t xml:space="preserve"> (2007): من عام 1972 إلى عام 1989، حصلت الأطراف المتعاقدة في اتحاد مدريد على جزء من الإيرادات فائضة التي تجاوزت ما خصص لصندوق الأموال الاحتياطية</w:t>
      </w:r>
      <w:r w:rsidR="00FA1D28">
        <w:rPr>
          <w:rFonts w:hint="cs"/>
          <w:rtl/>
        </w:rPr>
        <w:t>،</w:t>
      </w:r>
      <w:r w:rsidR="000D3EA3">
        <w:rPr>
          <w:rFonts w:hint="cs"/>
          <w:rtl/>
        </w:rPr>
        <w:t xml:space="preserve"> </w:t>
      </w:r>
      <w:r w:rsidR="00340744">
        <w:rPr>
          <w:rFonts w:hint="cs"/>
          <w:rtl/>
        </w:rPr>
        <w:t>وفي الفترة من عام 1990 إلى عام 2000، قرر اتحاد مدريد تخصيص كل الأموال الفائضة للصندوق الخاص للأموال الاحتياطية لإن</w:t>
      </w:r>
      <w:r w:rsidR="00FA1D28">
        <w:rPr>
          <w:rFonts w:hint="cs"/>
          <w:rtl/>
        </w:rPr>
        <w:t>ش</w:t>
      </w:r>
      <w:r w:rsidR="00340744">
        <w:rPr>
          <w:rFonts w:hint="cs"/>
          <w:rtl/>
        </w:rPr>
        <w:t xml:space="preserve">اء مباني إضافية والتزويد بالحواسيب، على الرغم </w:t>
      </w:r>
      <w:r w:rsidR="00FA1D28">
        <w:rPr>
          <w:rFonts w:hint="cs"/>
          <w:rtl/>
        </w:rPr>
        <w:t>م</w:t>
      </w:r>
      <w:r w:rsidR="00340744">
        <w:rPr>
          <w:rFonts w:hint="cs"/>
          <w:rtl/>
        </w:rPr>
        <w:t>ن عدم تحقيق فائض فعليا بين عامي 1995 و2000. وخلال الثنائية 2000-2001، صرّح اتحاد مدريد بتوزيع الإيرادات الفائضة مرة أخرى، لكن الاتحاد عانى من عجز خلال الثنائية، وعليه لم يحقق أي فائض ليوزع.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53" w:rsidRDefault="00AE7D53" w:rsidP="00EA3039">
    <w:r>
      <w:t>MM/A/49/5</w:t>
    </w:r>
  </w:p>
  <w:p w:rsidR="00AE7D53" w:rsidRDefault="00AE7D53" w:rsidP="00D61541">
    <w:r>
      <w:fldChar w:fldCharType="begin"/>
    </w:r>
    <w:r>
      <w:instrText xml:space="preserve"> PAGE  \* MERGEFORMAT </w:instrText>
    </w:r>
    <w:r>
      <w:fldChar w:fldCharType="separate"/>
    </w:r>
    <w:r w:rsidR="00666A25">
      <w:rPr>
        <w:noProof/>
      </w:rPr>
      <w:t>6</w:t>
    </w:r>
    <w:r>
      <w:fldChar w:fldCharType="end"/>
    </w:r>
  </w:p>
  <w:p w:rsidR="00AE7D53" w:rsidRDefault="00AE7D5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EA3" w:rsidRDefault="000D3EA3" w:rsidP="00EA3039">
    <w:r>
      <w:t>MM/A/49/5</w:t>
    </w:r>
  </w:p>
  <w:p w:rsidR="000D3EA3" w:rsidRDefault="000D3EA3" w:rsidP="000D3EA3">
    <w:r>
      <w:t>Annex</w:t>
    </w:r>
  </w:p>
  <w:p w:rsidR="000D3EA3" w:rsidRDefault="000D3EA3" w:rsidP="00D61541">
    <w:pPr>
      <w:rPr>
        <w:rtl/>
      </w:rPr>
    </w:pPr>
    <w:r w:rsidRPr="000D3EA3">
      <w:fldChar w:fldCharType="begin"/>
    </w:r>
    <w:r w:rsidRPr="000D3EA3">
      <w:instrText xml:space="preserve"> PAGE  \* MERGEFORMAT </w:instrText>
    </w:r>
    <w:r w:rsidRPr="000D3EA3">
      <w:fldChar w:fldCharType="separate"/>
    </w:r>
    <w:r w:rsidR="00666A25">
      <w:rPr>
        <w:noProof/>
      </w:rPr>
      <w:t>3</w:t>
    </w:r>
    <w:r w:rsidRPr="000D3EA3">
      <w:fldChar w:fldCharType="end"/>
    </w:r>
  </w:p>
  <w:p w:rsidR="00990D9E" w:rsidRDefault="00990D9E"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EA3" w:rsidRDefault="000D3EA3" w:rsidP="00EA3039">
    <w:r>
      <w:t>MM/A/49/5</w:t>
    </w:r>
  </w:p>
  <w:p w:rsidR="000D3EA3" w:rsidRDefault="000D3EA3" w:rsidP="000D3EA3">
    <w:r>
      <w:t>ANNEX</w:t>
    </w:r>
  </w:p>
  <w:p w:rsidR="000D3EA3" w:rsidRPr="005E0ACD" w:rsidRDefault="000D3EA3" w:rsidP="000D3EA3">
    <w:pPr>
      <w:pStyle w:val="Header"/>
      <w:rPr>
        <w:rFonts w:ascii="Arabic Typesetting" w:hAnsi="Arabic Typesetting" w:cs="Arabic Typesetting"/>
        <w:sz w:val="36"/>
        <w:szCs w:val="36"/>
        <w:rtl/>
        <w:lang w:val="fr-CH"/>
      </w:rPr>
    </w:pPr>
    <w:r w:rsidRPr="005E0ACD">
      <w:rPr>
        <w:rFonts w:ascii="Arabic Typesetting" w:hAnsi="Arabic Typesetting" w:cs="Arabic Typesetting"/>
        <w:sz w:val="36"/>
        <w:szCs w:val="36"/>
        <w:rtl/>
        <w:lang w:val="fr-CH"/>
      </w:rPr>
      <w:t>المرفق</w:t>
    </w:r>
  </w:p>
  <w:p w:rsidR="000D3EA3" w:rsidRDefault="000D3E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53" w:rsidRDefault="00AE7D53" w:rsidP="00EA3039">
    <w:r>
      <w:t>MM/A/49/5</w:t>
    </w:r>
  </w:p>
  <w:p w:rsidR="00AE7D53" w:rsidRDefault="00AE7D53" w:rsidP="00D61541">
    <w:r>
      <w:t>Annex</w:t>
    </w:r>
  </w:p>
  <w:p w:rsidR="00AE7D53" w:rsidRDefault="00AE7D53" w:rsidP="005E0ACD">
    <w:pPr>
      <w:rPr>
        <w:rtl/>
      </w:rPr>
    </w:pPr>
    <w:r>
      <w:fldChar w:fldCharType="begin"/>
    </w:r>
    <w:r>
      <w:instrText xml:space="preserve"> PAGE  \* MERGEFORMAT </w:instrText>
    </w:r>
    <w:r>
      <w:fldChar w:fldCharType="separate"/>
    </w:r>
    <w:r w:rsidR="00666A25">
      <w:rPr>
        <w:noProof/>
      </w:rPr>
      <w:t>9</w:t>
    </w:r>
    <w:r>
      <w:fldChar w:fldCharType="end"/>
    </w:r>
  </w:p>
  <w:p w:rsidR="00AE7D53" w:rsidRDefault="00AE7D53" w:rsidP="00DC3415">
    <w:pPr>
      <w:pStyle w:val="NumberedParaAR"/>
      <w:numPr>
        <w:ilvl w:val="0"/>
        <w:numId w:val="0"/>
      </w:numPr>
      <w:spacing w:after="120"/>
      <w:jc w:val="center"/>
    </w:pPr>
    <w:r w:rsidRPr="00B524F2">
      <w:rPr>
        <w:rtl/>
      </w:rPr>
      <w:t>جدول يبيّن التوزيع المقدّر للفائض على أعضاء اتحاد مدريد</w:t>
    </w:r>
    <w:r>
      <w:rPr>
        <w:rFonts w:hint="cs"/>
        <w:rtl/>
      </w:rPr>
      <w:br/>
    </w:r>
    <w:r w:rsidRPr="00B524F2">
      <w:rPr>
        <w:rtl/>
      </w:rPr>
      <w:t>والاشتراكات المطلوبة بموجب اتف</w:t>
    </w:r>
    <w:r w:rsidR="000D3EA3">
      <w:rPr>
        <w:rtl/>
      </w:rPr>
      <w:t>اق لشبونة (في حال لم تغط الرسوم</w:t>
    </w:r>
    <w:r w:rsidRPr="00B524F2">
      <w:rPr>
        <w:rtl/>
      </w:rPr>
      <w:t xml:space="preserve"> المحصّلة بناء على اتفاق لشبونة المصروفات المتكبّدة بناء على ذلك الاتفاق)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EA3" w:rsidRDefault="000D3EA3" w:rsidP="00EA3039">
    <w:r>
      <w:t>MM/A/49/5</w:t>
    </w:r>
  </w:p>
  <w:p w:rsidR="000D3EA3" w:rsidRDefault="000D3EA3" w:rsidP="000D3EA3">
    <w:r>
      <w:t>Annex</w:t>
    </w:r>
  </w:p>
  <w:p w:rsidR="00AE7D53" w:rsidRDefault="000D3EA3" w:rsidP="005E0ACD">
    <w:pPr>
      <w:pStyle w:val="Header"/>
      <w:rPr>
        <w:rtl/>
      </w:rPr>
    </w:pPr>
    <w:r>
      <w:fldChar w:fldCharType="begin"/>
    </w:r>
    <w:r>
      <w:instrText xml:space="preserve"> PAGE  \* MERGEFORMAT </w:instrText>
    </w:r>
    <w:r>
      <w:fldChar w:fldCharType="separate"/>
    </w:r>
    <w:r w:rsidR="00666A25">
      <w:rPr>
        <w:noProof/>
      </w:rPr>
      <w:t>4</w:t>
    </w:r>
    <w:r>
      <w:fldChar w:fldCharType="end"/>
    </w:r>
  </w:p>
  <w:p w:rsidR="00990D9E" w:rsidRPr="005E0ACD" w:rsidRDefault="00990D9E" w:rsidP="005E0ACD">
    <w:pPr>
      <w:pStyle w:val="Header"/>
      <w:rPr>
        <w:rFonts w:ascii="Arabic Typesetting" w:hAnsi="Arabic Typesetting" w:cs="Arabic Typesetting"/>
        <w:sz w:val="36"/>
        <w:szCs w:val="36"/>
        <w:rtl/>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A676D8"/>
    <w:multiLevelType w:val="hybridMultilevel"/>
    <w:tmpl w:val="19DEC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DB5BB2"/>
    <w:multiLevelType w:val="hybridMultilevel"/>
    <w:tmpl w:val="4746B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C9"/>
    <w:rsid w:val="00002CBE"/>
    <w:rsid w:val="00003232"/>
    <w:rsid w:val="000033DA"/>
    <w:rsid w:val="0000579F"/>
    <w:rsid w:val="000057C9"/>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49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EA3"/>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FCB"/>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3C62"/>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68B"/>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81D"/>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744"/>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4BD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6EC5"/>
    <w:rsid w:val="003C218D"/>
    <w:rsid w:val="003C3D89"/>
    <w:rsid w:val="003C3EE2"/>
    <w:rsid w:val="003C4224"/>
    <w:rsid w:val="003C426D"/>
    <w:rsid w:val="003C4877"/>
    <w:rsid w:val="003C4B42"/>
    <w:rsid w:val="003C4E91"/>
    <w:rsid w:val="003C6D76"/>
    <w:rsid w:val="003C72F6"/>
    <w:rsid w:val="003C7577"/>
    <w:rsid w:val="003D05C3"/>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9E9"/>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48E6"/>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0ACD"/>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4770"/>
    <w:rsid w:val="006575ED"/>
    <w:rsid w:val="006578FD"/>
    <w:rsid w:val="00660060"/>
    <w:rsid w:val="006609AA"/>
    <w:rsid w:val="00662EDE"/>
    <w:rsid w:val="00664C9F"/>
    <w:rsid w:val="00666548"/>
    <w:rsid w:val="00666A25"/>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3A4"/>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296"/>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74D"/>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A0A"/>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F73"/>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578"/>
    <w:rsid w:val="00987CE5"/>
    <w:rsid w:val="00990D9E"/>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4D3"/>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E7D53"/>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F62"/>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4F2"/>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67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08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E1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34A8"/>
    <w:rsid w:val="00D94564"/>
    <w:rsid w:val="00D9536E"/>
    <w:rsid w:val="00D97426"/>
    <w:rsid w:val="00D97568"/>
    <w:rsid w:val="00D97A9D"/>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415"/>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4E"/>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35"/>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03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D2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948"/>
    <w:rsid w:val="00F40DB9"/>
    <w:rsid w:val="00F40ED1"/>
    <w:rsid w:val="00F415A3"/>
    <w:rsid w:val="00F41778"/>
    <w:rsid w:val="00F41B3E"/>
    <w:rsid w:val="00F421D1"/>
    <w:rsid w:val="00F42B6E"/>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1D28"/>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7833A4"/>
    <w:pPr>
      <w:ind w:left="567"/>
    </w:pPr>
  </w:style>
  <w:style w:type="character" w:styleId="Hyperlink">
    <w:name w:val="Hyperlink"/>
    <w:basedOn w:val="DefaultParagraphFont"/>
    <w:uiPriority w:val="99"/>
    <w:unhideWhenUsed/>
    <w:rsid w:val="00B524F2"/>
    <w:rPr>
      <w:color w:val="0000FF"/>
      <w:u w:val="single"/>
    </w:rPr>
  </w:style>
  <w:style w:type="character" w:styleId="FollowedHyperlink">
    <w:name w:val="FollowedHyperlink"/>
    <w:basedOn w:val="DefaultParagraphFont"/>
    <w:uiPriority w:val="99"/>
    <w:unhideWhenUsed/>
    <w:rsid w:val="00B524F2"/>
    <w:rPr>
      <w:color w:val="800080"/>
      <w:u w:val="single"/>
    </w:rPr>
  </w:style>
  <w:style w:type="paragraph" w:customStyle="1" w:styleId="xl63">
    <w:name w:val="xl63"/>
    <w:basedOn w:val="Normal"/>
    <w:rsid w:val="00B524F2"/>
    <w:pPr>
      <w:spacing w:before="100" w:beforeAutospacing="1" w:after="100" w:afterAutospacing="1"/>
      <w:jc w:val="center"/>
    </w:pPr>
    <w:rPr>
      <w:rFonts w:ascii="Times New Roman" w:hAnsi="Times New Roman" w:cs="Times New Roman"/>
      <w:sz w:val="24"/>
      <w:szCs w:val="24"/>
    </w:rPr>
  </w:style>
  <w:style w:type="paragraph" w:customStyle="1" w:styleId="xl65">
    <w:name w:val="xl65"/>
    <w:basedOn w:val="Normal"/>
    <w:rsid w:val="00B524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6">
    <w:name w:val="xl66"/>
    <w:basedOn w:val="Normal"/>
    <w:rsid w:val="00B524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67">
    <w:name w:val="xl67"/>
    <w:basedOn w:val="Normal"/>
    <w:rsid w:val="00B524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B3B3B"/>
      <w:sz w:val="24"/>
      <w:szCs w:val="24"/>
    </w:rPr>
  </w:style>
  <w:style w:type="paragraph" w:customStyle="1" w:styleId="xl68">
    <w:name w:val="xl68"/>
    <w:basedOn w:val="Normal"/>
    <w:rsid w:val="00B524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69">
    <w:name w:val="xl69"/>
    <w:basedOn w:val="Normal"/>
    <w:rsid w:val="00B524F2"/>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3B3B3B"/>
      <w:sz w:val="24"/>
      <w:szCs w:val="24"/>
    </w:rPr>
  </w:style>
  <w:style w:type="paragraph" w:customStyle="1" w:styleId="xl70">
    <w:name w:val="xl70"/>
    <w:basedOn w:val="Normal"/>
    <w:rsid w:val="00B524F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b/>
      <w:bCs/>
      <w:i/>
      <w:iCs/>
      <w:color w:val="000000"/>
      <w:sz w:val="20"/>
    </w:rPr>
  </w:style>
  <w:style w:type="paragraph" w:customStyle="1" w:styleId="xl71">
    <w:name w:val="xl71"/>
    <w:basedOn w:val="Normal"/>
    <w:rsid w:val="00B524F2"/>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000000"/>
      <w:sz w:val="24"/>
      <w:szCs w:val="24"/>
    </w:rPr>
  </w:style>
  <w:style w:type="paragraph" w:customStyle="1" w:styleId="xl72">
    <w:name w:val="xl72"/>
    <w:basedOn w:val="Normal"/>
    <w:rsid w:val="00B524F2"/>
    <w:pPr>
      <w:shd w:val="clear" w:color="000000" w:fill="CCFF99"/>
      <w:spacing w:before="100" w:beforeAutospacing="1" w:after="100" w:afterAutospacing="1"/>
    </w:pPr>
    <w:rPr>
      <w:rFonts w:ascii="Times New Roman" w:hAnsi="Times New Roman" w:cs="Times New Roman"/>
      <w:sz w:val="24"/>
      <w:szCs w:val="24"/>
    </w:rPr>
  </w:style>
  <w:style w:type="paragraph" w:customStyle="1" w:styleId="xl73">
    <w:name w:val="xl73"/>
    <w:basedOn w:val="Normal"/>
    <w:rsid w:val="00B524F2"/>
    <w:pPr>
      <w:spacing w:before="100" w:beforeAutospacing="1" w:after="100" w:afterAutospacing="1"/>
      <w:jc w:val="center"/>
      <w:textAlignment w:val="center"/>
    </w:pPr>
    <w:rPr>
      <w:sz w:val="24"/>
      <w:szCs w:val="24"/>
    </w:rPr>
  </w:style>
  <w:style w:type="paragraph" w:customStyle="1" w:styleId="xl74">
    <w:name w:val="xl74"/>
    <w:basedOn w:val="Normal"/>
    <w:rsid w:val="00B524F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sz w:val="24"/>
      <w:szCs w:val="24"/>
    </w:rPr>
  </w:style>
  <w:style w:type="paragraph" w:customStyle="1" w:styleId="xl75">
    <w:name w:val="xl75"/>
    <w:basedOn w:val="Normal"/>
    <w:rsid w:val="00B524F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color w:val="000000"/>
      <w:sz w:val="24"/>
      <w:szCs w:val="24"/>
    </w:rPr>
  </w:style>
  <w:style w:type="paragraph" w:customStyle="1" w:styleId="xl76">
    <w:name w:val="xl76"/>
    <w:basedOn w:val="Normal"/>
    <w:rsid w:val="00B524F2"/>
    <w:pPr>
      <w:shd w:val="clear" w:color="000000" w:fill="99FF66"/>
      <w:spacing w:before="100" w:beforeAutospacing="1" w:after="100" w:afterAutospacing="1"/>
      <w:jc w:val="center"/>
      <w:textAlignment w:val="center"/>
    </w:pPr>
    <w:rPr>
      <w:sz w:val="24"/>
      <w:szCs w:val="24"/>
    </w:rPr>
  </w:style>
  <w:style w:type="paragraph" w:customStyle="1" w:styleId="xl77">
    <w:name w:val="xl77"/>
    <w:basedOn w:val="Normal"/>
    <w:rsid w:val="00B524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79">
    <w:name w:val="xl79"/>
    <w:basedOn w:val="Normal"/>
    <w:rsid w:val="00B524F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sz w:val="24"/>
      <w:szCs w:val="24"/>
    </w:rPr>
  </w:style>
  <w:style w:type="paragraph" w:customStyle="1" w:styleId="xl80">
    <w:name w:val="xl80"/>
    <w:basedOn w:val="Normal"/>
    <w:rsid w:val="00B524F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b/>
      <w:bCs/>
      <w:i/>
      <w:iCs/>
      <w:color w:val="000000"/>
      <w:sz w:val="20"/>
    </w:rPr>
  </w:style>
  <w:style w:type="paragraph" w:customStyle="1" w:styleId="xl81">
    <w:name w:val="xl81"/>
    <w:basedOn w:val="Normal"/>
    <w:rsid w:val="00B524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82">
    <w:name w:val="xl82"/>
    <w:basedOn w:val="Normal"/>
    <w:rsid w:val="00B524F2"/>
    <w:pPr>
      <w:spacing w:before="100" w:beforeAutospacing="1" w:after="100" w:afterAutospacing="1"/>
      <w:jc w:val="center"/>
    </w:pPr>
    <w:rPr>
      <w:color w:val="000000"/>
      <w:sz w:val="18"/>
      <w:szCs w:val="18"/>
    </w:rPr>
  </w:style>
  <w:style w:type="character" w:customStyle="1" w:styleId="FooterChar">
    <w:name w:val="Footer Char"/>
    <w:basedOn w:val="DefaultParagraphFont"/>
    <w:link w:val="Footer"/>
    <w:uiPriority w:val="99"/>
    <w:rsid w:val="000D3EA3"/>
    <w:rPr>
      <w:rFonts w:ascii="Arial" w:hAnsi="Arial" w:cs="Arial"/>
      <w:sz w:val="22"/>
    </w:rPr>
  </w:style>
  <w:style w:type="character" w:customStyle="1" w:styleId="HeaderChar">
    <w:name w:val="Header Char"/>
    <w:basedOn w:val="DefaultParagraphFont"/>
    <w:link w:val="Header"/>
    <w:uiPriority w:val="99"/>
    <w:rsid w:val="000D3EA3"/>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7833A4"/>
    <w:pPr>
      <w:ind w:left="567"/>
    </w:pPr>
  </w:style>
  <w:style w:type="character" w:styleId="Hyperlink">
    <w:name w:val="Hyperlink"/>
    <w:basedOn w:val="DefaultParagraphFont"/>
    <w:uiPriority w:val="99"/>
    <w:unhideWhenUsed/>
    <w:rsid w:val="00B524F2"/>
    <w:rPr>
      <w:color w:val="0000FF"/>
      <w:u w:val="single"/>
    </w:rPr>
  </w:style>
  <w:style w:type="character" w:styleId="FollowedHyperlink">
    <w:name w:val="FollowedHyperlink"/>
    <w:basedOn w:val="DefaultParagraphFont"/>
    <w:uiPriority w:val="99"/>
    <w:unhideWhenUsed/>
    <w:rsid w:val="00B524F2"/>
    <w:rPr>
      <w:color w:val="800080"/>
      <w:u w:val="single"/>
    </w:rPr>
  </w:style>
  <w:style w:type="paragraph" w:customStyle="1" w:styleId="xl63">
    <w:name w:val="xl63"/>
    <w:basedOn w:val="Normal"/>
    <w:rsid w:val="00B524F2"/>
    <w:pPr>
      <w:spacing w:before="100" w:beforeAutospacing="1" w:after="100" w:afterAutospacing="1"/>
      <w:jc w:val="center"/>
    </w:pPr>
    <w:rPr>
      <w:rFonts w:ascii="Times New Roman" w:hAnsi="Times New Roman" w:cs="Times New Roman"/>
      <w:sz w:val="24"/>
      <w:szCs w:val="24"/>
    </w:rPr>
  </w:style>
  <w:style w:type="paragraph" w:customStyle="1" w:styleId="xl65">
    <w:name w:val="xl65"/>
    <w:basedOn w:val="Normal"/>
    <w:rsid w:val="00B524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6">
    <w:name w:val="xl66"/>
    <w:basedOn w:val="Normal"/>
    <w:rsid w:val="00B524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67">
    <w:name w:val="xl67"/>
    <w:basedOn w:val="Normal"/>
    <w:rsid w:val="00B524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B3B3B"/>
      <w:sz w:val="24"/>
      <w:szCs w:val="24"/>
    </w:rPr>
  </w:style>
  <w:style w:type="paragraph" w:customStyle="1" w:styleId="xl68">
    <w:name w:val="xl68"/>
    <w:basedOn w:val="Normal"/>
    <w:rsid w:val="00B524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69">
    <w:name w:val="xl69"/>
    <w:basedOn w:val="Normal"/>
    <w:rsid w:val="00B524F2"/>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3B3B3B"/>
      <w:sz w:val="24"/>
      <w:szCs w:val="24"/>
    </w:rPr>
  </w:style>
  <w:style w:type="paragraph" w:customStyle="1" w:styleId="xl70">
    <w:name w:val="xl70"/>
    <w:basedOn w:val="Normal"/>
    <w:rsid w:val="00B524F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b/>
      <w:bCs/>
      <w:i/>
      <w:iCs/>
      <w:color w:val="000000"/>
      <w:sz w:val="20"/>
    </w:rPr>
  </w:style>
  <w:style w:type="paragraph" w:customStyle="1" w:styleId="xl71">
    <w:name w:val="xl71"/>
    <w:basedOn w:val="Normal"/>
    <w:rsid w:val="00B524F2"/>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000000"/>
      <w:sz w:val="24"/>
      <w:szCs w:val="24"/>
    </w:rPr>
  </w:style>
  <w:style w:type="paragraph" w:customStyle="1" w:styleId="xl72">
    <w:name w:val="xl72"/>
    <w:basedOn w:val="Normal"/>
    <w:rsid w:val="00B524F2"/>
    <w:pPr>
      <w:shd w:val="clear" w:color="000000" w:fill="CCFF99"/>
      <w:spacing w:before="100" w:beforeAutospacing="1" w:after="100" w:afterAutospacing="1"/>
    </w:pPr>
    <w:rPr>
      <w:rFonts w:ascii="Times New Roman" w:hAnsi="Times New Roman" w:cs="Times New Roman"/>
      <w:sz w:val="24"/>
      <w:szCs w:val="24"/>
    </w:rPr>
  </w:style>
  <w:style w:type="paragraph" w:customStyle="1" w:styleId="xl73">
    <w:name w:val="xl73"/>
    <w:basedOn w:val="Normal"/>
    <w:rsid w:val="00B524F2"/>
    <w:pPr>
      <w:spacing w:before="100" w:beforeAutospacing="1" w:after="100" w:afterAutospacing="1"/>
      <w:jc w:val="center"/>
      <w:textAlignment w:val="center"/>
    </w:pPr>
    <w:rPr>
      <w:sz w:val="24"/>
      <w:szCs w:val="24"/>
    </w:rPr>
  </w:style>
  <w:style w:type="paragraph" w:customStyle="1" w:styleId="xl74">
    <w:name w:val="xl74"/>
    <w:basedOn w:val="Normal"/>
    <w:rsid w:val="00B524F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sz w:val="24"/>
      <w:szCs w:val="24"/>
    </w:rPr>
  </w:style>
  <w:style w:type="paragraph" w:customStyle="1" w:styleId="xl75">
    <w:name w:val="xl75"/>
    <w:basedOn w:val="Normal"/>
    <w:rsid w:val="00B524F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color w:val="000000"/>
      <w:sz w:val="24"/>
      <w:szCs w:val="24"/>
    </w:rPr>
  </w:style>
  <w:style w:type="paragraph" w:customStyle="1" w:styleId="xl76">
    <w:name w:val="xl76"/>
    <w:basedOn w:val="Normal"/>
    <w:rsid w:val="00B524F2"/>
    <w:pPr>
      <w:shd w:val="clear" w:color="000000" w:fill="99FF66"/>
      <w:spacing w:before="100" w:beforeAutospacing="1" w:after="100" w:afterAutospacing="1"/>
      <w:jc w:val="center"/>
      <w:textAlignment w:val="center"/>
    </w:pPr>
    <w:rPr>
      <w:sz w:val="24"/>
      <w:szCs w:val="24"/>
    </w:rPr>
  </w:style>
  <w:style w:type="paragraph" w:customStyle="1" w:styleId="xl77">
    <w:name w:val="xl77"/>
    <w:basedOn w:val="Normal"/>
    <w:rsid w:val="00B524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79">
    <w:name w:val="xl79"/>
    <w:basedOn w:val="Normal"/>
    <w:rsid w:val="00B524F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sz w:val="24"/>
      <w:szCs w:val="24"/>
    </w:rPr>
  </w:style>
  <w:style w:type="paragraph" w:customStyle="1" w:styleId="xl80">
    <w:name w:val="xl80"/>
    <w:basedOn w:val="Normal"/>
    <w:rsid w:val="00B524F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b/>
      <w:bCs/>
      <w:i/>
      <w:iCs/>
      <w:color w:val="000000"/>
      <w:sz w:val="20"/>
    </w:rPr>
  </w:style>
  <w:style w:type="paragraph" w:customStyle="1" w:styleId="xl81">
    <w:name w:val="xl81"/>
    <w:basedOn w:val="Normal"/>
    <w:rsid w:val="00B524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82">
    <w:name w:val="xl82"/>
    <w:basedOn w:val="Normal"/>
    <w:rsid w:val="00B524F2"/>
    <w:pPr>
      <w:spacing w:before="100" w:beforeAutospacing="1" w:after="100" w:afterAutospacing="1"/>
      <w:jc w:val="center"/>
    </w:pPr>
    <w:rPr>
      <w:color w:val="000000"/>
      <w:sz w:val="18"/>
      <w:szCs w:val="18"/>
    </w:rPr>
  </w:style>
  <w:style w:type="character" w:customStyle="1" w:styleId="FooterChar">
    <w:name w:val="Footer Char"/>
    <w:basedOn w:val="DefaultParagraphFont"/>
    <w:link w:val="Footer"/>
    <w:uiPriority w:val="99"/>
    <w:rsid w:val="000D3EA3"/>
    <w:rPr>
      <w:rFonts w:ascii="Arial" w:hAnsi="Arial" w:cs="Arial"/>
      <w:sz w:val="22"/>
    </w:rPr>
  </w:style>
  <w:style w:type="character" w:customStyle="1" w:styleId="HeaderChar">
    <w:name w:val="Header Char"/>
    <w:basedOn w:val="DefaultParagraphFont"/>
    <w:link w:val="Header"/>
    <w:uiPriority w:val="99"/>
    <w:rsid w:val="000D3EA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81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2B1EE-95A4-479F-9D22-D87F3FC7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4208</Words>
  <Characters>21722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MM/A/49/-- (Arabic)</vt:lpstr>
    </vt:vector>
  </TitlesOfParts>
  <Company>World Intellectual Property Organization</Company>
  <LinksUpToDate>false</LinksUpToDate>
  <CharactersWithSpaces>25879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MM/A/49/-- (Arabic)</dc:title>
  <dc:creator>YOUSSEF Randa</dc:creator>
  <cp:lastModifiedBy>MARIN-CUDRAZ DAVI Nicoletta</cp:lastModifiedBy>
  <cp:revision>7</cp:revision>
  <cp:lastPrinted>2016-01-14T13:34:00Z</cp:lastPrinted>
  <dcterms:created xsi:type="dcterms:W3CDTF">2015-11-02T12:25:00Z</dcterms:created>
  <dcterms:modified xsi:type="dcterms:W3CDTF">2016-01-28T13:26:00Z</dcterms:modified>
</cp:coreProperties>
</file>