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667B6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Default="001667B6" w:rsidP="00AD6672">
            <w:pPr>
              <w:keepNext/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Default="00772E46" w:rsidP="00AD6672">
            <w:pPr>
              <w:keepNext/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inline distT="0" distB="0" distL="0" distR="0" wp14:anchorId="7AEEB2D1" wp14:editId="324EF71C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1667B6" w:rsidRDefault="001667B6" w:rsidP="00AD6672">
            <w:pPr>
              <w:keepNext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B6101C" w:rsidRDefault="00AC3E1F" w:rsidP="00AF4CC6">
            <w:pPr>
              <w:pStyle w:val="DocumentCodeAR"/>
              <w:keepNext/>
              <w:bidi/>
              <w:rPr>
                <w:rtl/>
              </w:rPr>
            </w:pPr>
            <w:r>
              <w:t>MM</w:t>
            </w:r>
            <w:r w:rsidR="00772E46">
              <w:t>/</w:t>
            </w:r>
            <w:r w:rsidR="0059089F">
              <w:t>A</w:t>
            </w:r>
            <w:r w:rsidR="00100F97">
              <w:t>/</w:t>
            </w:r>
            <w:r w:rsidR="00AF4CC6">
              <w:t>49</w:t>
            </w:r>
            <w:r w:rsidR="00044F69">
              <w:t>/2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044F69" w:rsidP="00AD6672">
            <w:pPr>
              <w:pStyle w:val="DocumentLanguageAR"/>
              <w:keepNext/>
              <w:bidi/>
              <w:rPr>
                <w:rtl/>
                <w:lang w:bidi="ar-AE"/>
              </w:rPr>
            </w:pPr>
            <w:r>
              <w:rPr>
                <w:rFonts w:hint="cs"/>
                <w:rtl/>
              </w:rPr>
              <w:t xml:space="preserve">الأصل: </w:t>
            </w:r>
            <w:r>
              <w:rPr>
                <w:rFonts w:hint="cs"/>
                <w:rtl/>
                <w:lang w:bidi="ar-AE"/>
              </w:rPr>
              <w:t>بالإنكليزية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AF4CC6">
            <w:pPr>
              <w:pStyle w:val="DocumentDateAR"/>
              <w:keepNext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التاريخ: </w:t>
            </w:r>
            <w:r w:rsidR="00AF4CC6">
              <w:rPr>
                <w:rFonts w:hint="cs"/>
                <w:rtl/>
              </w:rPr>
              <w:t>7</w:t>
            </w:r>
            <w:r w:rsidRPr="00B6101C">
              <w:rPr>
                <w:rFonts w:hint="cs"/>
                <w:rtl/>
              </w:rPr>
              <w:t xml:space="preserve"> </w:t>
            </w:r>
            <w:r w:rsidR="00044F69">
              <w:rPr>
                <w:rFonts w:hint="cs"/>
                <w:rtl/>
              </w:rPr>
              <w:t>يونيو</w:t>
            </w:r>
            <w:r w:rsidRPr="00B6101C">
              <w:rPr>
                <w:rFonts w:hint="cs"/>
                <w:rtl/>
              </w:rPr>
              <w:t xml:space="preserve"> </w:t>
            </w:r>
            <w:r w:rsidR="00AF4CC6">
              <w:rPr>
                <w:rFonts w:hint="cs"/>
                <w:rtl/>
              </w:rPr>
              <w:t>2015</w:t>
            </w:r>
          </w:p>
        </w:tc>
      </w:tr>
    </w:tbl>
    <w:p w:rsidR="000F5E56" w:rsidRDefault="000F5E56" w:rsidP="000849FE">
      <w:pPr>
        <w:widowControl w:val="0"/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Default="001667B6" w:rsidP="000849FE">
      <w:pPr>
        <w:widowControl w:val="0"/>
        <w:bidi/>
        <w:spacing w:line="360" w:lineRule="exact"/>
        <w:rPr>
          <w:rFonts w:ascii="Arabic Typesetting" w:hAnsi="Arabic Typesetting" w:cs="Arabic Typesetting"/>
          <w:sz w:val="36"/>
          <w:szCs w:val="36"/>
        </w:rPr>
      </w:pPr>
    </w:p>
    <w:p w:rsidR="000438DD" w:rsidRDefault="000438DD" w:rsidP="000849FE">
      <w:pPr>
        <w:widowControl w:val="0"/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E1775E" w:rsidRDefault="00E1775E" w:rsidP="000849FE">
      <w:pPr>
        <w:pStyle w:val="MeetingTitleAR"/>
        <w:widowControl w:val="0"/>
        <w:bidi/>
        <w:rPr>
          <w:rtl/>
        </w:rPr>
      </w:pPr>
      <w:r>
        <w:rPr>
          <w:rFonts w:hint="cs"/>
          <w:rtl/>
        </w:rPr>
        <w:t>الاتحاد الخاص للتسجيل الدولي للعلامات</w:t>
      </w:r>
    </w:p>
    <w:p w:rsidR="00E1775E" w:rsidRPr="00840AF7" w:rsidRDefault="00E1775E" w:rsidP="000849FE">
      <w:pPr>
        <w:pStyle w:val="NormalParaAR"/>
        <w:widowControl w:val="0"/>
        <w:rPr>
          <w:rFonts w:cs="PT Bold Heading"/>
          <w:sz w:val="32"/>
          <w:szCs w:val="32"/>
          <w:rtl/>
        </w:rPr>
      </w:pPr>
      <w:r w:rsidRPr="00840AF7">
        <w:rPr>
          <w:rFonts w:cs="PT Bold Heading" w:hint="cs"/>
          <w:sz w:val="32"/>
          <w:szCs w:val="32"/>
          <w:rtl/>
        </w:rPr>
        <w:t>(اتحاد مدريد)</w:t>
      </w:r>
    </w:p>
    <w:p w:rsidR="00F27305" w:rsidRDefault="00F27305" w:rsidP="000849FE">
      <w:pPr>
        <w:widowControl w:val="0"/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59089F" w:rsidRDefault="000438DD" w:rsidP="000849FE">
      <w:pPr>
        <w:pStyle w:val="MeetingTitleAR"/>
        <w:widowControl w:val="0"/>
        <w:bidi/>
        <w:ind w:right="550"/>
        <w:rPr>
          <w:rtl/>
          <w:lang w:val="fr-CH"/>
        </w:rPr>
      </w:pPr>
      <w:r>
        <w:rPr>
          <w:rFonts w:hint="cs"/>
          <w:rtl/>
          <w:lang w:val="fr-CH"/>
        </w:rPr>
        <w:t>الجمعية</w:t>
      </w:r>
    </w:p>
    <w:p w:rsidR="001667B6" w:rsidRDefault="001667B6" w:rsidP="000849FE">
      <w:pPr>
        <w:widowControl w:val="0"/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783D11" w:rsidRDefault="00E1775E" w:rsidP="006B1E65">
      <w:pPr>
        <w:pStyle w:val="MeetingSessionAR"/>
        <w:widowControl w:val="0"/>
        <w:bidi/>
        <w:rPr>
          <w:rFonts w:ascii="Cambria Math" w:hAnsi="Cambria Math"/>
          <w:rtl/>
        </w:rPr>
      </w:pPr>
      <w:r>
        <w:rPr>
          <w:rFonts w:ascii="Cambria Math" w:hAnsi="Cambria Math"/>
          <w:rtl/>
        </w:rPr>
        <w:t>الدورة</w:t>
      </w:r>
      <w:r>
        <w:rPr>
          <w:rFonts w:ascii="Cambria Math" w:hAnsi="Cambria Math" w:hint="cs"/>
          <w:rtl/>
          <w:lang w:val="fr-CH"/>
        </w:rPr>
        <w:t xml:space="preserve"> </w:t>
      </w:r>
      <w:r w:rsidR="006B1E65">
        <w:rPr>
          <w:rFonts w:ascii="Cambria Math" w:hAnsi="Cambria Math" w:hint="cs"/>
          <w:rtl/>
          <w:lang w:val="fr-CH"/>
        </w:rPr>
        <w:t>التاسعة</w:t>
      </w:r>
      <w:r>
        <w:rPr>
          <w:rFonts w:ascii="Cambria Math" w:hAnsi="Cambria Math" w:hint="cs"/>
          <w:rtl/>
          <w:lang w:val="fr-CH"/>
        </w:rPr>
        <w:t xml:space="preserve"> </w:t>
      </w:r>
      <w:r w:rsidR="000438DD">
        <w:rPr>
          <w:rFonts w:ascii="Cambria Math" w:hAnsi="Cambria Math" w:hint="cs"/>
          <w:rtl/>
        </w:rPr>
        <w:t>و</w:t>
      </w:r>
      <w:r>
        <w:rPr>
          <w:rFonts w:ascii="Cambria Math" w:hAnsi="Cambria Math" w:hint="cs"/>
          <w:rtl/>
        </w:rPr>
        <w:t xml:space="preserve">الأربعون </w:t>
      </w:r>
      <w:r w:rsidR="0059089F" w:rsidRPr="0059089F">
        <w:rPr>
          <w:rFonts w:ascii="Cambria Math" w:hAnsi="Cambria Math"/>
          <w:rtl/>
        </w:rPr>
        <w:t xml:space="preserve">(الدورة </w:t>
      </w:r>
      <w:r w:rsidR="006B1E65">
        <w:rPr>
          <w:rFonts w:ascii="Cambria Math" w:hAnsi="Cambria Math" w:hint="cs"/>
          <w:rtl/>
        </w:rPr>
        <w:t>العادية</w:t>
      </w:r>
      <w:r w:rsidR="0059089F">
        <w:rPr>
          <w:rFonts w:ascii="Cambria Math" w:hAnsi="Cambria Math" w:hint="cs"/>
          <w:rtl/>
        </w:rPr>
        <w:t xml:space="preserve"> </w:t>
      </w:r>
      <w:r w:rsidR="006B1E65">
        <w:rPr>
          <w:rFonts w:ascii="Cambria Math" w:hAnsi="Cambria Math" w:hint="cs"/>
          <w:rtl/>
        </w:rPr>
        <w:t>الحادية</w:t>
      </w:r>
      <w:r w:rsidR="00090597">
        <w:rPr>
          <w:rFonts w:ascii="Cambria Math" w:hAnsi="Cambria Math" w:hint="cs"/>
          <w:rtl/>
        </w:rPr>
        <w:t xml:space="preserve"> و</w:t>
      </w:r>
      <w:r w:rsidR="0059089F" w:rsidRPr="0059089F">
        <w:rPr>
          <w:rFonts w:ascii="Cambria Math" w:hAnsi="Cambria Math"/>
          <w:rtl/>
        </w:rPr>
        <w:t>العشرون)</w:t>
      </w:r>
    </w:p>
    <w:p w:rsidR="00D61541" w:rsidRPr="00D61541" w:rsidRDefault="00D61541" w:rsidP="00A13266">
      <w:pPr>
        <w:pStyle w:val="MeetingDatesAR"/>
        <w:widowControl w:val="0"/>
        <w:bidi/>
        <w:rPr>
          <w:rtl/>
        </w:rPr>
      </w:pPr>
      <w:r w:rsidRPr="00D61541">
        <w:rPr>
          <w:rFonts w:hint="cs"/>
          <w:rtl/>
        </w:rPr>
        <w:t xml:space="preserve">جنيف، من </w:t>
      </w:r>
      <w:r w:rsidR="00A13266">
        <w:rPr>
          <w:rFonts w:hint="cs"/>
          <w:rtl/>
        </w:rPr>
        <w:t>5</w:t>
      </w:r>
      <w:r w:rsidR="00983389">
        <w:rPr>
          <w:rFonts w:hint="cs"/>
          <w:rtl/>
        </w:rPr>
        <w:t xml:space="preserve"> </w:t>
      </w:r>
      <w:r w:rsidR="00100F97">
        <w:rPr>
          <w:rFonts w:hint="cs"/>
          <w:rtl/>
        </w:rPr>
        <w:t xml:space="preserve">إلى </w:t>
      </w:r>
      <w:r w:rsidR="00A13266">
        <w:rPr>
          <w:rFonts w:hint="cs"/>
          <w:rtl/>
        </w:rPr>
        <w:t>14</w:t>
      </w:r>
      <w:r w:rsidR="00783D11">
        <w:rPr>
          <w:rFonts w:hint="cs"/>
          <w:rtl/>
        </w:rPr>
        <w:t xml:space="preserve"> </w:t>
      </w:r>
      <w:r w:rsidR="00A13266">
        <w:rPr>
          <w:rFonts w:hint="cs"/>
          <w:rtl/>
        </w:rPr>
        <w:t>أكتوبر</w:t>
      </w:r>
      <w:r w:rsidR="000D7BA7">
        <w:rPr>
          <w:rFonts w:hint="cs"/>
          <w:rtl/>
        </w:rPr>
        <w:t xml:space="preserve"> </w:t>
      </w:r>
      <w:r w:rsidR="00A13266">
        <w:rPr>
          <w:rFonts w:hint="cs"/>
          <w:rtl/>
        </w:rPr>
        <w:t>2015</w:t>
      </w:r>
    </w:p>
    <w:p w:rsidR="00D61541" w:rsidRDefault="00D61541" w:rsidP="000849FE">
      <w:pPr>
        <w:widowControl w:val="0"/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Default="00D61541" w:rsidP="000849FE">
      <w:pPr>
        <w:widowControl w:val="0"/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090597" w:rsidRPr="00C75510" w:rsidRDefault="00E94EBB" w:rsidP="00A93F58">
      <w:pPr>
        <w:pStyle w:val="DocumentTitleAR"/>
        <w:bidi/>
        <w:rPr>
          <w:i/>
          <w:iCs/>
          <w:rtl/>
        </w:rPr>
      </w:pPr>
      <w:r>
        <w:rPr>
          <w:rFonts w:hint="cs"/>
          <w:rtl/>
        </w:rPr>
        <w:t>تقرير مرح</w:t>
      </w:r>
      <w:r w:rsidR="00A93F58">
        <w:rPr>
          <w:rFonts w:hint="cs"/>
          <w:rtl/>
        </w:rPr>
        <w:t xml:space="preserve">لي عن </w:t>
      </w:r>
      <w:r w:rsidR="00090597" w:rsidRPr="00C75510">
        <w:rPr>
          <w:rtl/>
        </w:rPr>
        <w:t>قاعدة بيانات نظام مدريد بشأن السلع والخدمات</w:t>
      </w:r>
    </w:p>
    <w:p w:rsidR="00D61541" w:rsidRDefault="00D61541" w:rsidP="000849FE">
      <w:pPr>
        <w:pStyle w:val="PreparedbyAR"/>
        <w:bidi/>
        <w:rPr>
          <w:rtl/>
        </w:rPr>
      </w:pPr>
      <w:r w:rsidRPr="00D61541">
        <w:rPr>
          <w:rFonts w:hint="cs"/>
          <w:rtl/>
        </w:rPr>
        <w:t xml:space="preserve">من </w:t>
      </w:r>
      <w:r w:rsidRPr="00931859">
        <w:rPr>
          <w:rFonts w:hint="cs"/>
          <w:rtl/>
        </w:rPr>
        <w:t>إعداد</w:t>
      </w:r>
      <w:r w:rsidR="00090597">
        <w:rPr>
          <w:rFonts w:hint="cs"/>
          <w:rtl/>
        </w:rPr>
        <w:t xml:space="preserve"> </w:t>
      </w:r>
      <w:r w:rsidR="00090597" w:rsidRPr="000849FE">
        <w:rPr>
          <w:rFonts w:hint="cs"/>
          <w:rtl/>
        </w:rPr>
        <w:t>المكتب</w:t>
      </w:r>
      <w:r w:rsidR="00090597">
        <w:rPr>
          <w:rFonts w:hint="cs"/>
          <w:rtl/>
        </w:rPr>
        <w:t xml:space="preserve"> الدولي</w:t>
      </w:r>
    </w:p>
    <w:p w:rsidR="00090597" w:rsidRPr="00C75510" w:rsidRDefault="00090597" w:rsidP="000849FE">
      <w:pPr>
        <w:pStyle w:val="Heading1AR"/>
        <w:rPr>
          <w:rtl/>
        </w:rPr>
      </w:pPr>
      <w:r w:rsidRPr="00C75510">
        <w:rPr>
          <w:rtl/>
        </w:rPr>
        <w:t>مقدمة</w:t>
      </w:r>
    </w:p>
    <w:p w:rsidR="00090597" w:rsidRPr="00734723" w:rsidRDefault="00090597" w:rsidP="000849FE">
      <w:pPr>
        <w:pStyle w:val="NumberedParaAR"/>
        <w:widowControl w:val="0"/>
      </w:pPr>
      <w:r w:rsidRPr="00734723">
        <w:rPr>
          <w:rtl/>
        </w:rPr>
        <w:t xml:space="preserve">الغرض من هذه الوثيقة هو </w:t>
      </w:r>
      <w:r w:rsidR="00635B6F" w:rsidRPr="00734723">
        <w:rPr>
          <w:rFonts w:hint="cs"/>
          <w:rtl/>
        </w:rPr>
        <w:t>تقديم</w:t>
      </w:r>
      <w:r w:rsidRPr="00734723">
        <w:rPr>
          <w:rtl/>
        </w:rPr>
        <w:t xml:space="preserve"> </w:t>
      </w:r>
      <w:r w:rsidRPr="00734723">
        <w:rPr>
          <w:rFonts w:hint="cs"/>
          <w:rtl/>
        </w:rPr>
        <w:t xml:space="preserve">تقرير مرحلي عن </w:t>
      </w:r>
      <w:r w:rsidR="004D16A8" w:rsidRPr="00734723">
        <w:rPr>
          <w:rFonts w:hint="cs"/>
          <w:rtl/>
        </w:rPr>
        <w:t>استحداث</w:t>
      </w:r>
      <w:r w:rsidRPr="00734723">
        <w:rPr>
          <w:rFonts w:hint="cs"/>
          <w:rtl/>
        </w:rPr>
        <w:t xml:space="preserve"> قاعدة </w:t>
      </w:r>
      <w:r w:rsidRPr="00734723">
        <w:rPr>
          <w:rtl/>
        </w:rPr>
        <w:t>تضم بيانات السلع والخدمات المقبولة لأغراض إجراءات نظام مدريد</w:t>
      </w:r>
      <w:r w:rsidRPr="00734723">
        <w:rPr>
          <w:rFonts w:hint="cs"/>
          <w:rtl/>
        </w:rPr>
        <w:t xml:space="preserve"> (والمشار إليها فيما يلي </w:t>
      </w:r>
      <w:r w:rsidR="00635B6F" w:rsidRPr="00734723">
        <w:rPr>
          <w:rFonts w:hint="cs"/>
          <w:rtl/>
        </w:rPr>
        <w:t>باسم</w:t>
      </w:r>
      <w:r w:rsidRPr="00734723">
        <w:rPr>
          <w:rFonts w:hint="cs"/>
          <w:rtl/>
        </w:rPr>
        <w:t xml:space="preserve"> </w:t>
      </w:r>
      <w:r w:rsidR="00E63D73" w:rsidRPr="00734723">
        <w:rPr>
          <w:rFonts w:hint="cs"/>
          <w:rtl/>
        </w:rPr>
        <w:t>"</w:t>
      </w:r>
      <w:r w:rsidRPr="00734723">
        <w:rPr>
          <w:rFonts w:hint="cs"/>
          <w:rtl/>
        </w:rPr>
        <w:t>ق</w:t>
      </w:r>
      <w:r w:rsidRPr="00734723">
        <w:rPr>
          <w:rtl/>
        </w:rPr>
        <w:t>اعدة بيانات</w:t>
      </w:r>
      <w:r w:rsidR="00760433" w:rsidRPr="00734723">
        <w:rPr>
          <w:rFonts w:hint="cs"/>
          <w:rtl/>
        </w:rPr>
        <w:t xml:space="preserve"> </w:t>
      </w:r>
      <w:r w:rsidR="00760433" w:rsidRPr="00734723">
        <w:rPr>
          <w:rtl/>
        </w:rPr>
        <w:t>نظام مدريد</w:t>
      </w:r>
      <w:r w:rsidRPr="00734723">
        <w:rPr>
          <w:rtl/>
        </w:rPr>
        <w:t xml:space="preserve"> </w:t>
      </w:r>
      <w:r w:rsidR="00760433" w:rsidRPr="00734723">
        <w:rPr>
          <w:rFonts w:hint="cs"/>
          <w:rtl/>
        </w:rPr>
        <w:t xml:space="preserve">بشأن </w:t>
      </w:r>
      <w:r w:rsidR="00760433" w:rsidRPr="00734723">
        <w:rPr>
          <w:rtl/>
        </w:rPr>
        <w:t>السلع والخدمات</w:t>
      </w:r>
      <w:r w:rsidR="00E63D73" w:rsidRPr="00734723">
        <w:rPr>
          <w:rFonts w:hint="cs"/>
          <w:rtl/>
        </w:rPr>
        <w:t>"</w:t>
      </w:r>
      <w:r w:rsidR="00635B6F" w:rsidRPr="00734723">
        <w:rPr>
          <w:rFonts w:hint="cs"/>
          <w:rtl/>
        </w:rPr>
        <w:t xml:space="preserve"> </w:t>
      </w:r>
      <w:r w:rsidR="00635B6F" w:rsidRPr="00734723">
        <w:rPr>
          <w:rFonts w:eastAsia="Arial"/>
          <w:rtl/>
          <w:lang w:val="ar-SA"/>
        </w:rPr>
        <w:t>أو "قاعدة بيانات السلع والخدمات"</w:t>
      </w:r>
      <w:r w:rsidR="00E63D73" w:rsidRPr="00734723">
        <w:rPr>
          <w:rFonts w:hint="cs"/>
          <w:rtl/>
        </w:rPr>
        <w:t>).</w:t>
      </w:r>
    </w:p>
    <w:p w:rsidR="00E63D73" w:rsidRPr="00734723" w:rsidRDefault="00E63D73" w:rsidP="0085258F">
      <w:pPr>
        <w:pStyle w:val="NumberedParaAR"/>
      </w:pPr>
      <w:r w:rsidRPr="00734723">
        <w:rPr>
          <w:rFonts w:hint="cs"/>
          <w:rtl/>
        </w:rPr>
        <w:t>و</w:t>
      </w:r>
      <w:r w:rsidR="00635B6F" w:rsidRPr="00734723">
        <w:rPr>
          <w:rFonts w:hint="cs"/>
          <w:rtl/>
        </w:rPr>
        <w:t xml:space="preserve">قد وافقت </w:t>
      </w:r>
      <w:r w:rsidR="00635B6F" w:rsidRPr="00734723">
        <w:rPr>
          <w:rtl/>
        </w:rPr>
        <w:t>جمعية اتحاد مدريد</w:t>
      </w:r>
      <w:r w:rsidR="00635B6F" w:rsidRPr="00734723">
        <w:rPr>
          <w:rFonts w:hint="cs"/>
          <w:rtl/>
        </w:rPr>
        <w:t xml:space="preserve"> </w:t>
      </w:r>
      <w:r w:rsidRPr="00734723">
        <w:rPr>
          <w:rFonts w:hint="cs"/>
          <w:rtl/>
        </w:rPr>
        <w:t>في سبتمبر 2009</w:t>
      </w:r>
      <w:r w:rsidRPr="00734723">
        <w:rPr>
          <w:rtl/>
        </w:rPr>
        <w:t xml:space="preserve"> على</w:t>
      </w:r>
      <w:r w:rsidRPr="00734723">
        <w:rPr>
          <w:rFonts w:hint="cs"/>
          <w:rtl/>
        </w:rPr>
        <w:t xml:space="preserve"> مشروع </w:t>
      </w:r>
      <w:r w:rsidR="00635B6F" w:rsidRPr="00734723">
        <w:rPr>
          <w:rFonts w:hint="cs"/>
          <w:rtl/>
        </w:rPr>
        <w:t>مدته</w:t>
      </w:r>
      <w:r w:rsidRPr="00734723">
        <w:rPr>
          <w:rFonts w:hint="cs"/>
          <w:rtl/>
        </w:rPr>
        <w:t xml:space="preserve"> </w:t>
      </w:r>
      <w:r w:rsidR="00635B6F" w:rsidRPr="00734723">
        <w:rPr>
          <w:rFonts w:hint="cs"/>
          <w:rtl/>
        </w:rPr>
        <w:t>سنتان</w:t>
      </w:r>
      <w:r w:rsidRPr="00734723">
        <w:rPr>
          <w:rFonts w:hint="cs"/>
          <w:rtl/>
        </w:rPr>
        <w:t xml:space="preserve"> يهدف إلى </w:t>
      </w:r>
      <w:r w:rsidR="004D16A8" w:rsidRPr="00734723">
        <w:rPr>
          <w:rFonts w:hint="cs"/>
          <w:rtl/>
        </w:rPr>
        <w:t>إنشاء</w:t>
      </w:r>
      <w:r w:rsidRPr="00734723">
        <w:rPr>
          <w:rFonts w:hint="cs"/>
          <w:rtl/>
        </w:rPr>
        <w:t xml:space="preserve"> ق</w:t>
      </w:r>
      <w:r w:rsidRPr="00734723">
        <w:rPr>
          <w:rtl/>
        </w:rPr>
        <w:t>اعدة</w:t>
      </w:r>
      <w:r w:rsidRPr="00734723">
        <w:rPr>
          <w:rFonts w:hint="cs"/>
          <w:rtl/>
        </w:rPr>
        <w:t xml:space="preserve"> </w:t>
      </w:r>
      <w:r w:rsidRPr="00734723">
        <w:rPr>
          <w:rtl/>
        </w:rPr>
        <w:t>بيانات</w:t>
      </w:r>
      <w:r w:rsidR="004D16A8" w:rsidRPr="00734723">
        <w:rPr>
          <w:rFonts w:hint="cs"/>
          <w:rtl/>
        </w:rPr>
        <w:t xml:space="preserve"> بشأن</w:t>
      </w:r>
      <w:r w:rsidRPr="00734723">
        <w:rPr>
          <w:rtl/>
        </w:rPr>
        <w:t xml:space="preserve"> السلع والخدمات </w:t>
      </w:r>
      <w:r w:rsidR="00635B6F" w:rsidRPr="00734723">
        <w:rPr>
          <w:rFonts w:hint="cs"/>
          <w:rtl/>
        </w:rPr>
        <w:t>على النحو الموضح</w:t>
      </w:r>
      <w:r w:rsidRPr="00734723">
        <w:rPr>
          <w:rFonts w:hint="cs"/>
          <w:rtl/>
        </w:rPr>
        <w:t xml:space="preserve"> في الوثيقة </w:t>
      </w:r>
      <w:r w:rsidRPr="00734723">
        <w:t>MM/A/42/3</w:t>
      </w:r>
      <w:r w:rsidR="00635B6F" w:rsidRPr="00734723">
        <w:rPr>
          <w:rFonts w:hint="cs"/>
          <w:rtl/>
        </w:rPr>
        <w:t>.</w:t>
      </w:r>
      <w:r w:rsidRPr="00734723">
        <w:rPr>
          <w:rFonts w:hint="cs"/>
          <w:rtl/>
        </w:rPr>
        <w:t xml:space="preserve"> وخصص الصندوق الاحتياطي </w:t>
      </w:r>
      <w:r w:rsidR="00635B6F" w:rsidRPr="00734723">
        <w:rPr>
          <w:rFonts w:hint="cs"/>
          <w:rtl/>
        </w:rPr>
        <w:t>لاتحاد</w:t>
      </w:r>
      <w:r w:rsidRPr="00734723">
        <w:rPr>
          <w:rFonts w:hint="cs"/>
          <w:rtl/>
        </w:rPr>
        <w:t xml:space="preserve"> مدريد مبلغ </w:t>
      </w:r>
      <w:r w:rsidR="009A4F99" w:rsidRPr="00734723">
        <w:rPr>
          <w:rFonts w:hint="cs"/>
          <w:rtl/>
        </w:rPr>
        <w:t>1,2</w:t>
      </w:r>
      <w:r w:rsidRPr="00734723">
        <w:rPr>
          <w:rFonts w:hint="cs"/>
          <w:rtl/>
        </w:rPr>
        <w:t xml:space="preserve"> مليون فرنك سويسري </w:t>
      </w:r>
      <w:r w:rsidR="00635B6F" w:rsidRPr="00734723">
        <w:rPr>
          <w:rFonts w:hint="cs"/>
          <w:rtl/>
        </w:rPr>
        <w:t xml:space="preserve">لتنفيذه </w:t>
      </w:r>
      <w:r w:rsidRPr="00734723">
        <w:rPr>
          <w:rtl/>
        </w:rPr>
        <w:t xml:space="preserve">خلال </w:t>
      </w:r>
      <w:r w:rsidR="009A4F99" w:rsidRPr="00734723">
        <w:rPr>
          <w:rFonts w:hint="cs"/>
          <w:rtl/>
        </w:rPr>
        <w:t>الثنائية</w:t>
      </w:r>
      <w:r w:rsidRPr="00734723">
        <w:rPr>
          <w:rtl/>
        </w:rPr>
        <w:t xml:space="preserve"> 2010-2011</w:t>
      </w:r>
      <w:r w:rsidRPr="00734723">
        <w:rPr>
          <w:rFonts w:hint="cs"/>
          <w:rtl/>
        </w:rPr>
        <w:t xml:space="preserve"> (</w:t>
      </w:r>
      <w:r w:rsidR="009A4F99" w:rsidRPr="00734723">
        <w:rPr>
          <w:rFonts w:hint="cs"/>
          <w:rtl/>
        </w:rPr>
        <w:t>ا</w:t>
      </w:r>
      <w:r w:rsidR="00635B6F" w:rsidRPr="00734723">
        <w:rPr>
          <w:rFonts w:hint="cs"/>
          <w:rtl/>
        </w:rPr>
        <w:t>نظر</w:t>
      </w:r>
      <w:r w:rsidRPr="00734723">
        <w:rPr>
          <w:rFonts w:hint="cs"/>
          <w:rtl/>
        </w:rPr>
        <w:t xml:space="preserve"> الفقرة 28 من الوثيقة </w:t>
      </w:r>
      <w:r w:rsidRPr="00734723">
        <w:t>MM/A/42/4</w:t>
      </w:r>
      <w:r w:rsidRPr="00734723">
        <w:rPr>
          <w:rFonts w:hint="cs"/>
          <w:rtl/>
        </w:rPr>
        <w:t xml:space="preserve">). </w:t>
      </w:r>
      <w:r w:rsidR="00635B6F" w:rsidRPr="00734723">
        <w:rPr>
          <w:rFonts w:hint="cs"/>
          <w:rtl/>
        </w:rPr>
        <w:t>وقُدمت</w:t>
      </w:r>
      <w:r w:rsidRPr="00734723">
        <w:rPr>
          <w:rFonts w:hint="cs"/>
          <w:rtl/>
        </w:rPr>
        <w:t xml:space="preserve"> </w:t>
      </w:r>
      <w:r w:rsidR="00E12C02" w:rsidRPr="00734723">
        <w:rPr>
          <w:rFonts w:hint="cs"/>
          <w:rtl/>
        </w:rPr>
        <w:t>ستة</w:t>
      </w:r>
      <w:r w:rsidRPr="00734723">
        <w:rPr>
          <w:rFonts w:hint="cs"/>
          <w:rtl/>
        </w:rPr>
        <w:t xml:space="preserve"> تقارير مرحلية سابقة </w:t>
      </w:r>
      <w:r w:rsidR="00635B6F" w:rsidRPr="00734723">
        <w:rPr>
          <w:rFonts w:hint="cs"/>
          <w:rtl/>
        </w:rPr>
        <w:t>إلى</w:t>
      </w:r>
      <w:r w:rsidR="00A74A57" w:rsidRPr="00734723">
        <w:rPr>
          <w:rFonts w:hint="cs"/>
          <w:rtl/>
        </w:rPr>
        <w:t xml:space="preserve"> </w:t>
      </w:r>
      <w:r w:rsidR="00A74A57" w:rsidRPr="00734723">
        <w:rPr>
          <w:rtl/>
        </w:rPr>
        <w:t>جمعية ات</w:t>
      </w:r>
      <w:bookmarkStart w:id="2" w:name="_GoBack"/>
      <w:bookmarkEnd w:id="2"/>
      <w:r w:rsidR="00A74A57" w:rsidRPr="00734723">
        <w:rPr>
          <w:rtl/>
        </w:rPr>
        <w:t>حاد مدريد</w:t>
      </w:r>
      <w:r w:rsidR="00A74A57" w:rsidRPr="00734723">
        <w:rPr>
          <w:rFonts w:hint="cs"/>
          <w:rtl/>
        </w:rPr>
        <w:t xml:space="preserve"> (</w:t>
      </w:r>
      <w:r w:rsidR="009A4F99" w:rsidRPr="00734723">
        <w:rPr>
          <w:rFonts w:hint="cs"/>
          <w:rtl/>
        </w:rPr>
        <w:t>ا</w:t>
      </w:r>
      <w:r w:rsidR="00635B6F" w:rsidRPr="00734723">
        <w:rPr>
          <w:rFonts w:hint="cs"/>
          <w:rtl/>
        </w:rPr>
        <w:t>نظر</w:t>
      </w:r>
      <w:r w:rsidR="00A74A57" w:rsidRPr="00734723">
        <w:rPr>
          <w:rFonts w:hint="cs"/>
          <w:rtl/>
        </w:rPr>
        <w:t xml:space="preserve"> الوثائق التالية: </w:t>
      </w:r>
      <w:r w:rsidR="00A74A57" w:rsidRPr="00734723">
        <w:t>MM/A/42/3</w:t>
      </w:r>
      <w:r w:rsidR="00A74A57" w:rsidRPr="00734723">
        <w:rPr>
          <w:rFonts w:hint="cs"/>
          <w:rtl/>
        </w:rPr>
        <w:t xml:space="preserve"> و</w:t>
      </w:r>
      <w:r w:rsidR="00A74A57" w:rsidRPr="00734723">
        <w:t>MM/A/43/2</w:t>
      </w:r>
      <w:r w:rsidR="000849FE" w:rsidRPr="00734723">
        <w:rPr>
          <w:rFonts w:hint="cs"/>
          <w:rtl/>
        </w:rPr>
        <w:t xml:space="preserve"> </w:t>
      </w:r>
      <w:r w:rsidR="00A74A57" w:rsidRPr="00734723">
        <w:rPr>
          <w:rFonts w:hint="cs"/>
          <w:rtl/>
        </w:rPr>
        <w:t>و</w:t>
      </w:r>
      <w:r w:rsidR="00A74A57" w:rsidRPr="00734723">
        <w:t>MM/A/44/3</w:t>
      </w:r>
      <w:r w:rsidR="004D16A8" w:rsidRPr="00734723">
        <w:rPr>
          <w:rFonts w:hint="cs"/>
          <w:rtl/>
        </w:rPr>
        <w:t xml:space="preserve"> </w:t>
      </w:r>
      <w:r w:rsidR="00A74A57" w:rsidRPr="00734723">
        <w:rPr>
          <w:rFonts w:hint="cs"/>
          <w:rtl/>
        </w:rPr>
        <w:t>و</w:t>
      </w:r>
      <w:r w:rsidR="002A5702" w:rsidRPr="00734723">
        <w:rPr>
          <w:color w:val="000000" w:themeColor="text1"/>
        </w:rPr>
        <w:t>MM/A/45/2</w:t>
      </w:r>
      <w:r w:rsidR="009A4F99" w:rsidRPr="00734723">
        <w:rPr>
          <w:rFonts w:hint="cs"/>
          <w:color w:val="000000" w:themeColor="text1"/>
          <w:rtl/>
        </w:rPr>
        <w:t xml:space="preserve"> </w:t>
      </w:r>
      <w:r w:rsidR="004D16A8" w:rsidRPr="00734723">
        <w:rPr>
          <w:rFonts w:hint="cs"/>
          <w:color w:val="000000" w:themeColor="text1"/>
          <w:rtl/>
        </w:rPr>
        <w:t>و</w:t>
      </w:r>
      <w:r w:rsidR="0085258F" w:rsidRPr="0085258F">
        <w:rPr>
          <w:rFonts w:ascii="Arial" w:hAnsi="Arial" w:cs="Arial"/>
          <w:sz w:val="22"/>
          <w:szCs w:val="20"/>
        </w:rPr>
        <w:t xml:space="preserve"> </w:t>
      </w:r>
      <w:r w:rsidR="0085258F" w:rsidRPr="0085258F">
        <w:rPr>
          <w:color w:val="000000" w:themeColor="text1"/>
        </w:rPr>
        <w:t>MM/A/46/2 Rev.</w:t>
      </w:r>
      <w:r w:rsidR="00E12C02" w:rsidRPr="00734723">
        <w:rPr>
          <w:color w:val="000000" w:themeColor="text1"/>
          <w:rtl/>
        </w:rPr>
        <w:t xml:space="preserve"> </w:t>
      </w:r>
      <w:r w:rsidR="00E12C02" w:rsidRPr="00734723">
        <w:rPr>
          <w:rFonts w:hint="cs"/>
          <w:color w:val="000000" w:themeColor="text1"/>
          <w:rtl/>
        </w:rPr>
        <w:t>و</w:t>
      </w:r>
      <w:r w:rsidR="002A5702" w:rsidRPr="00734723">
        <w:t>MM/A/</w:t>
      </w:r>
      <w:r w:rsidR="00E12C02" w:rsidRPr="00734723">
        <w:t>48</w:t>
      </w:r>
      <w:r w:rsidR="002A5702" w:rsidRPr="00734723">
        <w:t>/2</w:t>
      </w:r>
      <w:r w:rsidR="002A5702" w:rsidRPr="00734723">
        <w:rPr>
          <w:rFonts w:hint="cs"/>
          <w:rtl/>
        </w:rPr>
        <w:t>).</w:t>
      </w:r>
    </w:p>
    <w:p w:rsidR="00603B2A" w:rsidRPr="00734723" w:rsidRDefault="002A5702" w:rsidP="009A4F99">
      <w:pPr>
        <w:pStyle w:val="NumberedParaAR"/>
      </w:pPr>
      <w:r w:rsidRPr="00734723">
        <w:rPr>
          <w:rFonts w:hint="cs"/>
          <w:rtl/>
        </w:rPr>
        <w:t>و</w:t>
      </w:r>
      <w:r w:rsidR="00635B6F" w:rsidRPr="00734723">
        <w:rPr>
          <w:rFonts w:hint="cs"/>
          <w:rtl/>
        </w:rPr>
        <w:t xml:space="preserve">انتقل المشروع، </w:t>
      </w:r>
      <w:r w:rsidRPr="00734723">
        <w:rPr>
          <w:rFonts w:hint="cs"/>
          <w:rtl/>
        </w:rPr>
        <w:t xml:space="preserve">في 1 يناير 2012، </w:t>
      </w:r>
      <w:r w:rsidR="00635B6F" w:rsidRPr="00734723">
        <w:rPr>
          <w:rFonts w:hint="cs"/>
          <w:rtl/>
        </w:rPr>
        <w:t xml:space="preserve">إلى </w:t>
      </w:r>
      <w:r w:rsidR="004C02B1" w:rsidRPr="00734723">
        <w:rPr>
          <w:rFonts w:hint="cs"/>
          <w:rtl/>
        </w:rPr>
        <w:t>مرحلة</w:t>
      </w:r>
      <w:r w:rsidR="00635B6F" w:rsidRPr="00734723">
        <w:rPr>
          <w:rFonts w:hint="cs"/>
          <w:rtl/>
        </w:rPr>
        <w:t xml:space="preserve"> التشغيل</w:t>
      </w:r>
      <w:r w:rsidR="00760433" w:rsidRPr="00734723">
        <w:rPr>
          <w:rtl/>
        </w:rPr>
        <w:t xml:space="preserve"> </w:t>
      </w:r>
      <w:r w:rsidR="00603B2A" w:rsidRPr="00734723">
        <w:rPr>
          <w:rFonts w:hint="cs"/>
          <w:rtl/>
        </w:rPr>
        <w:t>وبالتالي أصبح الدعم التشغيلي الجاري مموَّلًا من الميزانية</w:t>
      </w:r>
      <w:r w:rsidR="009A4F99" w:rsidRPr="00734723">
        <w:rPr>
          <w:rFonts w:hint="eastAsia"/>
          <w:rtl/>
        </w:rPr>
        <w:t> </w:t>
      </w:r>
      <w:r w:rsidR="00603B2A" w:rsidRPr="00734723">
        <w:rPr>
          <w:rFonts w:hint="cs"/>
          <w:rtl/>
        </w:rPr>
        <w:t>العادية.</w:t>
      </w:r>
    </w:p>
    <w:p w:rsidR="00EE4DF0" w:rsidRPr="00734723" w:rsidRDefault="00603B2A" w:rsidP="00651C92">
      <w:pPr>
        <w:pStyle w:val="NumberedParaAR"/>
        <w:widowControl w:val="0"/>
      </w:pPr>
      <w:r w:rsidRPr="00734723">
        <w:rPr>
          <w:rFonts w:hint="cs"/>
          <w:rtl/>
        </w:rPr>
        <w:t>و</w:t>
      </w:r>
      <w:r w:rsidR="00635B6F" w:rsidRPr="00734723">
        <w:rPr>
          <w:rFonts w:hint="cs"/>
          <w:rtl/>
        </w:rPr>
        <w:t xml:space="preserve">تضم </w:t>
      </w:r>
      <w:r w:rsidRPr="00734723">
        <w:rPr>
          <w:rFonts w:hint="cs"/>
          <w:rtl/>
        </w:rPr>
        <w:t xml:space="preserve">هذه الوثيقة </w:t>
      </w:r>
      <w:r w:rsidR="00635B6F" w:rsidRPr="00734723">
        <w:rPr>
          <w:rFonts w:hint="cs"/>
          <w:rtl/>
        </w:rPr>
        <w:t>تقريرًا</w:t>
      </w:r>
      <w:r w:rsidRPr="00734723">
        <w:rPr>
          <w:rFonts w:hint="cs"/>
          <w:rtl/>
        </w:rPr>
        <w:t xml:space="preserve"> عن التقدم المحرز </w:t>
      </w:r>
      <w:r w:rsidR="00454669" w:rsidRPr="00734723">
        <w:rPr>
          <w:rFonts w:hint="cs"/>
          <w:rtl/>
        </w:rPr>
        <w:t>في تنفيذ</w:t>
      </w:r>
      <w:r w:rsidRPr="00734723">
        <w:rPr>
          <w:rFonts w:hint="cs"/>
          <w:rtl/>
        </w:rPr>
        <w:t xml:space="preserve"> </w:t>
      </w:r>
      <w:r w:rsidR="00760433" w:rsidRPr="00734723">
        <w:rPr>
          <w:rFonts w:hint="cs"/>
          <w:rtl/>
        </w:rPr>
        <w:t>ق</w:t>
      </w:r>
      <w:r w:rsidR="00760433" w:rsidRPr="00734723">
        <w:rPr>
          <w:rtl/>
        </w:rPr>
        <w:t>اعدة بيانات</w:t>
      </w:r>
      <w:r w:rsidR="00760433" w:rsidRPr="00734723">
        <w:rPr>
          <w:rFonts w:hint="cs"/>
          <w:rtl/>
        </w:rPr>
        <w:t xml:space="preserve"> </w:t>
      </w:r>
      <w:r w:rsidR="00760433" w:rsidRPr="00734723">
        <w:rPr>
          <w:rtl/>
        </w:rPr>
        <w:t>السلع والخدمات</w:t>
      </w:r>
      <w:r w:rsidRPr="00734723">
        <w:rPr>
          <w:rtl/>
        </w:rPr>
        <w:t xml:space="preserve"> </w:t>
      </w:r>
      <w:r w:rsidRPr="00734723">
        <w:rPr>
          <w:rFonts w:hint="cs"/>
          <w:rtl/>
        </w:rPr>
        <w:t xml:space="preserve">منذ </w:t>
      </w:r>
      <w:r w:rsidR="00446801" w:rsidRPr="00734723">
        <w:rPr>
          <w:rFonts w:hint="cs"/>
          <w:rtl/>
        </w:rPr>
        <w:t>إعداد</w:t>
      </w:r>
      <w:r w:rsidRPr="00734723">
        <w:rPr>
          <w:rFonts w:hint="cs"/>
          <w:rtl/>
        </w:rPr>
        <w:t xml:space="preserve"> التقرير المرحلي </w:t>
      </w:r>
      <w:r w:rsidR="00446801" w:rsidRPr="00734723">
        <w:rPr>
          <w:rFonts w:hint="cs"/>
          <w:rtl/>
        </w:rPr>
        <w:t>الأخير</w:t>
      </w:r>
      <w:r w:rsidRPr="00734723">
        <w:rPr>
          <w:rFonts w:hint="cs"/>
          <w:rtl/>
        </w:rPr>
        <w:t xml:space="preserve"> (</w:t>
      </w:r>
      <w:r w:rsidR="00F76FF7" w:rsidRPr="00734723">
        <w:rPr>
          <w:rFonts w:hint="cs"/>
          <w:rtl/>
        </w:rPr>
        <w:t>ا</w:t>
      </w:r>
      <w:r w:rsidRPr="00734723">
        <w:rPr>
          <w:rFonts w:hint="cs"/>
          <w:rtl/>
        </w:rPr>
        <w:t>نظر الوثيقة</w:t>
      </w:r>
      <w:r w:rsidRPr="00734723">
        <w:t>MM/A/</w:t>
      </w:r>
      <w:r w:rsidR="0035082B" w:rsidRPr="00734723">
        <w:t>48</w:t>
      </w:r>
      <w:r w:rsidRPr="00734723">
        <w:t>/2</w:t>
      </w:r>
      <w:r w:rsidR="00F76FF7" w:rsidRPr="00734723">
        <w:t> </w:t>
      </w:r>
      <w:r w:rsidRPr="00734723">
        <w:rPr>
          <w:rFonts w:hint="cs"/>
          <w:rtl/>
        </w:rPr>
        <w:t xml:space="preserve">) </w:t>
      </w:r>
      <w:r w:rsidR="00EE4DF0" w:rsidRPr="00734723">
        <w:rPr>
          <w:rFonts w:hint="cs"/>
          <w:rtl/>
        </w:rPr>
        <w:t xml:space="preserve">أي في الفترة الممتدة ما بين 1 يونيو </w:t>
      </w:r>
      <w:r w:rsidR="00651C92" w:rsidRPr="00734723">
        <w:rPr>
          <w:rFonts w:hint="cs"/>
          <w:rtl/>
        </w:rPr>
        <w:t>2014</w:t>
      </w:r>
      <w:r w:rsidR="00EE4DF0" w:rsidRPr="00734723">
        <w:rPr>
          <w:rFonts w:hint="cs"/>
          <w:rtl/>
        </w:rPr>
        <w:t xml:space="preserve"> و30 مايو </w:t>
      </w:r>
      <w:r w:rsidR="00651C92" w:rsidRPr="00734723">
        <w:rPr>
          <w:rFonts w:hint="cs"/>
          <w:rtl/>
        </w:rPr>
        <w:t>2015</w:t>
      </w:r>
      <w:r w:rsidR="00EE4DF0" w:rsidRPr="00734723">
        <w:rPr>
          <w:rFonts w:hint="cs"/>
          <w:rtl/>
        </w:rPr>
        <w:t>.</w:t>
      </w:r>
    </w:p>
    <w:p w:rsidR="00EE4DF0" w:rsidRPr="00734723" w:rsidRDefault="00EE4DF0" w:rsidP="000849FE">
      <w:pPr>
        <w:pStyle w:val="Heading1AR"/>
        <w:rPr>
          <w:iCs/>
          <w:rtl/>
        </w:rPr>
      </w:pPr>
      <w:r w:rsidRPr="00734723">
        <w:rPr>
          <w:rtl/>
        </w:rPr>
        <w:lastRenderedPageBreak/>
        <w:t>النتائج المحققة</w:t>
      </w:r>
    </w:p>
    <w:p w:rsidR="00EE4DF0" w:rsidRPr="00734723" w:rsidRDefault="00454669" w:rsidP="00E26A61">
      <w:pPr>
        <w:pStyle w:val="NumberedParaAR"/>
        <w:widowControl w:val="0"/>
      </w:pPr>
      <w:r w:rsidRPr="00734723">
        <w:rPr>
          <w:rFonts w:hint="cs"/>
          <w:rtl/>
        </w:rPr>
        <w:t>يجدر</w:t>
      </w:r>
      <w:r w:rsidR="00EE4DF0" w:rsidRPr="00734723">
        <w:rPr>
          <w:rFonts w:hint="cs"/>
          <w:rtl/>
        </w:rPr>
        <w:t xml:space="preserve"> </w:t>
      </w:r>
      <w:r w:rsidRPr="00734723">
        <w:rPr>
          <w:rFonts w:hint="cs"/>
          <w:rtl/>
        </w:rPr>
        <w:t xml:space="preserve">التذكير </w:t>
      </w:r>
      <w:r w:rsidR="00855CF4" w:rsidRPr="00734723">
        <w:rPr>
          <w:rFonts w:hint="cs"/>
          <w:rtl/>
        </w:rPr>
        <w:t xml:space="preserve">أنه في 1 </w:t>
      </w:r>
      <w:r w:rsidR="00903EE9" w:rsidRPr="00734723">
        <w:rPr>
          <w:rFonts w:hint="cs"/>
          <w:rtl/>
        </w:rPr>
        <w:t>يونيو</w:t>
      </w:r>
      <w:r w:rsidR="00855CF4" w:rsidRPr="00734723">
        <w:rPr>
          <w:rFonts w:hint="cs"/>
          <w:rtl/>
        </w:rPr>
        <w:t xml:space="preserve"> </w:t>
      </w:r>
      <w:r w:rsidR="00903EE9" w:rsidRPr="00734723">
        <w:rPr>
          <w:rFonts w:hint="cs"/>
          <w:rtl/>
        </w:rPr>
        <w:t>2014</w:t>
      </w:r>
      <w:r w:rsidR="00855CF4" w:rsidRPr="00734723">
        <w:rPr>
          <w:rFonts w:hint="cs"/>
          <w:rtl/>
        </w:rPr>
        <w:t xml:space="preserve">، </w:t>
      </w:r>
      <w:r w:rsidR="00903EE9" w:rsidRPr="00734723">
        <w:rPr>
          <w:rFonts w:hint="cs"/>
          <w:rtl/>
        </w:rPr>
        <w:t>أتيحت</w:t>
      </w:r>
      <w:r w:rsidRPr="00734723">
        <w:rPr>
          <w:rFonts w:hint="cs"/>
          <w:rtl/>
        </w:rPr>
        <w:t xml:space="preserve"> نسخة ق</w:t>
      </w:r>
      <w:r w:rsidRPr="00734723">
        <w:rPr>
          <w:rtl/>
        </w:rPr>
        <w:t xml:space="preserve">اعدة </w:t>
      </w:r>
      <w:r w:rsidRPr="00734723">
        <w:rPr>
          <w:rFonts w:hint="cs"/>
          <w:rtl/>
        </w:rPr>
        <w:t>بيانات نظام مدريد</w:t>
      </w:r>
      <w:r w:rsidRPr="00734723">
        <w:rPr>
          <w:rtl/>
        </w:rPr>
        <w:t xml:space="preserve"> </w:t>
      </w:r>
      <w:r w:rsidRPr="00734723">
        <w:rPr>
          <w:rFonts w:hint="cs"/>
          <w:rtl/>
        </w:rPr>
        <w:t xml:space="preserve">بشأن </w:t>
      </w:r>
      <w:r w:rsidRPr="00734723">
        <w:rPr>
          <w:rtl/>
        </w:rPr>
        <w:t>السلع والخدمات</w:t>
      </w:r>
      <w:r w:rsidR="00855CF4" w:rsidRPr="00734723">
        <w:rPr>
          <w:rFonts w:hint="cs"/>
          <w:rtl/>
        </w:rPr>
        <w:t xml:space="preserve"> </w:t>
      </w:r>
      <w:r w:rsidR="00EE4DF0" w:rsidRPr="00734723">
        <w:rPr>
          <w:rFonts w:hint="cs"/>
          <w:rtl/>
        </w:rPr>
        <w:t xml:space="preserve">على </w:t>
      </w:r>
      <w:r w:rsidR="00903EE9" w:rsidRPr="00734723">
        <w:rPr>
          <w:rFonts w:hint="cs"/>
          <w:rtl/>
        </w:rPr>
        <w:t>ال</w:t>
      </w:r>
      <w:r w:rsidR="00EE4DF0" w:rsidRPr="00734723">
        <w:rPr>
          <w:rtl/>
        </w:rPr>
        <w:t xml:space="preserve">موقع </w:t>
      </w:r>
      <w:r w:rsidR="00E26A61" w:rsidRPr="00734723">
        <w:rPr>
          <w:rtl/>
        </w:rPr>
        <w:t>الإلكتروني</w:t>
      </w:r>
      <w:r w:rsidR="00E26A61" w:rsidRPr="00734723">
        <w:rPr>
          <w:rFonts w:hint="cs"/>
          <w:rtl/>
        </w:rPr>
        <w:t xml:space="preserve"> </w:t>
      </w:r>
      <w:r w:rsidR="00903EE9" w:rsidRPr="00734723">
        <w:rPr>
          <w:rFonts w:hint="cs"/>
          <w:rtl/>
        </w:rPr>
        <w:t>للمنظمة العالمية للملكية الفكرية (</w:t>
      </w:r>
      <w:r w:rsidR="00EE4DF0" w:rsidRPr="00734723">
        <w:rPr>
          <w:rtl/>
        </w:rPr>
        <w:t>الويبو</w:t>
      </w:r>
      <w:r w:rsidR="00903EE9" w:rsidRPr="00734723">
        <w:rPr>
          <w:rFonts w:hint="cs"/>
          <w:rtl/>
        </w:rPr>
        <w:t>)</w:t>
      </w:r>
      <w:r w:rsidRPr="00734723">
        <w:rPr>
          <w:rFonts w:hint="cs"/>
          <w:rtl/>
        </w:rPr>
        <w:t>.</w:t>
      </w:r>
      <w:r w:rsidR="00EE4DF0" w:rsidRPr="00734723">
        <w:rPr>
          <w:rFonts w:hint="cs"/>
          <w:rtl/>
        </w:rPr>
        <w:t xml:space="preserve"> </w:t>
      </w:r>
      <w:r w:rsidRPr="00734723">
        <w:rPr>
          <w:rFonts w:hint="cs"/>
          <w:rtl/>
        </w:rPr>
        <w:t>و</w:t>
      </w:r>
      <w:r w:rsidR="00EE4DF0" w:rsidRPr="00734723">
        <w:rPr>
          <w:rFonts w:hint="cs"/>
          <w:rtl/>
        </w:rPr>
        <w:t>تتضمن</w:t>
      </w:r>
      <w:r w:rsidRPr="00734723">
        <w:rPr>
          <w:rFonts w:hint="cs"/>
          <w:rtl/>
        </w:rPr>
        <w:t xml:space="preserve"> هذه النسخة</w:t>
      </w:r>
      <w:r w:rsidR="00EE4DF0" w:rsidRPr="00734723">
        <w:rPr>
          <w:rFonts w:hint="cs"/>
          <w:rtl/>
        </w:rPr>
        <w:t xml:space="preserve"> الخاصيات التالية:</w:t>
      </w:r>
    </w:p>
    <w:p w:rsidR="00FD21ED" w:rsidRPr="00734723" w:rsidRDefault="00FD21ED" w:rsidP="004961DC">
      <w:pPr>
        <w:pStyle w:val="NumberedParaAR"/>
        <w:widowControl w:val="0"/>
        <w:numPr>
          <w:ilvl w:val="0"/>
          <w:numId w:val="21"/>
        </w:numPr>
      </w:pPr>
      <w:r w:rsidRPr="00734723">
        <w:rPr>
          <w:rFonts w:hint="cs"/>
          <w:rtl/>
        </w:rPr>
        <w:t>واجهات</w:t>
      </w:r>
      <w:r w:rsidR="004961DC" w:rsidRPr="00734723">
        <w:rPr>
          <w:rFonts w:hint="cs"/>
          <w:rtl/>
        </w:rPr>
        <w:t xml:space="preserve"> بست عشرة لغة</w:t>
      </w:r>
      <w:r w:rsidR="006A4BCB" w:rsidRPr="00734723">
        <w:rPr>
          <w:rFonts w:hint="cs"/>
          <w:rtl/>
        </w:rPr>
        <w:t xml:space="preserve"> </w:t>
      </w:r>
      <w:r w:rsidRPr="00734723">
        <w:rPr>
          <w:rFonts w:hint="cs"/>
          <w:rtl/>
        </w:rPr>
        <w:t>وهي</w:t>
      </w:r>
      <w:r w:rsidR="004961DC" w:rsidRPr="00734723">
        <w:rPr>
          <w:rFonts w:hint="cs"/>
          <w:rtl/>
        </w:rPr>
        <w:t xml:space="preserve"> العربية</w:t>
      </w:r>
      <w:r w:rsidRPr="00734723">
        <w:rPr>
          <w:rFonts w:hint="cs"/>
          <w:rtl/>
        </w:rPr>
        <w:t xml:space="preserve"> </w:t>
      </w:r>
      <w:r w:rsidR="004961DC" w:rsidRPr="00734723">
        <w:rPr>
          <w:rFonts w:hint="cs"/>
          <w:rtl/>
        </w:rPr>
        <w:t>و</w:t>
      </w:r>
      <w:r w:rsidRPr="00734723">
        <w:rPr>
          <w:rFonts w:hint="cs"/>
          <w:rtl/>
        </w:rPr>
        <w:t xml:space="preserve">الصينية </w:t>
      </w:r>
      <w:r w:rsidR="004961DC" w:rsidRPr="00734723">
        <w:rPr>
          <w:rtl/>
        </w:rPr>
        <w:t>والهولندية والإن</w:t>
      </w:r>
      <w:r w:rsidR="004961DC" w:rsidRPr="00734723">
        <w:rPr>
          <w:rFonts w:hint="cs"/>
          <w:rtl/>
        </w:rPr>
        <w:t>ك</w:t>
      </w:r>
      <w:r w:rsidR="004961DC" w:rsidRPr="00734723">
        <w:rPr>
          <w:rtl/>
        </w:rPr>
        <w:t xml:space="preserve">ليزية والفرنسية والألمانية والعبرية والإيطالية </w:t>
      </w:r>
      <w:r w:rsidRPr="00734723">
        <w:rPr>
          <w:rFonts w:hint="cs"/>
          <w:rtl/>
        </w:rPr>
        <w:t>واليابانية</w:t>
      </w:r>
      <w:r w:rsidR="004961DC" w:rsidRPr="00734723">
        <w:rPr>
          <w:rFonts w:hint="cs"/>
          <w:rtl/>
        </w:rPr>
        <w:t xml:space="preserve"> والكورية</w:t>
      </w:r>
      <w:r w:rsidRPr="00734723">
        <w:rPr>
          <w:rFonts w:hint="cs"/>
          <w:rtl/>
        </w:rPr>
        <w:t xml:space="preserve"> والنرويجية </w:t>
      </w:r>
      <w:r w:rsidR="004961DC" w:rsidRPr="00734723">
        <w:rPr>
          <w:rtl/>
        </w:rPr>
        <w:t xml:space="preserve">والبرتغالية والروسية والصربية </w:t>
      </w:r>
      <w:r w:rsidR="004961DC" w:rsidRPr="00734723">
        <w:rPr>
          <w:rFonts w:hint="cs"/>
          <w:rtl/>
        </w:rPr>
        <w:t>و</w:t>
      </w:r>
      <w:r w:rsidR="004961DC" w:rsidRPr="00734723">
        <w:rPr>
          <w:rtl/>
        </w:rPr>
        <w:t xml:space="preserve">الإسبانية </w:t>
      </w:r>
      <w:r w:rsidRPr="00734723">
        <w:rPr>
          <w:rFonts w:hint="cs"/>
          <w:rtl/>
        </w:rPr>
        <w:t>والتركية؛</w:t>
      </w:r>
    </w:p>
    <w:p w:rsidR="00D21601" w:rsidRPr="00734723" w:rsidRDefault="00E26A61" w:rsidP="00E26A61">
      <w:pPr>
        <w:pStyle w:val="NumberedParaAR"/>
        <w:widowControl w:val="0"/>
        <w:numPr>
          <w:ilvl w:val="0"/>
          <w:numId w:val="21"/>
        </w:numPr>
      </w:pPr>
      <w:r w:rsidRPr="00734723">
        <w:rPr>
          <w:rFonts w:hint="cs"/>
          <w:rtl/>
        </w:rPr>
        <w:t>ومشاركة</w:t>
      </w:r>
      <w:r w:rsidR="00D21601" w:rsidRPr="00734723">
        <w:rPr>
          <w:rtl/>
        </w:rPr>
        <w:t xml:space="preserve"> 19 مكتبا </w:t>
      </w:r>
      <w:r w:rsidR="00D21601" w:rsidRPr="00734723">
        <w:rPr>
          <w:rFonts w:hint="cs"/>
          <w:rtl/>
        </w:rPr>
        <w:t>من المكاتب ال</w:t>
      </w:r>
      <w:r w:rsidR="00D21601" w:rsidRPr="00734723">
        <w:rPr>
          <w:rtl/>
        </w:rPr>
        <w:t>وطني</w:t>
      </w:r>
      <w:r w:rsidR="00D21601" w:rsidRPr="00734723">
        <w:rPr>
          <w:rFonts w:hint="cs"/>
          <w:rtl/>
        </w:rPr>
        <w:t>ة</w:t>
      </w:r>
      <w:r w:rsidR="00D21601" w:rsidRPr="00734723">
        <w:rPr>
          <w:rtl/>
        </w:rPr>
        <w:t xml:space="preserve"> أو </w:t>
      </w:r>
      <w:r w:rsidR="00D21601" w:rsidRPr="00734723">
        <w:rPr>
          <w:rFonts w:hint="cs"/>
          <w:rtl/>
        </w:rPr>
        <w:t>ال</w:t>
      </w:r>
      <w:r w:rsidR="00D21601" w:rsidRPr="00734723">
        <w:rPr>
          <w:rtl/>
        </w:rPr>
        <w:t>إقليم</w:t>
      </w:r>
      <w:r w:rsidR="00D21601" w:rsidRPr="00734723">
        <w:rPr>
          <w:rFonts w:hint="cs"/>
          <w:rtl/>
        </w:rPr>
        <w:t>ية</w:t>
      </w:r>
      <w:r w:rsidR="00D21601" w:rsidRPr="00734723">
        <w:rPr>
          <w:rtl/>
        </w:rPr>
        <w:t xml:space="preserve"> للملكية الفكرية في </w:t>
      </w:r>
      <w:r w:rsidR="00D21601" w:rsidRPr="00734723">
        <w:rPr>
          <w:rFonts w:hint="cs"/>
          <w:rtl/>
        </w:rPr>
        <w:t>ال</w:t>
      </w:r>
      <w:r w:rsidR="00D21601" w:rsidRPr="00734723">
        <w:rPr>
          <w:rtl/>
        </w:rPr>
        <w:t xml:space="preserve">وظيفة الحصرية </w:t>
      </w:r>
      <w:r w:rsidR="00D21601" w:rsidRPr="00734723">
        <w:rPr>
          <w:rFonts w:hint="cs"/>
          <w:rtl/>
        </w:rPr>
        <w:t>ل</w:t>
      </w:r>
      <w:r w:rsidR="00D21601" w:rsidRPr="00734723">
        <w:rPr>
          <w:rtl/>
        </w:rPr>
        <w:t xml:space="preserve">قاعدة بيانات السلع والخدمات </w:t>
      </w:r>
      <w:r w:rsidR="007153BC" w:rsidRPr="00734723">
        <w:rPr>
          <w:rFonts w:hint="cs"/>
          <w:rtl/>
        </w:rPr>
        <w:t>المعروفة باسم</w:t>
      </w:r>
      <w:r w:rsidR="00D21601" w:rsidRPr="00734723">
        <w:rPr>
          <w:rtl/>
        </w:rPr>
        <w:t xml:space="preserve"> "</w:t>
      </w:r>
      <w:r w:rsidR="007153BC" w:rsidRPr="00734723">
        <w:rPr>
          <w:rFonts w:hint="cs"/>
          <w:rtl/>
        </w:rPr>
        <w:t>ال</w:t>
      </w:r>
      <w:r w:rsidR="007153BC" w:rsidRPr="00734723">
        <w:rPr>
          <w:rtl/>
        </w:rPr>
        <w:t>تحقق من قبول طرف متعاقد معي</w:t>
      </w:r>
      <w:r w:rsidR="00211947" w:rsidRPr="00734723">
        <w:rPr>
          <w:rFonts w:hint="cs"/>
          <w:rtl/>
        </w:rPr>
        <w:t>ّ</w:t>
      </w:r>
      <w:r w:rsidR="007153BC" w:rsidRPr="00734723">
        <w:rPr>
          <w:rtl/>
        </w:rPr>
        <w:t>ن</w:t>
      </w:r>
      <w:r w:rsidR="00D21601" w:rsidRPr="00734723">
        <w:rPr>
          <w:rtl/>
        </w:rPr>
        <w:t xml:space="preserve">" </w:t>
      </w:r>
      <w:r w:rsidR="00D03AD8" w:rsidRPr="00734723">
        <w:rPr>
          <w:rFonts w:hint="cs"/>
          <w:rtl/>
        </w:rPr>
        <w:t xml:space="preserve">مع </w:t>
      </w:r>
      <w:r w:rsidR="00D21601" w:rsidRPr="00734723">
        <w:rPr>
          <w:rtl/>
        </w:rPr>
        <w:t xml:space="preserve">معلومات </w:t>
      </w:r>
      <w:r w:rsidR="00D03AD8" w:rsidRPr="00734723">
        <w:rPr>
          <w:rFonts w:hint="cs"/>
          <w:rtl/>
        </w:rPr>
        <w:t xml:space="preserve">عن </w:t>
      </w:r>
      <w:r w:rsidR="00D21601" w:rsidRPr="00734723">
        <w:rPr>
          <w:rtl/>
        </w:rPr>
        <w:t xml:space="preserve">قبول جزئي على الأقل </w:t>
      </w:r>
      <w:r w:rsidR="00D03AD8" w:rsidRPr="00734723">
        <w:rPr>
          <w:rFonts w:hint="cs"/>
          <w:rtl/>
        </w:rPr>
        <w:t xml:space="preserve">تتيحها </w:t>
      </w:r>
      <w:r w:rsidR="00D21601" w:rsidRPr="00734723">
        <w:rPr>
          <w:rtl/>
        </w:rPr>
        <w:t>للويبو مكاتب</w:t>
      </w:r>
      <w:r w:rsidR="00D03AD8" w:rsidRPr="00734723">
        <w:rPr>
          <w:rFonts w:hint="cs"/>
          <w:rtl/>
        </w:rPr>
        <w:t xml:space="preserve"> كل من </w:t>
      </w:r>
      <w:r w:rsidR="00D21601" w:rsidRPr="00734723">
        <w:rPr>
          <w:rtl/>
        </w:rPr>
        <w:t xml:space="preserve">النمسا، </w:t>
      </w:r>
      <w:r w:rsidR="00D03AD8" w:rsidRPr="00734723">
        <w:rPr>
          <w:rFonts w:hint="cs"/>
          <w:rtl/>
        </w:rPr>
        <w:t>وبيلارو</w:t>
      </w:r>
      <w:r w:rsidR="00D03AD8" w:rsidRPr="00734723">
        <w:rPr>
          <w:rFonts w:hint="eastAsia"/>
          <w:rtl/>
        </w:rPr>
        <w:t>س</w:t>
      </w:r>
      <w:r w:rsidR="00D03AD8" w:rsidRPr="00734723">
        <w:rPr>
          <w:rFonts w:hint="cs"/>
          <w:rtl/>
        </w:rPr>
        <w:t xml:space="preserve"> و</w:t>
      </w:r>
      <w:r w:rsidR="00D21601" w:rsidRPr="00734723">
        <w:rPr>
          <w:rtl/>
        </w:rPr>
        <w:t>بنلوكس</w:t>
      </w:r>
      <w:r w:rsidR="00D03AD8" w:rsidRPr="00734723">
        <w:rPr>
          <w:rFonts w:hint="cs"/>
          <w:rtl/>
        </w:rPr>
        <w:t xml:space="preserve"> و</w:t>
      </w:r>
      <w:r w:rsidR="00D21601" w:rsidRPr="00734723">
        <w:rPr>
          <w:rtl/>
        </w:rPr>
        <w:t>الصين والاتحاد الأوروبي</w:t>
      </w:r>
      <w:r w:rsidR="00D03AD8" w:rsidRPr="00734723">
        <w:rPr>
          <w:rFonts w:hint="cs"/>
          <w:rtl/>
        </w:rPr>
        <w:t xml:space="preserve"> و</w:t>
      </w:r>
      <w:r w:rsidR="00D21601" w:rsidRPr="00734723">
        <w:rPr>
          <w:rtl/>
        </w:rPr>
        <w:t xml:space="preserve">ألمانيا </w:t>
      </w:r>
      <w:r w:rsidR="00D03AD8" w:rsidRPr="00734723">
        <w:rPr>
          <w:rFonts w:hint="cs"/>
          <w:rtl/>
        </w:rPr>
        <w:t>و</w:t>
      </w:r>
      <w:r w:rsidR="00D03AD8" w:rsidRPr="00734723">
        <w:rPr>
          <w:rtl/>
        </w:rPr>
        <w:t>إسرائيل</w:t>
      </w:r>
      <w:r w:rsidR="00D03AD8" w:rsidRPr="00734723">
        <w:rPr>
          <w:rFonts w:hint="cs"/>
          <w:rtl/>
        </w:rPr>
        <w:t xml:space="preserve"> و</w:t>
      </w:r>
      <w:r w:rsidR="00D21601" w:rsidRPr="00734723">
        <w:rPr>
          <w:rtl/>
        </w:rPr>
        <w:t>إيطاليا</w:t>
      </w:r>
      <w:r w:rsidR="00D03AD8" w:rsidRPr="00734723">
        <w:rPr>
          <w:rFonts w:hint="cs"/>
          <w:rtl/>
        </w:rPr>
        <w:t xml:space="preserve"> و</w:t>
      </w:r>
      <w:r w:rsidR="00D03AD8" w:rsidRPr="00734723">
        <w:rPr>
          <w:rtl/>
        </w:rPr>
        <w:t>اليابان</w:t>
      </w:r>
      <w:r w:rsidR="00D03AD8" w:rsidRPr="00734723">
        <w:rPr>
          <w:rFonts w:hint="cs"/>
          <w:rtl/>
        </w:rPr>
        <w:t xml:space="preserve"> و</w:t>
      </w:r>
      <w:r w:rsidR="00D21601" w:rsidRPr="00734723">
        <w:rPr>
          <w:rtl/>
        </w:rPr>
        <w:t>النرويج</w:t>
      </w:r>
      <w:r w:rsidR="00D03AD8" w:rsidRPr="00734723">
        <w:rPr>
          <w:rFonts w:hint="cs"/>
          <w:rtl/>
        </w:rPr>
        <w:t xml:space="preserve"> و</w:t>
      </w:r>
      <w:r w:rsidR="00D21601" w:rsidRPr="00734723">
        <w:rPr>
          <w:rtl/>
        </w:rPr>
        <w:t>البرتغال</w:t>
      </w:r>
      <w:r w:rsidR="00D03AD8" w:rsidRPr="00734723">
        <w:rPr>
          <w:rFonts w:hint="cs"/>
          <w:rtl/>
        </w:rPr>
        <w:t xml:space="preserve"> و</w:t>
      </w:r>
      <w:r w:rsidR="00D21601" w:rsidRPr="00734723">
        <w:rPr>
          <w:rtl/>
        </w:rPr>
        <w:t>جمهورية كوريا</w:t>
      </w:r>
      <w:r w:rsidR="00D03AD8" w:rsidRPr="00734723">
        <w:rPr>
          <w:rFonts w:hint="cs"/>
          <w:rtl/>
        </w:rPr>
        <w:t xml:space="preserve"> و</w:t>
      </w:r>
      <w:r w:rsidR="00D21601" w:rsidRPr="00734723">
        <w:rPr>
          <w:rtl/>
        </w:rPr>
        <w:t>جمهورية صربيا والاتحاد الروسي</w:t>
      </w:r>
      <w:r w:rsidR="00D03AD8" w:rsidRPr="00734723">
        <w:rPr>
          <w:rFonts w:hint="cs"/>
          <w:rtl/>
        </w:rPr>
        <w:t xml:space="preserve"> و</w:t>
      </w:r>
      <w:r w:rsidR="00D21601" w:rsidRPr="00734723">
        <w:rPr>
          <w:rtl/>
        </w:rPr>
        <w:t>سنغافورة</w:t>
      </w:r>
      <w:r w:rsidR="00D03AD8" w:rsidRPr="00734723">
        <w:rPr>
          <w:rFonts w:hint="cs"/>
          <w:rtl/>
        </w:rPr>
        <w:t xml:space="preserve"> و</w:t>
      </w:r>
      <w:r w:rsidR="00D21601" w:rsidRPr="00734723">
        <w:rPr>
          <w:rtl/>
        </w:rPr>
        <w:t>سويسرا</w:t>
      </w:r>
      <w:r w:rsidR="00D03AD8" w:rsidRPr="00734723">
        <w:rPr>
          <w:rFonts w:hint="cs"/>
          <w:rtl/>
        </w:rPr>
        <w:t xml:space="preserve"> و</w:t>
      </w:r>
      <w:r w:rsidR="00D21601" w:rsidRPr="00734723">
        <w:rPr>
          <w:rtl/>
        </w:rPr>
        <w:t>تركيا</w:t>
      </w:r>
      <w:r w:rsidR="00D03AD8" w:rsidRPr="00734723">
        <w:rPr>
          <w:rFonts w:hint="cs"/>
          <w:rtl/>
        </w:rPr>
        <w:t xml:space="preserve"> و</w:t>
      </w:r>
      <w:r w:rsidR="00D21601" w:rsidRPr="00734723">
        <w:rPr>
          <w:rtl/>
        </w:rPr>
        <w:t>أوكرانيا والولايات المتحدة الأمريكية.</w:t>
      </w:r>
    </w:p>
    <w:p w:rsidR="00E26A61" w:rsidRPr="00734723" w:rsidRDefault="00E26A61" w:rsidP="00E26A61">
      <w:pPr>
        <w:pStyle w:val="NumberedParaAR"/>
      </w:pPr>
      <w:r w:rsidRPr="00734723">
        <w:rPr>
          <w:rFonts w:hint="cs"/>
          <w:rtl/>
        </w:rPr>
        <w:t>و</w:t>
      </w:r>
      <w:r w:rsidRPr="00734723">
        <w:rPr>
          <w:rtl/>
        </w:rPr>
        <w:t xml:space="preserve">في 1 </w:t>
      </w:r>
      <w:r w:rsidRPr="00734723">
        <w:rPr>
          <w:rFonts w:hint="cs"/>
          <w:rtl/>
        </w:rPr>
        <w:t>يناير</w:t>
      </w:r>
      <w:r w:rsidRPr="00734723">
        <w:rPr>
          <w:rtl/>
        </w:rPr>
        <w:t xml:space="preserve"> </w:t>
      </w:r>
      <w:r w:rsidRPr="00734723">
        <w:rPr>
          <w:rFonts w:hint="cs"/>
          <w:rtl/>
        </w:rPr>
        <w:t>2015</w:t>
      </w:r>
      <w:r w:rsidRPr="00734723">
        <w:rPr>
          <w:rtl/>
        </w:rPr>
        <w:t xml:space="preserve">، حُدّثت قاعدة بيانات السلع والخدمات لتتماشى مع نسخة </w:t>
      </w:r>
      <w:r w:rsidRPr="00734723">
        <w:rPr>
          <w:rFonts w:hint="cs"/>
          <w:rtl/>
        </w:rPr>
        <w:t>2015</w:t>
      </w:r>
      <w:r w:rsidRPr="00734723">
        <w:rPr>
          <w:rtl/>
        </w:rPr>
        <w:t xml:space="preserve"> لقائمة تصنيف نيس في طبعتها العاشرة. و</w:t>
      </w:r>
      <w:r w:rsidRPr="00734723">
        <w:rPr>
          <w:rFonts w:hint="cs"/>
          <w:rtl/>
        </w:rPr>
        <w:t xml:space="preserve">أدرجت </w:t>
      </w:r>
      <w:r w:rsidRPr="00734723">
        <w:rPr>
          <w:rtl/>
        </w:rPr>
        <w:t xml:space="preserve">التحديثات باللغات الأربع عشرة </w:t>
      </w:r>
      <w:r w:rsidRPr="00734723">
        <w:rPr>
          <w:rFonts w:hint="cs"/>
          <w:rtl/>
        </w:rPr>
        <w:t xml:space="preserve">وأتيحت </w:t>
      </w:r>
      <w:r w:rsidRPr="00734723">
        <w:rPr>
          <w:rtl/>
        </w:rPr>
        <w:t>على الموقع الإلكتروني</w:t>
      </w:r>
      <w:r w:rsidRPr="00734723">
        <w:t>.</w:t>
      </w:r>
    </w:p>
    <w:p w:rsidR="00D21601" w:rsidRPr="00734723" w:rsidRDefault="00D21601" w:rsidP="00E26A61">
      <w:pPr>
        <w:pStyle w:val="NumberedParaAR"/>
        <w:keepNext/>
        <w:widowControl w:val="0"/>
        <w:numPr>
          <w:ilvl w:val="0"/>
          <w:numId w:val="0"/>
        </w:numPr>
        <w:rPr>
          <w:sz w:val="40"/>
          <w:szCs w:val="40"/>
          <w:rtl/>
        </w:rPr>
      </w:pPr>
      <w:r w:rsidRPr="00734723">
        <w:rPr>
          <w:sz w:val="40"/>
          <w:szCs w:val="40"/>
          <w:rtl/>
        </w:rPr>
        <w:t>التعاون</w:t>
      </w:r>
    </w:p>
    <w:p w:rsidR="00E26A61" w:rsidRPr="00734723" w:rsidRDefault="00E26A61" w:rsidP="00E26A61">
      <w:pPr>
        <w:pStyle w:val="NumberedParaAR"/>
      </w:pPr>
      <w:r w:rsidRPr="00734723">
        <w:rPr>
          <w:rtl/>
        </w:rPr>
        <w:t>في يناير 2015، أضيف</w:t>
      </w:r>
      <w:r w:rsidRPr="00734723">
        <w:rPr>
          <w:rFonts w:hint="cs"/>
          <w:rtl/>
        </w:rPr>
        <w:t>ت</w:t>
      </w:r>
      <w:r w:rsidRPr="00734723">
        <w:rPr>
          <w:rtl/>
        </w:rPr>
        <w:t xml:space="preserve"> المكسيك إلى قائمة الدول المشاركة في وظيفة "التحقق من قبول طرف متعاقد معين" بعد بالتعاون مع المعهد المكسيكي للملكية الصناعية</w:t>
      </w:r>
      <w:r w:rsidRPr="00734723">
        <w:rPr>
          <w:rFonts w:hint="cs"/>
          <w:rtl/>
        </w:rPr>
        <w:t> </w:t>
      </w:r>
      <w:r w:rsidRPr="00734723">
        <w:rPr>
          <w:rtl/>
        </w:rPr>
        <w:t>(</w:t>
      </w:r>
      <w:r w:rsidRPr="00734723">
        <w:t>IMPI</w:t>
      </w:r>
      <w:r w:rsidRPr="00734723">
        <w:rPr>
          <w:rtl/>
        </w:rPr>
        <w:t>).</w:t>
      </w:r>
    </w:p>
    <w:p w:rsidR="00D21601" w:rsidRPr="00734723" w:rsidRDefault="00E26A61" w:rsidP="0087452B">
      <w:pPr>
        <w:pStyle w:val="NumberedParaAR"/>
        <w:widowControl w:val="0"/>
        <w:rPr>
          <w:rtl/>
        </w:rPr>
      </w:pPr>
      <w:r w:rsidRPr="00734723">
        <w:rPr>
          <w:rFonts w:hint="cs"/>
          <w:rtl/>
        </w:rPr>
        <w:t>و</w:t>
      </w:r>
      <w:r w:rsidR="00D21601" w:rsidRPr="00734723">
        <w:rPr>
          <w:rtl/>
        </w:rPr>
        <w:t xml:space="preserve">في فبراير 2015، وبفضل التعاون مع </w:t>
      </w:r>
      <w:r w:rsidRPr="00734723">
        <w:rPr>
          <w:rFonts w:hint="cs"/>
          <w:rtl/>
        </w:rPr>
        <w:t>ال</w:t>
      </w:r>
      <w:r w:rsidR="00D21601" w:rsidRPr="00734723">
        <w:rPr>
          <w:rtl/>
        </w:rPr>
        <w:t xml:space="preserve">دائرة </w:t>
      </w:r>
      <w:r w:rsidRPr="00734723">
        <w:rPr>
          <w:rFonts w:hint="cs"/>
          <w:rtl/>
        </w:rPr>
        <w:t>الحكومية</w:t>
      </w:r>
      <w:r w:rsidR="00D21601" w:rsidRPr="00734723">
        <w:rPr>
          <w:rtl/>
        </w:rPr>
        <w:t xml:space="preserve"> للملكية الفكرية في أوكرانيا (</w:t>
      </w:r>
      <w:r w:rsidR="00D21601" w:rsidRPr="00734723">
        <w:t>SIPS</w:t>
      </w:r>
      <w:r w:rsidR="00D21601" w:rsidRPr="00734723">
        <w:rPr>
          <w:rtl/>
        </w:rPr>
        <w:t xml:space="preserve">)، </w:t>
      </w:r>
      <w:r w:rsidRPr="00734723">
        <w:rPr>
          <w:rFonts w:hint="cs"/>
          <w:rtl/>
        </w:rPr>
        <w:t xml:space="preserve">أتيحت </w:t>
      </w:r>
      <w:r w:rsidR="00D21601" w:rsidRPr="00734723">
        <w:rPr>
          <w:rtl/>
        </w:rPr>
        <w:t xml:space="preserve">واجهة </w:t>
      </w:r>
      <w:r w:rsidRPr="00734723">
        <w:rPr>
          <w:rFonts w:hint="cs"/>
          <w:rtl/>
        </w:rPr>
        <w:t>ب</w:t>
      </w:r>
      <w:r w:rsidR="00D21601" w:rsidRPr="00734723">
        <w:rPr>
          <w:rtl/>
        </w:rPr>
        <w:t xml:space="preserve">اللغة الأوكرانية في </w:t>
      </w:r>
      <w:r w:rsidRPr="00734723">
        <w:rPr>
          <w:rtl/>
        </w:rPr>
        <w:t xml:space="preserve">قاعدة بيانات السلع والخدمات </w:t>
      </w:r>
      <w:r w:rsidRPr="00734723">
        <w:rPr>
          <w:rFonts w:hint="cs"/>
          <w:rtl/>
        </w:rPr>
        <w:t>باعتباره</w:t>
      </w:r>
      <w:r w:rsidR="0087452B" w:rsidRPr="00734723">
        <w:rPr>
          <w:rFonts w:hint="cs"/>
          <w:rtl/>
        </w:rPr>
        <w:t>ا</w:t>
      </w:r>
      <w:r w:rsidRPr="00734723">
        <w:rPr>
          <w:rFonts w:hint="cs"/>
          <w:rtl/>
        </w:rPr>
        <w:t xml:space="preserve"> اللغة </w:t>
      </w:r>
      <w:r w:rsidR="00D21601" w:rsidRPr="00734723">
        <w:rPr>
          <w:rtl/>
        </w:rPr>
        <w:t>السابع</w:t>
      </w:r>
      <w:r w:rsidRPr="00734723">
        <w:rPr>
          <w:rFonts w:hint="cs"/>
          <w:rtl/>
        </w:rPr>
        <w:t>ة</w:t>
      </w:r>
      <w:r w:rsidR="00D21601" w:rsidRPr="00734723">
        <w:rPr>
          <w:rtl/>
        </w:rPr>
        <w:t xml:space="preserve"> عشر</w:t>
      </w:r>
      <w:r w:rsidRPr="00734723">
        <w:rPr>
          <w:rFonts w:hint="cs"/>
          <w:rtl/>
        </w:rPr>
        <w:t>ة</w:t>
      </w:r>
      <w:r w:rsidR="00D21601" w:rsidRPr="00734723">
        <w:rPr>
          <w:rtl/>
        </w:rPr>
        <w:t xml:space="preserve"> </w:t>
      </w:r>
      <w:r w:rsidRPr="00734723">
        <w:rPr>
          <w:rFonts w:hint="cs"/>
          <w:rtl/>
        </w:rPr>
        <w:t xml:space="preserve">المتاحة </w:t>
      </w:r>
      <w:r w:rsidRPr="00734723">
        <w:rPr>
          <w:rtl/>
        </w:rPr>
        <w:t>على ال</w:t>
      </w:r>
      <w:r w:rsidRPr="00734723">
        <w:rPr>
          <w:rFonts w:hint="cs"/>
          <w:rtl/>
        </w:rPr>
        <w:t>إ</w:t>
      </w:r>
      <w:r w:rsidR="00D21601" w:rsidRPr="00734723">
        <w:rPr>
          <w:rtl/>
        </w:rPr>
        <w:t xml:space="preserve">نترنت. </w:t>
      </w:r>
      <w:r w:rsidRPr="00734723">
        <w:rPr>
          <w:rFonts w:hint="cs"/>
          <w:rtl/>
        </w:rPr>
        <w:t>و</w:t>
      </w:r>
      <w:r w:rsidR="00D21601" w:rsidRPr="00734723">
        <w:rPr>
          <w:rtl/>
        </w:rPr>
        <w:t xml:space="preserve">في الوقت الحاضر، </w:t>
      </w:r>
      <w:r w:rsidRPr="00734723">
        <w:rPr>
          <w:rFonts w:hint="cs"/>
          <w:rtl/>
        </w:rPr>
        <w:t>تتيح ال</w:t>
      </w:r>
      <w:r w:rsidR="00D21601" w:rsidRPr="00734723">
        <w:rPr>
          <w:rtl/>
        </w:rPr>
        <w:t xml:space="preserve">واجهة الأوكرانية فقط </w:t>
      </w:r>
      <w:r w:rsidRPr="00734723">
        <w:rPr>
          <w:rFonts w:hint="cs"/>
          <w:rtl/>
        </w:rPr>
        <w:t xml:space="preserve">إمكانية النفاذ </w:t>
      </w:r>
      <w:r w:rsidR="00D21601" w:rsidRPr="00734723">
        <w:rPr>
          <w:rtl/>
        </w:rPr>
        <w:t xml:space="preserve">إلى الترجمة الأوكرانية </w:t>
      </w:r>
      <w:r w:rsidRPr="00734723">
        <w:rPr>
          <w:rFonts w:hint="cs"/>
          <w:rtl/>
        </w:rPr>
        <w:t>لل</w:t>
      </w:r>
      <w:r w:rsidR="00D21601" w:rsidRPr="00734723">
        <w:rPr>
          <w:rtl/>
        </w:rPr>
        <w:t xml:space="preserve">قائمة </w:t>
      </w:r>
      <w:r w:rsidRPr="00734723">
        <w:rPr>
          <w:rFonts w:hint="cs"/>
          <w:rtl/>
        </w:rPr>
        <w:t>ال</w:t>
      </w:r>
      <w:r w:rsidR="00D21601" w:rsidRPr="00734723">
        <w:rPr>
          <w:rtl/>
        </w:rPr>
        <w:t xml:space="preserve">أبجدية </w:t>
      </w:r>
      <w:r w:rsidRPr="00734723">
        <w:rPr>
          <w:rFonts w:hint="cs"/>
          <w:rtl/>
        </w:rPr>
        <w:t>ل</w:t>
      </w:r>
      <w:r w:rsidR="00D21601" w:rsidRPr="00734723">
        <w:rPr>
          <w:rtl/>
        </w:rPr>
        <w:t xml:space="preserve">تصنيف نيس، ولكن </w:t>
      </w:r>
      <w:r w:rsidRPr="00734723">
        <w:rPr>
          <w:rFonts w:hint="cs"/>
          <w:rtl/>
        </w:rPr>
        <w:t>ال</w:t>
      </w:r>
      <w:r w:rsidRPr="00734723">
        <w:rPr>
          <w:rtl/>
        </w:rPr>
        <w:t xml:space="preserve">دائرة </w:t>
      </w:r>
      <w:r w:rsidRPr="00734723">
        <w:rPr>
          <w:rFonts w:hint="cs"/>
          <w:rtl/>
        </w:rPr>
        <w:t>الحكومية</w:t>
      </w:r>
      <w:r w:rsidRPr="00734723">
        <w:rPr>
          <w:rtl/>
        </w:rPr>
        <w:t xml:space="preserve"> للملكية الفكرية في أوكرانيا </w:t>
      </w:r>
      <w:r w:rsidRPr="00734723">
        <w:rPr>
          <w:rFonts w:hint="cs"/>
          <w:rtl/>
        </w:rPr>
        <w:t xml:space="preserve">أبدت </w:t>
      </w:r>
      <w:r w:rsidR="00D21601" w:rsidRPr="00734723">
        <w:rPr>
          <w:rtl/>
        </w:rPr>
        <w:t>استعدادها لمواصلة ترجمة ما تبقى من قاعدة البيانات</w:t>
      </w:r>
      <w:r w:rsidR="0087452B" w:rsidRPr="00734723">
        <w:rPr>
          <w:rFonts w:hint="cs"/>
          <w:rtl/>
        </w:rPr>
        <w:t xml:space="preserve"> </w:t>
      </w:r>
      <w:r w:rsidR="00D21601" w:rsidRPr="00734723">
        <w:rPr>
          <w:rtl/>
        </w:rPr>
        <w:t>من أجل زيادة فائدته</w:t>
      </w:r>
      <w:r w:rsidR="0087452B" w:rsidRPr="00734723">
        <w:rPr>
          <w:rFonts w:hint="cs"/>
          <w:rtl/>
        </w:rPr>
        <w:t>ا</w:t>
      </w:r>
      <w:r w:rsidR="00D21601" w:rsidRPr="00734723">
        <w:rPr>
          <w:rtl/>
        </w:rPr>
        <w:t xml:space="preserve"> للم</w:t>
      </w:r>
      <w:r w:rsidR="0087452B" w:rsidRPr="00734723">
        <w:rPr>
          <w:rFonts w:hint="cs"/>
          <w:rtl/>
        </w:rPr>
        <w:t xml:space="preserve">ودعين </w:t>
      </w:r>
      <w:r w:rsidR="00D21601" w:rsidRPr="00734723">
        <w:rPr>
          <w:rtl/>
        </w:rPr>
        <w:t>الأوكراني</w:t>
      </w:r>
      <w:r w:rsidR="0087452B" w:rsidRPr="00734723">
        <w:rPr>
          <w:rFonts w:hint="cs"/>
          <w:rtl/>
        </w:rPr>
        <w:t>ين</w:t>
      </w:r>
      <w:r w:rsidR="00D21601" w:rsidRPr="00734723">
        <w:rPr>
          <w:rtl/>
        </w:rPr>
        <w:t>.</w:t>
      </w:r>
    </w:p>
    <w:p w:rsidR="00D21601" w:rsidRPr="00734723" w:rsidRDefault="00D21601" w:rsidP="00081C87">
      <w:pPr>
        <w:pStyle w:val="NumberedParaAR"/>
        <w:rPr>
          <w:rtl/>
        </w:rPr>
      </w:pPr>
      <w:r w:rsidRPr="00734723">
        <w:rPr>
          <w:rtl/>
        </w:rPr>
        <w:t xml:space="preserve">وفي مارس 2015، بدأ مكتب الملكية الفكرية </w:t>
      </w:r>
      <w:r w:rsidR="0087452B" w:rsidRPr="00734723">
        <w:rPr>
          <w:rFonts w:hint="cs"/>
          <w:rtl/>
        </w:rPr>
        <w:t xml:space="preserve">في </w:t>
      </w:r>
      <w:r w:rsidRPr="00734723">
        <w:rPr>
          <w:rtl/>
        </w:rPr>
        <w:t>جمهورية صربيا (</w:t>
      </w:r>
      <w:r w:rsidRPr="00734723">
        <w:t>IPO</w:t>
      </w:r>
      <w:r w:rsidRPr="00734723">
        <w:rPr>
          <w:rtl/>
        </w:rPr>
        <w:t xml:space="preserve">) ترجمة </w:t>
      </w:r>
      <w:r w:rsidR="00081C87" w:rsidRPr="00734723">
        <w:rPr>
          <w:rtl/>
        </w:rPr>
        <w:t xml:space="preserve">بقية قاعدة بيانات السلع والخدمات </w:t>
      </w:r>
      <w:r w:rsidRPr="00734723">
        <w:rPr>
          <w:rtl/>
        </w:rPr>
        <w:t>و</w:t>
      </w:r>
      <w:r w:rsidR="0087452B" w:rsidRPr="00734723">
        <w:rPr>
          <w:rFonts w:hint="cs"/>
          <w:rtl/>
        </w:rPr>
        <w:t>ال</w:t>
      </w:r>
      <w:r w:rsidRPr="00734723">
        <w:rPr>
          <w:rtl/>
        </w:rPr>
        <w:t xml:space="preserve">تحقق </w:t>
      </w:r>
      <w:r w:rsidR="0087452B" w:rsidRPr="00734723">
        <w:rPr>
          <w:rFonts w:hint="cs"/>
          <w:rtl/>
        </w:rPr>
        <w:t xml:space="preserve">من </w:t>
      </w:r>
      <w:r w:rsidRPr="00734723">
        <w:rPr>
          <w:rtl/>
        </w:rPr>
        <w:t>قبول</w:t>
      </w:r>
      <w:r w:rsidR="00081C87" w:rsidRPr="00734723">
        <w:rPr>
          <w:rFonts w:hint="cs"/>
          <w:rtl/>
        </w:rPr>
        <w:t xml:space="preserve">ها </w:t>
      </w:r>
      <w:r w:rsidRPr="00734723">
        <w:rPr>
          <w:rtl/>
        </w:rPr>
        <w:t xml:space="preserve">بعد </w:t>
      </w:r>
      <w:r w:rsidR="0087452B" w:rsidRPr="00734723">
        <w:rPr>
          <w:rFonts w:hint="cs"/>
          <w:rtl/>
        </w:rPr>
        <w:t xml:space="preserve">أن أتيحت في </w:t>
      </w:r>
      <w:r w:rsidRPr="00734723">
        <w:rPr>
          <w:rtl/>
        </w:rPr>
        <w:t xml:space="preserve">السنة الأخيرة واجهة </w:t>
      </w:r>
      <w:r w:rsidR="0087452B" w:rsidRPr="00734723">
        <w:rPr>
          <w:rFonts w:hint="cs"/>
          <w:rtl/>
        </w:rPr>
        <w:t>ب</w:t>
      </w:r>
      <w:r w:rsidRPr="00734723">
        <w:rPr>
          <w:rtl/>
        </w:rPr>
        <w:t xml:space="preserve">اللغة الصربية في </w:t>
      </w:r>
      <w:r w:rsidR="0087452B" w:rsidRPr="00734723">
        <w:rPr>
          <w:rFonts w:hint="cs"/>
          <w:rtl/>
        </w:rPr>
        <w:t>قاعدة البيانات والبدء بال</w:t>
      </w:r>
      <w:r w:rsidR="0087452B" w:rsidRPr="00734723">
        <w:rPr>
          <w:rtl/>
        </w:rPr>
        <w:t>قائمة الأبجدية لتصنيف نيس</w:t>
      </w:r>
      <w:r w:rsidR="0087452B" w:rsidRPr="00734723">
        <w:rPr>
          <w:rFonts w:hint="cs"/>
          <w:rtl/>
        </w:rPr>
        <w:t xml:space="preserve"> </w:t>
      </w:r>
      <w:r w:rsidR="00081C87" w:rsidRPr="00734723">
        <w:rPr>
          <w:rFonts w:hint="cs"/>
          <w:rtl/>
        </w:rPr>
        <w:t>فقط</w:t>
      </w:r>
      <w:r w:rsidRPr="00734723">
        <w:rPr>
          <w:rtl/>
        </w:rPr>
        <w:t>.</w:t>
      </w:r>
    </w:p>
    <w:p w:rsidR="00D21601" w:rsidRPr="00734723" w:rsidRDefault="00D21601" w:rsidP="00947432">
      <w:pPr>
        <w:pStyle w:val="NumberedParaAR"/>
        <w:rPr>
          <w:rtl/>
        </w:rPr>
      </w:pPr>
      <w:r w:rsidRPr="00734723">
        <w:rPr>
          <w:rtl/>
        </w:rPr>
        <w:t xml:space="preserve">وفي أبريل 2015، أجريت اتصالات مع العديد </w:t>
      </w:r>
      <w:r w:rsidR="00947432" w:rsidRPr="00734723">
        <w:rPr>
          <w:rFonts w:hint="cs"/>
          <w:rtl/>
        </w:rPr>
        <w:t xml:space="preserve">من </w:t>
      </w:r>
      <w:r w:rsidR="00211947" w:rsidRPr="00734723">
        <w:rPr>
          <w:rFonts w:hint="cs"/>
          <w:rtl/>
        </w:rPr>
        <w:t xml:space="preserve">المكاتب الوطنية </w:t>
      </w:r>
      <w:r w:rsidRPr="00734723">
        <w:rPr>
          <w:rtl/>
        </w:rPr>
        <w:t>الأوروبي</w:t>
      </w:r>
      <w:r w:rsidR="00211947" w:rsidRPr="00734723">
        <w:rPr>
          <w:rFonts w:hint="cs"/>
          <w:rtl/>
        </w:rPr>
        <w:t>ة</w:t>
      </w:r>
      <w:r w:rsidRPr="00734723">
        <w:rPr>
          <w:rtl/>
        </w:rPr>
        <w:t xml:space="preserve"> وغير الأوروبية بهدف </w:t>
      </w:r>
      <w:r w:rsidR="00211947" w:rsidRPr="00734723">
        <w:rPr>
          <w:rFonts w:hint="cs"/>
          <w:rtl/>
        </w:rPr>
        <w:t xml:space="preserve">توسيع </w:t>
      </w:r>
      <w:r w:rsidRPr="00734723">
        <w:rPr>
          <w:rtl/>
        </w:rPr>
        <w:t>قائمة الأطراف المتعاقدة المعي</w:t>
      </w:r>
      <w:r w:rsidR="00211947" w:rsidRPr="00734723">
        <w:rPr>
          <w:rFonts w:hint="cs"/>
          <w:rtl/>
        </w:rPr>
        <w:t>ّ</w:t>
      </w:r>
      <w:r w:rsidR="00947432" w:rsidRPr="00734723">
        <w:rPr>
          <w:rFonts w:hint="cs"/>
          <w:rtl/>
        </w:rPr>
        <w:t>َ</w:t>
      </w:r>
      <w:r w:rsidRPr="00734723">
        <w:rPr>
          <w:rtl/>
        </w:rPr>
        <w:t xml:space="preserve">نة المتاحة في </w:t>
      </w:r>
      <w:r w:rsidR="00C747DE" w:rsidRPr="00734723">
        <w:rPr>
          <w:rtl/>
        </w:rPr>
        <w:t>قاعدة بيانات السلع والخدمات</w:t>
      </w:r>
      <w:r w:rsidRPr="00734723">
        <w:rPr>
          <w:rtl/>
        </w:rPr>
        <w:t xml:space="preserve">. </w:t>
      </w:r>
      <w:r w:rsidR="00C747DE" w:rsidRPr="00734723">
        <w:rPr>
          <w:rFonts w:hint="cs"/>
          <w:rtl/>
        </w:rPr>
        <w:t>وستُدرج عما قريب</w:t>
      </w:r>
      <w:r w:rsidRPr="00734723">
        <w:rPr>
          <w:rtl/>
        </w:rPr>
        <w:t xml:space="preserve"> الأطراف المتعاقدة </w:t>
      </w:r>
      <w:r w:rsidR="00C747DE" w:rsidRPr="00734723">
        <w:rPr>
          <w:rFonts w:hint="cs"/>
          <w:rtl/>
        </w:rPr>
        <w:t xml:space="preserve">المعنية </w:t>
      </w:r>
      <w:r w:rsidRPr="00734723">
        <w:rPr>
          <w:rtl/>
        </w:rPr>
        <w:t>في وظيفة "</w:t>
      </w:r>
      <w:r w:rsidR="00C747DE" w:rsidRPr="00734723">
        <w:rPr>
          <w:rFonts w:hint="cs"/>
          <w:rtl/>
        </w:rPr>
        <w:t>ال</w:t>
      </w:r>
      <w:r w:rsidR="00C747DE" w:rsidRPr="00734723">
        <w:rPr>
          <w:rtl/>
        </w:rPr>
        <w:t>تحقق من قبول طرف متعاقد معي</w:t>
      </w:r>
      <w:r w:rsidR="00C747DE" w:rsidRPr="00734723">
        <w:rPr>
          <w:rFonts w:hint="cs"/>
          <w:rtl/>
        </w:rPr>
        <w:t>ّ</w:t>
      </w:r>
      <w:r w:rsidR="00C747DE" w:rsidRPr="00734723">
        <w:rPr>
          <w:rtl/>
        </w:rPr>
        <w:t>ن</w:t>
      </w:r>
      <w:r w:rsidRPr="00734723">
        <w:rPr>
          <w:rtl/>
        </w:rPr>
        <w:t>"</w:t>
      </w:r>
      <w:r w:rsidR="00947432" w:rsidRPr="00734723">
        <w:rPr>
          <w:rFonts w:hint="cs"/>
          <w:rtl/>
        </w:rPr>
        <w:t>، مما س</w:t>
      </w:r>
      <w:r w:rsidR="00C747DE" w:rsidRPr="00734723">
        <w:rPr>
          <w:rFonts w:hint="cs"/>
          <w:rtl/>
        </w:rPr>
        <w:t>ي</w:t>
      </w:r>
      <w:r w:rsidRPr="00734723">
        <w:rPr>
          <w:rtl/>
        </w:rPr>
        <w:t xml:space="preserve">زيد </w:t>
      </w:r>
      <w:r w:rsidR="00947432" w:rsidRPr="00734723">
        <w:rPr>
          <w:rFonts w:hint="cs"/>
          <w:rtl/>
        </w:rPr>
        <w:t>م</w:t>
      </w:r>
      <w:r w:rsidRPr="00734723">
        <w:rPr>
          <w:rtl/>
        </w:rPr>
        <w:t xml:space="preserve">ن حجم المعلومات القيمة المتاحة </w:t>
      </w:r>
      <w:r w:rsidR="0017733D" w:rsidRPr="00734723">
        <w:rPr>
          <w:rFonts w:hint="cs"/>
          <w:rtl/>
        </w:rPr>
        <w:t>لمودعي</w:t>
      </w:r>
      <w:r w:rsidRPr="00734723">
        <w:rPr>
          <w:rtl/>
        </w:rPr>
        <w:t xml:space="preserve"> العلامات التجارية في 2015.</w:t>
      </w:r>
    </w:p>
    <w:p w:rsidR="004E0695" w:rsidRPr="00734723" w:rsidRDefault="00947432" w:rsidP="00076B5B">
      <w:pPr>
        <w:pStyle w:val="NumberedParaAR"/>
      </w:pPr>
      <w:r w:rsidRPr="00734723">
        <w:rPr>
          <w:rFonts w:hint="cs"/>
          <w:rtl/>
        </w:rPr>
        <w:t>و</w:t>
      </w:r>
      <w:r w:rsidR="00D21601" w:rsidRPr="00734723">
        <w:rPr>
          <w:rtl/>
        </w:rPr>
        <w:t xml:space="preserve">منذ يناير 2015، </w:t>
      </w:r>
      <w:r w:rsidRPr="00734723">
        <w:rPr>
          <w:rFonts w:hint="cs"/>
          <w:rtl/>
        </w:rPr>
        <w:t xml:space="preserve">قدم </w:t>
      </w:r>
      <w:r w:rsidR="00D21601" w:rsidRPr="00734723">
        <w:rPr>
          <w:rtl/>
        </w:rPr>
        <w:t>مكتب البراءات الياباني (</w:t>
      </w:r>
      <w:r w:rsidR="00D21601" w:rsidRPr="00734723">
        <w:t>JPO</w:t>
      </w:r>
      <w:r w:rsidR="00D21601" w:rsidRPr="00734723">
        <w:rPr>
          <w:rtl/>
        </w:rPr>
        <w:t xml:space="preserve">) </w:t>
      </w:r>
      <w:r w:rsidRPr="00734723">
        <w:rPr>
          <w:rFonts w:hint="cs"/>
          <w:rtl/>
        </w:rPr>
        <w:t>ل</w:t>
      </w:r>
      <w:r w:rsidR="00D21601" w:rsidRPr="00734723">
        <w:rPr>
          <w:rtl/>
        </w:rPr>
        <w:t>لويبو رموز</w:t>
      </w:r>
      <w:r w:rsidRPr="00734723">
        <w:rPr>
          <w:rFonts w:hint="cs"/>
          <w:rtl/>
        </w:rPr>
        <w:t>ا</w:t>
      </w:r>
      <w:r w:rsidR="00D21601" w:rsidRPr="00734723">
        <w:rPr>
          <w:rtl/>
        </w:rPr>
        <w:t xml:space="preserve"> محددة تسمى "رموز </w:t>
      </w:r>
      <w:r w:rsidRPr="00734723">
        <w:rPr>
          <w:rFonts w:hint="cs"/>
          <w:rtl/>
        </w:rPr>
        <w:t>ال</w:t>
      </w:r>
      <w:r w:rsidR="00D21601" w:rsidRPr="00734723">
        <w:rPr>
          <w:rtl/>
        </w:rPr>
        <w:t xml:space="preserve">مجموعة </w:t>
      </w:r>
      <w:r w:rsidRPr="00734723">
        <w:rPr>
          <w:rFonts w:hint="cs"/>
          <w:rtl/>
        </w:rPr>
        <w:t>ال</w:t>
      </w:r>
      <w:r w:rsidR="00D21601" w:rsidRPr="00734723">
        <w:rPr>
          <w:rtl/>
        </w:rPr>
        <w:t xml:space="preserve">مماثلة" </w:t>
      </w:r>
      <w:r w:rsidRPr="00734723">
        <w:rPr>
          <w:rFonts w:hint="cs"/>
          <w:rtl/>
        </w:rPr>
        <w:t xml:space="preserve">فيما يخص </w:t>
      </w:r>
      <w:r w:rsidR="00D21601" w:rsidRPr="00734723">
        <w:rPr>
          <w:rtl/>
        </w:rPr>
        <w:t>جزء</w:t>
      </w:r>
      <w:r w:rsidRPr="00734723">
        <w:rPr>
          <w:rFonts w:hint="cs"/>
          <w:rtl/>
        </w:rPr>
        <w:t>ا</w:t>
      </w:r>
      <w:r w:rsidR="00D21601" w:rsidRPr="00734723">
        <w:rPr>
          <w:rtl/>
        </w:rPr>
        <w:t xml:space="preserve"> كبير</w:t>
      </w:r>
      <w:r w:rsidRPr="00734723">
        <w:rPr>
          <w:rFonts w:hint="cs"/>
          <w:rtl/>
        </w:rPr>
        <w:t>ا</w:t>
      </w:r>
      <w:r w:rsidR="00D21601" w:rsidRPr="00734723">
        <w:rPr>
          <w:rtl/>
        </w:rPr>
        <w:t xml:space="preserve"> من </w:t>
      </w:r>
      <w:r w:rsidR="00C747DE" w:rsidRPr="00734723">
        <w:rPr>
          <w:rtl/>
        </w:rPr>
        <w:t>قاعدة بيانات السلع والخدمات</w:t>
      </w:r>
      <w:r w:rsidR="00D21601" w:rsidRPr="00734723">
        <w:rPr>
          <w:rtl/>
        </w:rPr>
        <w:t xml:space="preserve">. </w:t>
      </w:r>
      <w:r w:rsidRPr="00734723">
        <w:rPr>
          <w:rFonts w:hint="cs"/>
          <w:rtl/>
        </w:rPr>
        <w:t>و</w:t>
      </w:r>
      <w:r w:rsidR="00D21601" w:rsidRPr="00734723">
        <w:rPr>
          <w:rtl/>
        </w:rPr>
        <w:t xml:space="preserve">بدأ </w:t>
      </w:r>
      <w:r w:rsidRPr="00734723">
        <w:rPr>
          <w:rtl/>
        </w:rPr>
        <w:t xml:space="preserve">أيضا </w:t>
      </w:r>
      <w:r w:rsidR="00D21601" w:rsidRPr="00734723">
        <w:rPr>
          <w:rtl/>
        </w:rPr>
        <w:t>مكتب الملكية الفكرية الكوري (</w:t>
      </w:r>
      <w:r w:rsidR="00D21601" w:rsidRPr="00734723">
        <w:t>KIPO</w:t>
      </w:r>
      <w:r w:rsidR="00D21601" w:rsidRPr="00734723">
        <w:rPr>
          <w:rtl/>
        </w:rPr>
        <w:t xml:space="preserve">) </w:t>
      </w:r>
      <w:r w:rsidRPr="00734723">
        <w:rPr>
          <w:rFonts w:hint="cs"/>
          <w:rtl/>
        </w:rPr>
        <w:t>في تقديم</w:t>
      </w:r>
      <w:r w:rsidR="00D21601" w:rsidRPr="00734723">
        <w:rPr>
          <w:rtl/>
        </w:rPr>
        <w:t xml:space="preserve"> "رموز </w:t>
      </w:r>
      <w:r w:rsidRPr="00734723">
        <w:rPr>
          <w:rFonts w:hint="cs"/>
          <w:rtl/>
        </w:rPr>
        <w:t>ال</w:t>
      </w:r>
      <w:r w:rsidR="00D21601" w:rsidRPr="00734723">
        <w:rPr>
          <w:rtl/>
        </w:rPr>
        <w:t xml:space="preserve">مجموعة </w:t>
      </w:r>
      <w:r w:rsidRPr="00734723">
        <w:rPr>
          <w:rFonts w:hint="cs"/>
          <w:rtl/>
        </w:rPr>
        <w:t>ال</w:t>
      </w:r>
      <w:r w:rsidR="00D21601" w:rsidRPr="00734723">
        <w:rPr>
          <w:rtl/>
        </w:rPr>
        <w:t xml:space="preserve">مماثلة" المستخدمة في جمهورية كوريا. </w:t>
      </w:r>
      <w:r w:rsidRPr="00734723">
        <w:rPr>
          <w:rFonts w:hint="cs"/>
          <w:rtl/>
        </w:rPr>
        <w:t xml:space="preserve">وتحدد </w:t>
      </w:r>
      <w:r w:rsidR="00D21601" w:rsidRPr="00734723">
        <w:rPr>
          <w:rtl/>
        </w:rPr>
        <w:t>هذه الرموز اليابانية والكورية تصنيف</w:t>
      </w:r>
      <w:r w:rsidR="00076B5B" w:rsidRPr="00734723">
        <w:rPr>
          <w:rFonts w:hint="cs"/>
          <w:rtl/>
        </w:rPr>
        <w:t>ين</w:t>
      </w:r>
      <w:r w:rsidR="00D21601" w:rsidRPr="00734723">
        <w:rPr>
          <w:rtl/>
        </w:rPr>
        <w:t xml:space="preserve"> </w:t>
      </w:r>
      <w:r w:rsidR="00076B5B" w:rsidRPr="00734723">
        <w:rPr>
          <w:rFonts w:hint="cs"/>
          <w:rtl/>
        </w:rPr>
        <w:t>مفصلين</w:t>
      </w:r>
      <w:r w:rsidR="00D21601" w:rsidRPr="00734723">
        <w:rPr>
          <w:rtl/>
        </w:rPr>
        <w:t xml:space="preserve"> مختلف</w:t>
      </w:r>
      <w:r w:rsidR="00076B5B" w:rsidRPr="00734723">
        <w:rPr>
          <w:rFonts w:hint="cs"/>
          <w:rtl/>
        </w:rPr>
        <w:t>ين</w:t>
      </w:r>
      <w:r w:rsidR="00D21601" w:rsidRPr="00734723">
        <w:rPr>
          <w:rtl/>
        </w:rPr>
        <w:t xml:space="preserve"> </w:t>
      </w:r>
      <w:r w:rsidR="00076B5B" w:rsidRPr="00734723">
        <w:rPr>
          <w:rFonts w:hint="cs"/>
          <w:rtl/>
        </w:rPr>
        <w:t>يرتبطان</w:t>
      </w:r>
      <w:r w:rsidR="00D21601" w:rsidRPr="00734723">
        <w:rPr>
          <w:rtl/>
        </w:rPr>
        <w:t xml:space="preserve"> </w:t>
      </w:r>
      <w:r w:rsidR="00076B5B" w:rsidRPr="00734723">
        <w:rPr>
          <w:rFonts w:hint="cs"/>
          <w:rtl/>
        </w:rPr>
        <w:t>ب</w:t>
      </w:r>
      <w:r w:rsidR="00D21601" w:rsidRPr="00734723">
        <w:rPr>
          <w:rtl/>
        </w:rPr>
        <w:t>مجموعات من السلع أو الخدمات التي تعتبر مشابهة لبعضها البعض في فحص العلامات التجارية. و</w:t>
      </w:r>
      <w:r w:rsidR="00076B5B" w:rsidRPr="00734723">
        <w:rPr>
          <w:rFonts w:hint="cs"/>
          <w:rtl/>
        </w:rPr>
        <w:t>يُ</w:t>
      </w:r>
      <w:r w:rsidR="00D21601" w:rsidRPr="00734723">
        <w:rPr>
          <w:rtl/>
        </w:rPr>
        <w:t xml:space="preserve">شجع </w:t>
      </w:r>
      <w:r w:rsidR="00076B5B" w:rsidRPr="00734723">
        <w:rPr>
          <w:rFonts w:hint="cs"/>
          <w:rtl/>
        </w:rPr>
        <w:t>مدعو</w:t>
      </w:r>
      <w:r w:rsidR="00D21601" w:rsidRPr="00734723">
        <w:rPr>
          <w:rtl/>
        </w:rPr>
        <w:t xml:space="preserve"> العلامات التجارية في اليابان وجمهورية كوريا </w:t>
      </w:r>
      <w:r w:rsidR="00076B5B" w:rsidRPr="00734723">
        <w:rPr>
          <w:rFonts w:hint="cs"/>
          <w:rtl/>
        </w:rPr>
        <w:t>على ا</w:t>
      </w:r>
      <w:r w:rsidR="00D21601" w:rsidRPr="00734723">
        <w:rPr>
          <w:rtl/>
        </w:rPr>
        <w:t xml:space="preserve">لإشارة إلى </w:t>
      </w:r>
      <w:r w:rsidR="00076B5B" w:rsidRPr="00734723">
        <w:rPr>
          <w:rFonts w:hint="cs"/>
          <w:rtl/>
        </w:rPr>
        <w:t>تلك</w:t>
      </w:r>
      <w:r w:rsidR="00D21601" w:rsidRPr="00734723">
        <w:rPr>
          <w:rtl/>
        </w:rPr>
        <w:t xml:space="preserve"> الرموز قبل </w:t>
      </w:r>
      <w:r w:rsidR="00076B5B" w:rsidRPr="00734723">
        <w:rPr>
          <w:rFonts w:hint="cs"/>
          <w:rtl/>
        </w:rPr>
        <w:t>إيداع</w:t>
      </w:r>
      <w:r w:rsidR="00D21601" w:rsidRPr="00734723">
        <w:rPr>
          <w:rtl/>
        </w:rPr>
        <w:t xml:space="preserve"> طلب تسجيل علامات تجارية من أجل </w:t>
      </w:r>
      <w:r w:rsidR="00076B5B" w:rsidRPr="00734723">
        <w:rPr>
          <w:rFonts w:hint="cs"/>
          <w:rtl/>
        </w:rPr>
        <w:t>التحقق من</w:t>
      </w:r>
      <w:r w:rsidR="00D21601" w:rsidRPr="00734723">
        <w:rPr>
          <w:rtl/>
        </w:rPr>
        <w:t xml:space="preserve"> وجود علامات تجارية مسجلة مماثلة. </w:t>
      </w:r>
      <w:r w:rsidR="00076B5B" w:rsidRPr="00734723">
        <w:rPr>
          <w:rFonts w:hint="cs"/>
          <w:rtl/>
        </w:rPr>
        <w:t xml:space="preserve">وستتاح تلك </w:t>
      </w:r>
      <w:r w:rsidR="00D21601" w:rsidRPr="00734723">
        <w:rPr>
          <w:rtl/>
        </w:rPr>
        <w:t xml:space="preserve">الرموز في </w:t>
      </w:r>
      <w:r w:rsidR="0087452B" w:rsidRPr="00734723">
        <w:rPr>
          <w:rtl/>
        </w:rPr>
        <w:t xml:space="preserve">قاعدة بيانات السلع والخدمات </w:t>
      </w:r>
      <w:r w:rsidR="00076B5B" w:rsidRPr="00734723">
        <w:rPr>
          <w:rFonts w:hint="cs"/>
          <w:rtl/>
        </w:rPr>
        <w:t>في</w:t>
      </w:r>
      <w:r w:rsidR="00D21601" w:rsidRPr="00734723">
        <w:rPr>
          <w:rtl/>
        </w:rPr>
        <w:t xml:space="preserve"> 2015.</w:t>
      </w:r>
    </w:p>
    <w:p w:rsidR="003C4C77" w:rsidRPr="00734723" w:rsidRDefault="003C4C77" w:rsidP="003C4C77">
      <w:pPr>
        <w:pStyle w:val="NumberedParaAR"/>
        <w:keepNext/>
        <w:widowControl w:val="0"/>
        <w:numPr>
          <w:ilvl w:val="0"/>
          <w:numId w:val="0"/>
        </w:numPr>
        <w:rPr>
          <w:sz w:val="40"/>
          <w:szCs w:val="40"/>
        </w:rPr>
      </w:pPr>
      <w:r w:rsidRPr="00734723">
        <w:rPr>
          <w:rFonts w:hint="cs"/>
          <w:sz w:val="40"/>
          <w:szCs w:val="40"/>
          <w:rtl/>
        </w:rPr>
        <w:lastRenderedPageBreak/>
        <w:t xml:space="preserve">مضمون </w:t>
      </w:r>
      <w:r w:rsidRPr="00734723">
        <w:rPr>
          <w:sz w:val="40"/>
          <w:szCs w:val="40"/>
          <w:rtl/>
        </w:rPr>
        <w:t>قاعدة بيانات السلع والخدمات</w:t>
      </w:r>
    </w:p>
    <w:p w:rsidR="00FF00DD" w:rsidRPr="00734723" w:rsidRDefault="00FF00DD" w:rsidP="001304D0">
      <w:pPr>
        <w:pStyle w:val="NumberedParaAR"/>
      </w:pPr>
      <w:r w:rsidRPr="00734723">
        <w:rPr>
          <w:rtl/>
        </w:rPr>
        <w:t xml:space="preserve">يجدر التذكير </w:t>
      </w:r>
      <w:r w:rsidRPr="00734723">
        <w:rPr>
          <w:rFonts w:hint="cs"/>
          <w:rtl/>
        </w:rPr>
        <w:t xml:space="preserve">إلى أن إثراء </w:t>
      </w:r>
      <w:r w:rsidR="0018131E" w:rsidRPr="00734723">
        <w:rPr>
          <w:rFonts w:hint="cs"/>
          <w:rtl/>
        </w:rPr>
        <w:t>قاعدة بيانات</w:t>
      </w:r>
      <w:r w:rsidR="00BF3C24" w:rsidRPr="00734723">
        <w:rPr>
          <w:rFonts w:hint="cs"/>
          <w:rtl/>
        </w:rPr>
        <w:t xml:space="preserve"> </w:t>
      </w:r>
      <w:r w:rsidR="0018131E" w:rsidRPr="00734723">
        <w:rPr>
          <w:rFonts w:hint="cs"/>
          <w:rtl/>
        </w:rPr>
        <w:t>السلع والخدمات بالترجمات</w:t>
      </w:r>
      <w:r w:rsidR="00BF3C24" w:rsidRPr="00734723">
        <w:rPr>
          <w:rFonts w:hint="cs"/>
          <w:rtl/>
        </w:rPr>
        <w:t xml:space="preserve"> ب</w:t>
      </w:r>
      <w:r w:rsidR="0018131E" w:rsidRPr="00734723">
        <w:rPr>
          <w:rtl/>
        </w:rPr>
        <w:t>لغات غير لغات نظام مدريد</w:t>
      </w:r>
      <w:r w:rsidR="0018131E" w:rsidRPr="00734723">
        <w:rPr>
          <w:rFonts w:hint="cs"/>
          <w:rtl/>
        </w:rPr>
        <w:t xml:space="preserve"> من جهة وب</w:t>
      </w:r>
      <w:r w:rsidR="0018131E" w:rsidRPr="00734723">
        <w:rPr>
          <w:rtl/>
        </w:rPr>
        <w:t>المعلومات المتعلقة بحالة القبول</w:t>
      </w:r>
      <w:r w:rsidR="0018131E" w:rsidRPr="00734723">
        <w:rPr>
          <w:rFonts w:hint="cs"/>
          <w:rtl/>
        </w:rPr>
        <w:t xml:space="preserve"> من جهة أخرى </w:t>
      </w:r>
      <w:r w:rsidR="00BF3C24" w:rsidRPr="00734723">
        <w:rPr>
          <w:rFonts w:hint="cs"/>
          <w:rtl/>
        </w:rPr>
        <w:t>ي</w:t>
      </w:r>
      <w:r w:rsidR="0018131E" w:rsidRPr="00734723">
        <w:rPr>
          <w:rFonts w:hint="cs"/>
          <w:rtl/>
        </w:rPr>
        <w:t>توقف على التقدم المحرز في</w:t>
      </w:r>
      <w:r w:rsidR="001304D0" w:rsidRPr="00734723">
        <w:rPr>
          <w:rFonts w:hint="cs"/>
          <w:rtl/>
        </w:rPr>
        <w:t xml:space="preserve">ما تقوم به </w:t>
      </w:r>
      <w:r w:rsidR="001304D0" w:rsidRPr="00734723">
        <w:rPr>
          <w:rtl/>
        </w:rPr>
        <w:t>المكاتب الوطنية</w:t>
      </w:r>
      <w:r w:rsidR="001304D0" w:rsidRPr="00734723">
        <w:rPr>
          <w:rFonts w:hint="cs"/>
          <w:rtl/>
        </w:rPr>
        <w:t xml:space="preserve"> المتعاونة من ترجمات و/أو عمليات</w:t>
      </w:r>
      <w:r w:rsidR="00BF3C24" w:rsidRPr="00734723">
        <w:rPr>
          <w:rFonts w:hint="cs"/>
          <w:rtl/>
        </w:rPr>
        <w:t xml:space="preserve"> التحقق من القبول.</w:t>
      </w:r>
    </w:p>
    <w:p w:rsidR="002263F1" w:rsidRPr="00734723" w:rsidRDefault="002263F1" w:rsidP="001A15E7">
      <w:pPr>
        <w:pStyle w:val="NumberedParaAR"/>
        <w:widowControl w:val="0"/>
      </w:pPr>
      <w:r w:rsidRPr="00734723">
        <w:rPr>
          <w:rFonts w:hint="cs"/>
          <w:rtl/>
          <w:lang w:bidi="ar-AE"/>
        </w:rPr>
        <w:t xml:space="preserve">ويعرض المرفق الأول مضمون </w:t>
      </w:r>
      <w:r w:rsidRPr="00734723">
        <w:rPr>
          <w:rFonts w:hint="cs"/>
          <w:rtl/>
        </w:rPr>
        <w:t>ق</w:t>
      </w:r>
      <w:r w:rsidRPr="00734723">
        <w:rPr>
          <w:rtl/>
        </w:rPr>
        <w:t>اعدة بيانات</w:t>
      </w:r>
      <w:r w:rsidRPr="00734723">
        <w:rPr>
          <w:rFonts w:hint="cs"/>
          <w:rtl/>
        </w:rPr>
        <w:t xml:space="preserve"> </w:t>
      </w:r>
      <w:r w:rsidRPr="00734723">
        <w:rPr>
          <w:rtl/>
        </w:rPr>
        <w:t>السلع والخدمات</w:t>
      </w:r>
      <w:r w:rsidRPr="00734723">
        <w:rPr>
          <w:rFonts w:hint="cs"/>
          <w:rtl/>
        </w:rPr>
        <w:t xml:space="preserve"> من حيث حجم البيانات </w:t>
      </w:r>
      <w:r w:rsidR="00AC4D30" w:rsidRPr="00734723">
        <w:rPr>
          <w:rFonts w:hint="cs"/>
          <w:rtl/>
        </w:rPr>
        <w:t xml:space="preserve">في كل لغة، كما ورد في </w:t>
      </w:r>
      <w:r w:rsidR="001A15E7" w:rsidRPr="00734723">
        <w:rPr>
          <w:rFonts w:hint="cs"/>
          <w:rtl/>
        </w:rPr>
        <w:t>ال</w:t>
      </w:r>
      <w:r w:rsidR="00AC4D30" w:rsidRPr="00734723">
        <w:rPr>
          <w:rFonts w:hint="cs"/>
          <w:rtl/>
        </w:rPr>
        <w:t xml:space="preserve">موقع </w:t>
      </w:r>
      <w:r w:rsidR="001A15E7" w:rsidRPr="00734723">
        <w:rPr>
          <w:rFonts w:hint="cs"/>
          <w:rtl/>
        </w:rPr>
        <w:t>الإلكتروني ل</w:t>
      </w:r>
      <w:r w:rsidR="00AC4D30" w:rsidRPr="00734723">
        <w:rPr>
          <w:rFonts w:hint="cs"/>
          <w:rtl/>
        </w:rPr>
        <w:t xml:space="preserve">لويبو في مايو </w:t>
      </w:r>
      <w:r w:rsidR="001A15E7" w:rsidRPr="00734723">
        <w:rPr>
          <w:rFonts w:hint="cs"/>
          <w:rtl/>
        </w:rPr>
        <w:t>2015</w:t>
      </w:r>
      <w:r w:rsidR="00AC4D30" w:rsidRPr="00734723">
        <w:rPr>
          <w:rFonts w:hint="cs"/>
          <w:rtl/>
        </w:rPr>
        <w:t>.</w:t>
      </w:r>
    </w:p>
    <w:p w:rsidR="00AC4D30" w:rsidRPr="00734723" w:rsidRDefault="00122AC9" w:rsidP="001A15E7">
      <w:pPr>
        <w:pStyle w:val="NumberedParaAR"/>
        <w:widowControl w:val="0"/>
      </w:pPr>
      <w:r w:rsidRPr="00734723">
        <w:rPr>
          <w:rFonts w:hint="cs"/>
          <w:rtl/>
        </w:rPr>
        <w:t>ويقدم</w:t>
      </w:r>
      <w:r w:rsidR="00AC4D30" w:rsidRPr="00734723">
        <w:rPr>
          <w:rFonts w:hint="cs"/>
          <w:rtl/>
        </w:rPr>
        <w:t xml:space="preserve"> المرفق الثاني </w:t>
      </w:r>
      <w:r w:rsidR="008D1910" w:rsidRPr="00734723">
        <w:rPr>
          <w:rFonts w:hint="cs"/>
          <w:rtl/>
        </w:rPr>
        <w:t>فكرة</w:t>
      </w:r>
      <w:r w:rsidR="00855CF4" w:rsidRPr="00734723">
        <w:rPr>
          <w:rFonts w:hint="cs"/>
          <w:rtl/>
        </w:rPr>
        <w:t>ً</w:t>
      </w:r>
      <w:r w:rsidR="008D1910" w:rsidRPr="00734723">
        <w:rPr>
          <w:rFonts w:hint="cs"/>
          <w:rtl/>
        </w:rPr>
        <w:t xml:space="preserve"> عامة عن </w:t>
      </w:r>
      <w:r w:rsidR="002178E7" w:rsidRPr="00734723">
        <w:rPr>
          <w:rFonts w:hint="cs"/>
          <w:rtl/>
        </w:rPr>
        <w:t xml:space="preserve">نسبة </w:t>
      </w:r>
      <w:r w:rsidR="008D1910" w:rsidRPr="00734723">
        <w:rPr>
          <w:rFonts w:hint="cs"/>
          <w:rtl/>
        </w:rPr>
        <w:t>المصطلحات المُدخلة في قاعدة البيا</w:t>
      </w:r>
      <w:r w:rsidR="001A15E7" w:rsidRPr="00734723">
        <w:rPr>
          <w:rFonts w:hint="cs"/>
          <w:rtl/>
        </w:rPr>
        <w:t>نات والمترجمة إلى مختلف لغاتها.</w:t>
      </w:r>
    </w:p>
    <w:p w:rsidR="00356660" w:rsidRPr="00734723" w:rsidRDefault="00E07149" w:rsidP="00E07149">
      <w:pPr>
        <w:pStyle w:val="NumberedParaAR"/>
        <w:widowControl w:val="0"/>
      </w:pPr>
      <w:r w:rsidRPr="00734723">
        <w:rPr>
          <w:rFonts w:hint="cs"/>
          <w:rtl/>
        </w:rPr>
        <w:t>ويعرض</w:t>
      </w:r>
      <w:r w:rsidR="00660AB6" w:rsidRPr="00734723">
        <w:rPr>
          <w:rFonts w:hint="cs"/>
          <w:rtl/>
        </w:rPr>
        <w:t xml:space="preserve"> المرفق الثالث</w:t>
      </w:r>
      <w:r w:rsidRPr="00734723">
        <w:rPr>
          <w:rFonts w:hint="cs"/>
          <w:rtl/>
        </w:rPr>
        <w:t xml:space="preserve"> لمحة عن</w:t>
      </w:r>
      <w:r w:rsidR="002178E7" w:rsidRPr="00734723">
        <w:rPr>
          <w:rFonts w:hint="cs"/>
          <w:rtl/>
        </w:rPr>
        <w:t xml:space="preserve"> نسبة</w:t>
      </w:r>
      <w:r w:rsidR="00660AB6" w:rsidRPr="00734723">
        <w:rPr>
          <w:rFonts w:hint="cs"/>
          <w:rtl/>
        </w:rPr>
        <w:t xml:space="preserve"> قبول الأطراف المتعاقدة لمحتويات قاعدة بيانات السلع والخدمات</w:t>
      </w:r>
      <w:r w:rsidR="002178E7" w:rsidRPr="00734723">
        <w:rPr>
          <w:rFonts w:hint="cs"/>
          <w:rtl/>
        </w:rPr>
        <w:t xml:space="preserve"> المبينة</w:t>
      </w:r>
      <w:r w:rsidR="00660AB6" w:rsidRPr="00734723">
        <w:rPr>
          <w:rFonts w:hint="cs"/>
          <w:rtl/>
        </w:rPr>
        <w:t xml:space="preserve"> من خلال وظيفة </w:t>
      </w:r>
      <w:r w:rsidR="00660AB6" w:rsidRPr="00734723">
        <w:rPr>
          <w:rFonts w:eastAsia="Arial"/>
          <w:rtl/>
          <w:lang w:val="ar-SA"/>
        </w:rPr>
        <w:t>"</w:t>
      </w:r>
      <w:r w:rsidRPr="00734723">
        <w:rPr>
          <w:rFonts w:eastAsia="Arial" w:hint="cs"/>
          <w:rtl/>
          <w:lang w:val="ar-SA"/>
        </w:rPr>
        <w:t>التحقق</w:t>
      </w:r>
      <w:r w:rsidR="00660AB6" w:rsidRPr="00734723">
        <w:rPr>
          <w:rFonts w:eastAsia="Arial" w:hint="cs"/>
          <w:rtl/>
          <w:lang w:val="ar-SA"/>
        </w:rPr>
        <w:t xml:space="preserve"> من قبول</w:t>
      </w:r>
      <w:r w:rsidR="00660AB6" w:rsidRPr="00734723">
        <w:rPr>
          <w:rFonts w:eastAsia="Arial"/>
          <w:rtl/>
          <w:lang w:val="ar-SA"/>
        </w:rPr>
        <w:t xml:space="preserve"> طرف متعاقد معي</w:t>
      </w:r>
      <w:r w:rsidRPr="00734723">
        <w:rPr>
          <w:rFonts w:eastAsia="Arial" w:hint="cs"/>
          <w:rtl/>
          <w:lang w:val="ar-SA"/>
        </w:rPr>
        <w:t>َ</w:t>
      </w:r>
      <w:r w:rsidR="001A15E7" w:rsidRPr="00734723">
        <w:rPr>
          <w:rFonts w:eastAsia="Arial" w:hint="cs"/>
          <w:rtl/>
          <w:lang w:val="ar-SA"/>
        </w:rPr>
        <w:t>ّ</w:t>
      </w:r>
      <w:r w:rsidR="00660AB6" w:rsidRPr="00734723">
        <w:rPr>
          <w:rFonts w:eastAsia="Arial"/>
          <w:rtl/>
          <w:lang w:val="ar-SA"/>
        </w:rPr>
        <w:t>ن"</w:t>
      </w:r>
      <w:r w:rsidR="001A15E7" w:rsidRPr="00734723">
        <w:rPr>
          <w:rFonts w:eastAsia="Arial" w:hint="cs"/>
          <w:rtl/>
          <w:lang w:val="ar-SA"/>
        </w:rPr>
        <w:t>.</w:t>
      </w:r>
    </w:p>
    <w:p w:rsidR="00E07149" w:rsidRPr="00734723" w:rsidRDefault="00E07149" w:rsidP="00E07149">
      <w:pPr>
        <w:pStyle w:val="NumberedParaAR"/>
        <w:keepNext/>
        <w:widowControl w:val="0"/>
        <w:numPr>
          <w:ilvl w:val="0"/>
          <w:numId w:val="0"/>
        </w:numPr>
        <w:rPr>
          <w:sz w:val="40"/>
          <w:szCs w:val="40"/>
          <w:rtl/>
        </w:rPr>
      </w:pPr>
      <w:r w:rsidRPr="00734723">
        <w:rPr>
          <w:sz w:val="40"/>
          <w:szCs w:val="40"/>
          <w:rtl/>
        </w:rPr>
        <w:t xml:space="preserve">وظيفة </w:t>
      </w:r>
      <w:r w:rsidRPr="00734723">
        <w:rPr>
          <w:rFonts w:hint="cs"/>
          <w:sz w:val="40"/>
          <w:szCs w:val="40"/>
          <w:rtl/>
        </w:rPr>
        <w:t xml:space="preserve">الويبو </w:t>
      </w:r>
      <w:r w:rsidRPr="00734723">
        <w:rPr>
          <w:sz w:val="40"/>
          <w:szCs w:val="40"/>
          <w:rtl/>
        </w:rPr>
        <w:t>الحصرية المعروفة باسم "التحقق من قبول طرف متعاقد معيّن"</w:t>
      </w:r>
    </w:p>
    <w:p w:rsidR="00E07149" w:rsidRPr="00734723" w:rsidRDefault="00E07149" w:rsidP="00AC6312">
      <w:pPr>
        <w:pStyle w:val="NumberedParaAR"/>
        <w:widowControl w:val="0"/>
      </w:pPr>
      <w:r w:rsidRPr="00734723">
        <w:rPr>
          <w:rFonts w:hint="cs"/>
          <w:rtl/>
        </w:rPr>
        <w:t>تجدر الإشارة إلى أن المعلومات عن وضع حالة قبول المصطلحات التي تصف السلع أو الخدمات (يشار إليها فيما بعد "المصطلحات")</w:t>
      </w:r>
      <w:r w:rsidR="004946ED" w:rsidRPr="00734723">
        <w:rPr>
          <w:rFonts w:hint="cs"/>
          <w:rtl/>
        </w:rPr>
        <w:t xml:space="preserve"> المعروضة في </w:t>
      </w:r>
      <w:r w:rsidR="004946ED" w:rsidRPr="00734723">
        <w:rPr>
          <w:rtl/>
        </w:rPr>
        <w:t>وظيفة الويبو الحصرية "التحقق من قبول طرف متعاقد معيّن"</w:t>
      </w:r>
      <w:r w:rsidR="004946ED" w:rsidRPr="00734723">
        <w:rPr>
          <w:rFonts w:hint="cs"/>
          <w:rtl/>
        </w:rPr>
        <w:t xml:space="preserve"> لا تقتصر فقط على </w:t>
      </w:r>
      <w:r w:rsidR="004946ED" w:rsidRPr="00734723">
        <w:rPr>
          <w:rtl/>
        </w:rPr>
        <w:t>تمك</w:t>
      </w:r>
      <w:r w:rsidR="004946ED" w:rsidRPr="00734723">
        <w:rPr>
          <w:rFonts w:hint="cs"/>
          <w:rtl/>
        </w:rPr>
        <w:t>ي</w:t>
      </w:r>
      <w:r w:rsidRPr="00734723">
        <w:rPr>
          <w:rtl/>
        </w:rPr>
        <w:t>ن مودع طلب علامة تجارية من معرفة ما إذا كان طرف من الأطراف المتعاقدة</w:t>
      </w:r>
      <w:r w:rsidR="004946ED" w:rsidRPr="00734723">
        <w:rPr>
          <w:rFonts w:hint="cs"/>
          <w:rtl/>
        </w:rPr>
        <w:t xml:space="preserve"> المعيّنة سي</w:t>
      </w:r>
      <w:r w:rsidRPr="00734723">
        <w:rPr>
          <w:rtl/>
        </w:rPr>
        <w:t xml:space="preserve">رفض </w:t>
      </w:r>
      <w:r w:rsidR="004946ED" w:rsidRPr="00734723">
        <w:rPr>
          <w:rFonts w:hint="cs"/>
          <w:rtl/>
        </w:rPr>
        <w:t xml:space="preserve">مصطلحا </w:t>
      </w:r>
      <w:r w:rsidRPr="00734723">
        <w:rPr>
          <w:rtl/>
        </w:rPr>
        <w:t>قبِله المكتب الدولي،</w:t>
      </w:r>
      <w:r w:rsidR="00AC6312" w:rsidRPr="00734723">
        <w:rPr>
          <w:rFonts w:hint="cs"/>
          <w:rtl/>
        </w:rPr>
        <w:t xml:space="preserve"> ولكن الأهم من ذلك أنه تسمح له بمعرفة أن بعض الأطراف المتعاقدة رفضت</w:t>
      </w:r>
      <w:r w:rsidR="00F60217">
        <w:rPr>
          <w:rFonts w:hint="cs"/>
          <w:rtl/>
        </w:rPr>
        <w:t xml:space="preserve"> </w:t>
      </w:r>
      <w:r w:rsidR="00AC6312" w:rsidRPr="00734723">
        <w:rPr>
          <w:rFonts w:hint="cs"/>
          <w:rtl/>
        </w:rPr>
        <w:t xml:space="preserve">بعض المصطلحات، </w:t>
      </w:r>
      <w:r w:rsidRPr="00734723">
        <w:rPr>
          <w:rtl/>
        </w:rPr>
        <w:t>مما يترتب عليه إخطار بالرفض المؤقت من جانب ذلك الطرف المتعاقد.</w:t>
      </w:r>
    </w:p>
    <w:p w:rsidR="0064668E" w:rsidRPr="00734723" w:rsidRDefault="00AC6312" w:rsidP="003F1FE1">
      <w:pPr>
        <w:pStyle w:val="NumberedParaAR"/>
      </w:pPr>
      <w:r w:rsidRPr="00734723">
        <w:rPr>
          <w:rFonts w:hint="cs"/>
          <w:rtl/>
        </w:rPr>
        <w:t>ولا بد من</w:t>
      </w:r>
      <w:r w:rsidRPr="00734723">
        <w:rPr>
          <w:rtl/>
        </w:rPr>
        <w:t xml:space="preserve"> الإشارة إلى أنه نظرا إلى التغطية العالمية لنظام مدريد،</w:t>
      </w:r>
      <w:r w:rsidR="0064668E" w:rsidRPr="00734723">
        <w:rPr>
          <w:rFonts w:hint="cs"/>
          <w:rtl/>
        </w:rPr>
        <w:t xml:space="preserve"> </w:t>
      </w:r>
      <w:r w:rsidR="0064668E" w:rsidRPr="00734723">
        <w:rPr>
          <w:rtl/>
        </w:rPr>
        <w:t>و</w:t>
      </w:r>
      <w:r w:rsidR="0064668E" w:rsidRPr="00734723">
        <w:rPr>
          <w:rFonts w:hint="cs"/>
          <w:rtl/>
        </w:rPr>
        <w:t>بال</w:t>
      </w:r>
      <w:r w:rsidR="0064668E" w:rsidRPr="00734723">
        <w:rPr>
          <w:rtl/>
        </w:rPr>
        <w:t xml:space="preserve">رغم </w:t>
      </w:r>
      <w:r w:rsidR="0064668E" w:rsidRPr="00734723">
        <w:rPr>
          <w:rFonts w:hint="cs"/>
          <w:rtl/>
        </w:rPr>
        <w:t xml:space="preserve">من </w:t>
      </w:r>
      <w:r w:rsidR="0064668E" w:rsidRPr="00734723">
        <w:rPr>
          <w:rtl/>
        </w:rPr>
        <w:t>أن الاستخدام المتزايد</w:t>
      </w:r>
      <w:r w:rsidR="0064668E" w:rsidRPr="00734723">
        <w:rPr>
          <w:rFonts w:hint="cs"/>
          <w:rtl/>
        </w:rPr>
        <w:t xml:space="preserve"> ل</w:t>
      </w:r>
      <w:r w:rsidR="0064668E" w:rsidRPr="00734723">
        <w:rPr>
          <w:rtl/>
        </w:rPr>
        <w:t xml:space="preserve">قاعدة بيانات السلع والخدمات ينبغي أن </w:t>
      </w:r>
      <w:r w:rsidR="0064668E" w:rsidRPr="00734723">
        <w:rPr>
          <w:rFonts w:hint="cs"/>
          <w:rtl/>
        </w:rPr>
        <w:t>ي</w:t>
      </w:r>
      <w:r w:rsidR="0064668E" w:rsidRPr="00734723">
        <w:rPr>
          <w:rtl/>
        </w:rPr>
        <w:t>يسر</w:t>
      </w:r>
      <w:r w:rsidR="0064668E" w:rsidRPr="00734723">
        <w:rPr>
          <w:rFonts w:hint="cs"/>
          <w:rtl/>
        </w:rPr>
        <w:t xml:space="preserve"> بعد حين</w:t>
      </w:r>
      <w:r w:rsidR="0064668E" w:rsidRPr="00734723">
        <w:rPr>
          <w:rtl/>
        </w:rPr>
        <w:t xml:space="preserve"> </w:t>
      </w:r>
      <w:r w:rsidR="003F1FE1" w:rsidRPr="00734723">
        <w:rPr>
          <w:rFonts w:hint="cs"/>
          <w:rtl/>
        </w:rPr>
        <w:t>توحيد</w:t>
      </w:r>
      <w:r w:rsidR="0064668E" w:rsidRPr="00734723">
        <w:rPr>
          <w:rtl/>
        </w:rPr>
        <w:t xml:space="preserve"> ممارسات تصنيف العلامات التجارية في الدول الأعضاء، </w:t>
      </w:r>
      <w:r w:rsidR="0064668E" w:rsidRPr="00734723">
        <w:rPr>
          <w:rFonts w:hint="cs"/>
          <w:rtl/>
        </w:rPr>
        <w:t>هناك</w:t>
      </w:r>
      <w:r w:rsidR="0064668E" w:rsidRPr="00734723">
        <w:rPr>
          <w:rtl/>
        </w:rPr>
        <w:t xml:space="preserve"> أسباب </w:t>
      </w:r>
      <w:r w:rsidR="0064668E" w:rsidRPr="00734723">
        <w:rPr>
          <w:rFonts w:hint="cs"/>
          <w:rtl/>
        </w:rPr>
        <w:t xml:space="preserve">تؤدي إلى عدم </w:t>
      </w:r>
      <w:r w:rsidR="0064668E" w:rsidRPr="00734723">
        <w:rPr>
          <w:rtl/>
        </w:rPr>
        <w:t>قبول</w:t>
      </w:r>
      <w:r w:rsidR="0064668E" w:rsidRPr="00734723">
        <w:rPr>
          <w:rFonts w:hint="cs"/>
          <w:rtl/>
        </w:rPr>
        <w:t xml:space="preserve"> مصطلحات</w:t>
      </w:r>
      <w:r w:rsidR="0064668E" w:rsidRPr="00734723">
        <w:rPr>
          <w:rtl/>
        </w:rPr>
        <w:t xml:space="preserve"> في جميع الأطراف المتعاقدة المعي</w:t>
      </w:r>
      <w:r w:rsidR="0064668E" w:rsidRPr="00734723">
        <w:rPr>
          <w:rFonts w:hint="cs"/>
          <w:rtl/>
        </w:rPr>
        <w:t>َّ</w:t>
      </w:r>
      <w:r w:rsidR="0064668E" w:rsidRPr="00734723">
        <w:rPr>
          <w:rtl/>
        </w:rPr>
        <w:t xml:space="preserve">نة </w:t>
      </w:r>
      <w:r w:rsidR="0064668E" w:rsidRPr="00734723">
        <w:rPr>
          <w:rFonts w:hint="cs"/>
          <w:rtl/>
        </w:rPr>
        <w:t>في</w:t>
      </w:r>
      <w:r w:rsidR="0064668E" w:rsidRPr="00734723">
        <w:rPr>
          <w:rtl/>
        </w:rPr>
        <w:t xml:space="preserve"> نظام مدريد، مثل متطلبات</w:t>
      </w:r>
      <w:r w:rsidR="0064668E" w:rsidRPr="00734723">
        <w:rPr>
          <w:rFonts w:hint="cs"/>
          <w:rtl/>
        </w:rPr>
        <w:t xml:space="preserve"> </w:t>
      </w:r>
      <w:r w:rsidR="0064668E" w:rsidRPr="00734723">
        <w:rPr>
          <w:rtl/>
        </w:rPr>
        <w:t xml:space="preserve">خصوصية </w:t>
      </w:r>
      <w:r w:rsidR="0064668E" w:rsidRPr="00734723">
        <w:rPr>
          <w:rFonts w:hint="cs"/>
          <w:rtl/>
        </w:rPr>
        <w:t>ال</w:t>
      </w:r>
      <w:r w:rsidR="0064668E" w:rsidRPr="00734723">
        <w:rPr>
          <w:rtl/>
        </w:rPr>
        <w:t xml:space="preserve">صياغة لوصف السلع والخدمات في بعض </w:t>
      </w:r>
      <w:r w:rsidR="0064668E" w:rsidRPr="00734723">
        <w:rPr>
          <w:rFonts w:hint="cs"/>
          <w:rtl/>
        </w:rPr>
        <w:t>الأنظمة</w:t>
      </w:r>
      <w:r w:rsidR="0064668E" w:rsidRPr="00734723">
        <w:rPr>
          <w:rtl/>
        </w:rPr>
        <w:t xml:space="preserve"> القضائية، أو وجود قوانين وطنية محددة أو اتفاقات ثنائية بين الدول تمنعه</w:t>
      </w:r>
      <w:r w:rsidR="0064668E" w:rsidRPr="00734723">
        <w:rPr>
          <w:rFonts w:hint="cs"/>
          <w:rtl/>
        </w:rPr>
        <w:t>ا</w:t>
      </w:r>
      <w:r w:rsidR="0064668E" w:rsidRPr="00734723">
        <w:rPr>
          <w:rtl/>
        </w:rPr>
        <w:t xml:space="preserve"> من حماية بعض السلع.</w:t>
      </w:r>
    </w:p>
    <w:p w:rsidR="0064668E" w:rsidRPr="00734723" w:rsidRDefault="0064668E" w:rsidP="00C56CB3">
      <w:pPr>
        <w:pStyle w:val="NumberedParaAR"/>
      </w:pPr>
      <w:r w:rsidRPr="00734723">
        <w:rPr>
          <w:rtl/>
        </w:rPr>
        <w:t>و</w:t>
      </w:r>
      <w:r w:rsidR="003F1FE1" w:rsidRPr="00734723">
        <w:rPr>
          <w:rFonts w:hint="cs"/>
          <w:rtl/>
        </w:rPr>
        <w:t>ا</w:t>
      </w:r>
      <w:r w:rsidRPr="00734723">
        <w:rPr>
          <w:rFonts w:hint="cs"/>
          <w:rtl/>
        </w:rPr>
        <w:t>تضح</w:t>
      </w:r>
      <w:r w:rsidR="003F1FE1" w:rsidRPr="00734723">
        <w:rPr>
          <w:rFonts w:hint="cs"/>
          <w:rtl/>
        </w:rPr>
        <w:t>ت</w:t>
      </w:r>
      <w:r w:rsidRPr="00734723">
        <w:rPr>
          <w:rFonts w:hint="cs"/>
          <w:rtl/>
        </w:rPr>
        <w:t xml:space="preserve"> </w:t>
      </w:r>
      <w:r w:rsidRPr="00734723">
        <w:rPr>
          <w:rtl/>
        </w:rPr>
        <w:t xml:space="preserve">أهمية عرض المعلومات </w:t>
      </w:r>
      <w:r w:rsidRPr="00734723">
        <w:rPr>
          <w:rFonts w:hint="cs"/>
          <w:rtl/>
        </w:rPr>
        <w:t xml:space="preserve">عن </w:t>
      </w:r>
      <w:r w:rsidR="003F1FE1" w:rsidRPr="00734723">
        <w:rPr>
          <w:rFonts w:hint="cs"/>
          <w:rtl/>
        </w:rPr>
        <w:t xml:space="preserve">المصطلحات المرفوضة </w:t>
      </w:r>
      <w:r w:rsidRPr="00734723">
        <w:rPr>
          <w:rtl/>
        </w:rPr>
        <w:t xml:space="preserve">بعد </w:t>
      </w:r>
      <w:r w:rsidR="003F1FE1" w:rsidRPr="00734723">
        <w:rPr>
          <w:rFonts w:hint="cs"/>
          <w:rtl/>
        </w:rPr>
        <w:t>عمل التوحيد المنجز في ال</w:t>
      </w:r>
      <w:r w:rsidRPr="00734723">
        <w:rPr>
          <w:rtl/>
        </w:rPr>
        <w:t xml:space="preserve">مكاتب </w:t>
      </w:r>
      <w:r w:rsidR="003F1FE1" w:rsidRPr="00734723">
        <w:rPr>
          <w:rFonts w:hint="cs"/>
          <w:rtl/>
        </w:rPr>
        <w:t>ال</w:t>
      </w:r>
      <w:r w:rsidRPr="00734723">
        <w:rPr>
          <w:rtl/>
        </w:rPr>
        <w:t>أوروبية بشأن مقبولية "</w:t>
      </w:r>
      <w:r w:rsidR="00C56CB3" w:rsidRPr="00734723">
        <w:rPr>
          <w:rFonts w:hint="cs"/>
          <w:rtl/>
        </w:rPr>
        <w:t>البيانات</w:t>
      </w:r>
      <w:r w:rsidRPr="00734723">
        <w:rPr>
          <w:rtl/>
        </w:rPr>
        <w:t xml:space="preserve"> </w:t>
      </w:r>
      <w:r w:rsidR="003F1FE1" w:rsidRPr="00734723">
        <w:rPr>
          <w:rFonts w:hint="cs"/>
          <w:rtl/>
        </w:rPr>
        <w:t>ال</w:t>
      </w:r>
      <w:r w:rsidRPr="00734723">
        <w:rPr>
          <w:rtl/>
        </w:rPr>
        <w:t xml:space="preserve">عامة" المستخرجة من </w:t>
      </w:r>
      <w:r w:rsidR="003F1FE1" w:rsidRPr="00734723">
        <w:rPr>
          <w:rtl/>
        </w:rPr>
        <w:t>عناوين فئ</w:t>
      </w:r>
      <w:r w:rsidR="003F1FE1" w:rsidRPr="00734723">
        <w:rPr>
          <w:rFonts w:hint="cs"/>
          <w:rtl/>
        </w:rPr>
        <w:t>ات</w:t>
      </w:r>
      <w:r w:rsidRPr="00734723">
        <w:rPr>
          <w:rtl/>
        </w:rPr>
        <w:t xml:space="preserve"> تصنيف نيس. </w:t>
      </w:r>
      <w:r w:rsidR="003F1FE1" w:rsidRPr="00734723">
        <w:rPr>
          <w:rFonts w:hint="cs"/>
          <w:rtl/>
        </w:rPr>
        <w:t>و</w:t>
      </w:r>
      <w:r w:rsidRPr="00734723">
        <w:rPr>
          <w:rtl/>
        </w:rPr>
        <w:t>قاعدة بيانات السلع والخدمات ه</w:t>
      </w:r>
      <w:r w:rsidR="003F1FE1" w:rsidRPr="00734723">
        <w:rPr>
          <w:rFonts w:hint="cs"/>
          <w:rtl/>
        </w:rPr>
        <w:t>ي</w:t>
      </w:r>
      <w:r w:rsidRPr="00734723">
        <w:rPr>
          <w:rtl/>
        </w:rPr>
        <w:t xml:space="preserve"> الأداة الوحيدة التي </w:t>
      </w:r>
      <w:r w:rsidR="003F1FE1" w:rsidRPr="00734723">
        <w:rPr>
          <w:rFonts w:hint="cs"/>
          <w:rtl/>
        </w:rPr>
        <w:t>يُ</w:t>
      </w:r>
      <w:r w:rsidRPr="00734723">
        <w:rPr>
          <w:rtl/>
        </w:rPr>
        <w:t xml:space="preserve">عرض </w:t>
      </w:r>
      <w:r w:rsidR="003F1FE1" w:rsidRPr="00734723">
        <w:rPr>
          <w:rFonts w:hint="cs"/>
          <w:rtl/>
        </w:rPr>
        <w:t xml:space="preserve">فيها </w:t>
      </w:r>
      <w:r w:rsidRPr="00734723">
        <w:rPr>
          <w:rtl/>
        </w:rPr>
        <w:t xml:space="preserve">رفض 11 من </w:t>
      </w:r>
      <w:r w:rsidR="003F1FE1" w:rsidRPr="00734723">
        <w:rPr>
          <w:rFonts w:hint="cs"/>
          <w:rtl/>
        </w:rPr>
        <w:t>تلك</w:t>
      </w:r>
      <w:r w:rsidRPr="00734723">
        <w:rPr>
          <w:rtl/>
        </w:rPr>
        <w:t xml:space="preserve"> "</w:t>
      </w:r>
      <w:r w:rsidR="00C56CB3" w:rsidRPr="00734723">
        <w:rPr>
          <w:rFonts w:hint="cs"/>
          <w:rtl/>
        </w:rPr>
        <w:t>البيانات</w:t>
      </w:r>
      <w:r w:rsidRPr="00734723">
        <w:rPr>
          <w:rtl/>
        </w:rPr>
        <w:t xml:space="preserve"> العامة" </w:t>
      </w:r>
      <w:r w:rsidR="003F1FE1" w:rsidRPr="00734723">
        <w:rPr>
          <w:rFonts w:hint="cs"/>
          <w:rtl/>
        </w:rPr>
        <w:t>لإخبار المودعين ب</w:t>
      </w:r>
      <w:r w:rsidRPr="00734723">
        <w:rPr>
          <w:rtl/>
        </w:rPr>
        <w:t>أن هذه ال</w:t>
      </w:r>
      <w:r w:rsidR="003F1FE1" w:rsidRPr="00734723">
        <w:rPr>
          <w:rFonts w:hint="cs"/>
          <w:rtl/>
        </w:rPr>
        <w:t>مصطلحات</w:t>
      </w:r>
      <w:r w:rsidRPr="00734723">
        <w:rPr>
          <w:rtl/>
        </w:rPr>
        <w:t xml:space="preserve"> </w:t>
      </w:r>
      <w:r w:rsidR="003F1FE1" w:rsidRPr="00734723">
        <w:rPr>
          <w:rFonts w:hint="cs"/>
          <w:rtl/>
        </w:rPr>
        <w:t>ستسفر عن إ</w:t>
      </w:r>
      <w:r w:rsidRPr="00734723">
        <w:rPr>
          <w:rtl/>
        </w:rPr>
        <w:t>صد</w:t>
      </w:r>
      <w:r w:rsidR="003F1FE1" w:rsidRPr="00734723">
        <w:rPr>
          <w:rFonts w:hint="cs"/>
          <w:rtl/>
        </w:rPr>
        <w:t>ا</w:t>
      </w:r>
      <w:r w:rsidRPr="00734723">
        <w:rPr>
          <w:rtl/>
        </w:rPr>
        <w:t xml:space="preserve">ر </w:t>
      </w:r>
      <w:r w:rsidR="003F1FE1" w:rsidRPr="00734723">
        <w:rPr>
          <w:rtl/>
        </w:rPr>
        <w:t>أي طرف متعاقدة معي</w:t>
      </w:r>
      <w:r w:rsidR="003F1FE1" w:rsidRPr="00734723">
        <w:rPr>
          <w:rFonts w:hint="cs"/>
          <w:rtl/>
        </w:rPr>
        <w:t>َّ</w:t>
      </w:r>
      <w:r w:rsidR="003F1FE1" w:rsidRPr="00734723">
        <w:rPr>
          <w:rtl/>
        </w:rPr>
        <w:t>ن أوروبي</w:t>
      </w:r>
      <w:r w:rsidR="003F1FE1" w:rsidRPr="00734723">
        <w:rPr>
          <w:rtl/>
        </w:rPr>
        <w:t xml:space="preserve"> </w:t>
      </w:r>
      <w:r w:rsidRPr="00734723">
        <w:rPr>
          <w:rtl/>
        </w:rPr>
        <w:t>رفض</w:t>
      </w:r>
      <w:r w:rsidR="003F1FE1" w:rsidRPr="00734723">
        <w:rPr>
          <w:rFonts w:hint="cs"/>
          <w:rtl/>
        </w:rPr>
        <w:t>ا</w:t>
      </w:r>
      <w:r w:rsidRPr="00734723">
        <w:rPr>
          <w:rtl/>
        </w:rPr>
        <w:t xml:space="preserve"> </w:t>
      </w:r>
      <w:r w:rsidR="003F1FE1" w:rsidRPr="00734723">
        <w:rPr>
          <w:rtl/>
        </w:rPr>
        <w:t>مؤقت</w:t>
      </w:r>
      <w:r w:rsidR="003F1FE1" w:rsidRPr="00734723">
        <w:rPr>
          <w:rFonts w:hint="cs"/>
          <w:rtl/>
        </w:rPr>
        <w:t>ا</w:t>
      </w:r>
      <w:r w:rsidR="003F1FE1" w:rsidRPr="00734723">
        <w:rPr>
          <w:rtl/>
        </w:rPr>
        <w:t xml:space="preserve"> (نتيجة </w:t>
      </w:r>
      <w:r w:rsidR="003F1FE1" w:rsidRPr="00734723">
        <w:rPr>
          <w:rFonts w:hint="cs"/>
          <w:rtl/>
        </w:rPr>
        <w:t>نقص في الدقة</w:t>
      </w:r>
      <w:r w:rsidRPr="00734723">
        <w:rPr>
          <w:rtl/>
        </w:rPr>
        <w:t>).</w:t>
      </w:r>
    </w:p>
    <w:p w:rsidR="0064668E" w:rsidRPr="00734723" w:rsidRDefault="003F1FE1" w:rsidP="00487C47">
      <w:pPr>
        <w:pStyle w:val="NumberedParaAR"/>
      </w:pPr>
      <w:r w:rsidRPr="00734723">
        <w:rPr>
          <w:rFonts w:hint="cs"/>
          <w:rtl/>
        </w:rPr>
        <w:t>و</w:t>
      </w:r>
      <w:r w:rsidR="0064668E" w:rsidRPr="00734723">
        <w:rPr>
          <w:rtl/>
        </w:rPr>
        <w:t xml:space="preserve">لسبب مختلف، </w:t>
      </w:r>
      <w:r w:rsidRPr="00734723">
        <w:rPr>
          <w:rFonts w:hint="cs"/>
          <w:rtl/>
        </w:rPr>
        <w:t xml:space="preserve">فإن </w:t>
      </w:r>
      <w:r w:rsidR="0064668E" w:rsidRPr="00734723">
        <w:rPr>
          <w:rtl/>
        </w:rPr>
        <w:t>مصطلح</w:t>
      </w:r>
      <w:r w:rsidRPr="00734723">
        <w:rPr>
          <w:rFonts w:hint="cs"/>
          <w:rtl/>
        </w:rPr>
        <w:t>ا</w:t>
      </w:r>
      <w:r w:rsidR="0064668E" w:rsidRPr="00734723">
        <w:rPr>
          <w:rtl/>
        </w:rPr>
        <w:t xml:space="preserve"> مثل "</w:t>
      </w:r>
      <w:r w:rsidR="0064668E" w:rsidRPr="00734723">
        <w:t>amontillado</w:t>
      </w:r>
      <w:r w:rsidR="0064668E" w:rsidRPr="00734723">
        <w:rPr>
          <w:rtl/>
        </w:rPr>
        <w:t xml:space="preserve">" الذي يصف </w:t>
      </w:r>
      <w:r w:rsidRPr="00734723">
        <w:rPr>
          <w:rFonts w:hint="cs"/>
          <w:rtl/>
        </w:rPr>
        <w:t>سلعة إ</w:t>
      </w:r>
      <w:r w:rsidR="0064668E" w:rsidRPr="00734723">
        <w:rPr>
          <w:rtl/>
        </w:rPr>
        <w:t>سباني</w:t>
      </w:r>
      <w:r w:rsidRPr="00734723">
        <w:rPr>
          <w:rFonts w:hint="cs"/>
          <w:rtl/>
        </w:rPr>
        <w:t>ة شهيرة</w:t>
      </w:r>
      <w:r w:rsidR="0064668E" w:rsidRPr="00734723">
        <w:rPr>
          <w:rtl/>
        </w:rPr>
        <w:t xml:space="preserve">، لا يمكن دمجه في قاعدة </w:t>
      </w:r>
      <w:r w:rsidRPr="00734723">
        <w:rPr>
          <w:rFonts w:hint="cs"/>
          <w:rtl/>
        </w:rPr>
        <w:t>ال</w:t>
      </w:r>
      <w:r w:rsidR="0064668E" w:rsidRPr="00734723">
        <w:rPr>
          <w:rtl/>
        </w:rPr>
        <w:t xml:space="preserve">بيانات </w:t>
      </w:r>
      <w:r w:rsidRPr="00734723">
        <w:rPr>
          <w:rFonts w:hint="cs"/>
          <w:rtl/>
        </w:rPr>
        <w:t>الموحدة</w:t>
      </w:r>
      <w:r w:rsidR="0064668E" w:rsidRPr="00734723">
        <w:rPr>
          <w:rtl/>
        </w:rPr>
        <w:t xml:space="preserve"> مثل قاعدة البيانات </w:t>
      </w:r>
      <w:r w:rsidR="00487C47" w:rsidRPr="00734723">
        <w:rPr>
          <w:rtl/>
        </w:rPr>
        <w:t>الأوروبي</w:t>
      </w:r>
      <w:r w:rsidR="00487C47" w:rsidRPr="00734723">
        <w:rPr>
          <w:rFonts w:hint="cs"/>
          <w:rtl/>
        </w:rPr>
        <w:t xml:space="preserve">ة الموحدة لأن هذا </w:t>
      </w:r>
      <w:r w:rsidR="0064668E" w:rsidRPr="00734723">
        <w:rPr>
          <w:rtl/>
        </w:rPr>
        <w:t>المصطلح لا يمكن قبوله في قوائم السلع ال</w:t>
      </w:r>
      <w:r w:rsidR="00487C47" w:rsidRPr="00734723">
        <w:rPr>
          <w:rFonts w:hint="cs"/>
          <w:rtl/>
        </w:rPr>
        <w:t xml:space="preserve">مودعة في </w:t>
      </w:r>
      <w:r w:rsidR="0064668E" w:rsidRPr="00734723">
        <w:rPr>
          <w:rtl/>
        </w:rPr>
        <w:t xml:space="preserve">إسبانيا. </w:t>
      </w:r>
      <w:r w:rsidR="00487C47" w:rsidRPr="00734723">
        <w:rPr>
          <w:rFonts w:hint="cs"/>
          <w:rtl/>
        </w:rPr>
        <w:t xml:space="preserve">وباستخدام </w:t>
      </w:r>
      <w:r w:rsidR="00487C47" w:rsidRPr="00734723">
        <w:rPr>
          <w:rtl/>
        </w:rPr>
        <w:t>قاعدة بيانات السلع والخدمات</w:t>
      </w:r>
      <w:r w:rsidR="0064668E" w:rsidRPr="00734723">
        <w:rPr>
          <w:rtl/>
        </w:rPr>
        <w:t xml:space="preserve">، </w:t>
      </w:r>
      <w:r w:rsidR="00487C47" w:rsidRPr="00734723">
        <w:rPr>
          <w:rFonts w:hint="cs"/>
          <w:rtl/>
        </w:rPr>
        <w:t>ي</w:t>
      </w:r>
      <w:r w:rsidR="0064668E" w:rsidRPr="00734723">
        <w:rPr>
          <w:rtl/>
        </w:rPr>
        <w:t xml:space="preserve">مكن </w:t>
      </w:r>
      <w:r w:rsidR="00487C47" w:rsidRPr="00734723">
        <w:rPr>
          <w:rFonts w:hint="cs"/>
          <w:rtl/>
        </w:rPr>
        <w:t>للمودعي</w:t>
      </w:r>
      <w:r w:rsidR="00487C47" w:rsidRPr="00734723">
        <w:rPr>
          <w:rFonts w:hint="eastAsia"/>
          <w:rtl/>
        </w:rPr>
        <w:t>ن</w:t>
      </w:r>
      <w:r w:rsidR="0064668E" w:rsidRPr="00734723">
        <w:rPr>
          <w:rtl/>
        </w:rPr>
        <w:t xml:space="preserve"> معرفة </w:t>
      </w:r>
      <w:r w:rsidR="00487C47" w:rsidRPr="00734723">
        <w:rPr>
          <w:rFonts w:hint="cs"/>
          <w:rtl/>
        </w:rPr>
        <w:t>البلدان</w:t>
      </w:r>
      <w:r w:rsidR="0064668E" w:rsidRPr="00734723">
        <w:rPr>
          <w:rtl/>
        </w:rPr>
        <w:t xml:space="preserve"> التي ستقبل هذا المصطلح و</w:t>
      </w:r>
      <w:r w:rsidR="00487C47" w:rsidRPr="00734723">
        <w:rPr>
          <w:rFonts w:hint="cs"/>
          <w:rtl/>
        </w:rPr>
        <w:t xml:space="preserve">تلك </w:t>
      </w:r>
      <w:r w:rsidR="0064668E" w:rsidRPr="00734723">
        <w:rPr>
          <w:rtl/>
        </w:rPr>
        <w:t>التي سترفض</w:t>
      </w:r>
      <w:r w:rsidR="00487C47" w:rsidRPr="00734723">
        <w:rPr>
          <w:rFonts w:hint="cs"/>
          <w:rtl/>
        </w:rPr>
        <w:t>ه</w:t>
      </w:r>
      <w:r w:rsidR="0064668E" w:rsidRPr="00734723">
        <w:rPr>
          <w:rtl/>
        </w:rPr>
        <w:t>.</w:t>
      </w:r>
    </w:p>
    <w:p w:rsidR="00AC6312" w:rsidRPr="00734723" w:rsidRDefault="00487C47" w:rsidP="00487C47">
      <w:pPr>
        <w:pStyle w:val="NumberedParaAR"/>
        <w:rPr>
          <w:rFonts w:hint="cs"/>
        </w:rPr>
      </w:pPr>
      <w:r w:rsidRPr="00734723">
        <w:rPr>
          <w:rFonts w:hint="cs"/>
          <w:rtl/>
        </w:rPr>
        <w:t>و</w:t>
      </w:r>
      <w:r w:rsidR="0064668E" w:rsidRPr="00734723">
        <w:rPr>
          <w:rtl/>
        </w:rPr>
        <w:t xml:space="preserve">يعرض المرفق الرابع أمثلة </w:t>
      </w:r>
      <w:r w:rsidRPr="00734723">
        <w:rPr>
          <w:rFonts w:hint="cs"/>
          <w:rtl/>
        </w:rPr>
        <w:t>ل</w:t>
      </w:r>
      <w:r w:rsidR="0064668E" w:rsidRPr="00734723">
        <w:rPr>
          <w:rtl/>
        </w:rPr>
        <w:t>لمصطلحات ال</w:t>
      </w:r>
      <w:r w:rsidRPr="00734723">
        <w:rPr>
          <w:rFonts w:hint="cs"/>
          <w:rtl/>
        </w:rPr>
        <w:t>م</w:t>
      </w:r>
      <w:r w:rsidR="0064668E" w:rsidRPr="00734723">
        <w:rPr>
          <w:rtl/>
        </w:rPr>
        <w:t>رف</w:t>
      </w:r>
      <w:r w:rsidRPr="00734723">
        <w:rPr>
          <w:rFonts w:hint="cs"/>
          <w:rtl/>
        </w:rPr>
        <w:t>و</w:t>
      </w:r>
      <w:r w:rsidR="0064668E" w:rsidRPr="00734723">
        <w:rPr>
          <w:rtl/>
        </w:rPr>
        <w:t>ض</w:t>
      </w:r>
      <w:r w:rsidRPr="00734723">
        <w:rPr>
          <w:rFonts w:hint="cs"/>
          <w:rtl/>
        </w:rPr>
        <w:t>ة</w:t>
      </w:r>
      <w:r w:rsidR="0064668E" w:rsidRPr="00734723">
        <w:rPr>
          <w:rtl/>
        </w:rPr>
        <w:t xml:space="preserve"> حاليا، لأسباب متنوعة، </w:t>
      </w:r>
      <w:r w:rsidRPr="00734723">
        <w:rPr>
          <w:rFonts w:hint="cs"/>
          <w:rtl/>
        </w:rPr>
        <w:t>في</w:t>
      </w:r>
      <w:r w:rsidR="0064668E" w:rsidRPr="00734723">
        <w:rPr>
          <w:rtl/>
        </w:rPr>
        <w:t xml:space="preserve"> بعض الأطراف المتعاقدة الأكثر تعيينا</w:t>
      </w:r>
      <w:r w:rsidRPr="00734723">
        <w:rPr>
          <w:rFonts w:hint="cs"/>
          <w:rtl/>
        </w:rPr>
        <w:t xml:space="preserve"> </w:t>
      </w:r>
      <w:r w:rsidR="0064668E" w:rsidRPr="00734723">
        <w:rPr>
          <w:rtl/>
        </w:rPr>
        <w:t>في ال</w:t>
      </w:r>
      <w:r w:rsidRPr="00734723">
        <w:rPr>
          <w:rFonts w:hint="cs"/>
          <w:rtl/>
        </w:rPr>
        <w:t xml:space="preserve">فئات </w:t>
      </w:r>
      <w:r w:rsidR="0064668E" w:rsidRPr="00734723">
        <w:rPr>
          <w:rtl/>
        </w:rPr>
        <w:t>7 و33 و45.</w:t>
      </w:r>
    </w:p>
    <w:p w:rsidR="00487C47" w:rsidRPr="00734723" w:rsidRDefault="00487C47" w:rsidP="00487C47">
      <w:pPr>
        <w:pStyle w:val="NumberedParaAR"/>
        <w:keepNext/>
        <w:widowControl w:val="0"/>
        <w:numPr>
          <w:ilvl w:val="0"/>
          <w:numId w:val="0"/>
        </w:numPr>
        <w:rPr>
          <w:sz w:val="40"/>
          <w:szCs w:val="40"/>
        </w:rPr>
      </w:pPr>
      <w:r w:rsidRPr="00734723">
        <w:rPr>
          <w:rFonts w:hint="cs"/>
          <w:sz w:val="40"/>
          <w:szCs w:val="40"/>
          <w:rtl/>
        </w:rPr>
        <w:t xml:space="preserve">تحديثات </w:t>
      </w:r>
      <w:r w:rsidRPr="00734723">
        <w:rPr>
          <w:rFonts w:hint="cs"/>
          <w:sz w:val="40"/>
          <w:szCs w:val="40"/>
          <w:rtl/>
        </w:rPr>
        <w:t>قاعدة بيانات السلع والخدمات</w:t>
      </w:r>
    </w:p>
    <w:p w:rsidR="00356660" w:rsidRPr="00734723" w:rsidRDefault="00487C47" w:rsidP="00487C47">
      <w:pPr>
        <w:pStyle w:val="NumberedParaAR"/>
        <w:widowControl w:val="0"/>
      </w:pPr>
      <w:r w:rsidRPr="00734723">
        <w:rPr>
          <w:rFonts w:hint="cs"/>
          <w:rtl/>
        </w:rPr>
        <w:t>ت</w:t>
      </w:r>
      <w:r w:rsidRPr="00734723">
        <w:rPr>
          <w:rtl/>
        </w:rPr>
        <w:t xml:space="preserve">جدر </w:t>
      </w:r>
      <w:r w:rsidRPr="00734723">
        <w:rPr>
          <w:rFonts w:hint="cs"/>
          <w:rtl/>
        </w:rPr>
        <w:t>الإشارة</w:t>
      </w:r>
      <w:r w:rsidRPr="00734723">
        <w:rPr>
          <w:rtl/>
        </w:rPr>
        <w:t xml:space="preserve"> </w:t>
      </w:r>
      <w:r w:rsidRPr="00734723">
        <w:rPr>
          <w:rFonts w:hint="cs"/>
          <w:rtl/>
        </w:rPr>
        <w:t xml:space="preserve">إلى أن </w:t>
      </w:r>
      <w:r w:rsidR="00356660" w:rsidRPr="00734723">
        <w:rPr>
          <w:rFonts w:hint="cs"/>
          <w:rtl/>
        </w:rPr>
        <w:t>حالة القبول المتاحة لكل طرف من الأطراف المتعاقدة</w:t>
      </w:r>
      <w:r w:rsidRPr="00734723">
        <w:rPr>
          <w:rFonts w:hint="cs"/>
          <w:rtl/>
        </w:rPr>
        <w:t xml:space="preserve"> المشاركة في قاعدة بيانات السلع والخدمات</w:t>
      </w:r>
      <w:r w:rsidR="00356660" w:rsidRPr="00734723">
        <w:rPr>
          <w:rFonts w:hint="cs"/>
          <w:rtl/>
        </w:rPr>
        <w:t xml:space="preserve"> </w:t>
      </w:r>
      <w:r w:rsidR="0094487B" w:rsidRPr="00734723">
        <w:rPr>
          <w:rFonts w:hint="cs"/>
          <w:rtl/>
        </w:rPr>
        <w:t>متأتية من</w:t>
      </w:r>
      <w:r w:rsidR="00356660" w:rsidRPr="00734723">
        <w:rPr>
          <w:rFonts w:hint="cs"/>
          <w:rtl/>
        </w:rPr>
        <w:t xml:space="preserve"> مصادر مختلفة وهي:</w:t>
      </w:r>
    </w:p>
    <w:p w:rsidR="00356660" w:rsidRPr="00734723" w:rsidRDefault="0094487B" w:rsidP="00487C47">
      <w:pPr>
        <w:pStyle w:val="NumberedParaAR"/>
        <w:widowControl w:val="0"/>
        <w:numPr>
          <w:ilvl w:val="0"/>
          <w:numId w:val="21"/>
        </w:numPr>
        <w:ind w:left="1133" w:hanging="567"/>
      </w:pPr>
      <w:r w:rsidRPr="00734723">
        <w:rPr>
          <w:rFonts w:eastAsia="Arial" w:hint="cs"/>
          <w:rtl/>
        </w:rPr>
        <w:t xml:space="preserve">المعلومات عن حالة القبول التي قدمتها مباشرة المكاتب الوطنية التي </w:t>
      </w:r>
      <w:r w:rsidR="00487C47" w:rsidRPr="00734723">
        <w:rPr>
          <w:rFonts w:eastAsia="Arial" w:hint="cs"/>
          <w:rtl/>
        </w:rPr>
        <w:t>ت</w:t>
      </w:r>
      <w:r w:rsidRPr="00734723">
        <w:rPr>
          <w:rFonts w:eastAsia="Arial" w:hint="cs"/>
          <w:rtl/>
        </w:rPr>
        <w:t xml:space="preserve">ترجم قاعدة البيانات و/أو </w:t>
      </w:r>
      <w:r w:rsidR="00487C47" w:rsidRPr="00734723">
        <w:rPr>
          <w:rFonts w:eastAsia="Arial" w:hint="cs"/>
          <w:rtl/>
        </w:rPr>
        <w:t>ت</w:t>
      </w:r>
      <w:r w:rsidRPr="00734723">
        <w:rPr>
          <w:rFonts w:eastAsia="Arial" w:hint="cs"/>
          <w:rtl/>
        </w:rPr>
        <w:t>تأكد</w:t>
      </w:r>
      <w:r w:rsidR="00487C47" w:rsidRPr="00734723">
        <w:rPr>
          <w:rFonts w:eastAsia="Arial" w:hint="cs"/>
          <w:rtl/>
        </w:rPr>
        <w:t xml:space="preserve"> </w:t>
      </w:r>
      <w:r w:rsidRPr="00734723">
        <w:rPr>
          <w:rFonts w:eastAsia="Arial" w:hint="cs"/>
          <w:rtl/>
        </w:rPr>
        <w:t xml:space="preserve">من قبول أو رفض </w:t>
      </w:r>
      <w:r w:rsidR="00487C47" w:rsidRPr="00734723">
        <w:rPr>
          <w:rFonts w:eastAsia="Arial" w:hint="cs"/>
          <w:rtl/>
        </w:rPr>
        <w:t>مضمونها</w:t>
      </w:r>
      <w:r w:rsidRPr="00734723">
        <w:rPr>
          <w:rFonts w:eastAsia="Arial" w:hint="cs"/>
          <w:rtl/>
        </w:rPr>
        <w:t xml:space="preserve"> ب</w:t>
      </w:r>
      <w:r w:rsidR="0039259F" w:rsidRPr="00734723">
        <w:rPr>
          <w:rFonts w:eastAsia="Arial" w:hint="cs"/>
          <w:rtl/>
        </w:rPr>
        <w:t xml:space="preserve">اللغة </w:t>
      </w:r>
      <w:r w:rsidRPr="00734723">
        <w:rPr>
          <w:rFonts w:eastAsia="Arial" w:hint="cs"/>
          <w:rtl/>
        </w:rPr>
        <w:t>الإنكليزية؛</w:t>
      </w:r>
    </w:p>
    <w:p w:rsidR="00090597" w:rsidRPr="00734723" w:rsidRDefault="00821418" w:rsidP="00CC1F59">
      <w:pPr>
        <w:pStyle w:val="NumberedParaAR"/>
        <w:widowControl w:val="0"/>
        <w:numPr>
          <w:ilvl w:val="0"/>
          <w:numId w:val="21"/>
        </w:numPr>
        <w:ind w:left="1133" w:hanging="567"/>
        <w:rPr>
          <w:rFonts w:eastAsia="Arial"/>
        </w:rPr>
      </w:pPr>
      <w:r w:rsidRPr="00734723">
        <w:rPr>
          <w:rFonts w:eastAsia="Arial" w:hint="cs"/>
          <w:rtl/>
        </w:rPr>
        <w:t>و</w:t>
      </w:r>
      <w:r w:rsidR="0094487B" w:rsidRPr="00734723">
        <w:rPr>
          <w:rFonts w:eastAsia="Arial" w:hint="cs"/>
          <w:rtl/>
        </w:rPr>
        <w:t>قائمة السلع والخدمات</w:t>
      </w:r>
      <w:r w:rsidR="00AD6672" w:rsidRPr="00734723">
        <w:rPr>
          <w:rFonts w:eastAsia="Arial"/>
          <w:rtl/>
        </w:rPr>
        <w:t xml:space="preserve"> </w:t>
      </w:r>
      <w:r w:rsidR="0039259F" w:rsidRPr="00734723">
        <w:rPr>
          <w:rFonts w:eastAsia="Arial" w:hint="cs"/>
          <w:rtl/>
        </w:rPr>
        <w:t>الموحدة</w:t>
      </w:r>
      <w:r w:rsidR="00CE62F7" w:rsidRPr="00734723">
        <w:rPr>
          <w:rFonts w:eastAsia="Arial" w:hint="cs"/>
          <w:rtl/>
        </w:rPr>
        <w:t xml:space="preserve"> </w:t>
      </w:r>
      <w:r w:rsidR="00CE62F7" w:rsidRPr="00734723">
        <w:rPr>
          <w:rFonts w:eastAsia="Arial"/>
        </w:rPr>
        <w:t>TM5-ID</w:t>
      </w:r>
      <w:r w:rsidR="00CE62F7" w:rsidRPr="00734723">
        <w:rPr>
          <w:rFonts w:eastAsia="Arial" w:hint="cs"/>
          <w:rtl/>
        </w:rPr>
        <w:t xml:space="preserve"> </w:t>
      </w:r>
      <w:r w:rsidRPr="00734723">
        <w:rPr>
          <w:rFonts w:eastAsia="Arial" w:hint="cs"/>
          <w:rtl/>
        </w:rPr>
        <w:t>التي تساهم</w:t>
      </w:r>
      <w:r w:rsidR="00B410FE" w:rsidRPr="00734723">
        <w:rPr>
          <w:rFonts w:eastAsia="Arial" w:hint="cs"/>
          <w:rtl/>
        </w:rPr>
        <w:t xml:space="preserve"> فيها</w:t>
      </w:r>
      <w:r w:rsidRPr="00734723">
        <w:rPr>
          <w:rFonts w:eastAsia="Arial" w:hint="cs"/>
          <w:rtl/>
        </w:rPr>
        <w:t xml:space="preserve"> المكاتب </w:t>
      </w:r>
      <w:r w:rsidR="00B410FE" w:rsidRPr="00734723">
        <w:rPr>
          <w:rFonts w:eastAsia="Arial" w:hint="cs"/>
          <w:rtl/>
        </w:rPr>
        <w:t>الخمسة</w:t>
      </w:r>
      <w:r w:rsidR="0039259F" w:rsidRPr="00734723">
        <w:rPr>
          <w:rFonts w:eastAsia="Arial" w:hint="cs"/>
          <w:rtl/>
        </w:rPr>
        <w:t xml:space="preserve"> التالية</w:t>
      </w:r>
      <w:r w:rsidR="00B410FE" w:rsidRPr="00734723">
        <w:rPr>
          <w:rFonts w:eastAsia="Arial" w:hint="cs"/>
          <w:rtl/>
        </w:rPr>
        <w:t xml:space="preserve">: </w:t>
      </w:r>
      <w:r w:rsidRPr="00734723">
        <w:rPr>
          <w:rFonts w:eastAsia="Arial" w:hint="cs"/>
          <w:rtl/>
        </w:rPr>
        <w:t>مكتب اليابان للبراءات</w:t>
      </w:r>
      <w:r w:rsidR="00B410FE" w:rsidRPr="00734723">
        <w:rPr>
          <w:rFonts w:eastAsia="Arial" w:hint="cs"/>
          <w:rtl/>
        </w:rPr>
        <w:t>، و</w:t>
      </w:r>
      <w:r w:rsidRPr="00734723">
        <w:rPr>
          <w:rFonts w:eastAsia="Arial"/>
          <w:rtl/>
        </w:rPr>
        <w:t>مكتب كوريا للملكية الفكرية</w:t>
      </w:r>
      <w:r w:rsidR="00B410FE" w:rsidRPr="00734723">
        <w:rPr>
          <w:rFonts w:eastAsia="Arial" w:hint="cs"/>
          <w:rtl/>
        </w:rPr>
        <w:t>،</w:t>
      </w:r>
      <w:r w:rsidRPr="00734723">
        <w:rPr>
          <w:rFonts w:eastAsia="Arial" w:hint="cs"/>
          <w:rtl/>
        </w:rPr>
        <w:t xml:space="preserve"> و</w:t>
      </w:r>
      <w:r w:rsidRPr="00734723">
        <w:rPr>
          <w:rFonts w:eastAsia="Arial"/>
          <w:rtl/>
        </w:rPr>
        <w:t>مكتب التنسيق في السوق الداخلية</w:t>
      </w:r>
      <w:r w:rsidRPr="00734723">
        <w:rPr>
          <w:rFonts w:eastAsia="Arial" w:hint="cs"/>
          <w:rtl/>
        </w:rPr>
        <w:t xml:space="preserve"> </w:t>
      </w:r>
      <w:r w:rsidRPr="00734723">
        <w:rPr>
          <w:rFonts w:eastAsia="Arial"/>
          <w:rtl/>
        </w:rPr>
        <w:t xml:space="preserve">(العلامات التجارية </w:t>
      </w:r>
      <w:r w:rsidR="00B410FE" w:rsidRPr="00734723">
        <w:rPr>
          <w:rFonts w:eastAsia="Arial" w:hint="cs"/>
          <w:rtl/>
        </w:rPr>
        <w:t>والتصاميم</w:t>
      </w:r>
      <w:r w:rsidRPr="00734723">
        <w:rPr>
          <w:rFonts w:eastAsia="Arial"/>
          <w:rtl/>
        </w:rPr>
        <w:t>)</w:t>
      </w:r>
      <w:r w:rsidR="00B410FE" w:rsidRPr="00734723">
        <w:rPr>
          <w:rFonts w:eastAsia="Arial" w:hint="cs"/>
          <w:rtl/>
        </w:rPr>
        <w:t>،</w:t>
      </w:r>
      <w:r w:rsidRPr="00734723">
        <w:rPr>
          <w:rFonts w:eastAsia="Arial" w:hint="cs"/>
          <w:rtl/>
        </w:rPr>
        <w:t xml:space="preserve"> </w:t>
      </w:r>
      <w:r w:rsidR="00B410FE" w:rsidRPr="00734723">
        <w:rPr>
          <w:rFonts w:eastAsia="Arial"/>
          <w:rtl/>
        </w:rPr>
        <w:t xml:space="preserve">والإدارة الحكومية للصناعة والتجارة </w:t>
      </w:r>
      <w:r w:rsidR="00B410FE" w:rsidRPr="00734723">
        <w:rPr>
          <w:rFonts w:eastAsia="Arial" w:hint="cs"/>
          <w:rtl/>
        </w:rPr>
        <w:t xml:space="preserve">لجمهورية الصين الشعبية، </w:t>
      </w:r>
      <w:r w:rsidRPr="00734723">
        <w:rPr>
          <w:rFonts w:eastAsia="Arial" w:hint="cs"/>
          <w:rtl/>
        </w:rPr>
        <w:t>و</w:t>
      </w:r>
      <w:r w:rsidRPr="00734723">
        <w:rPr>
          <w:rFonts w:eastAsia="Arial"/>
          <w:rtl/>
        </w:rPr>
        <w:t>مكتب الولايات المتحدة للبراءات والعلامات</w:t>
      </w:r>
      <w:r w:rsidRPr="00734723">
        <w:rPr>
          <w:rFonts w:eastAsia="Arial" w:hint="cs"/>
          <w:rtl/>
        </w:rPr>
        <w:t>؛</w:t>
      </w:r>
    </w:p>
    <w:p w:rsidR="00382463" w:rsidRPr="00734723" w:rsidRDefault="00382463" w:rsidP="00F72E90">
      <w:pPr>
        <w:pStyle w:val="NumberedParaAR"/>
        <w:widowControl w:val="0"/>
        <w:numPr>
          <w:ilvl w:val="0"/>
          <w:numId w:val="21"/>
        </w:numPr>
        <w:ind w:left="1133" w:hanging="567"/>
        <w:rPr>
          <w:rFonts w:eastAsia="Arial" w:hint="cs"/>
        </w:rPr>
      </w:pPr>
      <w:r w:rsidRPr="00734723">
        <w:rPr>
          <w:rFonts w:eastAsia="Arial" w:hint="cs"/>
          <w:rtl/>
        </w:rPr>
        <w:t xml:space="preserve">ومحتوى دليل </w:t>
      </w:r>
      <w:r w:rsidRPr="00734723">
        <w:rPr>
          <w:rFonts w:eastAsia="Arial"/>
          <w:rtl/>
        </w:rPr>
        <w:t>مكتب الولايات المتحدة للبراءات والعلامات</w:t>
      </w:r>
      <w:r w:rsidRPr="00734723">
        <w:rPr>
          <w:rFonts w:eastAsia="Arial" w:hint="cs"/>
          <w:rtl/>
        </w:rPr>
        <w:t xml:space="preserve"> بشأن </w:t>
      </w:r>
      <w:r w:rsidR="00F44E6D" w:rsidRPr="00734723">
        <w:rPr>
          <w:rFonts w:eastAsia="Arial" w:hint="cs"/>
          <w:rtl/>
        </w:rPr>
        <w:t>بيانات</w:t>
      </w:r>
      <w:r w:rsidR="00B410FE" w:rsidRPr="00734723">
        <w:rPr>
          <w:rFonts w:eastAsia="Arial" w:hint="cs"/>
          <w:rtl/>
        </w:rPr>
        <w:t xml:space="preserve"> السلع والخدمات المقبولة؛</w:t>
      </w:r>
    </w:p>
    <w:p w:rsidR="00B410FE" w:rsidRPr="00734723" w:rsidRDefault="00B410FE" w:rsidP="00CC1F59">
      <w:pPr>
        <w:pStyle w:val="NumberedParaAR"/>
        <w:widowControl w:val="0"/>
        <w:numPr>
          <w:ilvl w:val="0"/>
          <w:numId w:val="21"/>
        </w:numPr>
        <w:ind w:left="1133" w:hanging="567"/>
        <w:rPr>
          <w:rFonts w:eastAsia="Arial" w:hint="cs"/>
        </w:rPr>
      </w:pPr>
      <w:r w:rsidRPr="00734723">
        <w:rPr>
          <w:rFonts w:eastAsia="Arial" w:hint="cs"/>
          <w:rtl/>
        </w:rPr>
        <w:t>وقاعدة البيانات الأوروبية الموحدة المنشورة في أداة التصنيف التابعة ل</w:t>
      </w:r>
      <w:r w:rsidRPr="00734723">
        <w:rPr>
          <w:rFonts w:eastAsia="Arial"/>
          <w:rtl/>
        </w:rPr>
        <w:t>مكتب التنسيق في السوق الداخلية</w:t>
      </w:r>
      <w:r w:rsidRPr="00734723">
        <w:rPr>
          <w:rFonts w:eastAsia="Arial" w:hint="eastAsia"/>
          <w:rtl/>
        </w:rPr>
        <w:t> </w:t>
      </w:r>
      <w:r w:rsidRPr="00734723">
        <w:rPr>
          <w:rFonts w:eastAsia="Arial"/>
        </w:rPr>
        <w:t>TMclass</w:t>
      </w:r>
      <w:r w:rsidRPr="00734723">
        <w:rPr>
          <w:rFonts w:eastAsia="Arial" w:hint="cs"/>
          <w:rtl/>
        </w:rPr>
        <w:t>؛</w:t>
      </w:r>
    </w:p>
    <w:p w:rsidR="00B410FE" w:rsidRPr="00734723" w:rsidRDefault="00B410FE" w:rsidP="00CC1F59">
      <w:pPr>
        <w:pStyle w:val="NumberedParaAR"/>
        <w:widowControl w:val="0"/>
        <w:numPr>
          <w:ilvl w:val="0"/>
          <w:numId w:val="21"/>
        </w:numPr>
        <w:ind w:left="1133" w:hanging="567"/>
        <w:rPr>
          <w:rFonts w:eastAsia="Arial" w:hint="cs"/>
        </w:rPr>
      </w:pPr>
      <w:r w:rsidRPr="00734723">
        <w:rPr>
          <w:rFonts w:eastAsia="Arial" w:hint="cs"/>
          <w:rtl/>
        </w:rPr>
        <w:t>و</w:t>
      </w:r>
      <w:r w:rsidR="00CC1F59" w:rsidRPr="00734723">
        <w:rPr>
          <w:rFonts w:eastAsia="Arial" w:hint="cs"/>
          <w:rtl/>
        </w:rPr>
        <w:t xml:space="preserve">قائمة </w:t>
      </w:r>
      <w:r w:rsidRPr="00734723">
        <w:rPr>
          <w:rFonts w:eastAsia="Arial"/>
          <w:rtl/>
        </w:rPr>
        <w:t>مكتب كوريا للملكية الفكرية</w:t>
      </w:r>
      <w:r w:rsidRPr="00734723">
        <w:rPr>
          <w:rFonts w:eastAsia="Arial" w:hint="cs"/>
          <w:rtl/>
        </w:rPr>
        <w:t xml:space="preserve"> بشأن بيانات السلع والخدمات المقبولة</w:t>
      </w:r>
      <w:r w:rsidR="0026213B" w:rsidRPr="00734723">
        <w:rPr>
          <w:rFonts w:eastAsia="Arial" w:hint="cs"/>
          <w:rtl/>
        </w:rPr>
        <w:t>.</w:t>
      </w:r>
    </w:p>
    <w:p w:rsidR="00C56CB3" w:rsidRPr="00734723" w:rsidRDefault="00C56CB3" w:rsidP="00C56CB3">
      <w:pPr>
        <w:pStyle w:val="NumberedParaAR"/>
        <w:widowControl w:val="0"/>
        <w:rPr>
          <w:rFonts w:hint="cs"/>
        </w:rPr>
      </w:pPr>
      <w:r w:rsidRPr="00734723">
        <w:rPr>
          <w:rFonts w:hint="cs"/>
          <w:rtl/>
        </w:rPr>
        <w:t>وتتيح قاعدة بيانا السلع والخدمات تحديثا شهريا على الإنترنت لفائدة المستخدمين من أجل عرضٍ أدق، قدر الإمكان، لما يلي:</w:t>
      </w:r>
    </w:p>
    <w:p w:rsidR="00C56CB3" w:rsidRPr="00734723" w:rsidRDefault="00C56CB3" w:rsidP="00C56CB3">
      <w:pPr>
        <w:pStyle w:val="NumberedParaAR"/>
        <w:widowControl w:val="0"/>
        <w:numPr>
          <w:ilvl w:val="0"/>
          <w:numId w:val="21"/>
        </w:numPr>
        <w:ind w:left="1133" w:hanging="567"/>
        <w:rPr>
          <w:rFonts w:eastAsia="Arial" w:hint="cs"/>
          <w:rtl/>
        </w:rPr>
      </w:pPr>
      <w:r w:rsidRPr="00734723">
        <w:rPr>
          <w:rFonts w:eastAsia="Arial" w:hint="cs"/>
          <w:rtl/>
        </w:rPr>
        <w:t>تغييرات في الترجمات أو حالات القبول المطلوبة مباشرة من المكاتب الوطنية؛</w:t>
      </w:r>
    </w:p>
    <w:p w:rsidR="00C56CB3" w:rsidRPr="00734723" w:rsidRDefault="00C56CB3" w:rsidP="00C56CB3">
      <w:pPr>
        <w:pStyle w:val="NumberedParaAR"/>
        <w:widowControl w:val="0"/>
        <w:numPr>
          <w:ilvl w:val="0"/>
          <w:numId w:val="21"/>
        </w:numPr>
        <w:ind w:left="1133" w:hanging="567"/>
        <w:rPr>
          <w:rFonts w:eastAsia="Arial" w:hint="cs"/>
        </w:rPr>
      </w:pPr>
      <w:r w:rsidRPr="00734723">
        <w:rPr>
          <w:rFonts w:eastAsia="Arial" w:hint="cs"/>
          <w:rtl/>
        </w:rPr>
        <w:t>تغييرات في حالات القبول المتأتية من قواعد البيانات الذكورة في الفقرة أعلاه والتي يمكن الحصول</w:t>
      </w:r>
      <w:r w:rsidR="00F60217">
        <w:rPr>
          <w:rFonts w:eastAsia="Arial" w:hint="cs"/>
          <w:rtl/>
        </w:rPr>
        <w:t xml:space="preserve"> </w:t>
      </w:r>
      <w:r w:rsidRPr="00734723">
        <w:rPr>
          <w:rFonts w:eastAsia="Arial" w:hint="cs"/>
          <w:rtl/>
        </w:rPr>
        <w:t xml:space="preserve">على تحديث شهري لها مثل </w:t>
      </w:r>
      <w:r w:rsidRPr="00734723">
        <w:rPr>
          <w:rFonts w:eastAsia="Arial" w:hint="cs"/>
          <w:rtl/>
        </w:rPr>
        <w:t>قائمة السلع والخدمات</w:t>
      </w:r>
      <w:r w:rsidRPr="00734723">
        <w:rPr>
          <w:rFonts w:eastAsia="Arial"/>
          <w:rtl/>
        </w:rPr>
        <w:t xml:space="preserve"> </w:t>
      </w:r>
      <w:r w:rsidRPr="00734723">
        <w:rPr>
          <w:rFonts w:eastAsia="Arial" w:hint="cs"/>
          <w:rtl/>
        </w:rPr>
        <w:t xml:space="preserve">الموحدة </w:t>
      </w:r>
      <w:r w:rsidRPr="00734723">
        <w:rPr>
          <w:rFonts w:eastAsia="Arial"/>
        </w:rPr>
        <w:t>TM5-ID</w:t>
      </w:r>
      <w:r w:rsidRPr="00734723">
        <w:rPr>
          <w:rFonts w:eastAsia="Arial" w:hint="cs"/>
          <w:rtl/>
        </w:rPr>
        <w:t xml:space="preserve"> و</w:t>
      </w:r>
      <w:r w:rsidRPr="00734723">
        <w:rPr>
          <w:rFonts w:eastAsia="Arial" w:hint="cs"/>
          <w:rtl/>
        </w:rPr>
        <w:t xml:space="preserve">دليل </w:t>
      </w:r>
      <w:r w:rsidRPr="00734723">
        <w:rPr>
          <w:rFonts w:eastAsia="Arial"/>
          <w:rtl/>
        </w:rPr>
        <w:t>مكتب الولايات المتحدة للبراءات والعلامات</w:t>
      </w:r>
      <w:r w:rsidRPr="00734723">
        <w:rPr>
          <w:rFonts w:eastAsia="Arial" w:hint="cs"/>
          <w:rtl/>
        </w:rPr>
        <w:t> بشأن بيانات السلع والخدمات المقبولة</w:t>
      </w:r>
      <w:r w:rsidRPr="00734723">
        <w:rPr>
          <w:rFonts w:eastAsia="Arial" w:hint="cs"/>
          <w:rtl/>
        </w:rPr>
        <w:t>.</w:t>
      </w:r>
    </w:p>
    <w:p w:rsidR="00C56CB3" w:rsidRPr="00734723" w:rsidRDefault="00C56CB3" w:rsidP="00C56CB3">
      <w:pPr>
        <w:pStyle w:val="Heading1AR"/>
      </w:pPr>
      <w:r w:rsidRPr="00734723">
        <w:rPr>
          <w:rFonts w:hint="cs"/>
          <w:rtl/>
        </w:rPr>
        <w:t>إثراء أكثر لقاعدة بيانات السلع والخدمات</w:t>
      </w:r>
    </w:p>
    <w:p w:rsidR="00C56CB3" w:rsidRPr="00734723" w:rsidRDefault="001B2F16" w:rsidP="001B2F16">
      <w:pPr>
        <w:pStyle w:val="NumberedParaAR"/>
        <w:keepNext/>
        <w:widowControl w:val="0"/>
        <w:numPr>
          <w:ilvl w:val="0"/>
          <w:numId w:val="0"/>
        </w:numPr>
        <w:spacing w:before="240"/>
        <w:rPr>
          <w:rFonts w:hint="cs"/>
          <w:sz w:val="40"/>
          <w:szCs w:val="40"/>
          <w:rtl/>
        </w:rPr>
      </w:pPr>
      <w:r w:rsidRPr="00734723">
        <w:rPr>
          <w:rFonts w:hint="cs"/>
          <w:sz w:val="40"/>
          <w:szCs w:val="40"/>
          <w:rtl/>
        </w:rPr>
        <w:t>التحقق</w:t>
      </w:r>
      <w:r w:rsidR="00C56CB3" w:rsidRPr="00734723">
        <w:rPr>
          <w:rFonts w:hint="cs"/>
          <w:sz w:val="40"/>
          <w:szCs w:val="40"/>
          <w:rtl/>
        </w:rPr>
        <w:t xml:space="preserve"> من حالة القبول لدى المكاتب الوطنية</w:t>
      </w:r>
    </w:p>
    <w:p w:rsidR="00625218" w:rsidRPr="00734723" w:rsidRDefault="001B2F16" w:rsidP="000D1156">
      <w:pPr>
        <w:pStyle w:val="NumberedParaAR"/>
        <w:widowControl w:val="0"/>
      </w:pPr>
      <w:r w:rsidRPr="00734723">
        <w:rPr>
          <w:rFonts w:hint="cs"/>
          <w:rtl/>
        </w:rPr>
        <w:t xml:space="preserve">سيتواصل التعاون بين المكتب الدولي </w:t>
      </w:r>
      <w:r w:rsidRPr="00734723">
        <w:rPr>
          <w:rFonts w:hint="cs"/>
          <w:rtl/>
        </w:rPr>
        <w:t>و</w:t>
      </w:r>
      <w:r w:rsidRPr="00734723">
        <w:rPr>
          <w:rFonts w:hint="cs"/>
          <w:rtl/>
        </w:rPr>
        <w:t xml:space="preserve">أي طرف متعاقد مهتم </w:t>
      </w:r>
      <w:r w:rsidRPr="00734723">
        <w:rPr>
          <w:rFonts w:hint="cs"/>
          <w:rtl/>
        </w:rPr>
        <w:t>في نظام مدريد</w:t>
      </w:r>
      <w:r w:rsidRPr="00734723">
        <w:rPr>
          <w:rFonts w:hint="cs"/>
          <w:rtl/>
        </w:rPr>
        <w:t xml:space="preserve"> </w:t>
      </w:r>
      <w:r w:rsidR="00DB3B73" w:rsidRPr="00734723">
        <w:rPr>
          <w:rFonts w:hint="cs"/>
          <w:rtl/>
        </w:rPr>
        <w:t xml:space="preserve">بغية </w:t>
      </w:r>
      <w:r w:rsidRPr="00734723">
        <w:rPr>
          <w:rFonts w:hint="cs"/>
          <w:rtl/>
        </w:rPr>
        <w:t xml:space="preserve">زيادة كمية المعلومات عن حالة القبول المتاحة في قاعدة بيانات السلع والخدمات وذلك من أجل </w:t>
      </w:r>
      <w:r w:rsidR="00DB3B73" w:rsidRPr="00734723">
        <w:rPr>
          <w:rFonts w:hint="cs"/>
          <w:rtl/>
        </w:rPr>
        <w:t>تزويد مودعي</w:t>
      </w:r>
      <w:r w:rsidR="004E0091" w:rsidRPr="00734723">
        <w:rPr>
          <w:rFonts w:hint="cs"/>
          <w:rtl/>
        </w:rPr>
        <w:t xml:space="preserve"> طلبات</w:t>
      </w:r>
      <w:r w:rsidR="00DB3B73" w:rsidRPr="00734723">
        <w:rPr>
          <w:rFonts w:hint="cs"/>
          <w:rtl/>
        </w:rPr>
        <w:t xml:space="preserve"> العلامات التجارية</w:t>
      </w:r>
      <w:r w:rsidRPr="00734723">
        <w:rPr>
          <w:rFonts w:hint="cs"/>
          <w:rtl/>
        </w:rPr>
        <w:t xml:space="preserve"> </w:t>
      </w:r>
      <w:r w:rsidR="00CD01EF" w:rsidRPr="00734723">
        <w:rPr>
          <w:rFonts w:hint="cs"/>
          <w:rtl/>
        </w:rPr>
        <w:t>ب</w:t>
      </w:r>
      <w:r w:rsidR="00DB3B73" w:rsidRPr="00734723">
        <w:rPr>
          <w:rFonts w:hint="cs"/>
          <w:rtl/>
        </w:rPr>
        <w:t>المعلومات</w:t>
      </w:r>
      <w:r w:rsidRPr="00734723">
        <w:rPr>
          <w:rFonts w:hint="cs"/>
          <w:rtl/>
        </w:rPr>
        <w:t xml:space="preserve"> المفيدة </w:t>
      </w:r>
      <w:r w:rsidR="00DB3B73" w:rsidRPr="00734723">
        <w:rPr>
          <w:rFonts w:hint="cs"/>
          <w:rtl/>
        </w:rPr>
        <w:t>لأغراض الإيداع الدولي للطلب،</w:t>
      </w:r>
      <w:r w:rsidRPr="00734723">
        <w:rPr>
          <w:rFonts w:hint="cs"/>
          <w:rtl/>
        </w:rPr>
        <w:t xml:space="preserve"> أي المعلومات التي تمكنهم من أن يعرفوا </w:t>
      </w:r>
      <w:r w:rsidR="003155C0" w:rsidRPr="00734723">
        <w:rPr>
          <w:rFonts w:hint="cs"/>
          <w:rtl/>
        </w:rPr>
        <w:t>مسبقًا</w:t>
      </w:r>
      <w:r w:rsidR="00331B72" w:rsidRPr="00734723">
        <w:rPr>
          <w:rFonts w:hint="cs"/>
          <w:rtl/>
        </w:rPr>
        <w:t xml:space="preserve"> </w:t>
      </w:r>
      <w:r w:rsidRPr="00734723">
        <w:rPr>
          <w:rFonts w:hint="cs"/>
          <w:rtl/>
        </w:rPr>
        <w:t>ما</w:t>
      </w:r>
      <w:r w:rsidR="00625218" w:rsidRPr="00734723">
        <w:rPr>
          <w:rFonts w:hint="cs"/>
          <w:rtl/>
        </w:rPr>
        <w:t xml:space="preserve"> إذا كانت </w:t>
      </w:r>
      <w:r w:rsidRPr="00734723">
        <w:rPr>
          <w:rFonts w:hint="cs"/>
          <w:rtl/>
        </w:rPr>
        <w:t>بعض المصطلحات في قوائمهم ستؤدي إلى رفض مؤقت من ال</w:t>
      </w:r>
      <w:r w:rsidR="00625218" w:rsidRPr="00734723">
        <w:rPr>
          <w:rFonts w:hint="cs"/>
          <w:rtl/>
        </w:rPr>
        <w:t>بلدان</w:t>
      </w:r>
      <w:r w:rsidRPr="00734723">
        <w:rPr>
          <w:rFonts w:hint="cs"/>
          <w:rtl/>
        </w:rPr>
        <w:t xml:space="preserve"> التي يعينونها</w:t>
      </w:r>
      <w:r w:rsidR="00625218" w:rsidRPr="00734723">
        <w:rPr>
          <w:rFonts w:hint="cs"/>
          <w:rtl/>
        </w:rPr>
        <w:t>.</w:t>
      </w:r>
    </w:p>
    <w:p w:rsidR="00AF7FFE" w:rsidRPr="00734723" w:rsidRDefault="00AF7FFE" w:rsidP="000849FE">
      <w:pPr>
        <w:pStyle w:val="Heading2AR"/>
        <w:rPr>
          <w:lang w:bidi="ar-AE"/>
        </w:rPr>
      </w:pPr>
      <w:r w:rsidRPr="00734723">
        <w:rPr>
          <w:rFonts w:hint="cs"/>
          <w:rtl/>
          <w:lang w:bidi="ar-AE"/>
        </w:rPr>
        <w:t xml:space="preserve">إدراج </w:t>
      </w:r>
      <w:r w:rsidR="0088112F" w:rsidRPr="00734723">
        <w:rPr>
          <w:rFonts w:hint="cs"/>
          <w:rtl/>
          <w:lang w:bidi="ar-AE"/>
        </w:rPr>
        <w:t>بيانات</w:t>
      </w:r>
      <w:r w:rsidRPr="00734723">
        <w:rPr>
          <w:rFonts w:hint="cs"/>
          <w:rtl/>
          <w:lang w:bidi="ar-AE"/>
        </w:rPr>
        <w:t xml:space="preserve"> </w:t>
      </w:r>
      <w:r w:rsidR="00C75510" w:rsidRPr="00734723">
        <w:rPr>
          <w:rFonts w:hint="cs"/>
          <w:rtl/>
          <w:lang w:bidi="ar-AE"/>
        </w:rPr>
        <w:t>جديدة خاصة با</w:t>
      </w:r>
      <w:r w:rsidR="0088112F" w:rsidRPr="00734723">
        <w:rPr>
          <w:rFonts w:hint="cs"/>
          <w:rtl/>
          <w:lang w:bidi="ar-AE"/>
        </w:rPr>
        <w:t>لسلع والخدمات</w:t>
      </w:r>
    </w:p>
    <w:p w:rsidR="00AF7FFE" w:rsidRPr="00734723" w:rsidRDefault="000D1156" w:rsidP="000D1156">
      <w:pPr>
        <w:pStyle w:val="NumberedParaAR"/>
        <w:widowControl w:val="0"/>
        <w:rPr>
          <w:lang w:bidi="ar-AE"/>
        </w:rPr>
      </w:pPr>
      <w:r w:rsidRPr="00734723">
        <w:rPr>
          <w:rFonts w:hint="cs"/>
          <w:rtl/>
          <w:lang w:bidi="ar-AE"/>
        </w:rPr>
        <w:t>سعيا إلى</w:t>
      </w:r>
      <w:r w:rsidRPr="00734723">
        <w:rPr>
          <w:rFonts w:hint="cs"/>
          <w:rtl/>
          <w:lang w:bidi="ar-AE"/>
        </w:rPr>
        <w:t xml:space="preserve"> جعل قاعدة بيانات السلع والخدمات وجيهةً قدر الإمكان لمودعي طلبات العلامات التجارية لدى الإيداع الوطني والدولي على حد سواء</w:t>
      </w:r>
      <w:r w:rsidRPr="00734723">
        <w:rPr>
          <w:rFonts w:hint="cs"/>
          <w:rtl/>
          <w:lang w:bidi="ar-AE"/>
        </w:rPr>
        <w:t xml:space="preserve">، </w:t>
      </w:r>
      <w:r w:rsidRPr="00734723">
        <w:rPr>
          <w:rFonts w:hint="cs"/>
          <w:rtl/>
          <w:lang w:bidi="ar-AE"/>
        </w:rPr>
        <w:t xml:space="preserve">سيتواصل إثراء قاعدة بيانات السلع والخدمات ببيانات مستمدة من مصادر متنوعة </w:t>
      </w:r>
      <w:r w:rsidRPr="00734723">
        <w:rPr>
          <w:rFonts w:hint="cs"/>
          <w:rtl/>
          <w:lang w:bidi="ar-AE"/>
        </w:rPr>
        <w:t>مثل:</w:t>
      </w:r>
      <w:r w:rsidR="0088112F" w:rsidRPr="00734723">
        <w:rPr>
          <w:rFonts w:hint="cs"/>
          <w:rtl/>
          <w:lang w:bidi="ar-AE"/>
        </w:rPr>
        <w:t xml:space="preserve"> </w:t>
      </w:r>
    </w:p>
    <w:p w:rsidR="000D1156" w:rsidRPr="00734723" w:rsidRDefault="000D1156" w:rsidP="002B1CE7">
      <w:pPr>
        <w:pStyle w:val="NumberedParaAR"/>
        <w:widowControl w:val="0"/>
        <w:numPr>
          <w:ilvl w:val="0"/>
          <w:numId w:val="21"/>
        </w:numPr>
        <w:ind w:left="1133" w:hanging="567"/>
        <w:rPr>
          <w:rFonts w:hint="cs"/>
          <w:lang w:bidi="ar-AE"/>
        </w:rPr>
      </w:pPr>
      <w:r w:rsidRPr="00734723">
        <w:rPr>
          <w:rFonts w:hint="cs"/>
          <w:rtl/>
          <w:lang w:bidi="ar-AE"/>
        </w:rPr>
        <w:t xml:space="preserve">المصطلحات </w:t>
      </w:r>
      <w:r w:rsidR="002B1CE7" w:rsidRPr="00734723">
        <w:rPr>
          <w:rFonts w:hint="cs"/>
          <w:rtl/>
          <w:lang w:bidi="ar-AE"/>
        </w:rPr>
        <w:t>شائعة</w:t>
      </w:r>
      <w:r w:rsidRPr="00734723">
        <w:rPr>
          <w:rFonts w:hint="cs"/>
          <w:rtl/>
          <w:lang w:bidi="ar-AE"/>
        </w:rPr>
        <w:t xml:space="preserve"> ا</w:t>
      </w:r>
      <w:r w:rsidR="002B1CE7" w:rsidRPr="00734723">
        <w:rPr>
          <w:rFonts w:hint="cs"/>
          <w:rtl/>
          <w:lang w:bidi="ar-AE"/>
        </w:rPr>
        <w:t>لا</w:t>
      </w:r>
      <w:r w:rsidRPr="00734723">
        <w:rPr>
          <w:rFonts w:hint="cs"/>
          <w:rtl/>
          <w:lang w:bidi="ar-AE"/>
        </w:rPr>
        <w:t xml:space="preserve">ستخدام والمستخرجة بانتظام من الطلبات الدولية المستلمة في المكتب الدولي ومن السجل الدولي للعلامات التجارية؛ </w:t>
      </w:r>
    </w:p>
    <w:p w:rsidR="00325DF0" w:rsidRPr="00734723" w:rsidRDefault="00DF087A" w:rsidP="00F72E90">
      <w:pPr>
        <w:pStyle w:val="NumberedParaAR"/>
        <w:widowControl w:val="0"/>
        <w:numPr>
          <w:ilvl w:val="0"/>
          <w:numId w:val="21"/>
        </w:numPr>
        <w:ind w:left="1133" w:hanging="567"/>
        <w:rPr>
          <w:lang w:bidi="ar-AE"/>
        </w:rPr>
      </w:pPr>
      <w:r w:rsidRPr="00734723">
        <w:rPr>
          <w:rFonts w:hint="cs"/>
          <w:rtl/>
          <w:lang w:bidi="ar-AE"/>
        </w:rPr>
        <w:t>ال</w:t>
      </w:r>
      <w:r w:rsidR="00064F32" w:rsidRPr="00734723">
        <w:rPr>
          <w:rFonts w:hint="cs"/>
          <w:rtl/>
          <w:lang w:bidi="ar-AE"/>
        </w:rPr>
        <w:t xml:space="preserve">قائمة </w:t>
      </w:r>
      <w:r w:rsidRPr="00734723">
        <w:rPr>
          <w:rFonts w:hint="cs"/>
          <w:rtl/>
          <w:lang w:bidi="ar-AE"/>
        </w:rPr>
        <w:t xml:space="preserve">الموحدة لمواصفات السلع والخدمات التي وضعتها المكاتب الخمسة </w:t>
      </w:r>
      <w:r w:rsidR="00064F32" w:rsidRPr="00734723">
        <w:t>TM5 ID</w:t>
      </w:r>
      <w:r w:rsidR="00064F32" w:rsidRPr="00734723">
        <w:rPr>
          <w:rFonts w:hint="cs"/>
          <w:rtl/>
          <w:lang w:bidi="ar-AE"/>
        </w:rPr>
        <w:t xml:space="preserve"> باللغة الإنكليزية </w:t>
      </w:r>
      <w:r w:rsidRPr="00734723">
        <w:rPr>
          <w:rFonts w:hint="cs"/>
          <w:rtl/>
          <w:lang w:bidi="ar-AE"/>
        </w:rPr>
        <w:t>وهي ثمرة</w:t>
      </w:r>
      <w:r w:rsidR="00064F32" w:rsidRPr="00734723">
        <w:rPr>
          <w:rFonts w:hint="cs"/>
          <w:rtl/>
          <w:lang w:bidi="ar-AE"/>
        </w:rPr>
        <w:t xml:space="preserve"> التعاون بين </w:t>
      </w:r>
      <w:r w:rsidR="00064F32" w:rsidRPr="00734723">
        <w:rPr>
          <w:rtl/>
          <w:lang w:bidi="ar-AE"/>
        </w:rPr>
        <w:t>المكتب الياباني للبراءات</w:t>
      </w:r>
      <w:r w:rsidR="00064F32" w:rsidRPr="00734723">
        <w:rPr>
          <w:rFonts w:hint="cs"/>
          <w:rtl/>
          <w:lang w:bidi="ar-AE"/>
        </w:rPr>
        <w:t xml:space="preserve"> و</w:t>
      </w:r>
      <w:r w:rsidR="00064F32" w:rsidRPr="00734723">
        <w:rPr>
          <w:rtl/>
          <w:lang w:bidi="ar-AE"/>
        </w:rPr>
        <w:t>مكتب كوريا للملكية الفكرية</w:t>
      </w:r>
      <w:r w:rsidR="00064F32" w:rsidRPr="00734723">
        <w:rPr>
          <w:rFonts w:hint="cs"/>
          <w:rtl/>
          <w:lang w:bidi="ar-AE"/>
        </w:rPr>
        <w:t xml:space="preserve"> وم</w:t>
      </w:r>
      <w:r w:rsidR="00064F32" w:rsidRPr="00734723">
        <w:rPr>
          <w:rtl/>
          <w:lang w:bidi="ar-AE"/>
        </w:rPr>
        <w:t>كتب التنسيق في السوق الداخلية</w:t>
      </w:r>
      <w:r w:rsidR="00064F32" w:rsidRPr="00734723">
        <w:rPr>
          <w:rFonts w:hint="cs"/>
          <w:rtl/>
          <w:lang w:bidi="ar-AE"/>
        </w:rPr>
        <w:t xml:space="preserve"> </w:t>
      </w:r>
      <w:r w:rsidR="000D1156" w:rsidRPr="00734723">
        <w:rPr>
          <w:rFonts w:eastAsia="Arial"/>
          <w:rtl/>
        </w:rPr>
        <w:t xml:space="preserve">والإدارة الحكومية للصناعة والتجارة </w:t>
      </w:r>
      <w:r w:rsidR="000D1156" w:rsidRPr="00734723">
        <w:rPr>
          <w:rFonts w:eastAsia="Arial" w:hint="cs"/>
          <w:rtl/>
        </w:rPr>
        <w:t>لجمهورية الصين الشعبية</w:t>
      </w:r>
      <w:r w:rsidR="000D1156" w:rsidRPr="00734723">
        <w:rPr>
          <w:rFonts w:hint="cs"/>
          <w:rtl/>
        </w:rPr>
        <w:t xml:space="preserve"> </w:t>
      </w:r>
      <w:r w:rsidR="00064F32" w:rsidRPr="00734723">
        <w:rPr>
          <w:rFonts w:hint="cs"/>
          <w:rtl/>
          <w:lang w:bidi="ar-AE"/>
        </w:rPr>
        <w:t>و</w:t>
      </w:r>
      <w:r w:rsidR="00064F32" w:rsidRPr="00734723">
        <w:rPr>
          <w:rFonts w:eastAsia="Arial"/>
          <w:rtl/>
          <w:lang w:val="ar-SA"/>
        </w:rPr>
        <w:t>مكتب الولايات المتحدة للبراءات والعلامات التجارية</w:t>
      </w:r>
      <w:r w:rsidR="00064F32" w:rsidRPr="00734723">
        <w:rPr>
          <w:rFonts w:eastAsia="Arial" w:hint="cs"/>
          <w:rtl/>
          <w:lang w:val="ar-SA"/>
        </w:rPr>
        <w:t>؛</w:t>
      </w:r>
    </w:p>
    <w:p w:rsidR="00A1784A" w:rsidRPr="00734723" w:rsidRDefault="00064F32" w:rsidP="000D1156">
      <w:pPr>
        <w:pStyle w:val="NumberedParaAR"/>
        <w:widowControl w:val="0"/>
        <w:numPr>
          <w:ilvl w:val="0"/>
          <w:numId w:val="21"/>
        </w:numPr>
        <w:ind w:left="1133" w:hanging="567"/>
        <w:rPr>
          <w:lang w:bidi="ar-AE"/>
        </w:rPr>
      </w:pPr>
      <w:r w:rsidRPr="00734723">
        <w:rPr>
          <w:rFonts w:hint="cs"/>
          <w:rtl/>
          <w:lang w:bidi="ar-AE"/>
        </w:rPr>
        <w:t xml:space="preserve">قوائم السلع والخدمات الوطنية الواردة من </w:t>
      </w:r>
      <w:r w:rsidR="00A1784A" w:rsidRPr="00734723">
        <w:rPr>
          <w:rFonts w:hint="cs"/>
          <w:rtl/>
          <w:lang w:bidi="ar-AE"/>
        </w:rPr>
        <w:t>المكاتب الوطنية</w:t>
      </w:r>
      <w:r w:rsidR="000D1156" w:rsidRPr="00734723">
        <w:rPr>
          <w:rFonts w:hint="cs"/>
          <w:rtl/>
          <w:lang w:bidi="ar-AE"/>
        </w:rPr>
        <w:t xml:space="preserve"> للملكية الفكرية مثل تلك التي أتاحتها</w:t>
      </w:r>
      <w:r w:rsidR="00A1784A" w:rsidRPr="00734723">
        <w:rPr>
          <w:rFonts w:hint="cs"/>
          <w:rtl/>
          <w:lang w:bidi="ar-AE"/>
        </w:rPr>
        <w:t xml:space="preserve"> البلدان التالية: الصين وألمانيا واليابان وجمهورية كوريا وسويسرا</w:t>
      </w:r>
      <w:r w:rsidR="000D1156" w:rsidRPr="00734723">
        <w:rPr>
          <w:rFonts w:hint="cs"/>
          <w:rtl/>
          <w:lang w:bidi="ar-AE"/>
        </w:rPr>
        <w:t>؛</w:t>
      </w:r>
    </w:p>
    <w:p w:rsidR="00A1784A" w:rsidRPr="00734723" w:rsidRDefault="00A1784A" w:rsidP="002B1CE7">
      <w:pPr>
        <w:pStyle w:val="NumberedParaAR"/>
        <w:widowControl w:val="0"/>
        <w:numPr>
          <w:ilvl w:val="0"/>
          <w:numId w:val="21"/>
        </w:numPr>
        <w:ind w:left="1133" w:hanging="567"/>
        <w:rPr>
          <w:lang w:bidi="ar-AE"/>
        </w:rPr>
      </w:pPr>
      <w:r w:rsidRPr="00734723">
        <w:rPr>
          <w:rFonts w:hint="cs"/>
          <w:rtl/>
          <w:lang w:bidi="ar-AE"/>
        </w:rPr>
        <w:t xml:space="preserve">السجلات الوطنية للعلامات التجارية للبلدان المتعاونة مع الويبو في </w:t>
      </w:r>
      <w:r w:rsidR="002B312B" w:rsidRPr="00734723">
        <w:rPr>
          <w:rFonts w:hint="cs"/>
          <w:rtl/>
          <w:lang w:bidi="ar-AE"/>
        </w:rPr>
        <w:t xml:space="preserve">مشروع </w:t>
      </w:r>
      <w:r w:rsidRPr="00734723">
        <w:rPr>
          <w:rtl/>
          <w:lang w:bidi="ar-AE"/>
        </w:rPr>
        <w:t xml:space="preserve">قاعدة بيانات أدوات </w:t>
      </w:r>
      <w:r w:rsidR="002B1CE7" w:rsidRPr="00734723">
        <w:rPr>
          <w:rFonts w:hint="cs"/>
          <w:rtl/>
          <w:lang w:bidi="ar-AE"/>
        </w:rPr>
        <w:t>التوسيم</w:t>
      </w:r>
      <w:r w:rsidRPr="00734723">
        <w:rPr>
          <w:rtl/>
          <w:lang w:bidi="ar-AE"/>
        </w:rPr>
        <w:t xml:space="preserve"> العالمية</w:t>
      </w:r>
      <w:r w:rsidR="002B312B" w:rsidRPr="00734723">
        <w:rPr>
          <w:rFonts w:hint="cs"/>
          <w:rtl/>
          <w:lang w:bidi="ar-AE"/>
        </w:rPr>
        <w:t xml:space="preserve"> </w:t>
      </w:r>
      <w:r w:rsidR="002B1CE7" w:rsidRPr="00734723">
        <w:rPr>
          <w:rFonts w:hint="cs"/>
          <w:rtl/>
          <w:lang w:bidi="ar-AE"/>
        </w:rPr>
        <w:t>وسيتم فحص</w:t>
      </w:r>
      <w:r w:rsidR="002B312B" w:rsidRPr="00734723">
        <w:rPr>
          <w:rFonts w:hint="cs"/>
          <w:rtl/>
          <w:lang w:bidi="ar-AE"/>
        </w:rPr>
        <w:t xml:space="preserve"> </w:t>
      </w:r>
      <w:r w:rsidR="002B1CE7" w:rsidRPr="00734723">
        <w:rPr>
          <w:rFonts w:hint="cs"/>
          <w:rtl/>
          <w:lang w:bidi="ar-AE"/>
        </w:rPr>
        <w:t>المصطلحات</w:t>
      </w:r>
      <w:r w:rsidR="002B312B" w:rsidRPr="00734723">
        <w:rPr>
          <w:rFonts w:hint="cs"/>
          <w:rtl/>
          <w:lang w:bidi="ar-AE"/>
        </w:rPr>
        <w:t xml:space="preserve"> شائعة الاستخدام فيها</w:t>
      </w:r>
      <w:r w:rsidR="00DF087A" w:rsidRPr="00734723">
        <w:rPr>
          <w:rFonts w:hint="cs"/>
          <w:rtl/>
          <w:lang w:bidi="ar-AE"/>
        </w:rPr>
        <w:t>،</w:t>
      </w:r>
      <w:r w:rsidR="002B312B" w:rsidRPr="00734723">
        <w:rPr>
          <w:rFonts w:hint="cs"/>
          <w:rtl/>
          <w:lang w:bidi="ar-AE"/>
        </w:rPr>
        <w:t xml:space="preserve"> من غير الموجودة في قاعدة بيانات السلع والخدمات</w:t>
      </w:r>
      <w:r w:rsidR="00DF087A" w:rsidRPr="00734723">
        <w:rPr>
          <w:rFonts w:hint="cs"/>
          <w:rtl/>
          <w:lang w:bidi="ar-AE"/>
        </w:rPr>
        <w:t>،</w:t>
      </w:r>
      <w:r w:rsidR="002B312B" w:rsidRPr="00734723">
        <w:rPr>
          <w:rFonts w:hint="cs"/>
          <w:rtl/>
          <w:lang w:bidi="ar-AE"/>
        </w:rPr>
        <w:t xml:space="preserve"> تحضيرًا لإدراجها.</w:t>
      </w:r>
      <w:r w:rsidR="00AD6672" w:rsidRPr="00734723">
        <w:rPr>
          <w:rFonts w:hint="cs"/>
          <w:rtl/>
          <w:lang w:bidi="ar-AE"/>
        </w:rPr>
        <w:t xml:space="preserve"> </w:t>
      </w:r>
      <w:r w:rsidR="002B312B" w:rsidRPr="00734723">
        <w:rPr>
          <w:rFonts w:hint="cs"/>
          <w:rtl/>
          <w:lang w:bidi="ar-AE"/>
        </w:rPr>
        <w:t>وحتى الآن، است</w:t>
      </w:r>
      <w:r w:rsidR="00DF087A" w:rsidRPr="00734723">
        <w:rPr>
          <w:rFonts w:hint="cs"/>
          <w:rtl/>
          <w:lang w:bidi="ar-AE"/>
        </w:rPr>
        <w:t>ُ</w:t>
      </w:r>
      <w:r w:rsidR="002B312B" w:rsidRPr="00734723">
        <w:rPr>
          <w:rFonts w:hint="cs"/>
          <w:rtl/>
          <w:lang w:bidi="ar-AE"/>
        </w:rPr>
        <w:t xml:space="preserve">مدت </w:t>
      </w:r>
      <w:r w:rsidR="002B1CE7" w:rsidRPr="00734723">
        <w:rPr>
          <w:rFonts w:hint="cs"/>
          <w:rtl/>
          <w:lang w:bidi="ar-AE"/>
        </w:rPr>
        <w:t>المصطلحات</w:t>
      </w:r>
      <w:r w:rsidR="002B312B" w:rsidRPr="00734723">
        <w:rPr>
          <w:rFonts w:hint="cs"/>
          <w:rtl/>
          <w:lang w:bidi="ar-AE"/>
        </w:rPr>
        <w:t xml:space="preserve"> شائعة</w:t>
      </w:r>
      <w:r w:rsidR="002B1CE7" w:rsidRPr="00734723">
        <w:rPr>
          <w:rFonts w:hint="cs"/>
          <w:rtl/>
          <w:lang w:bidi="ar-AE"/>
        </w:rPr>
        <w:t xml:space="preserve"> الاستخدام</w:t>
      </w:r>
      <w:r w:rsidR="002B312B" w:rsidRPr="00734723">
        <w:rPr>
          <w:rFonts w:hint="cs"/>
          <w:rtl/>
          <w:lang w:bidi="ar-AE"/>
        </w:rPr>
        <w:t xml:space="preserve"> من السجلات الوطنية للبلدان التالية: أستراليا</w:t>
      </w:r>
      <w:r w:rsidR="004E0BE4" w:rsidRPr="00734723">
        <w:rPr>
          <w:rFonts w:hint="cs"/>
          <w:rtl/>
          <w:lang w:bidi="ar-AE"/>
        </w:rPr>
        <w:t xml:space="preserve"> وكندا</w:t>
      </w:r>
      <w:r w:rsidR="002B312B" w:rsidRPr="00734723">
        <w:rPr>
          <w:rFonts w:hint="cs"/>
          <w:rtl/>
          <w:lang w:bidi="ar-AE"/>
        </w:rPr>
        <w:t xml:space="preserve"> وإسرائيل والاتحاد الروسي وسنغافورة وسويسرا والولايات المتحدة الأمريكية.</w:t>
      </w:r>
    </w:p>
    <w:p w:rsidR="000865AF" w:rsidRPr="00734723" w:rsidRDefault="000865AF" w:rsidP="000849FE">
      <w:pPr>
        <w:pStyle w:val="Heading1AR"/>
        <w:rPr>
          <w:iCs/>
          <w:rtl/>
          <w:lang w:bidi="ar-AE"/>
        </w:rPr>
      </w:pPr>
      <w:r w:rsidRPr="00734723">
        <w:rPr>
          <w:rtl/>
          <w:lang w:bidi="ar-AE"/>
        </w:rPr>
        <w:t>الميزانية</w:t>
      </w:r>
    </w:p>
    <w:p w:rsidR="000865AF" w:rsidRPr="00734723" w:rsidRDefault="000865AF" w:rsidP="002B401C">
      <w:pPr>
        <w:pStyle w:val="NumberedParaAR"/>
        <w:widowControl w:val="0"/>
        <w:rPr>
          <w:rFonts w:eastAsia="Arial"/>
        </w:rPr>
      </w:pPr>
      <w:r w:rsidRPr="00734723">
        <w:rPr>
          <w:rFonts w:eastAsia="Arial" w:hint="cs"/>
          <w:rtl/>
        </w:rPr>
        <w:t xml:space="preserve">وافقت جمعية اتحاد مدريد في سنة </w:t>
      </w:r>
      <w:r w:rsidR="002B401C" w:rsidRPr="00734723">
        <w:rPr>
          <w:rFonts w:eastAsia="Arial" w:hint="cs"/>
          <w:rtl/>
        </w:rPr>
        <w:t>214</w:t>
      </w:r>
      <w:r w:rsidRPr="00734723">
        <w:rPr>
          <w:rFonts w:eastAsia="Arial" w:hint="cs"/>
          <w:rtl/>
        </w:rPr>
        <w:t xml:space="preserve"> على استخدام أموال المشروع المتبقية في نهاية </w:t>
      </w:r>
      <w:r w:rsidR="002B401C" w:rsidRPr="00734723">
        <w:rPr>
          <w:rFonts w:eastAsia="Arial" w:hint="cs"/>
          <w:rtl/>
        </w:rPr>
        <w:t>2014</w:t>
      </w:r>
      <w:r w:rsidRPr="00734723">
        <w:rPr>
          <w:rFonts w:eastAsia="Arial" w:hint="cs"/>
          <w:rtl/>
        </w:rPr>
        <w:t xml:space="preserve"> لمساعدة بعض المكاتب الوطنية على دفع تكاليف ترجمة </w:t>
      </w:r>
      <w:r w:rsidRPr="00734723">
        <w:rPr>
          <w:rFonts w:eastAsia="Arial" w:hint="cs"/>
          <w:rtl/>
          <w:lang w:val="ar-SA"/>
        </w:rPr>
        <w:t>قاعدة بيانات السلع والخدمات إلى</w:t>
      </w:r>
      <w:r w:rsidR="002516C8" w:rsidRPr="00734723">
        <w:rPr>
          <w:rFonts w:eastAsia="Arial" w:hint="cs"/>
          <w:rtl/>
          <w:lang w:val="ar-SA"/>
        </w:rPr>
        <w:t xml:space="preserve"> لغاتها الوطنية (انظر الفقرة </w:t>
      </w:r>
      <w:r w:rsidR="002B401C" w:rsidRPr="00734723">
        <w:rPr>
          <w:rFonts w:eastAsia="Arial" w:hint="cs"/>
          <w:rtl/>
          <w:lang w:val="ar-SA"/>
        </w:rPr>
        <w:t>26</w:t>
      </w:r>
      <w:r w:rsidRPr="00734723">
        <w:rPr>
          <w:rFonts w:eastAsia="Arial" w:hint="cs"/>
          <w:rtl/>
          <w:lang w:val="ar-SA"/>
        </w:rPr>
        <w:t xml:space="preserve"> من الوثيقة</w:t>
      </w:r>
      <w:r w:rsidR="00F72E90" w:rsidRPr="00734723">
        <w:rPr>
          <w:rFonts w:eastAsia="Arial" w:hint="cs"/>
          <w:rtl/>
        </w:rPr>
        <w:t> </w:t>
      </w:r>
      <w:r w:rsidRPr="00734723">
        <w:rPr>
          <w:rFonts w:eastAsia="Arial"/>
        </w:rPr>
        <w:t>MM/</w:t>
      </w:r>
      <w:r w:rsidRPr="00734723">
        <w:rPr>
          <w:rFonts w:eastAsia="Arial"/>
          <w:lang w:bidi="ar-AE"/>
        </w:rPr>
        <w:t>A/</w:t>
      </w:r>
      <w:r w:rsidR="002B401C" w:rsidRPr="00734723">
        <w:rPr>
          <w:rFonts w:eastAsia="Arial"/>
          <w:lang w:bidi="ar-AE"/>
        </w:rPr>
        <w:t>48</w:t>
      </w:r>
      <w:r w:rsidRPr="00734723">
        <w:rPr>
          <w:rFonts w:eastAsia="Arial"/>
          <w:lang w:bidi="ar-AE"/>
        </w:rPr>
        <w:t>/2</w:t>
      </w:r>
      <w:r w:rsidR="00F72E90" w:rsidRPr="00734723">
        <w:rPr>
          <w:rFonts w:eastAsia="Arial" w:hint="cs"/>
          <w:rtl/>
          <w:lang w:bidi="ar-AE"/>
        </w:rPr>
        <w:t>)</w:t>
      </w:r>
      <w:r w:rsidRPr="00734723">
        <w:rPr>
          <w:rFonts w:eastAsia="Arial" w:hint="cs"/>
          <w:rtl/>
          <w:lang w:val="ar-SA"/>
        </w:rPr>
        <w:t>.</w:t>
      </w:r>
    </w:p>
    <w:p w:rsidR="00AB68FF" w:rsidRPr="00734723" w:rsidRDefault="001B655E" w:rsidP="00734723">
      <w:pPr>
        <w:pStyle w:val="NumberedParaAR"/>
        <w:widowControl w:val="0"/>
        <w:rPr>
          <w:rFonts w:eastAsia="Arial"/>
        </w:rPr>
      </w:pPr>
      <w:r w:rsidRPr="00734723">
        <w:rPr>
          <w:rFonts w:hint="cs"/>
          <w:rtl/>
          <w:lang w:bidi="ar-AE"/>
        </w:rPr>
        <w:t xml:space="preserve">ويرد في المرفق الخامس جدول يبيّن توزيع </w:t>
      </w:r>
      <w:r w:rsidR="00AB68FF" w:rsidRPr="00734723">
        <w:rPr>
          <w:rFonts w:hint="cs"/>
          <w:rtl/>
          <w:lang w:bidi="ar-AE"/>
        </w:rPr>
        <w:t xml:space="preserve">الأموال الأولية (وقدرها </w:t>
      </w:r>
      <w:r w:rsidR="00F72E90" w:rsidRPr="00734723">
        <w:rPr>
          <w:rFonts w:hint="cs"/>
          <w:rtl/>
          <w:lang w:bidi="ar-AE"/>
        </w:rPr>
        <w:t>000 232</w:t>
      </w:r>
      <w:r w:rsidR="00AB68FF" w:rsidRPr="00734723">
        <w:rPr>
          <w:rFonts w:hint="cs"/>
          <w:rtl/>
          <w:lang w:bidi="ar-AE"/>
        </w:rPr>
        <w:t xml:space="preserve"> فرنك سويسري) التي خصصتها الويبو </w:t>
      </w:r>
      <w:r w:rsidR="00AB68FF" w:rsidRPr="00734723">
        <w:rPr>
          <w:rFonts w:eastAsia="Arial" w:hint="cs"/>
          <w:rtl/>
        </w:rPr>
        <w:t xml:space="preserve">لترجمة </w:t>
      </w:r>
      <w:r w:rsidR="00AB68FF" w:rsidRPr="00734723">
        <w:rPr>
          <w:rFonts w:eastAsia="Arial"/>
          <w:rtl/>
          <w:lang w:val="ar-SA"/>
        </w:rPr>
        <w:t>قاعدة بيانات السلع والخدمات</w:t>
      </w:r>
      <w:r w:rsidR="00AB68FF" w:rsidRPr="00734723">
        <w:rPr>
          <w:rFonts w:eastAsia="Arial" w:hint="cs"/>
          <w:rtl/>
          <w:lang w:val="ar-SA"/>
        </w:rPr>
        <w:t xml:space="preserve"> والمدفوعات الفعلية إلى غاية</w:t>
      </w:r>
      <w:r w:rsidR="00AB68FF" w:rsidRPr="00734723">
        <w:rPr>
          <w:rFonts w:eastAsia="Arial" w:hint="eastAsia"/>
          <w:rtl/>
          <w:lang w:val="ar-SA"/>
        </w:rPr>
        <w:t> </w:t>
      </w:r>
      <w:r w:rsidR="00AB68FF" w:rsidRPr="00734723">
        <w:rPr>
          <w:rFonts w:eastAsia="Arial" w:hint="cs"/>
          <w:rtl/>
          <w:lang w:val="ar-SA"/>
        </w:rPr>
        <w:t>30</w:t>
      </w:r>
      <w:r w:rsidR="00AB68FF" w:rsidRPr="00734723">
        <w:rPr>
          <w:rFonts w:eastAsia="Arial" w:hint="eastAsia"/>
          <w:rtl/>
          <w:lang w:val="ar-SA"/>
        </w:rPr>
        <w:t> </w:t>
      </w:r>
      <w:r w:rsidR="00AB68FF" w:rsidRPr="00734723">
        <w:rPr>
          <w:rFonts w:eastAsia="Arial" w:hint="cs"/>
          <w:rtl/>
          <w:lang w:val="ar-SA"/>
        </w:rPr>
        <w:t xml:space="preserve">مايو </w:t>
      </w:r>
      <w:r w:rsidR="00734723" w:rsidRPr="00734723">
        <w:rPr>
          <w:rFonts w:eastAsia="Arial" w:hint="cs"/>
          <w:rtl/>
          <w:lang w:val="ar-SA"/>
        </w:rPr>
        <w:t>2015</w:t>
      </w:r>
      <w:r w:rsidR="00AB68FF" w:rsidRPr="00734723">
        <w:rPr>
          <w:rFonts w:eastAsia="Arial" w:hint="cs"/>
          <w:rtl/>
          <w:lang w:val="ar-SA"/>
        </w:rPr>
        <w:t xml:space="preserve"> فيما يخص الترجمة التي قامت بها المكاتب الوطنية التي وقع عليها في الأصل الاختيار أو </w:t>
      </w:r>
      <w:r w:rsidR="002516C8" w:rsidRPr="00734723">
        <w:rPr>
          <w:rFonts w:eastAsia="Arial" w:hint="cs"/>
          <w:rtl/>
          <w:lang w:val="ar-SA"/>
        </w:rPr>
        <w:t xml:space="preserve">تلك </w:t>
      </w:r>
      <w:r w:rsidR="00AB68FF" w:rsidRPr="00734723">
        <w:rPr>
          <w:rFonts w:eastAsia="Arial" w:hint="cs"/>
          <w:rtl/>
          <w:lang w:val="ar-SA"/>
        </w:rPr>
        <w:t>التي طلبت الحصول على الدعم المالي. ويبيّن الجدول</w:t>
      </w:r>
      <w:r w:rsidR="002516C8" w:rsidRPr="00734723">
        <w:rPr>
          <w:rFonts w:eastAsia="Arial" w:hint="cs"/>
          <w:rtl/>
          <w:lang w:val="ar-SA"/>
        </w:rPr>
        <w:t>،</w:t>
      </w:r>
      <w:r w:rsidR="00AB68FF" w:rsidRPr="00734723">
        <w:rPr>
          <w:rFonts w:eastAsia="Arial" w:hint="cs"/>
          <w:rtl/>
          <w:lang w:val="ar-SA"/>
        </w:rPr>
        <w:t xml:space="preserve"> على وجه الخصوص</w:t>
      </w:r>
      <w:r w:rsidR="002516C8" w:rsidRPr="00734723">
        <w:rPr>
          <w:rFonts w:eastAsia="Arial" w:hint="cs"/>
          <w:rtl/>
          <w:lang w:val="ar-SA"/>
        </w:rPr>
        <w:t>،</w:t>
      </w:r>
      <w:r w:rsidR="00AB68FF" w:rsidRPr="00734723">
        <w:rPr>
          <w:rFonts w:eastAsia="Arial" w:hint="cs"/>
          <w:rtl/>
          <w:lang w:val="ar-SA"/>
        </w:rPr>
        <w:t xml:space="preserve"> (تحت باب "الرصيد</w:t>
      </w:r>
      <w:r w:rsidR="00734723" w:rsidRPr="00734723">
        <w:rPr>
          <w:rFonts w:eastAsia="Arial" w:hint="cs"/>
          <w:rtl/>
          <w:lang w:val="ar-SA"/>
        </w:rPr>
        <w:t xml:space="preserve"> المرحل إلى 2015</w:t>
      </w:r>
      <w:r w:rsidR="00AB68FF" w:rsidRPr="00734723">
        <w:rPr>
          <w:rFonts w:eastAsia="Arial" w:hint="cs"/>
          <w:rtl/>
          <w:lang w:val="ar-SA"/>
        </w:rPr>
        <w:t>") الموارد التي لا تزال متاحة لكل مكتب مشارك لمواصلة ترجمة قاعدة البيانات.</w:t>
      </w:r>
    </w:p>
    <w:p w:rsidR="000865AF" w:rsidRPr="00734723" w:rsidRDefault="0072364E" w:rsidP="00734723">
      <w:pPr>
        <w:pStyle w:val="NumberedParaAR"/>
        <w:rPr>
          <w:lang w:bidi="ar-AE"/>
        </w:rPr>
      </w:pPr>
      <w:r w:rsidRPr="00734723">
        <w:rPr>
          <w:rFonts w:hint="cs"/>
          <w:rtl/>
          <w:lang w:bidi="ar-AE"/>
        </w:rPr>
        <w:t xml:space="preserve">واعتبارًا من مايو </w:t>
      </w:r>
      <w:r w:rsidR="00734723" w:rsidRPr="00734723">
        <w:rPr>
          <w:rFonts w:hint="cs"/>
          <w:rtl/>
          <w:lang w:bidi="ar-AE"/>
        </w:rPr>
        <w:t>2015</w:t>
      </w:r>
      <w:r w:rsidRPr="00734723">
        <w:rPr>
          <w:rFonts w:hint="cs"/>
          <w:rtl/>
          <w:lang w:bidi="ar-AE"/>
        </w:rPr>
        <w:t xml:space="preserve">، ظل مبلغ إجمالي قدره </w:t>
      </w:r>
      <w:r w:rsidR="00734723" w:rsidRPr="00734723">
        <w:rPr>
          <w:rtl/>
          <w:lang w:bidi="ar-AE"/>
        </w:rPr>
        <w:t xml:space="preserve">107,763 </w:t>
      </w:r>
      <w:r w:rsidRPr="00734723">
        <w:rPr>
          <w:rFonts w:hint="cs"/>
          <w:rtl/>
          <w:lang w:bidi="ar-AE"/>
        </w:rPr>
        <w:t>فرنك</w:t>
      </w:r>
      <w:r w:rsidR="00734723" w:rsidRPr="00734723">
        <w:rPr>
          <w:rFonts w:hint="cs"/>
          <w:rtl/>
          <w:lang w:bidi="ar-AE"/>
        </w:rPr>
        <w:t>ا</w:t>
      </w:r>
      <w:r w:rsidRPr="00734723">
        <w:rPr>
          <w:rFonts w:hint="cs"/>
          <w:rtl/>
          <w:lang w:bidi="ar-AE"/>
        </w:rPr>
        <w:t xml:space="preserve"> سويسري</w:t>
      </w:r>
      <w:r w:rsidR="00734723" w:rsidRPr="00734723">
        <w:rPr>
          <w:rFonts w:hint="cs"/>
          <w:rtl/>
          <w:lang w:bidi="ar-AE"/>
        </w:rPr>
        <w:t>ا</w:t>
      </w:r>
      <w:r w:rsidRPr="00734723">
        <w:rPr>
          <w:rFonts w:hint="cs"/>
          <w:rtl/>
          <w:lang w:bidi="ar-AE"/>
        </w:rPr>
        <w:t xml:space="preserve"> متاحًا لتمويل </w:t>
      </w:r>
      <w:r w:rsidR="002516C8" w:rsidRPr="00734723">
        <w:rPr>
          <w:rFonts w:hint="cs"/>
          <w:rtl/>
          <w:lang w:bidi="ar-AE"/>
        </w:rPr>
        <w:t>ترجمة قاعدة بيانات السل</w:t>
      </w:r>
      <w:r w:rsidRPr="00734723">
        <w:rPr>
          <w:rFonts w:hint="cs"/>
          <w:rtl/>
          <w:lang w:bidi="ar-AE"/>
        </w:rPr>
        <w:t>ع والخدمات إلى اللغات السبع التي وُقِّع بشأنها مذكرة تفاهم بين الويبو و</w:t>
      </w:r>
      <w:r w:rsidR="00271DB5" w:rsidRPr="00734723">
        <w:rPr>
          <w:rFonts w:hint="cs"/>
          <w:rtl/>
          <w:lang w:bidi="ar-AE"/>
        </w:rPr>
        <w:t>المكتب الوطني المعني.</w:t>
      </w:r>
    </w:p>
    <w:p w:rsidR="00271DB5" w:rsidRPr="00734723" w:rsidRDefault="00271DB5" w:rsidP="00A56F39">
      <w:pPr>
        <w:pStyle w:val="DecisionParaAR"/>
        <w:rPr>
          <w:rFonts w:eastAsia="Arial"/>
        </w:rPr>
      </w:pPr>
      <w:r w:rsidRPr="00734723">
        <w:rPr>
          <w:rFonts w:eastAsia="Arial" w:hint="cs"/>
          <w:rtl/>
        </w:rPr>
        <w:t xml:space="preserve">إن </w:t>
      </w:r>
      <w:r w:rsidRPr="00734723">
        <w:rPr>
          <w:rFonts w:eastAsia="Arial"/>
          <w:rtl/>
        </w:rPr>
        <w:t>الجمعية مدعوة إلى</w:t>
      </w:r>
      <w:r w:rsidRPr="00734723">
        <w:rPr>
          <w:rFonts w:eastAsia="Arial" w:hint="cs"/>
          <w:rtl/>
        </w:rPr>
        <w:t xml:space="preserve"> ما يلي</w:t>
      </w:r>
      <w:r w:rsidRPr="00734723">
        <w:rPr>
          <w:rFonts w:eastAsia="Arial"/>
          <w:rtl/>
        </w:rPr>
        <w:t>:</w:t>
      </w:r>
    </w:p>
    <w:p w:rsidR="00271DB5" w:rsidRPr="00734723" w:rsidRDefault="00A56F39" w:rsidP="00734723">
      <w:pPr>
        <w:pStyle w:val="DecisionParaAR"/>
        <w:numPr>
          <w:ilvl w:val="0"/>
          <w:numId w:val="0"/>
        </w:numPr>
        <w:ind w:left="6236"/>
        <w:rPr>
          <w:rFonts w:eastAsia="Arial"/>
        </w:rPr>
      </w:pPr>
      <w:r w:rsidRPr="00734723">
        <w:rPr>
          <w:rFonts w:eastAsia="Arial" w:hint="cs"/>
          <w:rtl/>
        </w:rPr>
        <w:t>"1"</w:t>
      </w:r>
      <w:r w:rsidRPr="00734723">
        <w:rPr>
          <w:rFonts w:eastAsia="Arial" w:hint="cs"/>
          <w:rtl/>
        </w:rPr>
        <w:tab/>
      </w:r>
      <w:r w:rsidR="00271DB5" w:rsidRPr="00734723">
        <w:rPr>
          <w:rFonts w:eastAsia="Arial" w:hint="cs"/>
          <w:rtl/>
        </w:rPr>
        <w:t>الإحاطة علمًا</w:t>
      </w:r>
      <w:r w:rsidR="00734723" w:rsidRPr="00734723">
        <w:rPr>
          <w:rtl/>
        </w:rPr>
        <w:t xml:space="preserve"> </w:t>
      </w:r>
      <w:r w:rsidR="00734723" w:rsidRPr="00734723">
        <w:rPr>
          <w:rFonts w:hint="cs"/>
          <w:rtl/>
        </w:rPr>
        <w:t>بال</w:t>
      </w:r>
      <w:r w:rsidR="00734723" w:rsidRPr="00734723">
        <w:rPr>
          <w:rFonts w:eastAsia="Arial"/>
          <w:rtl/>
        </w:rPr>
        <w:t xml:space="preserve">تقرير </w:t>
      </w:r>
      <w:r w:rsidR="00734723" w:rsidRPr="00734723">
        <w:rPr>
          <w:rFonts w:eastAsia="Arial" w:hint="cs"/>
          <w:rtl/>
        </w:rPr>
        <w:t>ال</w:t>
      </w:r>
      <w:r w:rsidR="00734723" w:rsidRPr="00734723">
        <w:rPr>
          <w:rFonts w:eastAsia="Arial"/>
          <w:rtl/>
        </w:rPr>
        <w:t>مرحلي عن قاعدة بيانات نظام مدريد بشأن السلع والخدمات</w:t>
      </w:r>
      <w:r w:rsidR="00271DB5" w:rsidRPr="00734723">
        <w:rPr>
          <w:rFonts w:eastAsia="Arial" w:hint="cs"/>
          <w:rtl/>
        </w:rPr>
        <w:t xml:space="preserve"> </w:t>
      </w:r>
      <w:r w:rsidRPr="00734723">
        <w:rPr>
          <w:rFonts w:eastAsia="Arial" w:hint="cs"/>
          <w:rtl/>
        </w:rPr>
        <w:t>(</w:t>
      </w:r>
      <w:r w:rsidR="00271DB5" w:rsidRPr="00734723">
        <w:rPr>
          <w:rFonts w:eastAsia="Arial" w:hint="cs"/>
          <w:rtl/>
        </w:rPr>
        <w:t xml:space="preserve">الوثيقة </w:t>
      </w:r>
      <w:r w:rsidR="00271DB5" w:rsidRPr="00734723">
        <w:rPr>
          <w:rFonts w:eastAsia="Arial"/>
        </w:rPr>
        <w:t>M</w:t>
      </w:r>
      <w:r w:rsidRPr="00734723">
        <w:rPr>
          <w:rFonts w:eastAsia="Arial"/>
        </w:rPr>
        <w:t>M</w:t>
      </w:r>
      <w:r w:rsidR="00271DB5" w:rsidRPr="00734723">
        <w:rPr>
          <w:rFonts w:eastAsia="Arial"/>
        </w:rPr>
        <w:t>/A/</w:t>
      </w:r>
      <w:r w:rsidR="00734723" w:rsidRPr="00734723">
        <w:rPr>
          <w:rFonts w:eastAsia="Arial"/>
        </w:rPr>
        <w:t>49</w:t>
      </w:r>
      <w:r w:rsidR="00271DB5" w:rsidRPr="00734723">
        <w:rPr>
          <w:rFonts w:eastAsia="Arial"/>
        </w:rPr>
        <w:t>/2</w:t>
      </w:r>
      <w:r w:rsidRPr="00734723">
        <w:rPr>
          <w:rFonts w:eastAsia="Arial" w:hint="cs"/>
          <w:rtl/>
          <w:lang w:val="fr-CH"/>
        </w:rPr>
        <w:t>)</w:t>
      </w:r>
      <w:r w:rsidR="00271DB5" w:rsidRPr="00734723">
        <w:rPr>
          <w:rFonts w:eastAsia="Arial" w:hint="cs"/>
          <w:rtl/>
          <w:lang w:bidi="ar-AE"/>
        </w:rPr>
        <w:t>، بما</w:t>
      </w:r>
      <w:r w:rsidRPr="00734723">
        <w:rPr>
          <w:rFonts w:eastAsia="Arial" w:hint="eastAsia"/>
          <w:rtl/>
          <w:lang w:bidi="ar-AE"/>
        </w:rPr>
        <w:t> </w:t>
      </w:r>
      <w:r w:rsidR="00271DB5" w:rsidRPr="00734723">
        <w:rPr>
          <w:rFonts w:eastAsia="Arial" w:hint="cs"/>
          <w:rtl/>
          <w:lang w:bidi="ar-AE"/>
        </w:rPr>
        <w:t xml:space="preserve">في ذلك الفقرة </w:t>
      </w:r>
      <w:r w:rsidR="00734723" w:rsidRPr="00734723">
        <w:rPr>
          <w:rFonts w:eastAsia="Arial" w:hint="cs"/>
          <w:rtl/>
          <w:lang w:bidi="ar-AE"/>
        </w:rPr>
        <w:t>27</w:t>
      </w:r>
      <w:r w:rsidR="00271DB5" w:rsidRPr="00734723">
        <w:rPr>
          <w:rFonts w:eastAsia="Arial" w:hint="cs"/>
          <w:rtl/>
          <w:lang w:bidi="ar-AE"/>
        </w:rPr>
        <w:t xml:space="preserve"> المتعلقة بأموال المشروع المتبقية.</w:t>
      </w:r>
    </w:p>
    <w:p w:rsidR="000438DD" w:rsidRPr="00734723" w:rsidRDefault="00A56F39" w:rsidP="00734723">
      <w:pPr>
        <w:pStyle w:val="DecisionParaAR"/>
        <w:numPr>
          <w:ilvl w:val="0"/>
          <w:numId w:val="0"/>
        </w:numPr>
        <w:ind w:left="6236"/>
        <w:rPr>
          <w:rFonts w:eastAsia="Arial"/>
        </w:rPr>
      </w:pPr>
      <w:r w:rsidRPr="00734723">
        <w:rPr>
          <w:rFonts w:eastAsia="Arial" w:hint="cs"/>
          <w:rtl/>
          <w:lang w:val="ar-SA"/>
        </w:rPr>
        <w:t>"2"</w:t>
      </w:r>
      <w:r w:rsidRPr="00734723">
        <w:rPr>
          <w:rFonts w:eastAsia="Arial" w:hint="cs"/>
          <w:rtl/>
          <w:lang w:val="ar-SA"/>
        </w:rPr>
        <w:tab/>
        <w:t xml:space="preserve">والالتماس من </w:t>
      </w:r>
      <w:r w:rsidR="00271DB5" w:rsidRPr="00734723">
        <w:rPr>
          <w:rFonts w:eastAsia="Arial"/>
          <w:rtl/>
          <w:lang w:val="ar-SA"/>
        </w:rPr>
        <w:t xml:space="preserve">المكتب الدولي للويبو </w:t>
      </w:r>
      <w:r w:rsidRPr="00734723">
        <w:rPr>
          <w:rFonts w:eastAsia="Arial" w:hint="cs"/>
          <w:rtl/>
          <w:lang w:val="ar-SA"/>
        </w:rPr>
        <w:t xml:space="preserve">أن يقدّم </w:t>
      </w:r>
      <w:r w:rsidR="00271DB5" w:rsidRPr="00734723">
        <w:rPr>
          <w:rFonts w:eastAsia="Arial"/>
          <w:rtl/>
          <w:lang w:val="ar-SA"/>
        </w:rPr>
        <w:t>تقرير</w:t>
      </w:r>
      <w:r w:rsidRPr="00734723">
        <w:rPr>
          <w:rFonts w:eastAsia="Arial" w:hint="cs"/>
          <w:rtl/>
          <w:lang w:val="ar-SA"/>
        </w:rPr>
        <w:t>ا</w:t>
      </w:r>
      <w:r w:rsidR="00734723" w:rsidRPr="00734723">
        <w:rPr>
          <w:rFonts w:eastAsia="Arial" w:hint="cs"/>
          <w:rtl/>
          <w:lang w:val="ar-SA"/>
        </w:rPr>
        <w:t xml:space="preserve"> مرحليا جديدا</w:t>
      </w:r>
      <w:r w:rsidR="00271DB5" w:rsidRPr="00734723">
        <w:rPr>
          <w:rFonts w:eastAsia="Arial"/>
          <w:rtl/>
          <w:lang w:val="ar-SA"/>
        </w:rPr>
        <w:t xml:space="preserve"> إلى الجمعية في عام </w:t>
      </w:r>
      <w:r w:rsidR="00734723" w:rsidRPr="00734723">
        <w:rPr>
          <w:rFonts w:eastAsia="Arial" w:hint="cs"/>
          <w:rtl/>
          <w:lang w:val="ar-SA"/>
        </w:rPr>
        <w:t>2016</w:t>
      </w:r>
      <w:r w:rsidR="00271DB5" w:rsidRPr="00734723">
        <w:rPr>
          <w:rFonts w:eastAsia="Arial"/>
          <w:rtl/>
          <w:lang w:val="ar-SA"/>
        </w:rPr>
        <w:t xml:space="preserve"> </w:t>
      </w:r>
      <w:r w:rsidR="005142B9" w:rsidRPr="00734723">
        <w:rPr>
          <w:rFonts w:eastAsia="Arial" w:hint="cs"/>
          <w:rtl/>
          <w:lang w:val="ar-SA"/>
        </w:rPr>
        <w:t xml:space="preserve">بشأن </w:t>
      </w:r>
      <w:r w:rsidR="005142B9" w:rsidRPr="00734723">
        <w:rPr>
          <w:rFonts w:eastAsia="Arial"/>
          <w:rtl/>
          <w:lang w:val="ar-SA"/>
        </w:rPr>
        <w:t xml:space="preserve">التقدم المحرز في تنفيذ قاعدة بيانات نظام مدريد بشأن السلع </w:t>
      </w:r>
      <w:r w:rsidR="005142B9" w:rsidRPr="00734723">
        <w:rPr>
          <w:rFonts w:eastAsia="Arial"/>
          <w:rtl/>
        </w:rPr>
        <w:t>والخدمات</w:t>
      </w:r>
      <w:r w:rsidR="005142B9" w:rsidRPr="00734723">
        <w:rPr>
          <w:rFonts w:eastAsia="Arial" w:hint="cs"/>
          <w:rtl/>
          <w:lang w:val="ar-SA"/>
        </w:rPr>
        <w:t>، بما</w:t>
      </w:r>
      <w:r w:rsidRPr="00734723">
        <w:rPr>
          <w:rFonts w:eastAsia="Arial" w:hint="eastAsia"/>
          <w:rtl/>
          <w:lang w:val="ar-SA"/>
        </w:rPr>
        <w:t> </w:t>
      </w:r>
      <w:r w:rsidR="005142B9" w:rsidRPr="00734723">
        <w:rPr>
          <w:rFonts w:eastAsia="Arial" w:hint="cs"/>
          <w:rtl/>
          <w:lang w:val="ar-SA"/>
        </w:rPr>
        <w:t xml:space="preserve">في ذلك </w:t>
      </w:r>
      <w:r w:rsidR="005142B9" w:rsidRPr="00734723">
        <w:rPr>
          <w:rFonts w:eastAsia="Arial"/>
          <w:rtl/>
          <w:lang w:val="ar-SA"/>
        </w:rPr>
        <w:t xml:space="preserve">استخدام </w:t>
      </w:r>
      <w:r w:rsidR="005142B9" w:rsidRPr="00734723">
        <w:rPr>
          <w:rFonts w:eastAsia="Arial" w:hint="cs"/>
          <w:rtl/>
          <w:lang w:val="ar-SA"/>
        </w:rPr>
        <w:t>أموال</w:t>
      </w:r>
      <w:r w:rsidRPr="00734723">
        <w:rPr>
          <w:rFonts w:eastAsia="Arial" w:hint="eastAsia"/>
          <w:rtl/>
          <w:lang w:val="ar-SA"/>
        </w:rPr>
        <w:t> </w:t>
      </w:r>
      <w:r w:rsidR="005142B9" w:rsidRPr="00734723">
        <w:rPr>
          <w:rFonts w:eastAsia="Arial" w:hint="cs"/>
          <w:rtl/>
          <w:lang w:val="ar-SA"/>
        </w:rPr>
        <w:t>المشروع</w:t>
      </w:r>
      <w:r w:rsidRPr="00734723">
        <w:rPr>
          <w:rFonts w:eastAsia="Arial" w:hint="cs"/>
          <w:rtl/>
          <w:lang w:val="ar-SA"/>
        </w:rPr>
        <w:t xml:space="preserve"> المتبقية</w:t>
      </w:r>
      <w:r w:rsidR="005142B9" w:rsidRPr="00734723">
        <w:rPr>
          <w:rFonts w:eastAsia="Arial" w:hint="cs"/>
          <w:rtl/>
          <w:lang w:val="ar-SA"/>
        </w:rPr>
        <w:t>.</w:t>
      </w:r>
    </w:p>
    <w:p w:rsidR="00A56F39" w:rsidRPr="00A56F39" w:rsidRDefault="00B771EF" w:rsidP="006B31BE">
      <w:pPr>
        <w:pStyle w:val="EndofDocumentAR"/>
        <w:rPr>
          <w:rFonts w:eastAsia="Arial"/>
          <w:rtl/>
          <w:lang w:val="ar-SA"/>
        </w:rPr>
      </w:pPr>
      <w:r w:rsidRPr="00734723">
        <w:rPr>
          <w:rFonts w:eastAsia="Arial"/>
          <w:rtl/>
          <w:lang w:val="ar-SA"/>
        </w:rPr>
        <w:t>[</w:t>
      </w:r>
      <w:r w:rsidR="00A56F39" w:rsidRPr="00734723">
        <w:rPr>
          <w:rFonts w:eastAsia="Arial" w:hint="cs"/>
          <w:rtl/>
          <w:lang w:val="ar-SA"/>
        </w:rPr>
        <w:t>ت</w:t>
      </w:r>
      <w:r w:rsidRPr="00734723">
        <w:rPr>
          <w:rFonts w:eastAsia="Arial"/>
          <w:rtl/>
          <w:lang w:val="ar-SA"/>
        </w:rPr>
        <w:t>لي ذلك المرفقات</w:t>
      </w:r>
      <w:r w:rsidR="00336150" w:rsidRPr="00734723">
        <w:rPr>
          <w:rFonts w:eastAsia="Arial" w:hint="cs"/>
          <w:rtl/>
          <w:lang w:val="ar-SA"/>
        </w:rPr>
        <w:t>]</w:t>
      </w:r>
    </w:p>
    <w:p w:rsidR="00A56F39" w:rsidRPr="00A56F39" w:rsidRDefault="00A56F39" w:rsidP="00A56F39">
      <w:pPr>
        <w:pStyle w:val="NormalParaAR"/>
        <w:rPr>
          <w:rFonts w:eastAsia="Arial"/>
          <w:rtl/>
          <w:lang w:val="ar-SA"/>
        </w:rPr>
        <w:sectPr w:rsidR="00A56F39" w:rsidRPr="00A56F39" w:rsidSect="006B31BE">
          <w:headerReference w:type="default" r:id="rId10"/>
          <w:pgSz w:w="11907" w:h="16840" w:code="9"/>
          <w:pgMar w:top="567" w:right="1418" w:bottom="993" w:left="1134" w:header="510" w:footer="1021" w:gutter="0"/>
          <w:cols w:space="720"/>
          <w:titlePg/>
          <w:docGrid w:linePitch="299"/>
        </w:sectPr>
      </w:pPr>
    </w:p>
    <w:p w:rsidR="00DE548B" w:rsidRDefault="00DE548B" w:rsidP="004409B9">
      <w:pPr>
        <w:pStyle w:val="NormalParaAR"/>
        <w:keepNext/>
        <w:spacing w:after="0" w:line="240" w:lineRule="auto"/>
        <w:jc w:val="center"/>
        <w:rPr>
          <w:rFonts w:hint="cs"/>
          <w:b/>
          <w:bCs/>
          <w:sz w:val="40"/>
          <w:szCs w:val="40"/>
          <w:rtl/>
        </w:rPr>
      </w:pPr>
      <w:r>
        <w:rPr>
          <w:rFonts w:hint="cs"/>
          <w:b/>
          <w:bCs/>
          <w:sz w:val="40"/>
          <w:szCs w:val="40"/>
          <w:rtl/>
        </w:rPr>
        <w:t xml:space="preserve">قاعدة بيانات </w:t>
      </w:r>
      <w:r w:rsidR="004409B9">
        <w:rPr>
          <w:rFonts w:hint="cs"/>
          <w:b/>
          <w:bCs/>
          <w:sz w:val="40"/>
          <w:szCs w:val="40"/>
          <w:rtl/>
        </w:rPr>
        <w:t>ا</w:t>
      </w:r>
      <w:r>
        <w:rPr>
          <w:rFonts w:hint="cs"/>
          <w:b/>
          <w:bCs/>
          <w:sz w:val="40"/>
          <w:szCs w:val="40"/>
          <w:rtl/>
        </w:rPr>
        <w:t>لسلع والخدمات</w:t>
      </w:r>
    </w:p>
    <w:p w:rsidR="004409B9" w:rsidRDefault="004409B9" w:rsidP="004409B9">
      <w:pPr>
        <w:pStyle w:val="NormalParaAR"/>
        <w:keepNext/>
        <w:spacing w:line="240" w:lineRule="auto"/>
        <w:jc w:val="center"/>
        <w:rPr>
          <w:b/>
          <w:bCs/>
          <w:sz w:val="40"/>
          <w:szCs w:val="40"/>
          <w:rtl/>
        </w:rPr>
      </w:pPr>
      <w:r>
        <w:rPr>
          <w:rFonts w:hint="cs"/>
          <w:b/>
          <w:bCs/>
          <w:sz w:val="40"/>
          <w:szCs w:val="40"/>
          <w:rtl/>
        </w:rPr>
        <w:t>عدد المصطلحات التي قبلها المكتب الدولي</w:t>
      </w:r>
    </w:p>
    <w:p w:rsidR="00DE548B" w:rsidRPr="007A252D" w:rsidRDefault="004409B9" w:rsidP="007A252D">
      <w:pPr>
        <w:pStyle w:val="NormalParaAR"/>
        <w:spacing w:line="240" w:lineRule="auto"/>
        <w:jc w:val="center"/>
        <w:rPr>
          <w:b/>
          <w:bCs/>
          <w:sz w:val="40"/>
          <w:szCs w:val="40"/>
          <w:rtl/>
        </w:rPr>
      </w:pPr>
      <w:r w:rsidRPr="004409B9">
        <w:rPr>
          <w:rtl/>
        </w:rPr>
        <w:drawing>
          <wp:inline distT="0" distB="0" distL="0" distR="0">
            <wp:extent cx="5384165" cy="7007860"/>
            <wp:effectExtent l="0" t="0" r="6985" b="254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4165" cy="700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17FC" w:rsidRPr="004417FC" w:rsidRDefault="004417FC" w:rsidP="004417FC">
      <w:pPr>
        <w:rPr>
          <w:rtl/>
        </w:rPr>
      </w:pPr>
    </w:p>
    <w:p w:rsidR="004417FC" w:rsidRPr="004417FC" w:rsidRDefault="004417FC" w:rsidP="00DE548B">
      <w:pPr>
        <w:pStyle w:val="EndofDocumentAR"/>
        <w:rPr>
          <w:rFonts w:eastAsia="Arial"/>
          <w:rtl/>
          <w:lang w:val="ar-SA"/>
        </w:rPr>
      </w:pPr>
      <w:r w:rsidRPr="00543BFA">
        <w:rPr>
          <w:rFonts w:eastAsia="Arial"/>
          <w:rtl/>
          <w:lang w:val="ar-SA"/>
        </w:rPr>
        <w:t xml:space="preserve">[يلي ذلك </w:t>
      </w:r>
      <w:r>
        <w:rPr>
          <w:rFonts w:eastAsia="Arial" w:hint="cs"/>
          <w:rtl/>
          <w:lang w:val="ar-SA"/>
        </w:rPr>
        <w:t>المرفق الثاني</w:t>
      </w:r>
      <w:r w:rsidRPr="00543BFA">
        <w:rPr>
          <w:rFonts w:eastAsia="Arial"/>
          <w:rtl/>
          <w:lang w:val="ar-SA"/>
        </w:rPr>
        <w:t>]</w:t>
      </w:r>
    </w:p>
    <w:p w:rsidR="004417FC" w:rsidRDefault="004417FC" w:rsidP="004417FC">
      <w:pPr>
        <w:tabs>
          <w:tab w:val="left" w:pos="2400"/>
        </w:tabs>
        <w:rPr>
          <w:rtl/>
        </w:rPr>
      </w:pPr>
    </w:p>
    <w:p w:rsidR="004417FC" w:rsidRDefault="004417FC" w:rsidP="004417FC">
      <w:pPr>
        <w:rPr>
          <w:rtl/>
        </w:rPr>
      </w:pPr>
    </w:p>
    <w:p w:rsidR="004417FC" w:rsidRPr="004417FC" w:rsidRDefault="004417FC" w:rsidP="004417FC">
      <w:pPr>
        <w:rPr>
          <w:rtl/>
        </w:rPr>
        <w:sectPr w:rsidR="004417FC" w:rsidRPr="004417FC" w:rsidSect="004417FC">
          <w:headerReference w:type="first" r:id="rId12"/>
          <w:pgSz w:w="11907" w:h="16840" w:code="9"/>
          <w:pgMar w:top="567" w:right="1418" w:bottom="1418" w:left="1134" w:header="510" w:footer="1021" w:gutter="0"/>
          <w:cols w:space="720"/>
          <w:titlePg/>
          <w:docGrid w:linePitch="299"/>
        </w:sectPr>
      </w:pPr>
    </w:p>
    <w:p w:rsidR="004417FC" w:rsidRDefault="00617880" w:rsidP="004E6E6A">
      <w:pPr>
        <w:bidi/>
        <w:jc w:val="center"/>
        <w:rPr>
          <w:rFonts w:ascii="Arabic Typesetting" w:hAnsi="Arabic Typesetting" w:cs="Arabic Typesetting"/>
          <w:sz w:val="36"/>
          <w:szCs w:val="36"/>
          <w:rtl/>
        </w:rPr>
      </w:pPr>
      <w:r w:rsidRPr="00617880">
        <w:rPr>
          <w:szCs w:val="22"/>
          <w:rtl/>
        </w:rPr>
        <w:drawing>
          <wp:inline distT="0" distB="0" distL="0" distR="0" wp14:anchorId="0AB74FFC" wp14:editId="358421EE">
            <wp:extent cx="8037651" cy="5023262"/>
            <wp:effectExtent l="0" t="0" r="0" b="4128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049679" cy="5030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17FC" w:rsidRDefault="007A252D" w:rsidP="007A252D">
      <w:pPr>
        <w:pStyle w:val="EndofDocumentAR"/>
        <w:rPr>
          <w:rFonts w:eastAsia="Arial"/>
        </w:rPr>
      </w:pPr>
      <w:r w:rsidRPr="00543BFA">
        <w:rPr>
          <w:rFonts w:eastAsia="Arial"/>
          <w:rtl/>
          <w:lang w:val="ar-SA"/>
        </w:rPr>
        <w:t xml:space="preserve">[يلي ذلك </w:t>
      </w:r>
      <w:r>
        <w:rPr>
          <w:rFonts w:eastAsia="Arial" w:hint="cs"/>
          <w:rtl/>
          <w:lang w:val="ar-SA"/>
        </w:rPr>
        <w:t>المرفق الثالث</w:t>
      </w:r>
      <w:r w:rsidRPr="00543BFA">
        <w:rPr>
          <w:rFonts w:eastAsia="Arial"/>
          <w:rtl/>
          <w:lang w:val="ar-SA"/>
        </w:rPr>
        <w:t>]</w:t>
      </w:r>
    </w:p>
    <w:p w:rsidR="006F474E" w:rsidRPr="006F474E" w:rsidRDefault="006F474E" w:rsidP="006F474E">
      <w:pPr>
        <w:pStyle w:val="NormalParaAR"/>
        <w:rPr>
          <w:rtl/>
        </w:rPr>
      </w:pPr>
    </w:p>
    <w:p w:rsidR="006F474E" w:rsidRDefault="006F474E" w:rsidP="004417FC">
      <w:pPr>
        <w:pStyle w:val="EndofDocumentAR"/>
        <w:spacing w:line="240" w:lineRule="auto"/>
        <w:ind w:left="-29"/>
        <w:jc w:val="center"/>
        <w:rPr>
          <w:rFonts w:eastAsia="Arial"/>
          <w:rtl/>
          <w:lang w:val="ar-SA"/>
        </w:rPr>
        <w:sectPr w:rsidR="006F474E" w:rsidSect="00DE548B">
          <w:headerReference w:type="default" r:id="rId14"/>
          <w:headerReference w:type="first" r:id="rId15"/>
          <w:pgSz w:w="11907" w:h="16840" w:code="9"/>
          <w:pgMar w:top="567" w:right="1418" w:bottom="1418" w:left="1134" w:header="510" w:footer="1021" w:gutter="0"/>
          <w:cols w:space="720"/>
          <w:titlePg/>
          <w:docGrid w:linePitch="299"/>
        </w:sectPr>
      </w:pPr>
    </w:p>
    <w:p w:rsidR="007A252D" w:rsidRDefault="00560608" w:rsidP="00560608">
      <w:pPr>
        <w:pStyle w:val="NormalParaAR"/>
        <w:spacing w:line="240" w:lineRule="auto"/>
        <w:jc w:val="center"/>
        <w:rPr>
          <w:rFonts w:eastAsia="Arial"/>
        </w:rPr>
      </w:pPr>
      <w:r w:rsidRPr="00560608">
        <w:rPr>
          <w:rFonts w:eastAsia="Arial"/>
          <w:rtl/>
        </w:rPr>
        <w:drawing>
          <wp:inline distT="0" distB="0" distL="0" distR="0" wp14:anchorId="6967AD64" wp14:editId="4973CB31">
            <wp:extent cx="7966331" cy="4916384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975450" cy="4922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252D" w:rsidRPr="007A252D" w:rsidRDefault="007A252D" w:rsidP="006F474E">
      <w:pPr>
        <w:pStyle w:val="EndofDocumentAR"/>
        <w:rPr>
          <w:rFonts w:eastAsia="Arial"/>
          <w:rtl/>
          <w:lang w:val="ar-SA"/>
        </w:rPr>
      </w:pPr>
      <w:r w:rsidRPr="00543BFA">
        <w:rPr>
          <w:rFonts w:eastAsia="Arial"/>
          <w:rtl/>
          <w:lang w:val="ar-SA"/>
        </w:rPr>
        <w:t xml:space="preserve">[يلي ذلك </w:t>
      </w:r>
      <w:r>
        <w:rPr>
          <w:rFonts w:eastAsia="Arial" w:hint="cs"/>
          <w:rtl/>
          <w:lang w:val="ar-SA"/>
        </w:rPr>
        <w:t>المرفق الرابع</w:t>
      </w:r>
      <w:r w:rsidRPr="00543BFA">
        <w:rPr>
          <w:rFonts w:eastAsia="Arial"/>
          <w:rtl/>
          <w:lang w:val="ar-SA"/>
        </w:rPr>
        <w:t>]</w:t>
      </w:r>
    </w:p>
    <w:p w:rsidR="004417FC" w:rsidRDefault="004417FC" w:rsidP="007A252D">
      <w:pPr>
        <w:pStyle w:val="EndofDocumentAR"/>
        <w:spacing w:line="240" w:lineRule="auto"/>
        <w:ind w:left="-29"/>
        <w:jc w:val="center"/>
        <w:rPr>
          <w:rtl/>
        </w:rPr>
        <w:sectPr w:rsidR="004417FC" w:rsidSect="00DE548B">
          <w:headerReference w:type="first" r:id="rId17"/>
          <w:pgSz w:w="11907" w:h="16840" w:code="9"/>
          <w:pgMar w:top="567" w:right="1418" w:bottom="1418" w:left="1134" w:header="510" w:footer="1021" w:gutter="0"/>
          <w:cols w:space="720"/>
          <w:titlePg/>
          <w:docGrid w:linePitch="299"/>
        </w:sectPr>
      </w:pPr>
    </w:p>
    <w:p w:rsidR="007A252D" w:rsidRDefault="00EC18AB" w:rsidP="00EC18AB">
      <w:pPr>
        <w:pStyle w:val="NormalParaAR"/>
        <w:keepNext/>
        <w:spacing w:line="400" w:lineRule="exact"/>
        <w:jc w:val="center"/>
        <w:rPr>
          <w:rFonts w:hint="cs"/>
          <w:b/>
          <w:bCs/>
          <w:sz w:val="40"/>
          <w:szCs w:val="40"/>
          <w:rtl/>
        </w:rPr>
      </w:pPr>
      <w:r>
        <w:rPr>
          <w:rFonts w:hint="cs"/>
          <w:b/>
          <w:bCs/>
          <w:sz w:val="40"/>
          <w:szCs w:val="40"/>
          <w:rtl/>
        </w:rPr>
        <w:t xml:space="preserve">أمثلة </w:t>
      </w:r>
      <w:r w:rsidR="00D01605" w:rsidRPr="00D01605">
        <w:rPr>
          <w:rFonts w:hint="cs"/>
          <w:b/>
          <w:bCs/>
          <w:sz w:val="40"/>
          <w:szCs w:val="40"/>
          <w:rtl/>
        </w:rPr>
        <w:t>لمصطل</w:t>
      </w:r>
      <w:r w:rsidR="00D01605">
        <w:rPr>
          <w:rFonts w:hint="cs"/>
          <w:b/>
          <w:bCs/>
          <w:sz w:val="40"/>
          <w:szCs w:val="40"/>
          <w:rtl/>
        </w:rPr>
        <w:t>حات مرفوضة لأسباب مختلفة من قبل بعض الأطراف المتعاقدة الأكثر تعيينا</w:t>
      </w:r>
    </w:p>
    <w:p w:rsidR="00D01605" w:rsidRDefault="00D01605" w:rsidP="00D01605">
      <w:pPr>
        <w:pStyle w:val="NormalParaAR"/>
        <w:spacing w:after="0" w:line="240" w:lineRule="auto"/>
        <w:jc w:val="center"/>
        <w:rPr>
          <w:rFonts w:hint="cs"/>
          <w:sz w:val="40"/>
          <w:szCs w:val="40"/>
          <w:rtl/>
        </w:rPr>
      </w:pPr>
      <w:r>
        <w:rPr>
          <w:noProof/>
          <w:sz w:val="40"/>
          <w:szCs w:val="40"/>
        </w:rPr>
        <w:drawing>
          <wp:inline distT="0" distB="0" distL="0" distR="0" wp14:anchorId="53DFC694">
            <wp:extent cx="5942965" cy="2257425"/>
            <wp:effectExtent l="0" t="0" r="635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965" cy="2257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01605" w:rsidRDefault="00D01605" w:rsidP="00D01605">
      <w:pPr>
        <w:pStyle w:val="NormalParaAR"/>
        <w:spacing w:after="0" w:line="240" w:lineRule="auto"/>
        <w:jc w:val="center"/>
        <w:rPr>
          <w:rFonts w:hint="cs"/>
          <w:sz w:val="40"/>
          <w:szCs w:val="40"/>
          <w:rtl/>
        </w:rPr>
      </w:pPr>
      <w:r>
        <w:rPr>
          <w:noProof/>
          <w:sz w:val="40"/>
          <w:szCs w:val="40"/>
        </w:rPr>
        <w:drawing>
          <wp:inline distT="0" distB="0" distL="0" distR="0" wp14:anchorId="222B1FFC">
            <wp:extent cx="5952490" cy="226695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2490" cy="2266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01605" w:rsidRPr="00D01605" w:rsidRDefault="00D01605" w:rsidP="00D01605">
      <w:pPr>
        <w:pStyle w:val="NormalParaAR"/>
        <w:spacing w:after="0" w:line="240" w:lineRule="auto"/>
        <w:jc w:val="center"/>
        <w:rPr>
          <w:sz w:val="40"/>
          <w:szCs w:val="40"/>
          <w:rtl/>
        </w:rPr>
      </w:pPr>
      <w:r>
        <w:rPr>
          <w:noProof/>
          <w:sz w:val="40"/>
          <w:szCs w:val="40"/>
        </w:rPr>
        <w:drawing>
          <wp:inline distT="0" distB="0" distL="0" distR="0" wp14:anchorId="1084420D">
            <wp:extent cx="5952490" cy="200025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2490" cy="2000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F2342" w:rsidRDefault="007A252D" w:rsidP="009F2342">
      <w:pPr>
        <w:pStyle w:val="EndofDocumentAR"/>
        <w:spacing w:after="0"/>
        <w:rPr>
          <w:rFonts w:eastAsia="Arial"/>
          <w:rtl/>
          <w:lang w:val="ar-SA"/>
        </w:rPr>
        <w:sectPr w:rsidR="009F2342" w:rsidSect="00644C86">
          <w:headerReference w:type="default" r:id="rId21"/>
          <w:headerReference w:type="first" r:id="rId22"/>
          <w:pgSz w:w="11907" w:h="16840" w:code="9"/>
          <w:pgMar w:top="567" w:right="1418" w:bottom="907" w:left="1134" w:header="510" w:footer="1021" w:gutter="0"/>
          <w:cols w:space="720"/>
          <w:titlePg/>
          <w:docGrid w:linePitch="299"/>
        </w:sectPr>
      </w:pPr>
      <w:r w:rsidRPr="00543BFA">
        <w:rPr>
          <w:rFonts w:eastAsia="Arial"/>
          <w:rtl/>
          <w:lang w:val="ar-SA"/>
        </w:rPr>
        <w:t xml:space="preserve">[يلي ذلك </w:t>
      </w:r>
      <w:r>
        <w:rPr>
          <w:rFonts w:eastAsia="Arial" w:hint="cs"/>
          <w:rtl/>
          <w:lang w:val="ar-SA"/>
        </w:rPr>
        <w:t>المرفق الخامس</w:t>
      </w:r>
      <w:r w:rsidRPr="00543BFA">
        <w:rPr>
          <w:rFonts w:eastAsia="Arial"/>
          <w:rtl/>
          <w:lang w:val="ar-SA"/>
        </w:rPr>
        <w:t>]</w:t>
      </w:r>
    </w:p>
    <w:p w:rsidR="007A252D" w:rsidRDefault="000D7090" w:rsidP="00C84D1F">
      <w:pPr>
        <w:pStyle w:val="NormalParaAR"/>
        <w:spacing w:line="240" w:lineRule="auto"/>
        <w:jc w:val="center"/>
        <w:rPr>
          <w:rFonts w:eastAsia="Arial"/>
        </w:rPr>
      </w:pPr>
      <w:r w:rsidRPr="000D7090">
        <w:rPr>
          <w:rFonts w:eastAsia="Arial"/>
          <w:rtl/>
        </w:rPr>
        <w:drawing>
          <wp:inline distT="0" distB="0" distL="0" distR="0" wp14:anchorId="2976F144" wp14:editId="531282F0">
            <wp:extent cx="8098390" cy="4433977"/>
            <wp:effectExtent l="3493" t="0" r="1587" b="1588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103953" cy="4437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2342" w:rsidRPr="009F2342" w:rsidRDefault="009F2342" w:rsidP="009F2342">
      <w:pPr>
        <w:pStyle w:val="NormalParaAR"/>
        <w:rPr>
          <w:rtl/>
        </w:rPr>
      </w:pPr>
    </w:p>
    <w:p w:rsidR="00FC7671" w:rsidRPr="007A252D" w:rsidRDefault="009F2342" w:rsidP="009F2342">
      <w:pPr>
        <w:pStyle w:val="EndofDocumentAR"/>
        <w:rPr>
          <w:rtl/>
        </w:rPr>
      </w:pPr>
      <w:r>
        <w:rPr>
          <w:rFonts w:hint="cs"/>
          <w:rtl/>
        </w:rPr>
        <w:t>[</w:t>
      </w:r>
      <w:r w:rsidR="007A252D" w:rsidRPr="007A252D">
        <w:rPr>
          <w:rtl/>
        </w:rPr>
        <w:t>نهاية المرفق</w:t>
      </w:r>
      <w:r w:rsidR="007A252D">
        <w:rPr>
          <w:rFonts w:hint="cs"/>
          <w:rtl/>
        </w:rPr>
        <w:t xml:space="preserve"> الخامس</w:t>
      </w:r>
      <w:r w:rsidR="007A252D" w:rsidRPr="007A252D">
        <w:rPr>
          <w:rtl/>
        </w:rPr>
        <w:t xml:space="preserve"> والوثيقة</w:t>
      </w:r>
      <w:r>
        <w:rPr>
          <w:rFonts w:hint="cs"/>
          <w:rtl/>
        </w:rPr>
        <w:t>]</w:t>
      </w:r>
    </w:p>
    <w:sectPr w:rsidR="00FC7671" w:rsidRPr="007A252D" w:rsidSect="00FC7671">
      <w:headerReference w:type="first" r:id="rId24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4F69" w:rsidRDefault="00044F69">
      <w:r>
        <w:separator/>
      </w:r>
    </w:p>
  </w:endnote>
  <w:endnote w:type="continuationSeparator" w:id="0">
    <w:p w:rsidR="00044F69" w:rsidRDefault="00044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4F69" w:rsidRDefault="00044F69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044F69" w:rsidRDefault="00044F69" w:rsidP="009622BF">
      <w:pPr>
        <w:bidi/>
      </w:pPr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F99" w:rsidRDefault="009A4F99" w:rsidP="00E94EBB">
    <w:r>
      <w:t>MM/A/</w:t>
    </w:r>
    <w:r w:rsidR="00E94EBB">
      <w:t>49</w:t>
    </w:r>
    <w:r>
      <w:t>/2</w:t>
    </w:r>
  </w:p>
  <w:p w:rsidR="009A4F99" w:rsidRDefault="009A4F99" w:rsidP="009A4F99">
    <w:r>
      <w:fldChar w:fldCharType="begin"/>
    </w:r>
    <w:r>
      <w:instrText xml:space="preserve"> PAGE  \* MERGEFORMAT </w:instrText>
    </w:r>
    <w:r>
      <w:fldChar w:fldCharType="separate"/>
    </w:r>
    <w:r w:rsidR="00717849">
      <w:rPr>
        <w:noProof/>
      </w:rPr>
      <w:t>5</w:t>
    </w:r>
    <w:r>
      <w:fldChar w:fldCharType="end"/>
    </w:r>
  </w:p>
  <w:p w:rsidR="0029014C" w:rsidRPr="009A4F99" w:rsidRDefault="0029014C" w:rsidP="009A4F9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CA4" w:rsidRDefault="00241CA4" w:rsidP="008173C1">
    <w:pPr>
      <w:pStyle w:val="Header"/>
    </w:pPr>
    <w:r>
      <w:t>MM/A/</w:t>
    </w:r>
    <w:r w:rsidR="008173C1">
      <w:t>49</w:t>
    </w:r>
    <w:r>
      <w:t>/2</w:t>
    </w:r>
  </w:p>
  <w:p w:rsidR="00241CA4" w:rsidRDefault="00241CA4" w:rsidP="00241CA4">
    <w:pPr>
      <w:pStyle w:val="Header"/>
    </w:pPr>
    <w:r>
      <w:t>ANNEX I</w:t>
    </w:r>
  </w:p>
  <w:p w:rsidR="00241CA4" w:rsidRPr="00A65C37" w:rsidRDefault="00241CA4" w:rsidP="00241CA4">
    <w:pPr>
      <w:pStyle w:val="Header"/>
      <w:rPr>
        <w:rFonts w:ascii="Arabic Typesetting" w:hAnsi="Arabic Typesetting" w:cs="Arabic Typesetting"/>
        <w:sz w:val="36"/>
        <w:szCs w:val="36"/>
      </w:rPr>
    </w:pPr>
    <w:r w:rsidRPr="00A65C37">
      <w:rPr>
        <w:rFonts w:ascii="Arabic Typesetting" w:hAnsi="Arabic Typesetting" w:cs="Arabic Typesetting"/>
        <w:sz w:val="36"/>
        <w:szCs w:val="36"/>
        <w:rtl/>
      </w:rPr>
      <w:t xml:space="preserve">المرفق </w:t>
    </w:r>
    <w:r>
      <w:rPr>
        <w:rFonts w:ascii="Arabic Typesetting" w:hAnsi="Arabic Typesetting" w:cs="Arabic Typesetting" w:hint="cs"/>
        <w:sz w:val="36"/>
        <w:szCs w:val="36"/>
        <w:rtl/>
      </w:rPr>
      <w:t>الأول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CA4" w:rsidRDefault="00241CA4" w:rsidP="0029014C">
    <w:pPr>
      <w:pStyle w:val="Header"/>
    </w:pPr>
    <w:r>
      <w:t>MM/A/48/2</w:t>
    </w:r>
  </w:p>
  <w:p w:rsidR="00241CA4" w:rsidRDefault="00241CA4" w:rsidP="00241CA4">
    <w:pPr>
      <w:pStyle w:val="Header"/>
    </w:pPr>
    <w:r>
      <w:t>ANNEX III</w:t>
    </w:r>
  </w:p>
  <w:p w:rsidR="00241CA4" w:rsidRDefault="00241CA4" w:rsidP="00241CA4">
    <w:pPr>
      <w:pStyle w:val="Header"/>
    </w:pPr>
    <w:r w:rsidRPr="00A65C37">
      <w:rPr>
        <w:rFonts w:ascii="Arabic Typesetting" w:hAnsi="Arabic Typesetting" w:cs="Arabic Typesetting"/>
        <w:sz w:val="36"/>
        <w:szCs w:val="36"/>
        <w:rtl/>
      </w:rPr>
      <w:t xml:space="preserve">المرفق </w:t>
    </w:r>
    <w:r>
      <w:rPr>
        <w:rFonts w:ascii="Arabic Typesetting" w:hAnsi="Arabic Typesetting" w:cs="Arabic Typesetting" w:hint="cs"/>
        <w:sz w:val="36"/>
        <w:szCs w:val="36"/>
        <w:rtl/>
      </w:rPr>
      <w:t>الثالث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CA4" w:rsidRDefault="00241CA4" w:rsidP="008173C1">
    <w:pPr>
      <w:pStyle w:val="Header"/>
    </w:pPr>
    <w:r>
      <w:t>MM/A/</w:t>
    </w:r>
    <w:r w:rsidR="008173C1">
      <w:t>49</w:t>
    </w:r>
    <w:r>
      <w:t>/2</w:t>
    </w:r>
  </w:p>
  <w:p w:rsidR="00241CA4" w:rsidRDefault="00241CA4" w:rsidP="00241CA4">
    <w:pPr>
      <w:pStyle w:val="Header"/>
    </w:pPr>
    <w:r>
      <w:t>ANNEX II</w:t>
    </w:r>
  </w:p>
  <w:p w:rsidR="00241CA4" w:rsidRPr="00A65C37" w:rsidRDefault="00241CA4" w:rsidP="00241CA4">
    <w:pPr>
      <w:pStyle w:val="Header"/>
      <w:rPr>
        <w:rFonts w:ascii="Arabic Typesetting" w:hAnsi="Arabic Typesetting" w:cs="Arabic Typesetting"/>
        <w:sz w:val="36"/>
        <w:szCs w:val="36"/>
      </w:rPr>
    </w:pPr>
    <w:r w:rsidRPr="00A65C37">
      <w:rPr>
        <w:rFonts w:ascii="Arabic Typesetting" w:hAnsi="Arabic Typesetting" w:cs="Arabic Typesetting"/>
        <w:sz w:val="36"/>
        <w:szCs w:val="36"/>
        <w:rtl/>
      </w:rPr>
      <w:t xml:space="preserve">المرفق </w:t>
    </w:r>
    <w:r>
      <w:rPr>
        <w:rFonts w:ascii="Arabic Typesetting" w:hAnsi="Arabic Typesetting" w:cs="Arabic Typesetting" w:hint="cs"/>
        <w:sz w:val="36"/>
        <w:szCs w:val="36"/>
        <w:rtl/>
      </w:rPr>
      <w:t>الثاني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74E" w:rsidRDefault="006F474E" w:rsidP="008173C1">
    <w:pPr>
      <w:pStyle w:val="Header"/>
    </w:pPr>
    <w:r>
      <w:t>MM/A/</w:t>
    </w:r>
    <w:r w:rsidR="008173C1">
      <w:t>49</w:t>
    </w:r>
    <w:r>
      <w:t>/2</w:t>
    </w:r>
  </w:p>
  <w:p w:rsidR="006F474E" w:rsidRDefault="006F474E" w:rsidP="00241CA4">
    <w:pPr>
      <w:pStyle w:val="Header"/>
    </w:pPr>
    <w:r>
      <w:t>ANNEX III</w:t>
    </w:r>
  </w:p>
  <w:p w:rsidR="006F474E" w:rsidRPr="00A65C37" w:rsidRDefault="006F474E" w:rsidP="006F474E">
    <w:pPr>
      <w:pStyle w:val="Header"/>
      <w:rPr>
        <w:rFonts w:ascii="Arabic Typesetting" w:hAnsi="Arabic Typesetting" w:cs="Arabic Typesetting"/>
        <w:sz w:val="36"/>
        <w:szCs w:val="36"/>
      </w:rPr>
    </w:pPr>
    <w:r w:rsidRPr="00A65C37">
      <w:rPr>
        <w:rFonts w:ascii="Arabic Typesetting" w:hAnsi="Arabic Typesetting" w:cs="Arabic Typesetting"/>
        <w:sz w:val="36"/>
        <w:szCs w:val="36"/>
        <w:rtl/>
      </w:rPr>
      <w:t xml:space="preserve">المرفق </w:t>
    </w:r>
    <w:r>
      <w:rPr>
        <w:rFonts w:ascii="Arabic Typesetting" w:hAnsi="Arabic Typesetting" w:cs="Arabic Typesetting" w:hint="cs"/>
        <w:sz w:val="36"/>
        <w:szCs w:val="36"/>
        <w:rtl/>
      </w:rPr>
      <w:t>الثالث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CA4" w:rsidRDefault="00241CA4" w:rsidP="008173C1">
    <w:pPr>
      <w:pStyle w:val="Header"/>
    </w:pPr>
    <w:r>
      <w:t>MM/A/</w:t>
    </w:r>
    <w:r w:rsidR="008173C1">
      <w:t>49</w:t>
    </w:r>
    <w:r>
      <w:t>/2</w:t>
    </w:r>
  </w:p>
  <w:p w:rsidR="00241CA4" w:rsidRDefault="00241CA4" w:rsidP="00241CA4">
    <w:pPr>
      <w:pStyle w:val="Header"/>
    </w:pPr>
    <w:r>
      <w:t>ANNEX V</w:t>
    </w:r>
  </w:p>
  <w:p w:rsidR="00241CA4" w:rsidRDefault="00241CA4" w:rsidP="00241CA4">
    <w:pPr>
      <w:pStyle w:val="Header"/>
    </w:pPr>
    <w:r w:rsidRPr="00A65C37">
      <w:rPr>
        <w:rFonts w:ascii="Arabic Typesetting" w:hAnsi="Arabic Typesetting" w:cs="Arabic Typesetting"/>
        <w:sz w:val="36"/>
        <w:szCs w:val="36"/>
        <w:rtl/>
      </w:rPr>
      <w:t xml:space="preserve">المرفق </w:t>
    </w:r>
    <w:r>
      <w:rPr>
        <w:rFonts w:ascii="Arabic Typesetting" w:hAnsi="Arabic Typesetting" w:cs="Arabic Typesetting" w:hint="cs"/>
        <w:sz w:val="36"/>
        <w:szCs w:val="36"/>
        <w:rtl/>
      </w:rPr>
      <w:t>الخامس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CA4" w:rsidRDefault="00241CA4" w:rsidP="008173C1">
    <w:pPr>
      <w:pStyle w:val="Header"/>
    </w:pPr>
    <w:r>
      <w:t>MM/A/</w:t>
    </w:r>
    <w:r w:rsidR="008173C1">
      <w:t>49</w:t>
    </w:r>
    <w:r>
      <w:t>/2</w:t>
    </w:r>
  </w:p>
  <w:p w:rsidR="00241CA4" w:rsidRDefault="00241CA4" w:rsidP="00241CA4">
    <w:pPr>
      <w:pStyle w:val="Header"/>
    </w:pPr>
    <w:r>
      <w:t>ANNEX IV</w:t>
    </w:r>
  </w:p>
  <w:p w:rsidR="00241CA4" w:rsidRPr="00A65C37" w:rsidRDefault="00241CA4" w:rsidP="00241CA4">
    <w:pPr>
      <w:pStyle w:val="Header"/>
      <w:rPr>
        <w:rFonts w:ascii="Arabic Typesetting" w:hAnsi="Arabic Typesetting" w:cs="Arabic Typesetting"/>
        <w:sz w:val="36"/>
        <w:szCs w:val="36"/>
      </w:rPr>
    </w:pPr>
    <w:r w:rsidRPr="00A65C37">
      <w:rPr>
        <w:rFonts w:ascii="Arabic Typesetting" w:hAnsi="Arabic Typesetting" w:cs="Arabic Typesetting"/>
        <w:sz w:val="36"/>
        <w:szCs w:val="36"/>
        <w:rtl/>
      </w:rPr>
      <w:t xml:space="preserve">المرفق </w:t>
    </w:r>
    <w:r>
      <w:rPr>
        <w:rFonts w:ascii="Arabic Typesetting" w:hAnsi="Arabic Typesetting" w:cs="Arabic Typesetting" w:hint="cs"/>
        <w:sz w:val="36"/>
        <w:szCs w:val="36"/>
        <w:rtl/>
      </w:rPr>
      <w:t>الرابع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342" w:rsidRDefault="009F2342" w:rsidP="008173C1">
    <w:pPr>
      <w:pStyle w:val="Header"/>
    </w:pPr>
    <w:r>
      <w:t>MM/A/</w:t>
    </w:r>
    <w:r w:rsidR="008173C1">
      <w:t>49</w:t>
    </w:r>
    <w:r>
      <w:t>/2</w:t>
    </w:r>
  </w:p>
  <w:p w:rsidR="009F2342" w:rsidRDefault="009F2342" w:rsidP="009F2342">
    <w:pPr>
      <w:pStyle w:val="Header"/>
    </w:pPr>
    <w:r>
      <w:t>ANNEX V</w:t>
    </w:r>
  </w:p>
  <w:p w:rsidR="009F2342" w:rsidRPr="00A65C37" w:rsidRDefault="009F2342" w:rsidP="009F2342">
    <w:pPr>
      <w:pStyle w:val="Header"/>
      <w:rPr>
        <w:rFonts w:ascii="Arabic Typesetting" w:hAnsi="Arabic Typesetting" w:cs="Arabic Typesetting"/>
        <w:sz w:val="36"/>
        <w:szCs w:val="36"/>
      </w:rPr>
    </w:pPr>
    <w:r w:rsidRPr="00A65C37">
      <w:rPr>
        <w:rFonts w:ascii="Arabic Typesetting" w:hAnsi="Arabic Typesetting" w:cs="Arabic Typesetting"/>
        <w:sz w:val="36"/>
        <w:szCs w:val="36"/>
        <w:rtl/>
      </w:rPr>
      <w:t xml:space="preserve">المرفق </w:t>
    </w:r>
    <w:r>
      <w:rPr>
        <w:rFonts w:ascii="Arabic Typesetting" w:hAnsi="Arabic Typesetting" w:cs="Arabic Typesetting" w:hint="cs"/>
        <w:sz w:val="36"/>
        <w:szCs w:val="36"/>
        <w:rtl/>
      </w:rPr>
      <w:t>الخامس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5B28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5E87973"/>
    <w:multiLevelType w:val="hybridMultilevel"/>
    <w:tmpl w:val="9ECEC926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1AD015C"/>
    <w:multiLevelType w:val="hybridMultilevel"/>
    <w:tmpl w:val="2C481698"/>
    <w:lvl w:ilvl="0" w:tplc="4740B2B4">
      <w:numFmt w:val="bullet"/>
      <w:lvlText w:val="-"/>
      <w:lvlJc w:val="left"/>
      <w:pPr>
        <w:ind w:left="720" w:hanging="360"/>
      </w:pPr>
      <w:rPr>
        <w:rFonts w:ascii="Arabic Typesetting" w:eastAsia="Times New Roman" w:hAnsi="Arabic Typesetting" w:cs="Arabic Typesetting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1D0E6F"/>
    <w:multiLevelType w:val="hybridMultilevel"/>
    <w:tmpl w:val="087A6B3E"/>
    <w:lvl w:ilvl="0" w:tplc="9A4A9434">
      <w:start w:val="1"/>
      <w:numFmt w:val="decimal"/>
      <w:lvlText w:val="(%1)"/>
      <w:lvlJc w:val="left"/>
      <w:pPr>
        <w:ind w:left="58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614" w:hanging="360"/>
      </w:pPr>
    </w:lvl>
    <w:lvl w:ilvl="2" w:tplc="0409001B" w:tentative="1">
      <w:start w:val="1"/>
      <w:numFmt w:val="lowerRoman"/>
      <w:lvlText w:val="%3."/>
      <w:lvlJc w:val="right"/>
      <w:pPr>
        <w:ind w:left="7334" w:hanging="180"/>
      </w:pPr>
    </w:lvl>
    <w:lvl w:ilvl="3" w:tplc="0409000F" w:tentative="1">
      <w:start w:val="1"/>
      <w:numFmt w:val="decimal"/>
      <w:lvlText w:val="%4."/>
      <w:lvlJc w:val="left"/>
      <w:pPr>
        <w:ind w:left="8054" w:hanging="360"/>
      </w:pPr>
    </w:lvl>
    <w:lvl w:ilvl="4" w:tplc="04090019" w:tentative="1">
      <w:start w:val="1"/>
      <w:numFmt w:val="lowerLetter"/>
      <w:lvlText w:val="%5."/>
      <w:lvlJc w:val="left"/>
      <w:pPr>
        <w:ind w:left="8774" w:hanging="360"/>
      </w:pPr>
    </w:lvl>
    <w:lvl w:ilvl="5" w:tplc="0409001B" w:tentative="1">
      <w:start w:val="1"/>
      <w:numFmt w:val="lowerRoman"/>
      <w:lvlText w:val="%6."/>
      <w:lvlJc w:val="right"/>
      <w:pPr>
        <w:ind w:left="9494" w:hanging="180"/>
      </w:pPr>
    </w:lvl>
    <w:lvl w:ilvl="6" w:tplc="0409000F" w:tentative="1">
      <w:start w:val="1"/>
      <w:numFmt w:val="decimal"/>
      <w:lvlText w:val="%7."/>
      <w:lvlJc w:val="left"/>
      <w:pPr>
        <w:ind w:left="10214" w:hanging="360"/>
      </w:pPr>
    </w:lvl>
    <w:lvl w:ilvl="7" w:tplc="04090019" w:tentative="1">
      <w:start w:val="1"/>
      <w:numFmt w:val="lowerLetter"/>
      <w:lvlText w:val="%8."/>
      <w:lvlJc w:val="left"/>
      <w:pPr>
        <w:ind w:left="10934" w:hanging="360"/>
      </w:pPr>
    </w:lvl>
    <w:lvl w:ilvl="8" w:tplc="0409001B" w:tentative="1">
      <w:start w:val="1"/>
      <w:numFmt w:val="lowerRoman"/>
      <w:lvlText w:val="%9."/>
      <w:lvlJc w:val="right"/>
      <w:pPr>
        <w:ind w:left="11654" w:hanging="180"/>
      </w:pPr>
    </w:lvl>
  </w:abstractNum>
  <w:abstractNum w:abstractNumId="16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0">
    <w:nsid w:val="750E7D0E"/>
    <w:multiLevelType w:val="hybridMultilevel"/>
    <w:tmpl w:val="3AC05476"/>
    <w:lvl w:ilvl="0" w:tplc="E3A6118A">
      <w:start w:val="1"/>
      <w:numFmt w:val="decimal"/>
      <w:lvlText w:val="(%1)"/>
      <w:lvlJc w:val="left"/>
      <w:pPr>
        <w:ind w:left="58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614" w:hanging="360"/>
      </w:pPr>
    </w:lvl>
    <w:lvl w:ilvl="2" w:tplc="0409001B" w:tentative="1">
      <w:start w:val="1"/>
      <w:numFmt w:val="lowerRoman"/>
      <w:lvlText w:val="%3."/>
      <w:lvlJc w:val="right"/>
      <w:pPr>
        <w:ind w:left="7334" w:hanging="180"/>
      </w:pPr>
    </w:lvl>
    <w:lvl w:ilvl="3" w:tplc="0409000F" w:tentative="1">
      <w:start w:val="1"/>
      <w:numFmt w:val="decimal"/>
      <w:lvlText w:val="%4."/>
      <w:lvlJc w:val="left"/>
      <w:pPr>
        <w:ind w:left="8054" w:hanging="360"/>
      </w:pPr>
    </w:lvl>
    <w:lvl w:ilvl="4" w:tplc="04090019" w:tentative="1">
      <w:start w:val="1"/>
      <w:numFmt w:val="lowerLetter"/>
      <w:lvlText w:val="%5."/>
      <w:lvlJc w:val="left"/>
      <w:pPr>
        <w:ind w:left="8774" w:hanging="360"/>
      </w:pPr>
    </w:lvl>
    <w:lvl w:ilvl="5" w:tplc="0409001B" w:tentative="1">
      <w:start w:val="1"/>
      <w:numFmt w:val="lowerRoman"/>
      <w:lvlText w:val="%6."/>
      <w:lvlJc w:val="right"/>
      <w:pPr>
        <w:ind w:left="9494" w:hanging="180"/>
      </w:pPr>
    </w:lvl>
    <w:lvl w:ilvl="6" w:tplc="0409000F" w:tentative="1">
      <w:start w:val="1"/>
      <w:numFmt w:val="decimal"/>
      <w:lvlText w:val="%7."/>
      <w:lvlJc w:val="left"/>
      <w:pPr>
        <w:ind w:left="10214" w:hanging="360"/>
      </w:pPr>
    </w:lvl>
    <w:lvl w:ilvl="7" w:tplc="04090019" w:tentative="1">
      <w:start w:val="1"/>
      <w:numFmt w:val="lowerLetter"/>
      <w:lvlText w:val="%8."/>
      <w:lvlJc w:val="left"/>
      <w:pPr>
        <w:ind w:left="10934" w:hanging="360"/>
      </w:pPr>
    </w:lvl>
    <w:lvl w:ilvl="8" w:tplc="0409001B" w:tentative="1">
      <w:start w:val="1"/>
      <w:numFmt w:val="lowerRoman"/>
      <w:lvlText w:val="%9."/>
      <w:lvlJc w:val="right"/>
      <w:pPr>
        <w:ind w:left="11654" w:hanging="180"/>
      </w:pPr>
    </w:lvl>
  </w:abstractNum>
  <w:abstractNum w:abstractNumId="21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6"/>
  </w:num>
  <w:num w:numId="3">
    <w:abstractNumId w:val="10"/>
  </w:num>
  <w:num w:numId="4">
    <w:abstractNumId w:val="19"/>
  </w:num>
  <w:num w:numId="5">
    <w:abstractNumId w:val="8"/>
  </w:num>
  <w:num w:numId="6">
    <w:abstractNumId w:val="21"/>
  </w:num>
  <w:num w:numId="7">
    <w:abstractNumId w:val="13"/>
  </w:num>
  <w:num w:numId="8">
    <w:abstractNumId w:val="18"/>
  </w:num>
  <w:num w:numId="9">
    <w:abstractNumId w:val="17"/>
  </w:num>
  <w:num w:numId="10">
    <w:abstractNumId w:val="22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4"/>
  </w:num>
  <w:num w:numId="22">
    <w:abstractNumId w:val="12"/>
    <w:lvlOverride w:ilvl="0">
      <w:startOverride w:val="1"/>
    </w:lvlOverride>
  </w:num>
  <w:num w:numId="23">
    <w:abstractNumId w:val="15"/>
  </w:num>
  <w:num w:numId="24">
    <w:abstractNumId w:val="20"/>
  </w:num>
  <w:num w:numId="25">
    <w:abstractNumId w:val="12"/>
  </w:num>
  <w:num w:numId="26">
    <w:abstractNumId w:val="12"/>
  </w:num>
  <w:num w:numId="27">
    <w:abstractNumId w:val="12"/>
  </w:num>
  <w:num w:numId="28">
    <w:abstractNumId w:val="12"/>
  </w:num>
  <w:num w:numId="29">
    <w:abstractNumId w:val="12"/>
  </w:num>
  <w:num w:numId="30">
    <w:abstractNumId w:val="12"/>
  </w:num>
  <w:num w:numId="31">
    <w:abstractNumId w:val="12"/>
  </w:num>
  <w:num w:numId="32">
    <w:abstractNumId w:val="12"/>
  </w:num>
  <w:num w:numId="33">
    <w:abstractNumId w:val="12"/>
  </w:num>
  <w:num w:numId="34">
    <w:abstractNumId w:val="12"/>
  </w:num>
  <w:num w:numId="35">
    <w:abstractNumId w:val="12"/>
  </w:num>
  <w:num w:numId="3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2"/>
  </w:num>
  <w:num w:numId="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F69"/>
    <w:rsid w:val="00002CBE"/>
    <w:rsid w:val="00003232"/>
    <w:rsid w:val="000033DA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76F"/>
    <w:rsid w:val="00024846"/>
    <w:rsid w:val="00024E17"/>
    <w:rsid w:val="000258DB"/>
    <w:rsid w:val="000259E5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38DD"/>
    <w:rsid w:val="00044AC0"/>
    <w:rsid w:val="00044F69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C91"/>
    <w:rsid w:val="000640E7"/>
    <w:rsid w:val="00064F32"/>
    <w:rsid w:val="00066DC7"/>
    <w:rsid w:val="0006794A"/>
    <w:rsid w:val="00067F31"/>
    <w:rsid w:val="00071138"/>
    <w:rsid w:val="000717BF"/>
    <w:rsid w:val="00073402"/>
    <w:rsid w:val="00075745"/>
    <w:rsid w:val="00075A04"/>
    <w:rsid w:val="00075D39"/>
    <w:rsid w:val="000760C3"/>
    <w:rsid w:val="000763A4"/>
    <w:rsid w:val="00076901"/>
    <w:rsid w:val="00076B5B"/>
    <w:rsid w:val="00081C87"/>
    <w:rsid w:val="0008237C"/>
    <w:rsid w:val="000833C3"/>
    <w:rsid w:val="0008421F"/>
    <w:rsid w:val="0008451C"/>
    <w:rsid w:val="000849FE"/>
    <w:rsid w:val="00085A0B"/>
    <w:rsid w:val="000863B7"/>
    <w:rsid w:val="000865AF"/>
    <w:rsid w:val="00087DB6"/>
    <w:rsid w:val="00090139"/>
    <w:rsid w:val="0009024C"/>
    <w:rsid w:val="00090597"/>
    <w:rsid w:val="00090ADD"/>
    <w:rsid w:val="000913C0"/>
    <w:rsid w:val="00091F52"/>
    <w:rsid w:val="0009230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156"/>
    <w:rsid w:val="000D1A1D"/>
    <w:rsid w:val="000D2366"/>
    <w:rsid w:val="000D5FB7"/>
    <w:rsid w:val="000D7090"/>
    <w:rsid w:val="000D7BA7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0DF"/>
    <w:rsid w:val="001007AB"/>
    <w:rsid w:val="00100F97"/>
    <w:rsid w:val="001012E0"/>
    <w:rsid w:val="001016F2"/>
    <w:rsid w:val="001024C1"/>
    <w:rsid w:val="0010385D"/>
    <w:rsid w:val="001042E0"/>
    <w:rsid w:val="001044A0"/>
    <w:rsid w:val="00104C51"/>
    <w:rsid w:val="0010597B"/>
    <w:rsid w:val="00106DB4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173D2"/>
    <w:rsid w:val="00121092"/>
    <w:rsid w:val="00121AA0"/>
    <w:rsid w:val="00121FE6"/>
    <w:rsid w:val="00122AC9"/>
    <w:rsid w:val="00123F16"/>
    <w:rsid w:val="0012405D"/>
    <w:rsid w:val="001252B1"/>
    <w:rsid w:val="00126897"/>
    <w:rsid w:val="0012696D"/>
    <w:rsid w:val="001304D0"/>
    <w:rsid w:val="00130FC9"/>
    <w:rsid w:val="001310EE"/>
    <w:rsid w:val="0013191A"/>
    <w:rsid w:val="00131BF4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4CC6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33D"/>
    <w:rsid w:val="00177DBF"/>
    <w:rsid w:val="0018131E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15E7"/>
    <w:rsid w:val="001A2AB7"/>
    <w:rsid w:val="001A4A9C"/>
    <w:rsid w:val="001A6B88"/>
    <w:rsid w:val="001A6C33"/>
    <w:rsid w:val="001A6E68"/>
    <w:rsid w:val="001A743A"/>
    <w:rsid w:val="001B2F16"/>
    <w:rsid w:val="001B3131"/>
    <w:rsid w:val="001B31A7"/>
    <w:rsid w:val="001B4B2F"/>
    <w:rsid w:val="001B655E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06F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4287"/>
    <w:rsid w:val="001F6545"/>
    <w:rsid w:val="001F66B5"/>
    <w:rsid w:val="001F6F36"/>
    <w:rsid w:val="001F76FD"/>
    <w:rsid w:val="002004C0"/>
    <w:rsid w:val="002011F8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1947"/>
    <w:rsid w:val="00213213"/>
    <w:rsid w:val="0021457F"/>
    <w:rsid w:val="0021505D"/>
    <w:rsid w:val="0021604B"/>
    <w:rsid w:val="00216545"/>
    <w:rsid w:val="002178E7"/>
    <w:rsid w:val="00220227"/>
    <w:rsid w:val="0022176B"/>
    <w:rsid w:val="00222760"/>
    <w:rsid w:val="00222782"/>
    <w:rsid w:val="0022360A"/>
    <w:rsid w:val="002263F1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412D4"/>
    <w:rsid w:val="00241CA4"/>
    <w:rsid w:val="0024220D"/>
    <w:rsid w:val="00242BD3"/>
    <w:rsid w:val="00242C02"/>
    <w:rsid w:val="00243155"/>
    <w:rsid w:val="00246E87"/>
    <w:rsid w:val="00247783"/>
    <w:rsid w:val="002516C8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13B"/>
    <w:rsid w:val="00262B5A"/>
    <w:rsid w:val="0026520E"/>
    <w:rsid w:val="002654A4"/>
    <w:rsid w:val="002661B3"/>
    <w:rsid w:val="00266486"/>
    <w:rsid w:val="00266B0A"/>
    <w:rsid w:val="00266C61"/>
    <w:rsid w:val="0026749A"/>
    <w:rsid w:val="00270E72"/>
    <w:rsid w:val="0027167E"/>
    <w:rsid w:val="00271DB5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6744"/>
    <w:rsid w:val="0029014C"/>
    <w:rsid w:val="002909B9"/>
    <w:rsid w:val="00292CEE"/>
    <w:rsid w:val="00292D22"/>
    <w:rsid w:val="00292E6C"/>
    <w:rsid w:val="0029470D"/>
    <w:rsid w:val="00297B80"/>
    <w:rsid w:val="002A076C"/>
    <w:rsid w:val="002A1059"/>
    <w:rsid w:val="002A3C9D"/>
    <w:rsid w:val="002A5403"/>
    <w:rsid w:val="002A5702"/>
    <w:rsid w:val="002A6C9F"/>
    <w:rsid w:val="002A77F3"/>
    <w:rsid w:val="002B14F0"/>
    <w:rsid w:val="002B1CE7"/>
    <w:rsid w:val="002B1F0F"/>
    <w:rsid w:val="002B312B"/>
    <w:rsid w:val="002B401C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070C6"/>
    <w:rsid w:val="00311453"/>
    <w:rsid w:val="003114C9"/>
    <w:rsid w:val="0031229D"/>
    <w:rsid w:val="00314E12"/>
    <w:rsid w:val="003155C0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5DF0"/>
    <w:rsid w:val="00327011"/>
    <w:rsid w:val="00331B72"/>
    <w:rsid w:val="00334127"/>
    <w:rsid w:val="00334185"/>
    <w:rsid w:val="00335CA6"/>
    <w:rsid w:val="00336150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082B"/>
    <w:rsid w:val="00351DC1"/>
    <w:rsid w:val="003534EE"/>
    <w:rsid w:val="00355060"/>
    <w:rsid w:val="00356660"/>
    <w:rsid w:val="003600A2"/>
    <w:rsid w:val="003612D8"/>
    <w:rsid w:val="003637B6"/>
    <w:rsid w:val="00363F89"/>
    <w:rsid w:val="00363FB0"/>
    <w:rsid w:val="003646D6"/>
    <w:rsid w:val="00364FC6"/>
    <w:rsid w:val="0036541D"/>
    <w:rsid w:val="00365DA1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246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59F"/>
    <w:rsid w:val="00392705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A25"/>
    <w:rsid w:val="003C4B42"/>
    <w:rsid w:val="003C4C77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A38"/>
    <w:rsid w:val="003E6FD2"/>
    <w:rsid w:val="003E788F"/>
    <w:rsid w:val="003E7A97"/>
    <w:rsid w:val="003E7D3A"/>
    <w:rsid w:val="003F0950"/>
    <w:rsid w:val="003F09C9"/>
    <w:rsid w:val="003F1FE1"/>
    <w:rsid w:val="003F4C37"/>
    <w:rsid w:val="003F525E"/>
    <w:rsid w:val="003F67AE"/>
    <w:rsid w:val="003F6BBB"/>
    <w:rsid w:val="003F719F"/>
    <w:rsid w:val="003F79CC"/>
    <w:rsid w:val="0040033D"/>
    <w:rsid w:val="004007E1"/>
    <w:rsid w:val="00400B1F"/>
    <w:rsid w:val="004032D2"/>
    <w:rsid w:val="00403C4F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3C0A"/>
    <w:rsid w:val="004349FA"/>
    <w:rsid w:val="004406BD"/>
    <w:rsid w:val="004409B9"/>
    <w:rsid w:val="004417FC"/>
    <w:rsid w:val="00442FBE"/>
    <w:rsid w:val="004433B1"/>
    <w:rsid w:val="00443571"/>
    <w:rsid w:val="004444E3"/>
    <w:rsid w:val="004447FD"/>
    <w:rsid w:val="00445032"/>
    <w:rsid w:val="004450CB"/>
    <w:rsid w:val="00446801"/>
    <w:rsid w:val="00446967"/>
    <w:rsid w:val="00446AB6"/>
    <w:rsid w:val="00450EEE"/>
    <w:rsid w:val="004512B2"/>
    <w:rsid w:val="004528EE"/>
    <w:rsid w:val="00453360"/>
    <w:rsid w:val="00454669"/>
    <w:rsid w:val="00456409"/>
    <w:rsid w:val="004569C6"/>
    <w:rsid w:val="00456ADC"/>
    <w:rsid w:val="00456FB5"/>
    <w:rsid w:val="0045768F"/>
    <w:rsid w:val="00457769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87C47"/>
    <w:rsid w:val="00490ED4"/>
    <w:rsid w:val="00491B91"/>
    <w:rsid w:val="00491C21"/>
    <w:rsid w:val="00491C66"/>
    <w:rsid w:val="004935D6"/>
    <w:rsid w:val="00494195"/>
    <w:rsid w:val="004945FB"/>
    <w:rsid w:val="004946ED"/>
    <w:rsid w:val="004961DC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357D"/>
    <w:rsid w:val="004B46D0"/>
    <w:rsid w:val="004B57B0"/>
    <w:rsid w:val="004B60CE"/>
    <w:rsid w:val="004B61C9"/>
    <w:rsid w:val="004C02B1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D1A"/>
    <w:rsid w:val="004D169F"/>
    <w:rsid w:val="004D16A8"/>
    <w:rsid w:val="004D18CF"/>
    <w:rsid w:val="004D30CE"/>
    <w:rsid w:val="004D4071"/>
    <w:rsid w:val="004D421A"/>
    <w:rsid w:val="004D4D0C"/>
    <w:rsid w:val="004D6144"/>
    <w:rsid w:val="004D678F"/>
    <w:rsid w:val="004E0091"/>
    <w:rsid w:val="004E0695"/>
    <w:rsid w:val="004E0BE4"/>
    <w:rsid w:val="004E1264"/>
    <w:rsid w:val="004E2CBC"/>
    <w:rsid w:val="004E3DD4"/>
    <w:rsid w:val="004E5C1A"/>
    <w:rsid w:val="004E6C8C"/>
    <w:rsid w:val="004E6CC7"/>
    <w:rsid w:val="004E6E6A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503AE1"/>
    <w:rsid w:val="00503CA6"/>
    <w:rsid w:val="00503FAE"/>
    <w:rsid w:val="00504DC1"/>
    <w:rsid w:val="00505332"/>
    <w:rsid w:val="00505A57"/>
    <w:rsid w:val="00505D37"/>
    <w:rsid w:val="00507074"/>
    <w:rsid w:val="005104E8"/>
    <w:rsid w:val="005107DB"/>
    <w:rsid w:val="00510DB0"/>
    <w:rsid w:val="005119F6"/>
    <w:rsid w:val="00511B7D"/>
    <w:rsid w:val="00511D00"/>
    <w:rsid w:val="005137E7"/>
    <w:rsid w:val="005142B9"/>
    <w:rsid w:val="00515A56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373F1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5764D"/>
    <w:rsid w:val="00560608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0B8B"/>
    <w:rsid w:val="0057193D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78A"/>
    <w:rsid w:val="00585A16"/>
    <w:rsid w:val="00585B98"/>
    <w:rsid w:val="005863D8"/>
    <w:rsid w:val="005865B2"/>
    <w:rsid w:val="00586812"/>
    <w:rsid w:val="00587BC2"/>
    <w:rsid w:val="0059089F"/>
    <w:rsid w:val="005918E4"/>
    <w:rsid w:val="00591C6D"/>
    <w:rsid w:val="00591C71"/>
    <w:rsid w:val="00592392"/>
    <w:rsid w:val="00592484"/>
    <w:rsid w:val="0059283D"/>
    <w:rsid w:val="005928D3"/>
    <w:rsid w:val="00592D5D"/>
    <w:rsid w:val="00592DD4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A68"/>
    <w:rsid w:val="005D0276"/>
    <w:rsid w:val="005D0AE3"/>
    <w:rsid w:val="005D1103"/>
    <w:rsid w:val="005D276D"/>
    <w:rsid w:val="005D4BDC"/>
    <w:rsid w:val="005D5912"/>
    <w:rsid w:val="005D794C"/>
    <w:rsid w:val="005D7A9F"/>
    <w:rsid w:val="005D7AA2"/>
    <w:rsid w:val="005E2154"/>
    <w:rsid w:val="005E2FC7"/>
    <w:rsid w:val="005E37B9"/>
    <w:rsid w:val="005E3885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2A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880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5218"/>
    <w:rsid w:val="00626594"/>
    <w:rsid w:val="006270CA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5B6F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2E40"/>
    <w:rsid w:val="00644C86"/>
    <w:rsid w:val="0064656E"/>
    <w:rsid w:val="0064668E"/>
    <w:rsid w:val="00646DF5"/>
    <w:rsid w:val="00650397"/>
    <w:rsid w:val="006507E8"/>
    <w:rsid w:val="00650C73"/>
    <w:rsid w:val="00651143"/>
    <w:rsid w:val="00651959"/>
    <w:rsid w:val="00651C92"/>
    <w:rsid w:val="00653149"/>
    <w:rsid w:val="006531E4"/>
    <w:rsid w:val="00654505"/>
    <w:rsid w:val="006575ED"/>
    <w:rsid w:val="006578FD"/>
    <w:rsid w:val="00660060"/>
    <w:rsid w:val="006609AA"/>
    <w:rsid w:val="00660AB6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1EFC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4BCB"/>
    <w:rsid w:val="006A5B59"/>
    <w:rsid w:val="006A6A14"/>
    <w:rsid w:val="006A753A"/>
    <w:rsid w:val="006A777C"/>
    <w:rsid w:val="006A7C46"/>
    <w:rsid w:val="006B0F76"/>
    <w:rsid w:val="006B1E65"/>
    <w:rsid w:val="006B1F20"/>
    <w:rsid w:val="006B31BE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31AF"/>
    <w:rsid w:val="006D6E46"/>
    <w:rsid w:val="006D7FA8"/>
    <w:rsid w:val="006E4601"/>
    <w:rsid w:val="006E5B86"/>
    <w:rsid w:val="006E63FF"/>
    <w:rsid w:val="006E652D"/>
    <w:rsid w:val="006E7572"/>
    <w:rsid w:val="006F2F22"/>
    <w:rsid w:val="006F434A"/>
    <w:rsid w:val="006F474E"/>
    <w:rsid w:val="006F7974"/>
    <w:rsid w:val="00700A60"/>
    <w:rsid w:val="00705027"/>
    <w:rsid w:val="00710494"/>
    <w:rsid w:val="007117BD"/>
    <w:rsid w:val="00715129"/>
    <w:rsid w:val="007153BC"/>
    <w:rsid w:val="007154CE"/>
    <w:rsid w:val="00715B25"/>
    <w:rsid w:val="00716020"/>
    <w:rsid w:val="007168B3"/>
    <w:rsid w:val="00717849"/>
    <w:rsid w:val="00720860"/>
    <w:rsid w:val="00721087"/>
    <w:rsid w:val="00721530"/>
    <w:rsid w:val="00723422"/>
    <w:rsid w:val="0072364E"/>
    <w:rsid w:val="0072506D"/>
    <w:rsid w:val="007260FE"/>
    <w:rsid w:val="00726DD6"/>
    <w:rsid w:val="0073076E"/>
    <w:rsid w:val="00733416"/>
    <w:rsid w:val="0073377E"/>
    <w:rsid w:val="00733E05"/>
    <w:rsid w:val="00734723"/>
    <w:rsid w:val="007352B9"/>
    <w:rsid w:val="00735C8A"/>
    <w:rsid w:val="00735FE2"/>
    <w:rsid w:val="0073719A"/>
    <w:rsid w:val="00737C62"/>
    <w:rsid w:val="00737C91"/>
    <w:rsid w:val="0074130E"/>
    <w:rsid w:val="00743937"/>
    <w:rsid w:val="00744889"/>
    <w:rsid w:val="00744910"/>
    <w:rsid w:val="00745631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0433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2E46"/>
    <w:rsid w:val="007730CF"/>
    <w:rsid w:val="00774756"/>
    <w:rsid w:val="00775181"/>
    <w:rsid w:val="007751B6"/>
    <w:rsid w:val="00775345"/>
    <w:rsid w:val="00775F71"/>
    <w:rsid w:val="00776A33"/>
    <w:rsid w:val="00776F15"/>
    <w:rsid w:val="007779ED"/>
    <w:rsid w:val="00780B1A"/>
    <w:rsid w:val="007810D3"/>
    <w:rsid w:val="0078264A"/>
    <w:rsid w:val="00783D11"/>
    <w:rsid w:val="007852C2"/>
    <w:rsid w:val="00785E46"/>
    <w:rsid w:val="00787917"/>
    <w:rsid w:val="00791489"/>
    <w:rsid w:val="00791683"/>
    <w:rsid w:val="00792F0C"/>
    <w:rsid w:val="00795460"/>
    <w:rsid w:val="00796CF7"/>
    <w:rsid w:val="007A0313"/>
    <w:rsid w:val="007A0A83"/>
    <w:rsid w:val="007A252D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25E9"/>
    <w:rsid w:val="007C2F78"/>
    <w:rsid w:val="007C34C5"/>
    <w:rsid w:val="007C398B"/>
    <w:rsid w:val="007C4079"/>
    <w:rsid w:val="007C4827"/>
    <w:rsid w:val="007C4A20"/>
    <w:rsid w:val="007D0B7F"/>
    <w:rsid w:val="007D1266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3C1"/>
    <w:rsid w:val="008174D1"/>
    <w:rsid w:val="008178B2"/>
    <w:rsid w:val="00821418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377F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258F"/>
    <w:rsid w:val="00855CA6"/>
    <w:rsid w:val="00855CF4"/>
    <w:rsid w:val="0086020E"/>
    <w:rsid w:val="00860323"/>
    <w:rsid w:val="00860F4F"/>
    <w:rsid w:val="008610B9"/>
    <w:rsid w:val="00862656"/>
    <w:rsid w:val="00863013"/>
    <w:rsid w:val="00863F67"/>
    <w:rsid w:val="0086483A"/>
    <w:rsid w:val="00864F59"/>
    <w:rsid w:val="0087049C"/>
    <w:rsid w:val="00870AAD"/>
    <w:rsid w:val="00870EDE"/>
    <w:rsid w:val="00871DA0"/>
    <w:rsid w:val="00872030"/>
    <w:rsid w:val="00873973"/>
    <w:rsid w:val="0087452B"/>
    <w:rsid w:val="00875C28"/>
    <w:rsid w:val="00875E75"/>
    <w:rsid w:val="0087658F"/>
    <w:rsid w:val="0087762E"/>
    <w:rsid w:val="00877823"/>
    <w:rsid w:val="008803F5"/>
    <w:rsid w:val="0088112F"/>
    <w:rsid w:val="008812BF"/>
    <w:rsid w:val="00881341"/>
    <w:rsid w:val="00882931"/>
    <w:rsid w:val="008836BD"/>
    <w:rsid w:val="00884939"/>
    <w:rsid w:val="008853E0"/>
    <w:rsid w:val="00885A8F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1910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3EE9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487B"/>
    <w:rsid w:val="00945DBF"/>
    <w:rsid w:val="00946042"/>
    <w:rsid w:val="00946AB3"/>
    <w:rsid w:val="00947074"/>
    <w:rsid w:val="00947432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389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3610"/>
    <w:rsid w:val="009A41C7"/>
    <w:rsid w:val="009A4F5A"/>
    <w:rsid w:val="009A4F99"/>
    <w:rsid w:val="009A5C82"/>
    <w:rsid w:val="009B010D"/>
    <w:rsid w:val="009B0AAB"/>
    <w:rsid w:val="009B0D3E"/>
    <w:rsid w:val="009B2AD1"/>
    <w:rsid w:val="009B31D8"/>
    <w:rsid w:val="009B3224"/>
    <w:rsid w:val="009B3A61"/>
    <w:rsid w:val="009B528E"/>
    <w:rsid w:val="009B54FE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342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D32"/>
    <w:rsid w:val="00A07545"/>
    <w:rsid w:val="00A13266"/>
    <w:rsid w:val="00A13947"/>
    <w:rsid w:val="00A13E2B"/>
    <w:rsid w:val="00A14D7B"/>
    <w:rsid w:val="00A1562A"/>
    <w:rsid w:val="00A15901"/>
    <w:rsid w:val="00A1618E"/>
    <w:rsid w:val="00A161A1"/>
    <w:rsid w:val="00A1784A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53A"/>
    <w:rsid w:val="00A51DF1"/>
    <w:rsid w:val="00A52AFB"/>
    <w:rsid w:val="00A53967"/>
    <w:rsid w:val="00A5455C"/>
    <w:rsid w:val="00A545EC"/>
    <w:rsid w:val="00A54C5F"/>
    <w:rsid w:val="00A54D3B"/>
    <w:rsid w:val="00A5578A"/>
    <w:rsid w:val="00A56F39"/>
    <w:rsid w:val="00A61365"/>
    <w:rsid w:val="00A61759"/>
    <w:rsid w:val="00A61B88"/>
    <w:rsid w:val="00A62C70"/>
    <w:rsid w:val="00A636F8"/>
    <w:rsid w:val="00A63982"/>
    <w:rsid w:val="00A65845"/>
    <w:rsid w:val="00A65A41"/>
    <w:rsid w:val="00A65C37"/>
    <w:rsid w:val="00A666AA"/>
    <w:rsid w:val="00A671FC"/>
    <w:rsid w:val="00A71670"/>
    <w:rsid w:val="00A72874"/>
    <w:rsid w:val="00A72E48"/>
    <w:rsid w:val="00A7359C"/>
    <w:rsid w:val="00A73616"/>
    <w:rsid w:val="00A74A57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3F58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68FF"/>
    <w:rsid w:val="00AB7348"/>
    <w:rsid w:val="00AC13B0"/>
    <w:rsid w:val="00AC22B2"/>
    <w:rsid w:val="00AC2FD0"/>
    <w:rsid w:val="00AC3DBD"/>
    <w:rsid w:val="00AC3E1F"/>
    <w:rsid w:val="00AC4D30"/>
    <w:rsid w:val="00AC5E85"/>
    <w:rsid w:val="00AC6312"/>
    <w:rsid w:val="00AD03D8"/>
    <w:rsid w:val="00AD0D5F"/>
    <w:rsid w:val="00AD34CF"/>
    <w:rsid w:val="00AD36C8"/>
    <w:rsid w:val="00AD37C9"/>
    <w:rsid w:val="00AD47D3"/>
    <w:rsid w:val="00AD652F"/>
    <w:rsid w:val="00AD6672"/>
    <w:rsid w:val="00AD7D05"/>
    <w:rsid w:val="00AE01F6"/>
    <w:rsid w:val="00AE16F0"/>
    <w:rsid w:val="00AE2328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CC6"/>
    <w:rsid w:val="00AF4D6A"/>
    <w:rsid w:val="00AF5D2C"/>
    <w:rsid w:val="00AF5D6E"/>
    <w:rsid w:val="00AF6318"/>
    <w:rsid w:val="00AF6FC7"/>
    <w:rsid w:val="00AF7FFE"/>
    <w:rsid w:val="00B0072E"/>
    <w:rsid w:val="00B03B63"/>
    <w:rsid w:val="00B0513A"/>
    <w:rsid w:val="00B0620B"/>
    <w:rsid w:val="00B072A3"/>
    <w:rsid w:val="00B07FCD"/>
    <w:rsid w:val="00B1149C"/>
    <w:rsid w:val="00B11AD7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0D02"/>
    <w:rsid w:val="00B3398B"/>
    <w:rsid w:val="00B33B1E"/>
    <w:rsid w:val="00B33FAC"/>
    <w:rsid w:val="00B362D9"/>
    <w:rsid w:val="00B36B99"/>
    <w:rsid w:val="00B36D20"/>
    <w:rsid w:val="00B36F67"/>
    <w:rsid w:val="00B40633"/>
    <w:rsid w:val="00B410FE"/>
    <w:rsid w:val="00B44049"/>
    <w:rsid w:val="00B44318"/>
    <w:rsid w:val="00B44C4B"/>
    <w:rsid w:val="00B477CB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5FE2"/>
    <w:rsid w:val="00B672E3"/>
    <w:rsid w:val="00B675F9"/>
    <w:rsid w:val="00B70849"/>
    <w:rsid w:val="00B72C1C"/>
    <w:rsid w:val="00B73BB7"/>
    <w:rsid w:val="00B751C3"/>
    <w:rsid w:val="00B76C0D"/>
    <w:rsid w:val="00B771EF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4E4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2B7B"/>
    <w:rsid w:val="00BC3AE8"/>
    <w:rsid w:val="00BC3AF4"/>
    <w:rsid w:val="00BC43A8"/>
    <w:rsid w:val="00BC5C6D"/>
    <w:rsid w:val="00BC6E29"/>
    <w:rsid w:val="00BC7120"/>
    <w:rsid w:val="00BC76A3"/>
    <w:rsid w:val="00BD00D1"/>
    <w:rsid w:val="00BD07A2"/>
    <w:rsid w:val="00BD0E4C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3C24"/>
    <w:rsid w:val="00BF4D03"/>
    <w:rsid w:val="00BF4E85"/>
    <w:rsid w:val="00BF54BD"/>
    <w:rsid w:val="00BF5892"/>
    <w:rsid w:val="00C01804"/>
    <w:rsid w:val="00C01EA8"/>
    <w:rsid w:val="00C026BC"/>
    <w:rsid w:val="00C02AD4"/>
    <w:rsid w:val="00C03869"/>
    <w:rsid w:val="00C05C9E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6CB3"/>
    <w:rsid w:val="00C57ED3"/>
    <w:rsid w:val="00C61640"/>
    <w:rsid w:val="00C61AA7"/>
    <w:rsid w:val="00C61B8E"/>
    <w:rsid w:val="00C668DE"/>
    <w:rsid w:val="00C7044F"/>
    <w:rsid w:val="00C720F8"/>
    <w:rsid w:val="00C7294B"/>
    <w:rsid w:val="00C747DE"/>
    <w:rsid w:val="00C75139"/>
    <w:rsid w:val="00C7525C"/>
    <w:rsid w:val="00C75510"/>
    <w:rsid w:val="00C76CF7"/>
    <w:rsid w:val="00C83A4C"/>
    <w:rsid w:val="00C84D1F"/>
    <w:rsid w:val="00C8533B"/>
    <w:rsid w:val="00C858BA"/>
    <w:rsid w:val="00C8682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651B"/>
    <w:rsid w:val="00CA796A"/>
    <w:rsid w:val="00CB2575"/>
    <w:rsid w:val="00CB3677"/>
    <w:rsid w:val="00CB368F"/>
    <w:rsid w:val="00CB4C42"/>
    <w:rsid w:val="00CB4DFA"/>
    <w:rsid w:val="00CB65F1"/>
    <w:rsid w:val="00CB79E4"/>
    <w:rsid w:val="00CB7BD7"/>
    <w:rsid w:val="00CC1F59"/>
    <w:rsid w:val="00CC4CB6"/>
    <w:rsid w:val="00CC4DB0"/>
    <w:rsid w:val="00CC5038"/>
    <w:rsid w:val="00CC5326"/>
    <w:rsid w:val="00CC7426"/>
    <w:rsid w:val="00CC7910"/>
    <w:rsid w:val="00CD01EF"/>
    <w:rsid w:val="00CD0C20"/>
    <w:rsid w:val="00CD297A"/>
    <w:rsid w:val="00CD3DB0"/>
    <w:rsid w:val="00CD4129"/>
    <w:rsid w:val="00CD5DBB"/>
    <w:rsid w:val="00CD675D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2F7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18BB"/>
    <w:rsid w:val="00CF285E"/>
    <w:rsid w:val="00CF3739"/>
    <w:rsid w:val="00CF5597"/>
    <w:rsid w:val="00CF57B4"/>
    <w:rsid w:val="00CF5CA5"/>
    <w:rsid w:val="00CF658A"/>
    <w:rsid w:val="00CF66B6"/>
    <w:rsid w:val="00D007D6"/>
    <w:rsid w:val="00D01605"/>
    <w:rsid w:val="00D01A9F"/>
    <w:rsid w:val="00D01CED"/>
    <w:rsid w:val="00D01E38"/>
    <w:rsid w:val="00D022B5"/>
    <w:rsid w:val="00D039B5"/>
    <w:rsid w:val="00D03AD8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601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27E9B"/>
    <w:rsid w:val="00D31021"/>
    <w:rsid w:val="00D3253C"/>
    <w:rsid w:val="00D329B9"/>
    <w:rsid w:val="00D33412"/>
    <w:rsid w:val="00D33529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1797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3B73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26D0"/>
    <w:rsid w:val="00DD47D5"/>
    <w:rsid w:val="00DD6729"/>
    <w:rsid w:val="00DD7960"/>
    <w:rsid w:val="00DD7B0D"/>
    <w:rsid w:val="00DE1F29"/>
    <w:rsid w:val="00DE3FEB"/>
    <w:rsid w:val="00DE4905"/>
    <w:rsid w:val="00DE510C"/>
    <w:rsid w:val="00DE548B"/>
    <w:rsid w:val="00DE7822"/>
    <w:rsid w:val="00DF081A"/>
    <w:rsid w:val="00DF087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3FE3"/>
    <w:rsid w:val="00E06951"/>
    <w:rsid w:val="00E07149"/>
    <w:rsid w:val="00E10C94"/>
    <w:rsid w:val="00E10EC4"/>
    <w:rsid w:val="00E118D7"/>
    <w:rsid w:val="00E12C02"/>
    <w:rsid w:val="00E13F46"/>
    <w:rsid w:val="00E15BD4"/>
    <w:rsid w:val="00E16458"/>
    <w:rsid w:val="00E16FB6"/>
    <w:rsid w:val="00E17001"/>
    <w:rsid w:val="00E1775E"/>
    <w:rsid w:val="00E17814"/>
    <w:rsid w:val="00E17CEF"/>
    <w:rsid w:val="00E20FBC"/>
    <w:rsid w:val="00E244CA"/>
    <w:rsid w:val="00E2512D"/>
    <w:rsid w:val="00E2548C"/>
    <w:rsid w:val="00E2662B"/>
    <w:rsid w:val="00E26736"/>
    <w:rsid w:val="00E26811"/>
    <w:rsid w:val="00E268AC"/>
    <w:rsid w:val="00E26A61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3451"/>
    <w:rsid w:val="00E445C9"/>
    <w:rsid w:val="00E447C5"/>
    <w:rsid w:val="00E450C1"/>
    <w:rsid w:val="00E4547F"/>
    <w:rsid w:val="00E4574F"/>
    <w:rsid w:val="00E46852"/>
    <w:rsid w:val="00E46B7D"/>
    <w:rsid w:val="00E5091C"/>
    <w:rsid w:val="00E50E42"/>
    <w:rsid w:val="00E51009"/>
    <w:rsid w:val="00E511AB"/>
    <w:rsid w:val="00E51350"/>
    <w:rsid w:val="00E5144E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D73"/>
    <w:rsid w:val="00E63E99"/>
    <w:rsid w:val="00E6428E"/>
    <w:rsid w:val="00E6454D"/>
    <w:rsid w:val="00E65301"/>
    <w:rsid w:val="00E6598A"/>
    <w:rsid w:val="00E667A7"/>
    <w:rsid w:val="00E679B3"/>
    <w:rsid w:val="00E7190A"/>
    <w:rsid w:val="00E71CAD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3A4C"/>
    <w:rsid w:val="00E94468"/>
    <w:rsid w:val="00E94A0E"/>
    <w:rsid w:val="00E94EBB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2857"/>
    <w:rsid w:val="00EB2F0C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18AB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4DF0"/>
    <w:rsid w:val="00EE6989"/>
    <w:rsid w:val="00EE6C77"/>
    <w:rsid w:val="00EE7604"/>
    <w:rsid w:val="00EE7912"/>
    <w:rsid w:val="00EE7915"/>
    <w:rsid w:val="00EF0465"/>
    <w:rsid w:val="00EF13C5"/>
    <w:rsid w:val="00EF16D8"/>
    <w:rsid w:val="00EF192B"/>
    <w:rsid w:val="00EF28EF"/>
    <w:rsid w:val="00EF2EB9"/>
    <w:rsid w:val="00EF40E7"/>
    <w:rsid w:val="00EF4529"/>
    <w:rsid w:val="00EF5A56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A9F"/>
    <w:rsid w:val="00F11B61"/>
    <w:rsid w:val="00F135D6"/>
    <w:rsid w:val="00F13922"/>
    <w:rsid w:val="00F13DBC"/>
    <w:rsid w:val="00F15FCF"/>
    <w:rsid w:val="00F16613"/>
    <w:rsid w:val="00F1738D"/>
    <w:rsid w:val="00F20534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4E6D"/>
    <w:rsid w:val="00F45196"/>
    <w:rsid w:val="00F45D51"/>
    <w:rsid w:val="00F46842"/>
    <w:rsid w:val="00F4765F"/>
    <w:rsid w:val="00F479B5"/>
    <w:rsid w:val="00F47A1B"/>
    <w:rsid w:val="00F47C4B"/>
    <w:rsid w:val="00F53775"/>
    <w:rsid w:val="00F539A6"/>
    <w:rsid w:val="00F55E0E"/>
    <w:rsid w:val="00F5611D"/>
    <w:rsid w:val="00F56E3E"/>
    <w:rsid w:val="00F578A8"/>
    <w:rsid w:val="00F57EEB"/>
    <w:rsid w:val="00F57F67"/>
    <w:rsid w:val="00F6021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2E90"/>
    <w:rsid w:val="00F75896"/>
    <w:rsid w:val="00F76666"/>
    <w:rsid w:val="00F76ECB"/>
    <w:rsid w:val="00F76EF7"/>
    <w:rsid w:val="00F76F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10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1D6E"/>
    <w:rsid w:val="00FA2C4B"/>
    <w:rsid w:val="00FA50BE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C7671"/>
    <w:rsid w:val="00FD01CC"/>
    <w:rsid w:val="00FD08AF"/>
    <w:rsid w:val="00FD1E7A"/>
    <w:rsid w:val="00FD21ED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1B4C"/>
    <w:rsid w:val="00FE3B37"/>
    <w:rsid w:val="00FE4B40"/>
    <w:rsid w:val="00FE5DC4"/>
    <w:rsid w:val="00FE6E94"/>
    <w:rsid w:val="00FE76CB"/>
    <w:rsid w:val="00FE7BD8"/>
    <w:rsid w:val="00FF00DD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CD675D"/>
    <w:pPr>
      <w:keepNext/>
      <w:spacing w:before="240" w:after="6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570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0B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CD675D"/>
    <w:pPr>
      <w:keepNext/>
      <w:spacing w:before="240" w:after="6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570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0B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4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emf"/><Relationship Id="rId18" Type="http://schemas.openxmlformats.org/officeDocument/2006/relationships/image" Target="media/image5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6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eader" Target="header5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4.emf"/><Relationship Id="rId20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24" Type="http://schemas.openxmlformats.org/officeDocument/2006/relationships/header" Target="header8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23" Type="http://schemas.openxmlformats.org/officeDocument/2006/relationships/image" Target="media/image8.emf"/><Relationship Id="rId10" Type="http://schemas.openxmlformats.org/officeDocument/2006/relationships/header" Target="header1.xml"/><Relationship Id="rId19" Type="http://schemas.openxmlformats.org/officeDocument/2006/relationships/image" Target="media/image6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Relationship Id="rId22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433953-4B48-4FAD-B34C-24189AC58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1762</Words>
  <Characters>9353</Characters>
  <Application>Microsoft Office Word</Application>
  <DocSecurity>0</DocSecurity>
  <Lines>77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MM/A/46/-- (Arabic)</vt:lpstr>
    </vt:vector>
  </TitlesOfParts>
  <Company>World Intellectual Property Organization</Company>
  <LinksUpToDate>false</LinksUpToDate>
  <CharactersWithSpaces>11093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MM/A/46/-- (Arabic)</dc:title>
  <dc:creator>AHMIDOUCH Noureddine</dc:creator>
  <cp:lastModifiedBy>ABOULHOUCINE Driss</cp:lastModifiedBy>
  <cp:revision>4</cp:revision>
  <cp:lastPrinted>2015-06-30T09:46:00Z</cp:lastPrinted>
  <dcterms:created xsi:type="dcterms:W3CDTF">2015-06-30T09:46:00Z</dcterms:created>
  <dcterms:modified xsi:type="dcterms:W3CDTF">2015-06-30T09:47:00Z</dcterms:modified>
</cp:coreProperties>
</file>