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AD6672">
            <w:pPr>
              <w:keepNext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AD6672">
            <w:pPr>
              <w:keepNext/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AEEB2D1" wp14:editId="324EF71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AD6672">
            <w:pPr>
              <w:keepNext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C3E1F" w:rsidP="00AD6672">
            <w:pPr>
              <w:pStyle w:val="DocumentCodeAR"/>
              <w:keepNext/>
              <w:bidi/>
              <w:rPr>
                <w:rtl/>
              </w:rPr>
            </w:pPr>
            <w:r>
              <w:t>MM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>
              <w:t>4</w:t>
            </w:r>
            <w:r w:rsidR="00044F69">
              <w:t>8/2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044F69" w:rsidP="00AD6672">
            <w:pPr>
              <w:pStyle w:val="DocumentLanguageAR"/>
              <w:keepNext/>
              <w:bidi/>
              <w:rPr>
                <w:rtl/>
                <w:lang w:bidi="ar-AE"/>
              </w:rPr>
            </w:pPr>
            <w:r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  <w:lang w:bidi="ar-AE"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D6672">
            <w:pPr>
              <w:pStyle w:val="DocumentDateAR"/>
              <w:keepNext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44F69">
              <w:rPr>
                <w:rFonts w:hint="cs"/>
                <w:rtl/>
              </w:rPr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r w:rsidR="00044F69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044F69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1775E" w:rsidRDefault="00E1775E" w:rsidP="000849FE">
      <w:pPr>
        <w:pStyle w:val="MeetingTitleAR"/>
        <w:widowControl w:val="0"/>
        <w:bidi/>
        <w:rPr>
          <w:rtl/>
        </w:rPr>
      </w:pPr>
      <w:r>
        <w:rPr>
          <w:rFonts w:hint="cs"/>
          <w:rtl/>
        </w:rPr>
        <w:t>الاتحاد الخاص للتسجيل الدولي للعلامات</w:t>
      </w:r>
    </w:p>
    <w:p w:rsidR="00E1775E" w:rsidRPr="00840AF7" w:rsidRDefault="00E1775E" w:rsidP="000849FE">
      <w:pPr>
        <w:pStyle w:val="NormalParaAR"/>
        <w:widowControl w:val="0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>(اتحاد مدريد)</w:t>
      </w:r>
    </w:p>
    <w:p w:rsidR="00F27305" w:rsidRDefault="00F27305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849FE">
      <w:pPr>
        <w:pStyle w:val="MeetingTitleAR"/>
        <w:widowControl w:val="0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0849FE">
      <w:pPr>
        <w:pStyle w:val="MeetingSessionAR"/>
        <w:widowControl w:val="0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090597">
        <w:rPr>
          <w:rFonts w:ascii="Cambria Math" w:hAnsi="Cambria Math" w:hint="cs"/>
          <w:rtl/>
          <w:lang w:val="fr-CH"/>
        </w:rPr>
        <w:t>الثامنة</w:t>
      </w:r>
      <w:r>
        <w:rPr>
          <w:rFonts w:ascii="Cambria Math" w:hAnsi="Cambria Math" w:hint="cs"/>
          <w:rtl/>
          <w:lang w:val="fr-CH"/>
        </w:rPr>
        <w:t xml:space="preserve"> </w:t>
      </w:r>
      <w:r w:rsidR="000438DD">
        <w:rPr>
          <w:rFonts w:ascii="Cambria Math" w:hAnsi="Cambria Math" w:hint="cs"/>
          <w:rtl/>
        </w:rPr>
        <w:t>و</w:t>
      </w:r>
      <w:r>
        <w:rPr>
          <w:rFonts w:ascii="Cambria Math" w:hAnsi="Cambria Math" w:hint="cs"/>
          <w:rtl/>
        </w:rPr>
        <w:t xml:space="preserve">الأربعون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090597">
        <w:rPr>
          <w:rFonts w:ascii="Cambria Math" w:hAnsi="Cambria Math" w:hint="cs"/>
          <w:rtl/>
        </w:rPr>
        <w:t>الاستثنائية</w:t>
      </w:r>
      <w:r w:rsidR="0059089F">
        <w:rPr>
          <w:rFonts w:ascii="Cambria Math" w:hAnsi="Cambria Math" w:hint="cs"/>
          <w:rtl/>
        </w:rPr>
        <w:t xml:space="preserve"> </w:t>
      </w:r>
      <w:r w:rsidR="00090597">
        <w:rPr>
          <w:rFonts w:ascii="Cambria Math" w:hAnsi="Cambria Math" w:hint="cs"/>
          <w:rtl/>
        </w:rPr>
        <w:t>الثامنة و</w:t>
      </w:r>
      <w:r w:rsidR="0059089F" w:rsidRPr="0059089F">
        <w:rPr>
          <w:rFonts w:ascii="Cambria Math" w:hAnsi="Cambria Math"/>
          <w:rtl/>
        </w:rPr>
        <w:t>العشرون)</w:t>
      </w:r>
    </w:p>
    <w:p w:rsidR="00D61541" w:rsidRPr="00D61541" w:rsidRDefault="00D61541" w:rsidP="000849FE">
      <w:pPr>
        <w:pStyle w:val="MeetingDatesAR"/>
        <w:widowControl w:val="0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D7BA7">
        <w:rPr>
          <w:rFonts w:hint="cs"/>
          <w:rtl/>
        </w:rPr>
        <w:t>2</w:t>
      </w:r>
      <w:r w:rsidR="00090597">
        <w:rPr>
          <w:rFonts w:hint="cs"/>
          <w:rtl/>
        </w:rPr>
        <w:t>2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090597">
        <w:rPr>
          <w:rFonts w:hint="cs"/>
          <w:rtl/>
        </w:rPr>
        <w:t>30</w:t>
      </w:r>
      <w:r w:rsidR="00783D11">
        <w:rPr>
          <w:rFonts w:hint="cs"/>
          <w:rtl/>
        </w:rPr>
        <w:t xml:space="preserve"> </w:t>
      </w:r>
      <w:r w:rsidR="00090597">
        <w:rPr>
          <w:rFonts w:hint="cs"/>
          <w:rtl/>
        </w:rPr>
        <w:t>سبتمبر</w:t>
      </w:r>
      <w:r w:rsidR="000D7BA7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090597">
        <w:rPr>
          <w:rFonts w:hint="cs"/>
          <w:rtl/>
        </w:rPr>
        <w:t>4</w:t>
      </w:r>
    </w:p>
    <w:p w:rsidR="00D61541" w:rsidRDefault="00D61541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0597" w:rsidRPr="00C75510" w:rsidRDefault="00090597" w:rsidP="000849FE">
      <w:pPr>
        <w:pStyle w:val="DocumentTitleAR"/>
        <w:bidi/>
        <w:rPr>
          <w:i/>
          <w:iCs/>
          <w:rtl/>
        </w:rPr>
      </w:pPr>
      <w:r w:rsidRPr="00C75510">
        <w:rPr>
          <w:rtl/>
        </w:rPr>
        <w:t>قاعدة بيانات نظام مدريد بشأن السلع والخدمات: تقرير مرحلي</w:t>
      </w:r>
    </w:p>
    <w:p w:rsidR="00D61541" w:rsidRDefault="00D61541" w:rsidP="000849FE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90597">
        <w:rPr>
          <w:rFonts w:hint="cs"/>
          <w:rtl/>
        </w:rPr>
        <w:t xml:space="preserve"> </w:t>
      </w:r>
      <w:r w:rsidR="00090597" w:rsidRPr="000849FE">
        <w:rPr>
          <w:rFonts w:hint="cs"/>
          <w:rtl/>
        </w:rPr>
        <w:t>المكتب</w:t>
      </w:r>
      <w:r w:rsidR="00090597">
        <w:rPr>
          <w:rFonts w:hint="cs"/>
          <w:rtl/>
        </w:rPr>
        <w:t xml:space="preserve"> الدولي</w:t>
      </w:r>
    </w:p>
    <w:p w:rsidR="00090597" w:rsidRPr="00C75510" w:rsidRDefault="00090597" w:rsidP="000849FE">
      <w:pPr>
        <w:pStyle w:val="Heading1AR"/>
        <w:rPr>
          <w:rtl/>
        </w:rPr>
      </w:pPr>
      <w:r w:rsidRPr="00C75510">
        <w:rPr>
          <w:rtl/>
        </w:rPr>
        <w:t>مقدمة</w:t>
      </w:r>
    </w:p>
    <w:p w:rsidR="00090597" w:rsidRDefault="00090597" w:rsidP="000849FE">
      <w:pPr>
        <w:pStyle w:val="NumberedParaAR"/>
        <w:widowControl w:val="0"/>
      </w:pPr>
      <w:r w:rsidRPr="00445C1C">
        <w:rPr>
          <w:rtl/>
        </w:rPr>
        <w:t xml:space="preserve">الغرض من هذه الوثيقة هو </w:t>
      </w:r>
      <w:r w:rsidR="00635B6F">
        <w:rPr>
          <w:rFonts w:hint="cs"/>
          <w:rtl/>
        </w:rPr>
        <w:t>تقديم</w:t>
      </w:r>
      <w:r w:rsidRPr="00445C1C">
        <w:rPr>
          <w:rtl/>
        </w:rPr>
        <w:t xml:space="preserve"> </w:t>
      </w:r>
      <w:r>
        <w:rPr>
          <w:rFonts w:hint="cs"/>
          <w:rtl/>
        </w:rPr>
        <w:t xml:space="preserve">تقرير مرحلي عن </w:t>
      </w:r>
      <w:r w:rsidR="004D16A8">
        <w:rPr>
          <w:rFonts w:hint="cs"/>
          <w:rtl/>
        </w:rPr>
        <w:t>استحداث</w:t>
      </w:r>
      <w:r>
        <w:rPr>
          <w:rFonts w:hint="cs"/>
          <w:rtl/>
        </w:rPr>
        <w:t xml:space="preserve"> قاعدة </w:t>
      </w:r>
      <w:r w:rsidRPr="00090597">
        <w:rPr>
          <w:rtl/>
        </w:rPr>
        <w:t>تضم بيانات السلع والخدمات المقبولة لأغراض إجراءات نظام مدريد</w:t>
      </w:r>
      <w:r>
        <w:rPr>
          <w:rFonts w:hint="cs"/>
          <w:rtl/>
        </w:rPr>
        <w:t xml:space="preserve"> (والمشار إليها فيما يلي </w:t>
      </w:r>
      <w:r w:rsidR="00635B6F">
        <w:rPr>
          <w:rFonts w:hint="cs"/>
          <w:rtl/>
        </w:rPr>
        <w:t>باسم</w:t>
      </w:r>
      <w:r>
        <w:rPr>
          <w:rFonts w:hint="cs"/>
          <w:rtl/>
        </w:rPr>
        <w:t xml:space="preserve"> </w:t>
      </w:r>
      <w:r w:rsidR="00E63D73">
        <w:rPr>
          <w:rFonts w:hint="cs"/>
          <w:rtl/>
        </w:rPr>
        <w:t>"</w:t>
      </w:r>
      <w:r>
        <w:rPr>
          <w:rFonts w:hint="cs"/>
          <w:rtl/>
        </w:rPr>
        <w:t>ق</w:t>
      </w:r>
      <w:r w:rsidRPr="00090597">
        <w:rPr>
          <w:rtl/>
        </w:rPr>
        <w:t>اعدة بيانات</w:t>
      </w:r>
      <w:r w:rsidR="00760433">
        <w:rPr>
          <w:rFonts w:hint="cs"/>
          <w:rtl/>
        </w:rPr>
        <w:t xml:space="preserve"> </w:t>
      </w:r>
      <w:r w:rsidR="00760433" w:rsidRPr="00090597">
        <w:rPr>
          <w:rtl/>
        </w:rPr>
        <w:t>نظام مدريد</w:t>
      </w:r>
      <w:r w:rsidRPr="00090597">
        <w:rPr>
          <w:rtl/>
        </w:rPr>
        <w:t xml:space="preserve"> </w:t>
      </w:r>
      <w:r w:rsidR="00760433">
        <w:rPr>
          <w:rFonts w:hint="cs"/>
          <w:rtl/>
        </w:rPr>
        <w:t xml:space="preserve">بشأن </w:t>
      </w:r>
      <w:r w:rsidR="00760433">
        <w:rPr>
          <w:rtl/>
        </w:rPr>
        <w:t>السلع والخدمات</w:t>
      </w:r>
      <w:r w:rsidR="00E63D73">
        <w:rPr>
          <w:rFonts w:hint="cs"/>
          <w:rtl/>
        </w:rPr>
        <w:t>"</w:t>
      </w:r>
      <w:r w:rsidR="00635B6F">
        <w:rPr>
          <w:rFonts w:hint="cs"/>
          <w:rtl/>
        </w:rPr>
        <w:t xml:space="preserve"> </w:t>
      </w:r>
      <w:r w:rsidR="00635B6F" w:rsidRPr="00543BFA">
        <w:rPr>
          <w:rFonts w:eastAsia="Arial"/>
          <w:rtl/>
          <w:lang w:val="ar-SA"/>
        </w:rPr>
        <w:t>أو "قاعدة بيانات السلع والخدمات"</w:t>
      </w:r>
      <w:r w:rsidR="00E63D73">
        <w:rPr>
          <w:rFonts w:hint="cs"/>
          <w:rtl/>
        </w:rPr>
        <w:t>).</w:t>
      </w:r>
    </w:p>
    <w:p w:rsidR="00E63D73" w:rsidRDefault="00E63D73" w:rsidP="009A4F99">
      <w:pPr>
        <w:pStyle w:val="NumberedParaAR"/>
        <w:widowControl w:val="0"/>
      </w:pPr>
      <w:r>
        <w:rPr>
          <w:rFonts w:hint="cs"/>
          <w:rtl/>
        </w:rPr>
        <w:t>و</w:t>
      </w:r>
      <w:r w:rsidR="00635B6F">
        <w:rPr>
          <w:rFonts w:hint="cs"/>
          <w:rtl/>
        </w:rPr>
        <w:t xml:space="preserve">قد وافقت </w:t>
      </w:r>
      <w:r w:rsidR="00635B6F" w:rsidRPr="00E63D73">
        <w:rPr>
          <w:rtl/>
        </w:rPr>
        <w:t>جمعية اتحاد مدريد</w:t>
      </w:r>
      <w:r w:rsidR="00635B6F">
        <w:rPr>
          <w:rFonts w:hint="cs"/>
          <w:rtl/>
        </w:rPr>
        <w:t xml:space="preserve"> </w:t>
      </w:r>
      <w:r>
        <w:rPr>
          <w:rFonts w:hint="cs"/>
          <w:rtl/>
        </w:rPr>
        <w:t>في سبتمبر 2009</w:t>
      </w:r>
      <w:r w:rsidRPr="00E63D73">
        <w:rPr>
          <w:rtl/>
        </w:rPr>
        <w:t xml:space="preserve"> على</w:t>
      </w:r>
      <w:r>
        <w:rPr>
          <w:rFonts w:hint="cs"/>
          <w:rtl/>
        </w:rPr>
        <w:t xml:space="preserve"> مشروع </w:t>
      </w:r>
      <w:r w:rsidR="00635B6F">
        <w:rPr>
          <w:rFonts w:hint="cs"/>
          <w:rtl/>
        </w:rPr>
        <w:t>مدته</w:t>
      </w:r>
      <w:r>
        <w:rPr>
          <w:rFonts w:hint="cs"/>
          <w:rtl/>
        </w:rPr>
        <w:t xml:space="preserve"> </w:t>
      </w:r>
      <w:r w:rsidR="00635B6F">
        <w:rPr>
          <w:rFonts w:hint="cs"/>
          <w:rtl/>
        </w:rPr>
        <w:t>سنتان</w:t>
      </w:r>
      <w:r>
        <w:rPr>
          <w:rFonts w:hint="cs"/>
          <w:rtl/>
        </w:rPr>
        <w:t xml:space="preserve"> يهدف إلى </w:t>
      </w:r>
      <w:r w:rsidR="004D16A8">
        <w:rPr>
          <w:rFonts w:hint="cs"/>
          <w:rtl/>
        </w:rPr>
        <w:t>إنشاء</w:t>
      </w:r>
      <w:r>
        <w:rPr>
          <w:rFonts w:hint="cs"/>
          <w:rtl/>
        </w:rPr>
        <w:t xml:space="preserve"> ق</w:t>
      </w:r>
      <w:r w:rsidRPr="00090597">
        <w:rPr>
          <w:rtl/>
        </w:rPr>
        <w:t>اعدة</w:t>
      </w:r>
      <w:r>
        <w:rPr>
          <w:rFonts w:hint="cs"/>
          <w:rtl/>
        </w:rPr>
        <w:t xml:space="preserve"> </w:t>
      </w:r>
      <w:r w:rsidRPr="00090597">
        <w:rPr>
          <w:rtl/>
        </w:rPr>
        <w:t>بيانات</w:t>
      </w:r>
      <w:r w:rsidR="004D16A8">
        <w:rPr>
          <w:rFonts w:hint="cs"/>
          <w:rtl/>
        </w:rPr>
        <w:t xml:space="preserve"> بشأن</w:t>
      </w:r>
      <w:r w:rsidRPr="00090597">
        <w:rPr>
          <w:rtl/>
        </w:rPr>
        <w:t xml:space="preserve"> السلع والخدمات </w:t>
      </w:r>
      <w:r w:rsidR="00635B6F">
        <w:rPr>
          <w:rFonts w:hint="cs"/>
          <w:rtl/>
        </w:rPr>
        <w:t>على النحو الموضح</w:t>
      </w:r>
      <w:r>
        <w:rPr>
          <w:rFonts w:hint="cs"/>
          <w:rtl/>
        </w:rPr>
        <w:t xml:space="preserve"> في الوثيقة </w:t>
      </w:r>
      <w:r w:rsidRPr="00716BE0">
        <w:t>MM/A/42/3</w:t>
      </w:r>
      <w:r w:rsidR="00635B6F">
        <w:rPr>
          <w:rFonts w:hint="cs"/>
          <w:rtl/>
        </w:rPr>
        <w:t>.</w:t>
      </w:r>
      <w:r>
        <w:rPr>
          <w:rFonts w:hint="cs"/>
          <w:rtl/>
        </w:rPr>
        <w:t xml:space="preserve"> وخصص الصندوق الاحتياطي </w:t>
      </w:r>
      <w:r w:rsidR="00635B6F">
        <w:rPr>
          <w:rFonts w:hint="cs"/>
          <w:rtl/>
        </w:rPr>
        <w:t>لاتحاد</w:t>
      </w:r>
      <w:r>
        <w:rPr>
          <w:rFonts w:hint="cs"/>
          <w:rtl/>
        </w:rPr>
        <w:t xml:space="preserve"> مدريد مبلغ </w:t>
      </w:r>
      <w:r w:rsidR="009A4F99">
        <w:rPr>
          <w:rFonts w:hint="cs"/>
          <w:rtl/>
        </w:rPr>
        <w:t>1,2</w:t>
      </w:r>
      <w:r>
        <w:rPr>
          <w:rFonts w:hint="cs"/>
          <w:rtl/>
        </w:rPr>
        <w:t xml:space="preserve"> مليون فرنك سويسري </w:t>
      </w:r>
      <w:r w:rsidR="00635B6F">
        <w:rPr>
          <w:rFonts w:hint="cs"/>
          <w:rtl/>
        </w:rPr>
        <w:t xml:space="preserve">لتنفيذه </w:t>
      </w:r>
      <w:r w:rsidRPr="00E63D73">
        <w:rPr>
          <w:rtl/>
        </w:rPr>
        <w:t xml:space="preserve">خلال </w:t>
      </w:r>
      <w:r w:rsidR="009A4F99">
        <w:rPr>
          <w:rFonts w:hint="cs"/>
          <w:rtl/>
        </w:rPr>
        <w:t>الثنائية</w:t>
      </w:r>
      <w:r w:rsidRPr="00E63D73">
        <w:rPr>
          <w:rtl/>
        </w:rPr>
        <w:t xml:space="preserve"> 2010-2011</w:t>
      </w:r>
      <w:r>
        <w:rPr>
          <w:rFonts w:hint="cs"/>
          <w:rtl/>
        </w:rPr>
        <w:t xml:space="preserve"> (</w:t>
      </w:r>
      <w:r w:rsidR="009A4F99">
        <w:rPr>
          <w:rFonts w:hint="cs"/>
          <w:rtl/>
        </w:rPr>
        <w:t>ا</w:t>
      </w:r>
      <w:r w:rsidR="00635B6F">
        <w:rPr>
          <w:rFonts w:hint="cs"/>
          <w:rtl/>
        </w:rPr>
        <w:t>نظر</w:t>
      </w:r>
      <w:r>
        <w:rPr>
          <w:rFonts w:hint="cs"/>
          <w:rtl/>
        </w:rPr>
        <w:t xml:space="preserve"> الفقرة 28 من الوثيقة </w:t>
      </w:r>
      <w:r w:rsidRPr="00716BE0">
        <w:t>MM/A/42/4</w:t>
      </w:r>
      <w:r>
        <w:rPr>
          <w:rFonts w:hint="cs"/>
          <w:rtl/>
        </w:rPr>
        <w:t xml:space="preserve">). </w:t>
      </w:r>
      <w:r w:rsidR="00635B6F">
        <w:rPr>
          <w:rFonts w:hint="cs"/>
          <w:rtl/>
        </w:rPr>
        <w:t>وقُدمت</w:t>
      </w:r>
      <w:r>
        <w:rPr>
          <w:rFonts w:hint="cs"/>
          <w:rtl/>
        </w:rPr>
        <w:t xml:space="preserve"> خمسة تقارير مرحلية سابقة </w:t>
      </w:r>
      <w:r w:rsidR="00635B6F">
        <w:rPr>
          <w:rFonts w:hint="cs"/>
          <w:rtl/>
        </w:rPr>
        <w:t>إلى</w:t>
      </w:r>
      <w:r w:rsidR="00A74A57">
        <w:rPr>
          <w:rFonts w:hint="cs"/>
          <w:rtl/>
        </w:rPr>
        <w:t xml:space="preserve"> </w:t>
      </w:r>
      <w:r w:rsidR="00A74A57" w:rsidRPr="00E63D73">
        <w:rPr>
          <w:rtl/>
        </w:rPr>
        <w:t>جمعية اتحاد مدريد</w:t>
      </w:r>
      <w:r w:rsidR="00A74A57">
        <w:rPr>
          <w:rFonts w:hint="cs"/>
          <w:rtl/>
        </w:rPr>
        <w:t xml:space="preserve"> (</w:t>
      </w:r>
      <w:r w:rsidR="009A4F99">
        <w:rPr>
          <w:rFonts w:hint="cs"/>
          <w:rtl/>
        </w:rPr>
        <w:t>ا</w:t>
      </w:r>
      <w:r w:rsidR="00635B6F">
        <w:rPr>
          <w:rFonts w:hint="cs"/>
          <w:rtl/>
        </w:rPr>
        <w:t>نظر</w:t>
      </w:r>
      <w:r w:rsidR="00A74A57">
        <w:rPr>
          <w:rFonts w:hint="cs"/>
          <w:rtl/>
        </w:rPr>
        <w:t xml:space="preserve"> الوثائق التالية: </w:t>
      </w:r>
      <w:r w:rsidR="00A74A57">
        <w:t>MM/A/42/3</w:t>
      </w:r>
      <w:r w:rsidR="00A74A57">
        <w:rPr>
          <w:rFonts w:hint="cs"/>
          <w:rtl/>
        </w:rPr>
        <w:t xml:space="preserve"> و</w:t>
      </w:r>
      <w:r w:rsidR="00A74A57" w:rsidRPr="00716BE0">
        <w:t>MM/A/43/2</w:t>
      </w:r>
      <w:r w:rsidR="000849FE">
        <w:rPr>
          <w:rFonts w:hint="cs"/>
          <w:rtl/>
        </w:rPr>
        <w:t xml:space="preserve"> </w:t>
      </w:r>
      <w:r w:rsidR="00A74A57">
        <w:rPr>
          <w:rFonts w:hint="cs"/>
          <w:rtl/>
        </w:rPr>
        <w:t>و</w:t>
      </w:r>
      <w:r w:rsidR="00A74A57">
        <w:t>MM/A/44</w:t>
      </w:r>
      <w:r w:rsidR="00A74A57" w:rsidRPr="00716BE0">
        <w:t>/</w:t>
      </w:r>
      <w:r w:rsidR="00A74A57">
        <w:t>3</w:t>
      </w:r>
      <w:r w:rsidR="004D16A8">
        <w:rPr>
          <w:rFonts w:hint="cs"/>
          <w:rtl/>
        </w:rPr>
        <w:t xml:space="preserve"> </w:t>
      </w:r>
      <w:r w:rsidR="00A74A57">
        <w:rPr>
          <w:rFonts w:hint="cs"/>
          <w:rtl/>
        </w:rPr>
        <w:t>و</w:t>
      </w:r>
      <w:r w:rsidR="002A5702" w:rsidRPr="00454669">
        <w:rPr>
          <w:color w:val="000000" w:themeColor="text1"/>
        </w:rPr>
        <w:t>MM/A/45/2</w:t>
      </w:r>
      <w:r w:rsidR="009A4F99">
        <w:rPr>
          <w:rFonts w:hint="cs"/>
          <w:color w:val="000000" w:themeColor="text1"/>
          <w:rtl/>
        </w:rPr>
        <w:t xml:space="preserve"> </w:t>
      </w:r>
      <w:r w:rsidR="004D16A8">
        <w:rPr>
          <w:rFonts w:hint="cs"/>
          <w:color w:val="000000" w:themeColor="text1"/>
          <w:rtl/>
        </w:rPr>
        <w:t>و</w:t>
      </w:r>
      <w:r w:rsidR="002A5702">
        <w:t>MM/A/</w:t>
      </w:r>
      <w:r w:rsidR="002A5702" w:rsidRPr="002A5702">
        <w:t>46</w:t>
      </w:r>
      <w:r w:rsidR="002A5702">
        <w:t>/2</w:t>
      </w:r>
      <w:r w:rsidR="002A5702">
        <w:rPr>
          <w:rFonts w:hint="cs"/>
          <w:rtl/>
        </w:rPr>
        <w:t>).</w:t>
      </w:r>
    </w:p>
    <w:p w:rsidR="00603B2A" w:rsidRDefault="002A5702" w:rsidP="009A4F99">
      <w:pPr>
        <w:pStyle w:val="NumberedParaAR"/>
      </w:pPr>
      <w:r>
        <w:rPr>
          <w:rFonts w:hint="cs"/>
          <w:rtl/>
        </w:rPr>
        <w:t>و</w:t>
      </w:r>
      <w:r w:rsidR="00635B6F">
        <w:rPr>
          <w:rFonts w:hint="cs"/>
          <w:rtl/>
        </w:rPr>
        <w:t xml:space="preserve">انتقل المشروع، </w:t>
      </w:r>
      <w:r>
        <w:rPr>
          <w:rFonts w:hint="cs"/>
          <w:rtl/>
        </w:rPr>
        <w:t xml:space="preserve">في 1 يناير 2012، </w:t>
      </w:r>
      <w:r w:rsidR="00635B6F">
        <w:rPr>
          <w:rFonts w:hint="cs"/>
          <w:rtl/>
        </w:rPr>
        <w:t xml:space="preserve">إلى </w:t>
      </w:r>
      <w:r w:rsidR="004C02B1">
        <w:rPr>
          <w:rFonts w:hint="cs"/>
          <w:rtl/>
        </w:rPr>
        <w:t>مرحلة</w:t>
      </w:r>
      <w:r w:rsidR="00635B6F">
        <w:rPr>
          <w:rFonts w:hint="cs"/>
          <w:rtl/>
        </w:rPr>
        <w:t xml:space="preserve"> التشغيل</w:t>
      </w:r>
      <w:r w:rsidR="00760433">
        <w:rPr>
          <w:rtl/>
        </w:rPr>
        <w:t xml:space="preserve"> </w:t>
      </w:r>
      <w:r w:rsidR="00603B2A">
        <w:rPr>
          <w:rFonts w:hint="cs"/>
          <w:rtl/>
        </w:rPr>
        <w:t>وبالتالي أصبح الدعم التشغيلي الجاري مموَّلًا من الميزانية</w:t>
      </w:r>
      <w:r w:rsidR="009A4F99">
        <w:rPr>
          <w:rFonts w:hint="eastAsia"/>
          <w:rtl/>
        </w:rPr>
        <w:t> </w:t>
      </w:r>
      <w:r w:rsidR="00603B2A">
        <w:rPr>
          <w:rFonts w:hint="cs"/>
          <w:rtl/>
        </w:rPr>
        <w:t>العادية.</w:t>
      </w:r>
    </w:p>
    <w:p w:rsidR="00EE4DF0" w:rsidRDefault="00603B2A" w:rsidP="00F76FF7">
      <w:pPr>
        <w:pStyle w:val="NumberedParaAR"/>
        <w:widowControl w:val="0"/>
      </w:pPr>
      <w:r>
        <w:rPr>
          <w:rFonts w:hint="cs"/>
          <w:rtl/>
        </w:rPr>
        <w:t>و</w:t>
      </w:r>
      <w:r w:rsidR="00635B6F">
        <w:rPr>
          <w:rFonts w:hint="cs"/>
          <w:rtl/>
        </w:rPr>
        <w:t xml:space="preserve">تضم </w:t>
      </w:r>
      <w:r>
        <w:rPr>
          <w:rFonts w:hint="cs"/>
          <w:rtl/>
        </w:rPr>
        <w:t xml:space="preserve">هذه الوثيقة </w:t>
      </w:r>
      <w:r w:rsidR="00635B6F">
        <w:rPr>
          <w:rFonts w:hint="cs"/>
          <w:rtl/>
        </w:rPr>
        <w:t>تقريرًا</w:t>
      </w:r>
      <w:r>
        <w:rPr>
          <w:rFonts w:hint="cs"/>
          <w:rtl/>
        </w:rPr>
        <w:t xml:space="preserve"> عن التقدم المحرز </w:t>
      </w:r>
      <w:r w:rsidR="00454669">
        <w:rPr>
          <w:rFonts w:hint="cs"/>
          <w:rtl/>
        </w:rPr>
        <w:t>في تنفيذ</w:t>
      </w:r>
      <w:r>
        <w:rPr>
          <w:rFonts w:hint="cs"/>
          <w:rtl/>
        </w:rPr>
        <w:t xml:space="preserve"> </w:t>
      </w:r>
      <w:r w:rsidR="00760433">
        <w:rPr>
          <w:rFonts w:hint="cs"/>
          <w:rtl/>
        </w:rPr>
        <w:t>ق</w:t>
      </w:r>
      <w:r w:rsidR="00760433" w:rsidRPr="00090597">
        <w:rPr>
          <w:rtl/>
        </w:rPr>
        <w:t>اعدة بيانات</w:t>
      </w:r>
      <w:r w:rsidR="00760433">
        <w:rPr>
          <w:rFonts w:hint="cs"/>
          <w:rtl/>
        </w:rPr>
        <w:t xml:space="preserve"> </w:t>
      </w:r>
      <w:r w:rsidR="00760433">
        <w:rPr>
          <w:rtl/>
        </w:rPr>
        <w:t>السلع والخدمات</w:t>
      </w:r>
      <w:r w:rsidRPr="00090597">
        <w:rPr>
          <w:rtl/>
        </w:rPr>
        <w:t xml:space="preserve"> </w:t>
      </w:r>
      <w:r>
        <w:rPr>
          <w:rFonts w:hint="cs"/>
          <w:rtl/>
        </w:rPr>
        <w:t xml:space="preserve">منذ </w:t>
      </w:r>
      <w:r w:rsidR="00446801">
        <w:rPr>
          <w:rFonts w:hint="cs"/>
          <w:rtl/>
        </w:rPr>
        <w:t>إعداد</w:t>
      </w:r>
      <w:r>
        <w:rPr>
          <w:rFonts w:hint="cs"/>
          <w:rtl/>
        </w:rPr>
        <w:t xml:space="preserve"> التقرير المرحلي </w:t>
      </w:r>
      <w:r w:rsidR="00446801">
        <w:rPr>
          <w:rFonts w:hint="cs"/>
          <w:rtl/>
        </w:rPr>
        <w:t>الأخير</w:t>
      </w:r>
      <w:r>
        <w:rPr>
          <w:rFonts w:hint="cs"/>
          <w:rtl/>
        </w:rPr>
        <w:t xml:space="preserve"> (</w:t>
      </w:r>
      <w:r w:rsidR="00F76FF7">
        <w:rPr>
          <w:rFonts w:hint="cs"/>
          <w:rtl/>
        </w:rPr>
        <w:t>ا</w:t>
      </w:r>
      <w:r>
        <w:rPr>
          <w:rFonts w:hint="cs"/>
          <w:rtl/>
        </w:rPr>
        <w:t xml:space="preserve">نظر الوثيقة </w:t>
      </w:r>
      <w:r>
        <w:t>MM/A/46</w:t>
      </w:r>
      <w:r w:rsidRPr="00716BE0">
        <w:t>/2</w:t>
      </w:r>
      <w:r w:rsidR="00F76FF7">
        <w:t> </w:t>
      </w:r>
      <w:r>
        <w:t>Rev.</w:t>
      </w:r>
      <w:r>
        <w:rPr>
          <w:rFonts w:hint="cs"/>
          <w:rtl/>
        </w:rPr>
        <w:t xml:space="preserve">) </w:t>
      </w:r>
      <w:r w:rsidR="00EE4DF0">
        <w:rPr>
          <w:rFonts w:hint="cs"/>
          <w:rtl/>
        </w:rPr>
        <w:t>أي في الفترة الممتدة ما بين 1 يونيو 2013 و30 مايو 2014.</w:t>
      </w:r>
    </w:p>
    <w:p w:rsidR="00EE4DF0" w:rsidRPr="00C75510" w:rsidRDefault="00EE4DF0" w:rsidP="000849FE">
      <w:pPr>
        <w:pStyle w:val="Heading1AR"/>
        <w:rPr>
          <w:iCs/>
          <w:rtl/>
        </w:rPr>
      </w:pPr>
      <w:r w:rsidRPr="00C75510">
        <w:rPr>
          <w:rtl/>
        </w:rPr>
        <w:lastRenderedPageBreak/>
        <w:t>النتائج المحققة</w:t>
      </w:r>
    </w:p>
    <w:p w:rsidR="00EE4DF0" w:rsidRDefault="00454669" w:rsidP="000849FE">
      <w:pPr>
        <w:pStyle w:val="NumberedParaAR"/>
        <w:widowControl w:val="0"/>
      </w:pPr>
      <w:r>
        <w:rPr>
          <w:rFonts w:hint="cs"/>
          <w:rtl/>
        </w:rPr>
        <w:t>يجدر</w:t>
      </w:r>
      <w:r w:rsidR="00EE4DF0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التذكير </w:t>
      </w:r>
      <w:r w:rsidR="00855CF4">
        <w:rPr>
          <w:rFonts w:hint="cs"/>
          <w:rtl/>
        </w:rPr>
        <w:t>أنه في 1 مايو 2013، نُشرت</w:t>
      </w:r>
      <w:r>
        <w:rPr>
          <w:rFonts w:hint="cs"/>
          <w:rtl/>
        </w:rPr>
        <w:t xml:space="preserve"> نسخة جديدة من ق</w:t>
      </w:r>
      <w:r w:rsidRPr="00090597">
        <w:rPr>
          <w:rtl/>
        </w:rPr>
        <w:t xml:space="preserve">اعدة </w:t>
      </w:r>
      <w:r>
        <w:rPr>
          <w:rFonts w:hint="cs"/>
          <w:rtl/>
        </w:rPr>
        <w:t>بيانات نظام مدريد</w:t>
      </w:r>
      <w:r w:rsidRPr="00090597"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>
        <w:rPr>
          <w:rtl/>
        </w:rPr>
        <w:t>السلع والخدمات</w:t>
      </w:r>
      <w:r w:rsidR="00855CF4">
        <w:rPr>
          <w:rFonts w:hint="cs"/>
          <w:rtl/>
        </w:rPr>
        <w:t xml:space="preserve"> </w:t>
      </w:r>
      <w:r w:rsidR="00EE4DF0">
        <w:rPr>
          <w:rFonts w:hint="cs"/>
          <w:rtl/>
        </w:rPr>
        <w:t xml:space="preserve">على </w:t>
      </w:r>
      <w:r w:rsidR="00EE4DF0" w:rsidRPr="00EE4DF0">
        <w:rPr>
          <w:rtl/>
        </w:rPr>
        <w:t>موقع الويبو العام على الإنترنت</w:t>
      </w:r>
      <w:r>
        <w:rPr>
          <w:rFonts w:hint="cs"/>
          <w:rtl/>
        </w:rPr>
        <w:t>.</w:t>
      </w:r>
      <w:r w:rsidR="00EE4DF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E4DF0">
        <w:rPr>
          <w:rFonts w:hint="cs"/>
          <w:rtl/>
        </w:rPr>
        <w:t>تتضمن</w:t>
      </w:r>
      <w:r>
        <w:rPr>
          <w:rFonts w:hint="cs"/>
          <w:rtl/>
        </w:rPr>
        <w:t xml:space="preserve"> هذه النسخة</w:t>
      </w:r>
      <w:r w:rsidR="00EE4DF0">
        <w:rPr>
          <w:rFonts w:hint="cs"/>
          <w:rtl/>
        </w:rPr>
        <w:t xml:space="preserve"> الخاصيات التالية:</w:t>
      </w:r>
    </w:p>
    <w:p w:rsidR="00FD21ED" w:rsidRDefault="00FD21ED" w:rsidP="000849FE">
      <w:pPr>
        <w:pStyle w:val="NumberedParaAR"/>
        <w:widowControl w:val="0"/>
        <w:numPr>
          <w:ilvl w:val="0"/>
          <w:numId w:val="21"/>
        </w:numPr>
      </w:pPr>
      <w:r>
        <w:rPr>
          <w:rFonts w:hint="cs"/>
          <w:rtl/>
        </w:rPr>
        <w:t>واجهات</w:t>
      </w:r>
      <w:r w:rsidR="006A4BCB">
        <w:rPr>
          <w:rFonts w:hint="cs"/>
          <w:rtl/>
        </w:rPr>
        <w:t xml:space="preserve"> </w:t>
      </w:r>
      <w:r w:rsidR="00454669">
        <w:rPr>
          <w:rFonts w:hint="cs"/>
          <w:rtl/>
        </w:rPr>
        <w:t>إضافية</w:t>
      </w:r>
      <w:r>
        <w:rPr>
          <w:rFonts w:hint="cs"/>
          <w:rtl/>
        </w:rPr>
        <w:t xml:space="preserve"> بخمس لغات جديدة وهي الصينية المبسطة والصينية التقليدية واليابانية والنرويجية والتركية؛</w:t>
      </w:r>
    </w:p>
    <w:p w:rsidR="00FD21ED" w:rsidRDefault="00AC4D30" w:rsidP="000849FE">
      <w:pPr>
        <w:pStyle w:val="NumberedParaAR"/>
        <w:widowControl w:val="0"/>
        <w:numPr>
          <w:ilvl w:val="0"/>
          <w:numId w:val="21"/>
        </w:numPr>
      </w:pPr>
      <w:r>
        <w:rPr>
          <w:rFonts w:eastAsia="Arial" w:hint="cs"/>
          <w:rtl/>
        </w:rPr>
        <w:t>وظيفة ترجمة موسعة تمك</w:t>
      </w:r>
      <w:r w:rsidR="00855CF4">
        <w:rPr>
          <w:rFonts w:eastAsia="Arial" w:hint="cs"/>
          <w:rtl/>
        </w:rPr>
        <w:t>ِّ</w:t>
      </w:r>
      <w:r>
        <w:rPr>
          <w:rFonts w:eastAsia="Arial" w:hint="cs"/>
          <w:rtl/>
        </w:rPr>
        <w:t>ن من الترجمة من أي</w:t>
      </w:r>
      <w:r w:rsidR="00454669">
        <w:rPr>
          <w:rFonts w:eastAsia="Arial" w:hint="cs"/>
          <w:rtl/>
        </w:rPr>
        <w:t>ٍّ</w:t>
      </w:r>
      <w:r>
        <w:rPr>
          <w:rFonts w:eastAsia="Arial" w:hint="cs"/>
          <w:rtl/>
        </w:rPr>
        <w:t xml:space="preserve"> من اللغات الخمس عشرة وإليها </w:t>
      </w:r>
      <w:r w:rsidR="00FA50BE">
        <w:rPr>
          <w:rFonts w:hint="cs"/>
          <w:rtl/>
        </w:rPr>
        <w:t>(</w:t>
      </w:r>
      <w:r>
        <w:rPr>
          <w:rFonts w:eastAsia="Arial" w:hint="cs"/>
          <w:rtl/>
        </w:rPr>
        <w:t>شريطة أن تكون المكاتب المعنية قد قدمت الترجمات إلى اللغات الهدف</w:t>
      </w:r>
      <w:r w:rsidR="00FA50BE">
        <w:rPr>
          <w:rFonts w:hint="cs"/>
          <w:rtl/>
        </w:rPr>
        <w:t>).</w:t>
      </w:r>
    </w:p>
    <w:p w:rsidR="00D3253C" w:rsidRDefault="00FA50BE" w:rsidP="000849FE">
      <w:pPr>
        <w:pStyle w:val="NumberedParaAR"/>
        <w:widowControl w:val="0"/>
        <w:numPr>
          <w:ilvl w:val="0"/>
          <w:numId w:val="21"/>
        </w:numPr>
      </w:pPr>
      <w:r w:rsidRPr="00FA50BE">
        <w:rPr>
          <w:rtl/>
        </w:rPr>
        <w:t>الوظيفة الجديدة</w:t>
      </w:r>
      <w:r>
        <w:rPr>
          <w:rFonts w:hint="cs"/>
          <w:rtl/>
        </w:rPr>
        <w:t xml:space="preserve"> المسماة</w:t>
      </w:r>
      <w:r w:rsidRPr="00FA50BE">
        <w:rPr>
          <w:rtl/>
        </w:rPr>
        <w:t xml:space="preserve"> "تحقق من قبول طرف متعاقد معين"</w:t>
      </w:r>
      <w:r w:rsidR="006A4BCB">
        <w:rPr>
          <w:rFonts w:hint="cs"/>
          <w:rtl/>
        </w:rPr>
        <w:t xml:space="preserve"> التي ت</w:t>
      </w:r>
      <w:r w:rsidR="00454669">
        <w:rPr>
          <w:rFonts w:hint="cs"/>
          <w:rtl/>
        </w:rPr>
        <w:t>ُ</w:t>
      </w:r>
      <w:r w:rsidR="006A4BCB">
        <w:rPr>
          <w:rFonts w:hint="cs"/>
          <w:rtl/>
        </w:rPr>
        <w:t xml:space="preserve">ظهر حالة قبول الأطراف المتعاقدة المشاركة في </w:t>
      </w:r>
      <w:r w:rsidR="006A4BCB" w:rsidRPr="00EE4DF0">
        <w:rPr>
          <w:rtl/>
        </w:rPr>
        <w:t>نظام مدريد لإدارة السلع والخدمات</w:t>
      </w:r>
      <w:r w:rsidR="006A4BCB">
        <w:rPr>
          <w:rFonts w:hint="cs"/>
          <w:rtl/>
        </w:rPr>
        <w:t xml:space="preserve"> </w:t>
      </w:r>
      <w:r w:rsidR="00446801">
        <w:rPr>
          <w:rFonts w:hint="cs"/>
          <w:rtl/>
        </w:rPr>
        <w:t>للبيانات</w:t>
      </w:r>
      <w:r w:rsidR="006A4BCB">
        <w:rPr>
          <w:rFonts w:hint="cs"/>
          <w:rtl/>
        </w:rPr>
        <w:t>. وتمك</w:t>
      </w:r>
      <w:r w:rsidR="00454669">
        <w:rPr>
          <w:rFonts w:hint="cs"/>
          <w:rtl/>
        </w:rPr>
        <w:t>ِّ</w:t>
      </w:r>
      <w:r w:rsidR="006A4BCB">
        <w:rPr>
          <w:rFonts w:hint="cs"/>
          <w:rtl/>
        </w:rPr>
        <w:t xml:space="preserve">ن المعلومات </w:t>
      </w:r>
      <w:r w:rsidR="00454669">
        <w:rPr>
          <w:rFonts w:hint="cs"/>
          <w:rtl/>
        </w:rPr>
        <w:t>المعروضة</w:t>
      </w:r>
      <w:r w:rsidR="006A4BCB">
        <w:rPr>
          <w:rFonts w:hint="cs"/>
          <w:rtl/>
        </w:rPr>
        <w:t xml:space="preserve"> </w:t>
      </w:r>
      <w:r w:rsidR="006A4BCB" w:rsidRPr="006A4BCB">
        <w:rPr>
          <w:rtl/>
        </w:rPr>
        <w:t>مودع طلب العلامة التجارية</w:t>
      </w:r>
      <w:r w:rsidR="00454669">
        <w:rPr>
          <w:rFonts w:hint="cs"/>
          <w:rtl/>
        </w:rPr>
        <w:t xml:space="preserve"> من معرفة ما إذا كان</w:t>
      </w:r>
      <w:r w:rsidR="00D3253C">
        <w:rPr>
          <w:rFonts w:hint="cs"/>
          <w:rtl/>
        </w:rPr>
        <w:t xml:space="preserve"> </w:t>
      </w:r>
      <w:r w:rsidR="00454669">
        <w:rPr>
          <w:rFonts w:hint="cs"/>
          <w:rtl/>
        </w:rPr>
        <w:t>طرف من الأطراف المتعاقدة قد رفض</w:t>
      </w:r>
      <w:r w:rsidR="00D3253C">
        <w:rPr>
          <w:rFonts w:hint="cs"/>
          <w:rtl/>
        </w:rPr>
        <w:t xml:space="preserve"> بعض </w:t>
      </w:r>
      <w:r w:rsidR="00446801">
        <w:rPr>
          <w:rFonts w:hint="cs"/>
          <w:rtl/>
        </w:rPr>
        <w:t>البيانات</w:t>
      </w:r>
      <w:r w:rsidR="00D3253C">
        <w:rPr>
          <w:rFonts w:hint="cs"/>
          <w:rtl/>
        </w:rPr>
        <w:t xml:space="preserve"> التي قب</w:t>
      </w:r>
      <w:r w:rsidR="00855CF4">
        <w:rPr>
          <w:rFonts w:hint="cs"/>
          <w:rtl/>
        </w:rPr>
        <w:t>ِ</w:t>
      </w:r>
      <w:r w:rsidR="00D3253C">
        <w:rPr>
          <w:rFonts w:hint="cs"/>
          <w:rtl/>
        </w:rPr>
        <w:t>لها المكتب الدولي</w:t>
      </w:r>
      <w:r w:rsidR="00454669">
        <w:rPr>
          <w:rFonts w:hint="cs"/>
          <w:rtl/>
        </w:rPr>
        <w:t>،</w:t>
      </w:r>
      <w:r w:rsidR="00D3253C">
        <w:rPr>
          <w:rFonts w:hint="cs"/>
          <w:rtl/>
        </w:rPr>
        <w:t xml:space="preserve"> مما يترتب </w:t>
      </w:r>
      <w:r w:rsidR="00454669">
        <w:rPr>
          <w:rFonts w:hint="cs"/>
          <w:rtl/>
        </w:rPr>
        <w:t>عليه</w:t>
      </w:r>
      <w:r w:rsidR="00D3253C">
        <w:rPr>
          <w:rFonts w:hint="cs"/>
          <w:rtl/>
        </w:rPr>
        <w:t xml:space="preserve"> إخطار بالرفض المؤقت من جانب ذلك الطرف المتعاقد.</w:t>
      </w:r>
    </w:p>
    <w:p w:rsidR="00FA50BE" w:rsidRDefault="00D3253C" w:rsidP="000849FE">
      <w:pPr>
        <w:pStyle w:val="NumberedParaAR"/>
        <w:widowControl w:val="0"/>
      </w:pPr>
      <w:r>
        <w:rPr>
          <w:rFonts w:hint="cs"/>
          <w:rtl/>
        </w:rPr>
        <w:t xml:space="preserve">ويجدر التذكير أيضًا أن الترجمة التي تُدرَج في </w:t>
      </w:r>
      <w:r w:rsidR="00760433">
        <w:rPr>
          <w:rFonts w:hint="cs"/>
          <w:rtl/>
        </w:rPr>
        <w:t>ق</w:t>
      </w:r>
      <w:r w:rsidR="00760433" w:rsidRPr="00090597">
        <w:rPr>
          <w:rtl/>
        </w:rPr>
        <w:t>اعدة بيانات</w:t>
      </w:r>
      <w:r w:rsidR="00760433">
        <w:rPr>
          <w:rFonts w:hint="cs"/>
          <w:rtl/>
        </w:rPr>
        <w:t xml:space="preserve"> </w:t>
      </w:r>
      <w:r w:rsidR="00760433" w:rsidRPr="00090597">
        <w:rPr>
          <w:rtl/>
        </w:rPr>
        <w:t xml:space="preserve">نظام مدريد </w:t>
      </w:r>
      <w:r w:rsidR="00760433">
        <w:rPr>
          <w:rFonts w:hint="cs"/>
          <w:rtl/>
        </w:rPr>
        <w:t xml:space="preserve">بشأن </w:t>
      </w:r>
      <w:r w:rsidR="00760433">
        <w:rPr>
          <w:rtl/>
        </w:rPr>
        <w:t xml:space="preserve">السلع والخدمات </w:t>
      </w:r>
      <w:r>
        <w:rPr>
          <w:rFonts w:hint="cs"/>
          <w:rtl/>
        </w:rPr>
        <w:t xml:space="preserve">في لغات غير لغات </w:t>
      </w:r>
      <w:r w:rsidR="00855CF4">
        <w:rPr>
          <w:rFonts w:hint="cs"/>
          <w:rtl/>
        </w:rPr>
        <w:t>الإيداع في</w:t>
      </w:r>
      <w:r>
        <w:rPr>
          <w:rFonts w:hint="cs"/>
          <w:rtl/>
        </w:rPr>
        <w:t xml:space="preserve"> </w:t>
      </w:r>
      <w:r w:rsidR="00CB65F1">
        <w:rPr>
          <w:rFonts w:hint="cs"/>
          <w:rtl/>
        </w:rPr>
        <w:t>نظام مدريد الثلاث</w:t>
      </w:r>
      <w:r w:rsidR="00855CF4">
        <w:rPr>
          <w:rFonts w:hint="cs"/>
          <w:rtl/>
        </w:rPr>
        <w:t>،</w:t>
      </w:r>
      <w:r w:rsidR="00CB65F1">
        <w:rPr>
          <w:rFonts w:hint="cs"/>
          <w:rtl/>
        </w:rPr>
        <w:t xml:space="preserve"> وكذا المعلومات المتعلقة بحالة القبول </w:t>
      </w:r>
      <w:r w:rsidR="00760433">
        <w:rPr>
          <w:rFonts w:hint="cs"/>
          <w:rtl/>
        </w:rPr>
        <w:t xml:space="preserve">هي </w:t>
      </w:r>
      <w:r w:rsidR="00885A8F">
        <w:rPr>
          <w:rFonts w:hint="cs"/>
          <w:rtl/>
        </w:rPr>
        <w:t>ثمرة</w:t>
      </w:r>
      <w:r w:rsidR="00CB65F1">
        <w:rPr>
          <w:rFonts w:hint="cs"/>
          <w:rtl/>
        </w:rPr>
        <w:t xml:space="preserve"> التعاون مع المكاتب الوطنية. </w:t>
      </w:r>
      <w:r w:rsidR="00760433">
        <w:rPr>
          <w:rFonts w:hint="cs"/>
          <w:rtl/>
        </w:rPr>
        <w:t>وباشر</w:t>
      </w:r>
      <w:r w:rsidR="00CB65F1">
        <w:rPr>
          <w:rFonts w:hint="cs"/>
          <w:rtl/>
        </w:rPr>
        <w:t xml:space="preserve"> المكتب الدولي، في هذا الصدد، </w:t>
      </w:r>
      <w:r w:rsidR="00760433">
        <w:rPr>
          <w:rFonts w:hint="cs"/>
          <w:rtl/>
        </w:rPr>
        <w:t xml:space="preserve">في </w:t>
      </w:r>
      <w:r w:rsidR="00CB65F1">
        <w:rPr>
          <w:rFonts w:hint="cs"/>
          <w:rtl/>
        </w:rPr>
        <w:t>المزيد من التعاون</w:t>
      </w:r>
      <w:r w:rsidR="00855CF4">
        <w:rPr>
          <w:rFonts w:hint="cs"/>
          <w:rtl/>
        </w:rPr>
        <w:t>،</w:t>
      </w:r>
      <w:r w:rsidR="00CB65F1">
        <w:rPr>
          <w:rFonts w:hint="cs"/>
          <w:rtl/>
        </w:rPr>
        <w:t xml:space="preserve"> </w:t>
      </w:r>
      <w:r w:rsidR="006D31AF">
        <w:rPr>
          <w:rFonts w:hint="cs"/>
          <w:rtl/>
          <w:lang w:bidi="ar-AE"/>
        </w:rPr>
        <w:t>في مجال</w:t>
      </w:r>
      <w:r w:rsidR="00CB65F1">
        <w:rPr>
          <w:rFonts w:hint="cs"/>
          <w:rtl/>
        </w:rPr>
        <w:t xml:space="preserve"> </w:t>
      </w:r>
      <w:r w:rsidR="00CB65F1" w:rsidRPr="00EE4DF0">
        <w:rPr>
          <w:rtl/>
        </w:rPr>
        <w:t>إدارة السلع والخدمات</w:t>
      </w:r>
      <w:r w:rsidR="00B11AD7">
        <w:rPr>
          <w:rFonts w:hint="cs"/>
          <w:rtl/>
        </w:rPr>
        <w:t xml:space="preserve"> في نظام مدريد</w:t>
      </w:r>
      <w:r w:rsidR="00855CF4">
        <w:rPr>
          <w:rFonts w:hint="cs"/>
          <w:rtl/>
        </w:rPr>
        <w:t>،</w:t>
      </w:r>
      <w:r w:rsidR="00CB65F1">
        <w:rPr>
          <w:rFonts w:hint="cs"/>
          <w:rtl/>
        </w:rPr>
        <w:t xml:space="preserve"> مع المكاتب الوطنية التي طلبت </w:t>
      </w:r>
      <w:r w:rsidR="00AD6672" w:rsidRPr="00AD6672">
        <w:rPr>
          <w:rFonts w:hint="cs"/>
          <w:color w:val="000000" w:themeColor="text1"/>
          <w:rtl/>
        </w:rPr>
        <w:t>إدماج البيانات</w:t>
      </w:r>
      <w:r w:rsidR="00CB65F1" w:rsidRPr="00CB65F1">
        <w:rPr>
          <w:rFonts w:hint="cs"/>
          <w:color w:val="FF0000"/>
          <w:rtl/>
        </w:rPr>
        <w:t xml:space="preserve"> </w:t>
      </w:r>
      <w:r w:rsidR="00CB65F1">
        <w:rPr>
          <w:rFonts w:hint="cs"/>
          <w:rtl/>
        </w:rPr>
        <w:t>منذ 1 مايو 2013، وهي:</w:t>
      </w:r>
    </w:p>
    <w:p w:rsidR="00CB65F1" w:rsidRDefault="00CB65F1" w:rsidP="00F72E90">
      <w:pPr>
        <w:pStyle w:val="NumberedParaAR"/>
        <w:widowControl w:val="0"/>
        <w:numPr>
          <w:ilvl w:val="0"/>
          <w:numId w:val="21"/>
        </w:numPr>
        <w:spacing w:after="0"/>
        <w:ind w:left="1133" w:hanging="567"/>
      </w:pPr>
      <w:r w:rsidRPr="00CB65F1">
        <w:rPr>
          <w:rtl/>
        </w:rPr>
        <w:t>مكتب الملكية الفكرية في جمهورية صربي</w:t>
      </w:r>
      <w:r>
        <w:rPr>
          <w:rFonts w:hint="cs"/>
          <w:rtl/>
        </w:rPr>
        <w:t>ا</w:t>
      </w:r>
      <w:r w:rsidR="009B31D8">
        <w:rPr>
          <w:rFonts w:hint="cs"/>
          <w:rtl/>
        </w:rPr>
        <w:t>،</w:t>
      </w:r>
    </w:p>
    <w:p w:rsidR="009B31D8" w:rsidRDefault="009B31D8" w:rsidP="00F72E90">
      <w:pPr>
        <w:pStyle w:val="NumberedParaAR"/>
        <w:widowControl w:val="0"/>
        <w:numPr>
          <w:ilvl w:val="0"/>
          <w:numId w:val="21"/>
        </w:numPr>
        <w:spacing w:after="0"/>
        <w:ind w:left="1133" w:hanging="567"/>
      </w:pPr>
      <w:r w:rsidRPr="009B31D8">
        <w:rPr>
          <w:rtl/>
        </w:rPr>
        <w:t>الدائرة الحكومية الأوكرانية للملكية الفكرية</w:t>
      </w:r>
      <w:r>
        <w:rPr>
          <w:rFonts w:hint="cs"/>
          <w:rtl/>
        </w:rPr>
        <w:t>،</w:t>
      </w:r>
    </w:p>
    <w:p w:rsidR="009B31D8" w:rsidRDefault="009B31D8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 w:rsidRPr="009B31D8">
        <w:rPr>
          <w:rtl/>
        </w:rPr>
        <w:t>المعهد المكسيكي للملكية الصناعية</w:t>
      </w:r>
      <w:r>
        <w:rPr>
          <w:rFonts w:hint="cs"/>
          <w:rtl/>
        </w:rPr>
        <w:t>.</w:t>
      </w:r>
    </w:p>
    <w:p w:rsidR="00446801" w:rsidRPr="00446801" w:rsidRDefault="009B31D8" w:rsidP="00F72E90">
      <w:pPr>
        <w:pStyle w:val="NumberedParaAR"/>
        <w:widowControl w:val="0"/>
        <w:rPr>
          <w:rFonts w:eastAsia="Arial"/>
        </w:rPr>
      </w:pPr>
      <w:r>
        <w:rPr>
          <w:rFonts w:hint="cs"/>
          <w:rtl/>
        </w:rPr>
        <w:t>ولفهم</w:t>
      </w:r>
      <w:r w:rsidR="00855CF4">
        <w:rPr>
          <w:rFonts w:hint="cs"/>
          <w:rtl/>
        </w:rPr>
        <w:t>ٍ</w:t>
      </w:r>
      <w:r>
        <w:rPr>
          <w:rFonts w:hint="cs"/>
          <w:rtl/>
        </w:rPr>
        <w:t xml:space="preserve"> أفضل للأرقام المتضم</w:t>
      </w:r>
      <w:r w:rsidR="006D31AF">
        <w:rPr>
          <w:rFonts w:hint="cs"/>
          <w:rtl/>
        </w:rPr>
        <w:t>َّ</w:t>
      </w:r>
      <w:r>
        <w:rPr>
          <w:rFonts w:hint="cs"/>
          <w:rtl/>
        </w:rPr>
        <w:t>نة في المرفقين</w:t>
      </w:r>
      <w:r w:rsidR="00F72E90">
        <w:rPr>
          <w:rFonts w:hint="cs"/>
          <w:rtl/>
        </w:rPr>
        <w:t xml:space="preserve"> الأول والثاني الواردين أدناه (</w:t>
      </w:r>
      <w:r w:rsidR="00F72E90">
        <w:rPr>
          <w:rFonts w:hint="cs"/>
          <w:rtl/>
          <w:lang w:val="fr-CH"/>
        </w:rPr>
        <w:t>ا</w:t>
      </w:r>
      <w:r>
        <w:rPr>
          <w:rFonts w:hint="cs"/>
          <w:rtl/>
        </w:rPr>
        <w:t xml:space="preserve">نظر الفقرتين 9 و10)، </w:t>
      </w:r>
      <w:r w:rsidR="00B11AD7">
        <w:rPr>
          <w:rFonts w:hint="cs"/>
          <w:rtl/>
        </w:rPr>
        <w:t xml:space="preserve">تجدر الإشارة أيضًا </w:t>
      </w:r>
      <w:r w:rsidR="00760433">
        <w:rPr>
          <w:rFonts w:hint="cs"/>
          <w:rtl/>
        </w:rPr>
        <w:t>إلى أن ق</w:t>
      </w:r>
      <w:r w:rsidR="00760433" w:rsidRPr="00090597">
        <w:rPr>
          <w:rtl/>
        </w:rPr>
        <w:t>اعدة بيانات</w:t>
      </w:r>
      <w:r w:rsidR="00760433">
        <w:rPr>
          <w:rFonts w:hint="cs"/>
          <w:rtl/>
        </w:rPr>
        <w:t xml:space="preserve"> </w:t>
      </w:r>
      <w:r w:rsidR="00760433" w:rsidRPr="00090597">
        <w:rPr>
          <w:rtl/>
        </w:rPr>
        <w:t xml:space="preserve">نظام مدريد </w:t>
      </w:r>
      <w:r w:rsidR="00760433">
        <w:rPr>
          <w:rFonts w:hint="cs"/>
          <w:rtl/>
        </w:rPr>
        <w:t xml:space="preserve">بشأن </w:t>
      </w:r>
      <w:r w:rsidR="00760433">
        <w:rPr>
          <w:rtl/>
        </w:rPr>
        <w:t>السلع والخدمات</w:t>
      </w:r>
      <w:r w:rsidR="00760433">
        <w:rPr>
          <w:rFonts w:hint="cs"/>
          <w:rtl/>
        </w:rPr>
        <w:t xml:space="preserve"> </w:t>
      </w:r>
      <w:r w:rsidR="00F72E90">
        <w:rPr>
          <w:rFonts w:hint="cs"/>
          <w:rtl/>
        </w:rPr>
        <w:t>مطابقة ل</w:t>
      </w:r>
      <w:r w:rsidR="00635B6F">
        <w:rPr>
          <w:rFonts w:hint="cs"/>
          <w:rtl/>
        </w:rPr>
        <w:t>قائمة</w:t>
      </w:r>
      <w:r w:rsidR="00446801">
        <w:rPr>
          <w:rFonts w:hint="cs"/>
          <w:rtl/>
        </w:rPr>
        <w:t xml:space="preserve"> نيس الأبجدية للسلع والخدمات</w:t>
      </w:r>
      <w:r w:rsidR="006D31AF">
        <w:rPr>
          <w:rFonts w:hint="cs"/>
          <w:rtl/>
        </w:rPr>
        <w:t xml:space="preserve"> في البنية</w:t>
      </w:r>
      <w:r w:rsidR="00635B6F">
        <w:rPr>
          <w:rFonts w:hint="cs"/>
          <w:rtl/>
        </w:rPr>
        <w:t xml:space="preserve">، حيث تُجمَّع </w:t>
      </w:r>
      <w:r w:rsidR="00446801">
        <w:rPr>
          <w:rFonts w:hint="cs"/>
          <w:rtl/>
        </w:rPr>
        <w:t>البيانات</w:t>
      </w:r>
      <w:r w:rsidR="00635B6F">
        <w:rPr>
          <w:rFonts w:hint="cs"/>
          <w:rtl/>
        </w:rPr>
        <w:t xml:space="preserve"> المترادفة في إطار "مفاهيم" </w:t>
      </w:r>
      <w:r w:rsidR="00122AC9">
        <w:rPr>
          <w:rFonts w:hint="cs"/>
          <w:rtl/>
        </w:rPr>
        <w:t>يُخصَّص رقمٌ واحدٌ لكل</w:t>
      </w:r>
      <w:r w:rsidR="00855CF4">
        <w:rPr>
          <w:rFonts w:hint="cs"/>
          <w:rtl/>
        </w:rPr>
        <w:t>ٍّ</w:t>
      </w:r>
      <w:r w:rsidR="00122AC9">
        <w:rPr>
          <w:rFonts w:hint="cs"/>
          <w:rtl/>
        </w:rPr>
        <w:t xml:space="preserve"> منها</w:t>
      </w:r>
      <w:r w:rsidR="00446801">
        <w:rPr>
          <w:rFonts w:hint="cs"/>
          <w:rtl/>
        </w:rPr>
        <w:t xml:space="preserve">. </w:t>
      </w:r>
      <w:r w:rsidR="00446801">
        <w:rPr>
          <w:rFonts w:eastAsia="Arial" w:hint="cs"/>
          <w:rtl/>
          <w:lang w:val="ar-SA"/>
        </w:rPr>
        <w:t>وتتلخص مزايا</w:t>
      </w:r>
      <w:r w:rsidR="00446801" w:rsidRPr="00543BFA">
        <w:rPr>
          <w:rFonts w:eastAsia="Arial"/>
          <w:rtl/>
          <w:lang w:val="ar-SA"/>
        </w:rPr>
        <w:t xml:space="preserve"> </w:t>
      </w:r>
      <w:r w:rsidR="00446801">
        <w:rPr>
          <w:rFonts w:eastAsia="Arial" w:hint="cs"/>
          <w:rtl/>
          <w:lang w:val="ar-SA"/>
        </w:rPr>
        <w:t xml:space="preserve">تجميع </w:t>
      </w:r>
      <w:r w:rsidR="00446801" w:rsidRPr="00543BFA">
        <w:rPr>
          <w:rFonts w:eastAsia="Arial"/>
          <w:rtl/>
          <w:lang w:val="ar-SA"/>
        </w:rPr>
        <w:t xml:space="preserve">بيانات السلع والخدمات على هيئة مفاهيم </w:t>
      </w:r>
      <w:r w:rsidR="00446801">
        <w:rPr>
          <w:rFonts w:eastAsia="Arial" w:hint="cs"/>
          <w:rtl/>
          <w:lang w:val="ar-SA"/>
        </w:rPr>
        <w:t>في ثلاث نقاط:</w:t>
      </w:r>
    </w:p>
    <w:p w:rsidR="00446801" w:rsidRDefault="00446801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/>
        </w:rPr>
      </w:pPr>
      <w:r w:rsidRPr="00543BFA">
        <w:rPr>
          <w:rFonts w:eastAsia="Arial"/>
          <w:rtl/>
          <w:lang w:val="ar-SA"/>
        </w:rPr>
        <w:t>تخفيف جهود الترجمة الواقعة على كاهل المكاتب الوطنية</w:t>
      </w:r>
      <w:r>
        <w:rPr>
          <w:rFonts w:eastAsia="Arial" w:hint="cs"/>
          <w:rtl/>
          <w:lang w:val="ar-SA"/>
        </w:rPr>
        <w:t xml:space="preserve"> التي تترجم إلى اللغات الوطنية</w:t>
      </w:r>
      <w:r w:rsidRPr="00543BFA">
        <w:rPr>
          <w:rFonts w:eastAsia="Arial"/>
          <w:rtl/>
          <w:lang w:val="ar-SA"/>
        </w:rPr>
        <w:t xml:space="preserve"> </w:t>
      </w:r>
      <w:r w:rsidR="00122AC9">
        <w:rPr>
          <w:rFonts w:eastAsia="Arial" w:hint="cs"/>
          <w:rtl/>
          <w:lang w:val="ar-SA"/>
        </w:rPr>
        <w:t>إذ أنها لا تُلزم بتقديم أكثر من ترجمة واحدة لكل مفهوم</w:t>
      </w:r>
      <w:r>
        <w:rPr>
          <w:rFonts w:eastAsia="Arial" w:hint="cs"/>
          <w:rtl/>
          <w:lang w:val="ar-SA"/>
        </w:rPr>
        <w:t>؛</w:t>
      </w:r>
    </w:p>
    <w:p w:rsidR="00446801" w:rsidRPr="00446801" w:rsidRDefault="00122AC9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/>
        </w:rPr>
      </w:pPr>
      <w:r>
        <w:rPr>
          <w:rFonts w:eastAsia="Arial" w:hint="cs"/>
          <w:rtl/>
          <w:lang w:val="ar-SA"/>
        </w:rPr>
        <w:t>وتلافي</w:t>
      </w:r>
      <w:r w:rsidR="00446801" w:rsidRPr="00543BFA">
        <w:rPr>
          <w:rFonts w:eastAsia="Arial"/>
          <w:rtl/>
          <w:lang w:val="ar-SA"/>
        </w:rPr>
        <w:t xml:space="preserve"> الازدواجية في الترجمة </w:t>
      </w:r>
      <w:r w:rsidR="00446801">
        <w:rPr>
          <w:rFonts w:eastAsia="Arial" w:hint="cs"/>
          <w:rtl/>
          <w:lang w:val="ar-SA"/>
        </w:rPr>
        <w:t>نظرا لصعوبة ترجمة بعض التفاصيل الدقيقة من اللغة الإنكليزية (وهي اللغة الأساسية في قاعدة البيانات)</w:t>
      </w:r>
      <w:r w:rsidR="00446801" w:rsidRPr="00543BFA">
        <w:rPr>
          <w:rFonts w:eastAsia="Arial"/>
          <w:rtl/>
          <w:lang w:val="ar-SA"/>
        </w:rPr>
        <w:t>؛</w:t>
      </w:r>
    </w:p>
    <w:p w:rsidR="002263F1" w:rsidRPr="00C75510" w:rsidRDefault="00122AC9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/>
        </w:rPr>
      </w:pPr>
      <w:r>
        <w:rPr>
          <w:rFonts w:eastAsia="Arial" w:hint="cs"/>
          <w:rtl/>
        </w:rPr>
        <w:t>و</w:t>
      </w:r>
      <w:r w:rsidR="000D2366">
        <w:rPr>
          <w:rFonts w:eastAsia="Arial" w:hint="cs"/>
          <w:rtl/>
        </w:rPr>
        <w:t xml:space="preserve">تلفت </w:t>
      </w:r>
      <w:r w:rsidR="000D2366">
        <w:rPr>
          <w:rFonts w:hint="cs"/>
          <w:rtl/>
        </w:rPr>
        <w:t>ق</w:t>
      </w:r>
      <w:r w:rsidR="000D2366" w:rsidRPr="00090597">
        <w:rPr>
          <w:rtl/>
        </w:rPr>
        <w:t xml:space="preserve">اعدة </w:t>
      </w:r>
      <w:r w:rsidR="000D2366">
        <w:rPr>
          <w:rFonts w:hint="cs"/>
          <w:rtl/>
        </w:rPr>
        <w:t>ال</w:t>
      </w:r>
      <w:r w:rsidR="000D2366" w:rsidRPr="00090597">
        <w:rPr>
          <w:rtl/>
        </w:rPr>
        <w:t>بيانات</w:t>
      </w:r>
      <w:r w:rsidR="000D2366">
        <w:rPr>
          <w:rFonts w:hint="cs"/>
          <w:rtl/>
        </w:rPr>
        <w:t xml:space="preserve"> نظر المستخدم إلى انتقائه بيانات مترادفة من نتائج البحث.</w:t>
      </w:r>
    </w:p>
    <w:p w:rsidR="002263F1" w:rsidRPr="00C75510" w:rsidRDefault="002263F1" w:rsidP="000849FE">
      <w:pPr>
        <w:pStyle w:val="Heading2AR"/>
        <w:rPr>
          <w:bCs/>
          <w:iCs/>
        </w:rPr>
      </w:pPr>
      <w:r w:rsidRPr="00C75510">
        <w:rPr>
          <w:rtl/>
        </w:rPr>
        <w:t>التنوع اللغوي</w:t>
      </w:r>
    </w:p>
    <w:p w:rsidR="002263F1" w:rsidRDefault="002263F1" w:rsidP="000849FE">
      <w:pPr>
        <w:pStyle w:val="NumberedParaAR"/>
        <w:widowControl w:val="0"/>
      </w:pPr>
      <w:r>
        <w:rPr>
          <w:rFonts w:hint="cs"/>
          <w:rtl/>
        </w:rPr>
        <w:t>أُعد</w:t>
      </w:r>
      <w:r w:rsidR="00855CF4">
        <w:rPr>
          <w:rFonts w:hint="cs"/>
          <w:rtl/>
        </w:rPr>
        <w:t>َّ</w:t>
      </w:r>
      <w:r>
        <w:rPr>
          <w:rFonts w:hint="cs"/>
          <w:rtl/>
        </w:rPr>
        <w:t>ت واجهات</w:t>
      </w:r>
      <w:r w:rsidR="00855CF4">
        <w:rPr>
          <w:rFonts w:hint="cs"/>
          <w:rtl/>
        </w:rPr>
        <w:t>ٌ</w:t>
      </w:r>
      <w:r>
        <w:rPr>
          <w:rFonts w:hint="cs"/>
          <w:rtl/>
        </w:rPr>
        <w:t xml:space="preserve"> بلغات جديدة بالتعاون مع المكاتب الوطنية المعنية:</w:t>
      </w:r>
    </w:p>
    <w:p w:rsidR="002263F1" w:rsidRDefault="002263F1" w:rsidP="00F72E90">
      <w:pPr>
        <w:pStyle w:val="NumberedParaAR"/>
        <w:widowControl w:val="0"/>
        <w:numPr>
          <w:ilvl w:val="0"/>
          <w:numId w:val="21"/>
        </w:numPr>
        <w:spacing w:after="0"/>
        <w:ind w:left="1133" w:hanging="567"/>
      </w:pPr>
      <w:r>
        <w:rPr>
          <w:rFonts w:hint="cs"/>
          <w:rtl/>
          <w:lang w:bidi="ar-AE"/>
        </w:rPr>
        <w:t>أُتيحت واجهة باللغة الصربية في مارس 2014،</w:t>
      </w:r>
    </w:p>
    <w:p w:rsidR="002263F1" w:rsidRDefault="00855CF4" w:rsidP="00F72E90">
      <w:pPr>
        <w:pStyle w:val="NumberedParaAR"/>
        <w:widowControl w:val="0"/>
        <w:numPr>
          <w:ilvl w:val="0"/>
          <w:numId w:val="21"/>
        </w:numPr>
        <w:spacing w:after="0"/>
        <w:ind w:left="1133" w:hanging="567"/>
      </w:pPr>
      <w:r>
        <w:rPr>
          <w:rFonts w:hint="cs"/>
          <w:rtl/>
          <w:lang w:bidi="ar-AE"/>
        </w:rPr>
        <w:t>وأخرى</w:t>
      </w:r>
      <w:r w:rsidR="002263F1">
        <w:rPr>
          <w:rFonts w:hint="cs"/>
          <w:rtl/>
          <w:lang w:bidi="ar-AE"/>
        </w:rPr>
        <w:t xml:space="preserve"> باللغة الكورية في مايو 2014،</w:t>
      </w:r>
    </w:p>
    <w:p w:rsidR="002263F1" w:rsidRDefault="002263F1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hint="cs"/>
          <w:rtl/>
          <w:lang w:bidi="ar-AE"/>
        </w:rPr>
        <w:t>وكانت الواجهة باللغة الأوكرانية قيد الإنشاء الأولي في مايو 2014.</w:t>
      </w:r>
    </w:p>
    <w:p w:rsidR="002263F1" w:rsidRDefault="002263F1" w:rsidP="00F72E90">
      <w:pPr>
        <w:pStyle w:val="NumberedParaAR"/>
        <w:widowControl w:val="0"/>
      </w:pPr>
      <w:r>
        <w:rPr>
          <w:rFonts w:hint="cs"/>
          <w:rtl/>
          <w:lang w:bidi="ar-AE"/>
        </w:rPr>
        <w:lastRenderedPageBreak/>
        <w:t xml:space="preserve">ويعرض المرفق الأول مضمون </w:t>
      </w:r>
      <w:r>
        <w:rPr>
          <w:rFonts w:hint="cs"/>
          <w:rtl/>
        </w:rPr>
        <w:t>ق</w:t>
      </w:r>
      <w:r w:rsidRPr="00090597">
        <w:rPr>
          <w:rtl/>
        </w:rPr>
        <w:t>اعدة بيانات</w:t>
      </w:r>
      <w:r>
        <w:rPr>
          <w:rFonts w:hint="cs"/>
          <w:rtl/>
        </w:rPr>
        <w:t xml:space="preserve"> </w:t>
      </w:r>
      <w:r>
        <w:rPr>
          <w:rtl/>
        </w:rPr>
        <w:t>السلع والخدمات</w:t>
      </w:r>
      <w:r>
        <w:rPr>
          <w:rFonts w:hint="cs"/>
          <w:rtl/>
        </w:rPr>
        <w:t xml:space="preserve"> من حيث حجم البيانات </w:t>
      </w:r>
      <w:r w:rsidR="00AC4D30">
        <w:rPr>
          <w:rFonts w:hint="cs"/>
          <w:rtl/>
        </w:rPr>
        <w:t>في كل لغة، كما ورد في موقع المنظمة العالمية للملكية الفكرية (الويبو)</w:t>
      </w:r>
      <w:r w:rsidR="00122AC9">
        <w:rPr>
          <w:rFonts w:hint="cs"/>
          <w:rtl/>
        </w:rPr>
        <w:t xml:space="preserve"> على ال</w:t>
      </w:r>
      <w:r w:rsidR="00F72E90">
        <w:rPr>
          <w:rFonts w:hint="cs"/>
          <w:rtl/>
        </w:rPr>
        <w:t>إ</w:t>
      </w:r>
      <w:r w:rsidR="00122AC9">
        <w:rPr>
          <w:rFonts w:hint="cs"/>
          <w:rtl/>
        </w:rPr>
        <w:t>نترنت</w:t>
      </w:r>
      <w:r w:rsidR="00AC4D30">
        <w:rPr>
          <w:rFonts w:hint="cs"/>
          <w:rtl/>
        </w:rPr>
        <w:t xml:space="preserve"> في مايو 2014.</w:t>
      </w:r>
    </w:p>
    <w:p w:rsidR="00AC4D30" w:rsidRDefault="00122AC9" w:rsidP="000849FE">
      <w:pPr>
        <w:pStyle w:val="NumberedParaAR"/>
        <w:widowControl w:val="0"/>
      </w:pPr>
      <w:r>
        <w:rPr>
          <w:rFonts w:hint="cs"/>
          <w:rtl/>
        </w:rPr>
        <w:t>ويقدم</w:t>
      </w:r>
      <w:r w:rsidR="00AC4D30">
        <w:rPr>
          <w:rFonts w:hint="cs"/>
          <w:rtl/>
        </w:rPr>
        <w:t xml:space="preserve"> المرفق الثاني </w:t>
      </w:r>
      <w:r w:rsidR="008D1910">
        <w:rPr>
          <w:rFonts w:hint="cs"/>
          <w:rtl/>
        </w:rPr>
        <w:t>فكرة</w:t>
      </w:r>
      <w:r w:rsidR="00855CF4">
        <w:rPr>
          <w:rFonts w:hint="cs"/>
          <w:rtl/>
        </w:rPr>
        <w:t>ً</w:t>
      </w:r>
      <w:r w:rsidR="008D1910">
        <w:rPr>
          <w:rFonts w:hint="cs"/>
          <w:rtl/>
        </w:rPr>
        <w:t xml:space="preserve"> عامة عن </w:t>
      </w:r>
      <w:r w:rsidR="002178E7">
        <w:rPr>
          <w:rFonts w:hint="cs"/>
          <w:rtl/>
        </w:rPr>
        <w:t xml:space="preserve">نسبة </w:t>
      </w:r>
      <w:r w:rsidR="008D1910">
        <w:rPr>
          <w:rFonts w:hint="cs"/>
          <w:rtl/>
        </w:rPr>
        <w:t xml:space="preserve">المصطلحات المُدخلة في قاعدة البيانات والمترجمة إلى مختلف لغاتها. وتجدر الإشارة إلى أن إدخال المفاهيم المترجمة إلى لغات غير لغات </w:t>
      </w:r>
      <w:r>
        <w:rPr>
          <w:rFonts w:hint="cs"/>
          <w:rtl/>
        </w:rPr>
        <w:t>الإيداع في نظام</w:t>
      </w:r>
      <w:r w:rsidR="008D1910">
        <w:rPr>
          <w:rFonts w:hint="cs"/>
          <w:rtl/>
        </w:rPr>
        <w:t xml:space="preserve"> مدريد</w:t>
      </w:r>
      <w:r w:rsidR="00855CF4">
        <w:rPr>
          <w:rFonts w:hint="cs"/>
          <w:rtl/>
        </w:rPr>
        <w:t>،</w:t>
      </w:r>
      <w:r w:rsidR="008D1910">
        <w:rPr>
          <w:rFonts w:hint="cs"/>
          <w:rtl/>
        </w:rPr>
        <w:t xml:space="preserve"> يعتمد على </w:t>
      </w:r>
      <w:r w:rsidR="0039259F">
        <w:rPr>
          <w:rFonts w:hint="cs"/>
          <w:rtl/>
        </w:rPr>
        <w:t xml:space="preserve">مدى </w:t>
      </w:r>
      <w:r w:rsidR="008D1910">
        <w:rPr>
          <w:rFonts w:hint="cs"/>
          <w:rtl/>
        </w:rPr>
        <w:t>تقدم عملية الترجمة التي تضطلع بها المكاتب الوطنية المتعاو</w:t>
      </w:r>
      <w:r w:rsidR="00855CF4">
        <w:rPr>
          <w:rFonts w:hint="cs"/>
          <w:rtl/>
        </w:rPr>
        <w:t>ِ</w:t>
      </w:r>
      <w:r w:rsidR="008D1910">
        <w:rPr>
          <w:rFonts w:hint="cs"/>
          <w:rtl/>
        </w:rPr>
        <w:t>نة.</w:t>
      </w:r>
    </w:p>
    <w:p w:rsidR="008D1910" w:rsidRPr="00C75510" w:rsidRDefault="00024846" w:rsidP="000849FE">
      <w:pPr>
        <w:pStyle w:val="Heading2AR"/>
        <w:rPr>
          <w:bCs/>
          <w:iCs/>
          <w:rtl/>
        </w:rPr>
      </w:pPr>
      <w:r w:rsidRPr="00C75510">
        <w:rPr>
          <w:rtl/>
        </w:rPr>
        <w:t>التثبت من قبول</w:t>
      </w:r>
      <w:r w:rsidR="002178E7" w:rsidRPr="00C75510">
        <w:rPr>
          <w:rtl/>
        </w:rPr>
        <w:t xml:space="preserve"> محتويات</w:t>
      </w:r>
      <w:r w:rsidRPr="00C75510">
        <w:rPr>
          <w:rtl/>
        </w:rPr>
        <w:t xml:space="preserve"> قاعدة بيانات السلع والخدمات</w:t>
      </w:r>
    </w:p>
    <w:p w:rsidR="00024846" w:rsidRPr="00356660" w:rsidRDefault="00660AB6" w:rsidP="000849FE">
      <w:pPr>
        <w:pStyle w:val="NumberedParaAR"/>
        <w:widowControl w:val="0"/>
      </w:pPr>
      <w:r>
        <w:rPr>
          <w:rFonts w:hint="cs"/>
          <w:rtl/>
        </w:rPr>
        <w:t>يتناول المرفق الثالث</w:t>
      </w:r>
      <w:r w:rsidR="002178E7">
        <w:rPr>
          <w:rFonts w:hint="cs"/>
          <w:rtl/>
        </w:rPr>
        <w:t xml:space="preserve"> نسبة</w:t>
      </w:r>
      <w:r>
        <w:rPr>
          <w:rFonts w:hint="cs"/>
          <w:rtl/>
        </w:rPr>
        <w:t xml:space="preserve"> قبول الأطراف المتعاقدة المعينة لمحتويات قاعدة بيانات السلع والخدمات</w:t>
      </w:r>
      <w:r w:rsidR="002178E7">
        <w:rPr>
          <w:rFonts w:hint="cs"/>
          <w:rtl/>
        </w:rPr>
        <w:t xml:space="preserve"> المبينة</w:t>
      </w:r>
      <w:r>
        <w:rPr>
          <w:rFonts w:hint="cs"/>
          <w:rtl/>
        </w:rPr>
        <w:t xml:space="preserve"> من خلال وظيفة </w:t>
      </w:r>
      <w:r w:rsidRPr="00543BFA">
        <w:rPr>
          <w:rFonts w:eastAsia="Arial"/>
          <w:rtl/>
          <w:lang w:val="ar-SA"/>
        </w:rPr>
        <w:t>"</w:t>
      </w:r>
      <w:r>
        <w:rPr>
          <w:rFonts w:eastAsia="Arial" w:hint="cs"/>
          <w:rtl/>
          <w:lang w:val="ar-SA"/>
        </w:rPr>
        <w:t>التثبت من قبول</w:t>
      </w:r>
      <w:r w:rsidRPr="00543BFA">
        <w:rPr>
          <w:rFonts w:eastAsia="Arial"/>
          <w:rtl/>
          <w:lang w:val="ar-SA"/>
        </w:rPr>
        <w:t xml:space="preserve"> طرف متعاقد معين"</w:t>
      </w:r>
      <w:r>
        <w:rPr>
          <w:rFonts w:eastAsia="Arial" w:hint="cs"/>
          <w:rtl/>
          <w:lang w:val="ar-SA"/>
        </w:rPr>
        <w:t xml:space="preserve">. </w:t>
      </w:r>
      <w:r w:rsidR="002178E7">
        <w:rPr>
          <w:rFonts w:eastAsia="Arial" w:hint="cs"/>
          <w:rtl/>
          <w:lang w:val="ar-SA"/>
        </w:rPr>
        <w:t>ومنذ 1 مايو 2013، ارتفع عدد البلدان التي يمكن اختيارها من خلال هذه الوظيفة إلى 19 بلدًا، بالإضافة إلى البلدان</w:t>
      </w:r>
      <w:r w:rsidR="00356660">
        <w:rPr>
          <w:rFonts w:eastAsia="Arial" w:hint="cs"/>
          <w:rtl/>
          <w:lang w:val="ar-SA"/>
        </w:rPr>
        <w:t xml:space="preserve"> الجديدة الثلاثة</w:t>
      </w:r>
      <w:r w:rsidR="002178E7">
        <w:rPr>
          <w:rFonts w:eastAsia="Arial" w:hint="cs"/>
          <w:rtl/>
          <w:lang w:val="ar-SA"/>
        </w:rPr>
        <w:t xml:space="preserve"> المشاركة </w:t>
      </w:r>
      <w:r w:rsidR="00356660">
        <w:rPr>
          <w:rFonts w:eastAsia="Arial" w:hint="cs"/>
          <w:rtl/>
          <w:lang w:val="ar-SA"/>
        </w:rPr>
        <w:t>وهي:</w:t>
      </w:r>
    </w:p>
    <w:p w:rsidR="00356660" w:rsidRDefault="00356660" w:rsidP="00F72E90">
      <w:pPr>
        <w:pStyle w:val="NumberedParaAR"/>
        <w:widowControl w:val="0"/>
        <w:numPr>
          <w:ilvl w:val="0"/>
          <w:numId w:val="21"/>
        </w:numPr>
        <w:spacing w:after="0"/>
        <w:ind w:left="1134" w:hanging="567"/>
      </w:pPr>
      <w:r>
        <w:rPr>
          <w:rFonts w:hint="cs"/>
          <w:rtl/>
        </w:rPr>
        <w:t>بيلاروس</w:t>
      </w:r>
      <w:r w:rsidR="00855CF4">
        <w:rPr>
          <w:rFonts w:hint="cs"/>
          <w:rtl/>
        </w:rPr>
        <w:t>؛</w:t>
      </w:r>
    </w:p>
    <w:p w:rsidR="00356660" w:rsidRDefault="00821418" w:rsidP="00F72E90">
      <w:pPr>
        <w:pStyle w:val="NumberedParaAR"/>
        <w:widowControl w:val="0"/>
        <w:numPr>
          <w:ilvl w:val="0"/>
          <w:numId w:val="21"/>
        </w:numPr>
        <w:spacing w:after="0"/>
        <w:ind w:left="1134" w:hanging="567"/>
      </w:pPr>
      <w:r>
        <w:rPr>
          <w:rFonts w:hint="cs"/>
          <w:rtl/>
        </w:rPr>
        <w:t>و</w:t>
      </w:r>
      <w:r w:rsidR="00356660">
        <w:rPr>
          <w:rFonts w:hint="cs"/>
          <w:rtl/>
        </w:rPr>
        <w:t>جمهورية صربيا</w:t>
      </w:r>
      <w:r w:rsidR="00855CF4">
        <w:rPr>
          <w:rFonts w:hint="cs"/>
          <w:rtl/>
        </w:rPr>
        <w:t>؛</w:t>
      </w:r>
    </w:p>
    <w:p w:rsidR="00356660" w:rsidRDefault="00821418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hint="cs"/>
          <w:rtl/>
        </w:rPr>
        <w:t>و</w:t>
      </w:r>
      <w:r w:rsidR="00356660">
        <w:rPr>
          <w:rFonts w:hint="cs"/>
          <w:rtl/>
        </w:rPr>
        <w:t>أوكرانيا</w:t>
      </w:r>
      <w:r w:rsidR="00855CF4">
        <w:rPr>
          <w:rFonts w:hint="cs"/>
          <w:rtl/>
        </w:rPr>
        <w:t>.</w:t>
      </w:r>
    </w:p>
    <w:p w:rsidR="00356660" w:rsidRDefault="00356660" w:rsidP="000849FE">
      <w:pPr>
        <w:pStyle w:val="NumberedParaAR"/>
        <w:widowControl w:val="0"/>
      </w:pPr>
      <w:r>
        <w:rPr>
          <w:rFonts w:hint="cs"/>
          <w:rtl/>
        </w:rPr>
        <w:t>و</w:t>
      </w:r>
      <w:r w:rsidR="0094487B">
        <w:rPr>
          <w:rFonts w:hint="cs"/>
          <w:rtl/>
        </w:rPr>
        <w:t>ال</w:t>
      </w:r>
      <w:r>
        <w:rPr>
          <w:rFonts w:hint="cs"/>
          <w:rtl/>
        </w:rPr>
        <w:t xml:space="preserve">جدير بالذكر أن حالة القبول المتاحة لكل طرف من الأطراف المتعاقدة </w:t>
      </w:r>
      <w:r w:rsidR="0094487B">
        <w:rPr>
          <w:rFonts w:hint="cs"/>
          <w:rtl/>
        </w:rPr>
        <w:t>التسعة عشر</w:t>
      </w:r>
      <w:r>
        <w:rPr>
          <w:rFonts w:hint="cs"/>
          <w:rtl/>
        </w:rPr>
        <w:t xml:space="preserve"> </w:t>
      </w:r>
      <w:r w:rsidR="0094487B">
        <w:rPr>
          <w:rFonts w:hint="cs"/>
          <w:rtl/>
        </w:rPr>
        <w:t>متأتية من</w:t>
      </w:r>
      <w:r>
        <w:rPr>
          <w:rFonts w:hint="cs"/>
          <w:rtl/>
        </w:rPr>
        <w:t xml:space="preserve"> مصادر مختلفة وهي:</w:t>
      </w:r>
    </w:p>
    <w:p w:rsidR="00356660" w:rsidRDefault="0094487B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eastAsia="Arial" w:hint="cs"/>
          <w:rtl/>
        </w:rPr>
        <w:t xml:space="preserve">المعلومات عن حالة القبول التي قدمتها مباشرة المكاتب الوطنية التي ترجمت قاعدة البيانات و/أو تأكدت من قبول أو رفض كل مفهوم </w:t>
      </w:r>
      <w:r w:rsidRPr="00CF6B32">
        <w:rPr>
          <w:rFonts w:eastAsia="Arial" w:hint="cs"/>
          <w:rtl/>
        </w:rPr>
        <w:t>ب</w:t>
      </w:r>
      <w:r w:rsidR="0039259F">
        <w:rPr>
          <w:rFonts w:eastAsia="Arial" w:hint="cs"/>
          <w:rtl/>
        </w:rPr>
        <w:t xml:space="preserve">اللغة </w:t>
      </w:r>
      <w:r w:rsidRPr="00CF6B32">
        <w:rPr>
          <w:rFonts w:eastAsia="Arial" w:hint="cs"/>
          <w:rtl/>
        </w:rPr>
        <w:t>الإنكليزية</w:t>
      </w:r>
      <w:r>
        <w:rPr>
          <w:rFonts w:eastAsia="Arial" w:hint="cs"/>
          <w:rtl/>
        </w:rPr>
        <w:t>؛</w:t>
      </w:r>
    </w:p>
    <w:p w:rsidR="00090597" w:rsidRDefault="00821418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eastAsia="Arial" w:hint="cs"/>
          <w:rtl/>
        </w:rPr>
        <w:t>و</w:t>
      </w:r>
      <w:r w:rsidR="0094487B" w:rsidRPr="00821418">
        <w:rPr>
          <w:rFonts w:eastAsia="Arial" w:hint="cs"/>
          <w:rtl/>
        </w:rPr>
        <w:t>قائمة السلع والخدمات</w:t>
      </w:r>
      <w:r w:rsidR="00AD6672">
        <w:rPr>
          <w:rFonts w:eastAsia="Arial"/>
          <w:rtl/>
        </w:rPr>
        <w:t xml:space="preserve"> </w:t>
      </w:r>
      <w:r w:rsidR="0039259F">
        <w:rPr>
          <w:rFonts w:eastAsia="Arial" w:hint="cs"/>
          <w:rtl/>
          <w:lang w:bidi="ar-AE"/>
        </w:rPr>
        <w:t>الموحدة</w:t>
      </w:r>
      <w:r w:rsidR="00CE62F7" w:rsidRPr="00821418">
        <w:rPr>
          <w:rFonts w:eastAsia="Arial" w:hint="cs"/>
          <w:rtl/>
          <w:lang w:bidi="ar-AE"/>
        </w:rPr>
        <w:t xml:space="preserve"> </w:t>
      </w:r>
      <w:r w:rsidR="00CE62F7" w:rsidRPr="00AD6672">
        <w:rPr>
          <w:rFonts w:eastAsia="Arial"/>
          <w:color w:val="000000" w:themeColor="text1"/>
          <w:lang w:bidi="ar-AE"/>
        </w:rPr>
        <w:t>TM5-ID</w:t>
      </w:r>
      <w:r w:rsidR="00CE62F7" w:rsidRPr="00821418">
        <w:rPr>
          <w:rFonts w:eastAsia="Arial" w:hint="cs"/>
          <w:rtl/>
          <w:lang w:bidi="ar-AE"/>
        </w:rPr>
        <w:t xml:space="preserve"> </w:t>
      </w:r>
      <w:r w:rsidRPr="00821418">
        <w:rPr>
          <w:rFonts w:eastAsia="Arial" w:hint="cs"/>
          <w:rtl/>
        </w:rPr>
        <w:t>التي تساهم حاليًا المكاتب الأربعة</w:t>
      </w:r>
      <w:r w:rsidR="0039259F">
        <w:rPr>
          <w:rFonts w:eastAsia="Arial" w:hint="cs"/>
          <w:rtl/>
        </w:rPr>
        <w:t xml:space="preserve"> التالية</w:t>
      </w:r>
      <w:r w:rsidRPr="00821418">
        <w:rPr>
          <w:rFonts w:eastAsia="Arial" w:hint="cs"/>
          <w:rtl/>
        </w:rPr>
        <w:t xml:space="preserve"> </w:t>
      </w:r>
      <w:r w:rsidR="0039259F">
        <w:rPr>
          <w:rFonts w:eastAsia="Arial" w:hint="cs"/>
          <w:rtl/>
        </w:rPr>
        <w:t>في</w:t>
      </w:r>
      <w:r w:rsidRPr="00821418">
        <w:rPr>
          <w:rFonts w:eastAsia="Arial" w:hint="cs"/>
          <w:rtl/>
        </w:rPr>
        <w:t xml:space="preserve"> وضعها (</w:t>
      </w:r>
      <w:r w:rsidRPr="00821418">
        <w:rPr>
          <w:rFonts w:eastAsia="Arial" w:hint="cs"/>
          <w:rtl/>
          <w:lang w:val="ar-SA"/>
        </w:rPr>
        <w:t xml:space="preserve">مكتب اليابان للبراءات </w:t>
      </w:r>
      <w:r w:rsidRPr="00821418">
        <w:rPr>
          <w:rFonts w:eastAsia="Arial"/>
          <w:rtl/>
          <w:lang w:val="ar-SA"/>
        </w:rPr>
        <w:t>مكتب كوريا للملكية الفكرية</w:t>
      </w:r>
      <w:r w:rsidRPr="00821418">
        <w:rPr>
          <w:rFonts w:eastAsia="Arial" w:hint="cs"/>
          <w:rtl/>
          <w:lang w:val="ar-SA"/>
        </w:rPr>
        <w:t xml:space="preserve"> و</w:t>
      </w:r>
      <w:r w:rsidRPr="00821418">
        <w:rPr>
          <w:rFonts w:eastAsia="Arial"/>
          <w:rtl/>
          <w:lang w:val="ar-SA"/>
        </w:rPr>
        <w:t>مكتب التنسيق في السوق الداخلية</w:t>
      </w:r>
      <w:r w:rsidRPr="00821418">
        <w:rPr>
          <w:rFonts w:eastAsia="Arial" w:hint="cs"/>
          <w:rtl/>
          <w:lang w:val="ar-SA"/>
        </w:rPr>
        <w:t xml:space="preserve"> </w:t>
      </w:r>
      <w:r w:rsidRPr="00821418">
        <w:rPr>
          <w:rFonts w:eastAsia="Arial"/>
          <w:rtl/>
          <w:lang w:val="ar-SA"/>
        </w:rPr>
        <w:t>(العلامات التجارية والرسوم والنماذج)</w:t>
      </w:r>
      <w:r w:rsidRPr="00821418">
        <w:rPr>
          <w:rFonts w:eastAsia="Arial" w:hint="cs"/>
          <w:rtl/>
          <w:lang w:val="ar-SA"/>
        </w:rPr>
        <w:t xml:space="preserve"> و</w:t>
      </w:r>
      <w:r w:rsidRPr="003732F4">
        <w:rPr>
          <w:rtl/>
        </w:rPr>
        <w:t>مكتب الولايات المتحدة للبراءات والعلامات</w:t>
      </w:r>
      <w:r>
        <w:rPr>
          <w:rFonts w:hint="cs"/>
          <w:rtl/>
        </w:rPr>
        <w:t>)؛</w:t>
      </w:r>
    </w:p>
    <w:p w:rsidR="00821418" w:rsidRPr="00382463" w:rsidRDefault="00821418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eastAsia="Arial" w:hint="cs"/>
          <w:rtl/>
        </w:rPr>
        <w:t xml:space="preserve">ومحتوى دليل </w:t>
      </w:r>
      <w:r w:rsidRPr="00821418">
        <w:rPr>
          <w:rFonts w:eastAsia="Arial"/>
          <w:rtl/>
          <w:lang w:val="ar-SA"/>
        </w:rPr>
        <w:t>مكتب كوريا للملكية الفكرية</w:t>
      </w:r>
      <w:r w:rsidRPr="00821418">
        <w:rPr>
          <w:rFonts w:eastAsia="Arial" w:hint="cs"/>
          <w:rtl/>
          <w:lang w:val="ar-SA"/>
        </w:rPr>
        <w:t xml:space="preserve"> </w:t>
      </w:r>
      <w:r>
        <w:rPr>
          <w:rFonts w:eastAsia="Arial" w:hint="cs"/>
          <w:rtl/>
        </w:rPr>
        <w:t xml:space="preserve">بشأن </w:t>
      </w:r>
      <w:r w:rsidR="00F44E6D">
        <w:rPr>
          <w:rFonts w:eastAsia="Arial" w:hint="cs"/>
          <w:rtl/>
        </w:rPr>
        <w:t>بيانات</w:t>
      </w:r>
      <w:r>
        <w:rPr>
          <w:rFonts w:eastAsia="Arial" w:hint="cs"/>
          <w:rtl/>
        </w:rPr>
        <w:t xml:space="preserve"> السلع والخدمات المقبولة</w:t>
      </w:r>
      <w:r w:rsidR="00382463">
        <w:rPr>
          <w:rFonts w:eastAsia="Arial" w:hint="cs"/>
          <w:rtl/>
        </w:rPr>
        <w:t>؛</w:t>
      </w:r>
    </w:p>
    <w:p w:rsidR="00382463" w:rsidRPr="00382463" w:rsidRDefault="00382463" w:rsidP="00F72E90">
      <w:pPr>
        <w:pStyle w:val="NumberedParaAR"/>
        <w:widowControl w:val="0"/>
        <w:numPr>
          <w:ilvl w:val="0"/>
          <w:numId w:val="21"/>
        </w:numPr>
        <w:ind w:left="1133" w:hanging="567"/>
      </w:pPr>
      <w:r>
        <w:rPr>
          <w:rFonts w:eastAsia="Arial" w:hint="cs"/>
          <w:rtl/>
        </w:rPr>
        <w:t xml:space="preserve">ومحتوى دليل </w:t>
      </w:r>
      <w:r w:rsidRPr="003732F4">
        <w:rPr>
          <w:rtl/>
        </w:rPr>
        <w:t>مكتب الولايات المتحدة للبراءات والعلامات</w:t>
      </w:r>
      <w:r>
        <w:rPr>
          <w:rFonts w:hint="cs"/>
          <w:rtl/>
        </w:rPr>
        <w:t> </w:t>
      </w:r>
      <w:r>
        <w:rPr>
          <w:rFonts w:eastAsia="Arial" w:hint="cs"/>
          <w:rtl/>
        </w:rPr>
        <w:t xml:space="preserve">بشأن </w:t>
      </w:r>
      <w:r w:rsidR="00F44E6D">
        <w:rPr>
          <w:rFonts w:eastAsia="Arial" w:hint="cs"/>
          <w:rtl/>
        </w:rPr>
        <w:t>بيانات</w:t>
      </w:r>
      <w:r>
        <w:rPr>
          <w:rFonts w:eastAsia="Arial" w:hint="cs"/>
          <w:rtl/>
        </w:rPr>
        <w:t xml:space="preserve"> السلع والخدمات المقبولة.</w:t>
      </w:r>
    </w:p>
    <w:p w:rsidR="00164CC6" w:rsidRPr="00C75510" w:rsidRDefault="00164CC6" w:rsidP="00F72E90">
      <w:pPr>
        <w:pStyle w:val="Heading2AR"/>
        <w:rPr>
          <w:bCs/>
          <w:iCs/>
          <w:rtl/>
        </w:rPr>
      </w:pPr>
      <w:r w:rsidRPr="00C75510">
        <w:rPr>
          <w:rtl/>
        </w:rPr>
        <w:t xml:space="preserve">نتائج </w:t>
      </w:r>
      <w:r w:rsidR="00F72E90">
        <w:rPr>
          <w:rFonts w:hint="cs"/>
          <w:rtl/>
        </w:rPr>
        <w:t xml:space="preserve">أخرى </w:t>
      </w:r>
      <w:r w:rsidRPr="00C75510">
        <w:rPr>
          <w:rtl/>
        </w:rPr>
        <w:t>محققة خلال النصف الأول من عام 2014</w:t>
      </w:r>
    </w:p>
    <w:p w:rsidR="00D61541" w:rsidRPr="002661B3" w:rsidRDefault="002661B3" w:rsidP="000849FE">
      <w:pPr>
        <w:pStyle w:val="NumberedParaAR"/>
        <w:widowControl w:val="0"/>
      </w:pPr>
      <w:r>
        <w:rPr>
          <w:rFonts w:hint="cs"/>
          <w:rtl/>
        </w:rPr>
        <w:t xml:space="preserve">في 1 يونيو 2014، حُدّثت قاعدة بيانات السلع والخدمات </w:t>
      </w:r>
      <w:r>
        <w:rPr>
          <w:rFonts w:eastAsia="Arial" w:hint="cs"/>
          <w:rtl/>
        </w:rPr>
        <w:t>لتتماشى مع نسخة</w:t>
      </w:r>
      <w:r>
        <w:rPr>
          <w:rFonts w:eastAsia="Arial" w:hint="eastAsia"/>
          <w:rtl/>
        </w:rPr>
        <w:t> </w:t>
      </w:r>
      <w:r>
        <w:rPr>
          <w:rFonts w:eastAsia="Arial" w:hint="cs"/>
          <w:rtl/>
        </w:rPr>
        <w:t>2014 لقائمة تصنيف نيس</w:t>
      </w:r>
      <w:r w:rsidR="007852C2">
        <w:rPr>
          <w:rFonts w:eastAsia="Arial" w:hint="cs"/>
          <w:rtl/>
          <w:lang w:bidi="ar-AE"/>
        </w:rPr>
        <w:t xml:space="preserve"> في طبعتها العاشرة</w:t>
      </w:r>
      <w:r>
        <w:rPr>
          <w:rFonts w:eastAsia="Arial" w:hint="cs"/>
          <w:rtl/>
        </w:rPr>
        <w:t>. والتحديثات الم</w:t>
      </w:r>
      <w:r w:rsidR="00855CF4">
        <w:rPr>
          <w:rFonts w:eastAsia="Arial" w:hint="cs"/>
          <w:rtl/>
        </w:rPr>
        <w:t>ُ</w:t>
      </w:r>
      <w:r>
        <w:rPr>
          <w:rFonts w:eastAsia="Arial" w:hint="cs"/>
          <w:rtl/>
        </w:rPr>
        <w:t>در</w:t>
      </w:r>
      <w:r w:rsidR="00855CF4">
        <w:rPr>
          <w:rFonts w:eastAsia="Arial" w:hint="cs"/>
          <w:rtl/>
        </w:rPr>
        <w:t>َ</w:t>
      </w:r>
      <w:r>
        <w:rPr>
          <w:rFonts w:eastAsia="Arial" w:hint="cs"/>
          <w:rtl/>
        </w:rPr>
        <w:t>جة بجميع اللغات الأربع عشرة متاحة</w:t>
      </w:r>
      <w:r w:rsidR="00855CF4">
        <w:rPr>
          <w:rFonts w:eastAsia="Arial" w:hint="cs"/>
          <w:rtl/>
        </w:rPr>
        <w:t>ٌ</w:t>
      </w:r>
      <w:r>
        <w:rPr>
          <w:rFonts w:eastAsia="Arial" w:hint="cs"/>
          <w:rtl/>
        </w:rPr>
        <w:t xml:space="preserve"> على الموقع الإلكتروني.</w:t>
      </w:r>
    </w:p>
    <w:p w:rsidR="002661B3" w:rsidRPr="005D4BDC" w:rsidRDefault="00EB2F0C" w:rsidP="000849FE">
      <w:pPr>
        <w:pStyle w:val="NumberedParaAR"/>
        <w:widowControl w:val="0"/>
      </w:pPr>
      <w:r>
        <w:rPr>
          <w:rFonts w:hint="cs"/>
          <w:rtl/>
        </w:rPr>
        <w:t xml:space="preserve">وبغية مراعاة </w:t>
      </w:r>
      <w:r w:rsidR="007852C2">
        <w:rPr>
          <w:rFonts w:hint="cs"/>
          <w:rtl/>
        </w:rPr>
        <w:t>النهج</w:t>
      </w:r>
      <w:r>
        <w:rPr>
          <w:rFonts w:hint="cs"/>
          <w:rtl/>
        </w:rPr>
        <w:t xml:space="preserve"> الأوروبي</w:t>
      </w:r>
      <w:r w:rsidR="007852C2">
        <w:rPr>
          <w:rFonts w:hint="cs"/>
          <w:rtl/>
        </w:rPr>
        <w:t xml:space="preserve"> الموح</w:t>
      </w:r>
      <w:r w:rsidR="00855CF4">
        <w:rPr>
          <w:rFonts w:hint="cs"/>
          <w:rtl/>
        </w:rPr>
        <w:t>َّ</w:t>
      </w:r>
      <w:r w:rsidR="007852C2">
        <w:rPr>
          <w:rFonts w:hint="cs"/>
          <w:rtl/>
        </w:rPr>
        <w:t>د</w:t>
      </w:r>
      <w:r>
        <w:rPr>
          <w:rFonts w:hint="cs"/>
          <w:rtl/>
        </w:rPr>
        <w:t xml:space="preserve"> </w:t>
      </w:r>
      <w:r w:rsidR="007852C2">
        <w:rPr>
          <w:rFonts w:hint="cs"/>
          <w:rtl/>
        </w:rPr>
        <w:t xml:space="preserve">في </w:t>
      </w:r>
      <w:r>
        <w:rPr>
          <w:rFonts w:hint="cs"/>
          <w:rtl/>
        </w:rPr>
        <w:t>قبول "</w:t>
      </w:r>
      <w:r w:rsidRPr="00AD6672">
        <w:rPr>
          <w:rFonts w:hint="cs"/>
          <w:color w:val="000000" w:themeColor="text1"/>
          <w:rtl/>
        </w:rPr>
        <w:t xml:space="preserve">البيانات </w:t>
      </w:r>
      <w:r>
        <w:rPr>
          <w:rFonts w:hint="cs"/>
          <w:rtl/>
        </w:rPr>
        <w:t xml:space="preserve">العامة" المستخلصة من </w:t>
      </w:r>
      <w:r w:rsidRPr="00543BFA">
        <w:rPr>
          <w:rFonts w:eastAsia="Arial"/>
          <w:rtl/>
          <w:lang w:val="ar-SA"/>
        </w:rPr>
        <w:t>عناوين أصناف نيس</w:t>
      </w:r>
      <w:r>
        <w:rPr>
          <w:rFonts w:eastAsia="Arial" w:hint="cs"/>
          <w:rtl/>
          <w:lang w:val="ar-SA"/>
        </w:rPr>
        <w:t xml:space="preserve">، وافقت جميع البلدان المشاركة في </w:t>
      </w:r>
      <w:r w:rsidR="00AD6672" w:rsidRPr="00AD6672">
        <w:rPr>
          <w:rFonts w:eastAsia="Arial" w:hint="cs"/>
          <w:color w:val="000000" w:themeColor="text1"/>
          <w:rtl/>
        </w:rPr>
        <w:t>نظام</w:t>
      </w:r>
      <w:r w:rsidR="005373F1" w:rsidRPr="00AD6672">
        <w:rPr>
          <w:rFonts w:eastAsia="Arial" w:hint="cs"/>
          <w:color w:val="000000" w:themeColor="text1"/>
          <w:rtl/>
        </w:rPr>
        <w:t xml:space="preserve"> </w:t>
      </w:r>
      <w:r w:rsidR="005373F1" w:rsidRPr="001D50B5">
        <w:rPr>
          <w:rFonts w:eastAsia="Arial"/>
          <w:rtl/>
        </w:rPr>
        <w:t>إدارة السلع والخدمات</w:t>
      </w:r>
      <w:r w:rsidR="00AD6672">
        <w:rPr>
          <w:rFonts w:eastAsia="Arial"/>
          <w:rtl/>
        </w:rPr>
        <w:t xml:space="preserve"> </w:t>
      </w:r>
      <w:r w:rsidR="005373F1">
        <w:rPr>
          <w:rFonts w:eastAsia="Arial" w:hint="cs"/>
          <w:rtl/>
          <w:lang w:bidi="ar-AE"/>
        </w:rPr>
        <w:t xml:space="preserve">على </w:t>
      </w:r>
      <w:r w:rsidR="00292E6C">
        <w:rPr>
          <w:rFonts w:eastAsia="Arial" w:hint="cs"/>
          <w:rtl/>
          <w:lang w:bidi="ar-AE"/>
        </w:rPr>
        <w:t>قبول محتوى قاعدة البيانات حتى يت</w:t>
      </w:r>
      <w:r w:rsidR="005D4BDC">
        <w:rPr>
          <w:rFonts w:eastAsia="Arial" w:hint="cs"/>
          <w:rtl/>
          <w:lang w:bidi="ar-AE"/>
        </w:rPr>
        <w:t>مكن</w:t>
      </w:r>
      <w:r w:rsidR="00292E6C">
        <w:rPr>
          <w:rFonts w:eastAsia="Arial" w:hint="cs"/>
          <w:rtl/>
          <w:lang w:bidi="ar-AE"/>
        </w:rPr>
        <w:t xml:space="preserve"> نظام</w:t>
      </w:r>
      <w:r w:rsidR="005D4BDC">
        <w:rPr>
          <w:rFonts w:eastAsia="Arial" w:hint="cs"/>
          <w:rtl/>
          <w:lang w:bidi="ar-AE"/>
        </w:rPr>
        <w:t xml:space="preserve"> إدارة السلع والخدمات من تقديم معلومات مفيدة بشأن هذه البيانات اعتبارًا من 1 يناير 2014.</w:t>
      </w:r>
    </w:p>
    <w:p w:rsidR="005D4BDC" w:rsidRDefault="005D4BDC" w:rsidP="000849FE">
      <w:pPr>
        <w:pStyle w:val="NumberedParaAR"/>
        <w:widowControl w:val="0"/>
      </w:pPr>
      <w:r>
        <w:rPr>
          <w:rFonts w:hint="cs"/>
          <w:rtl/>
        </w:rPr>
        <w:t>وتوسعت وظيفة "</w:t>
      </w:r>
      <w:r w:rsidRPr="00FA50BE">
        <w:rPr>
          <w:rtl/>
        </w:rPr>
        <w:t xml:space="preserve">تحقق من قبول </w:t>
      </w:r>
      <w:r>
        <w:rPr>
          <w:rFonts w:hint="cs"/>
          <w:rtl/>
        </w:rPr>
        <w:t xml:space="preserve">الويبو" من خلال استخدام </w:t>
      </w:r>
      <w:r w:rsidR="00C05C9E">
        <w:rPr>
          <w:rFonts w:hint="cs"/>
          <w:rtl/>
        </w:rPr>
        <w:t xml:space="preserve">عدة </w:t>
      </w:r>
      <w:r w:rsidR="00C05C9E" w:rsidRPr="00AD6672">
        <w:rPr>
          <w:rFonts w:hint="cs"/>
          <w:color w:val="000000" w:themeColor="text1"/>
          <w:rtl/>
        </w:rPr>
        <w:t>أوصاف</w:t>
      </w:r>
      <w:r w:rsidRPr="00AD6672">
        <w:rPr>
          <w:rFonts w:hint="cs"/>
          <w:color w:val="000000" w:themeColor="text1"/>
          <w:rtl/>
        </w:rPr>
        <w:t xml:space="preserve"> </w:t>
      </w:r>
      <w:r>
        <w:rPr>
          <w:rFonts w:hint="cs"/>
          <w:rtl/>
        </w:rPr>
        <w:t>للسلع والخدمات</w:t>
      </w:r>
      <w:r w:rsidR="00C05C9E">
        <w:rPr>
          <w:rFonts w:hint="cs"/>
          <w:rtl/>
        </w:rPr>
        <w:t xml:space="preserve"> التي تعتبر مقبولة لأغراض الفحص التشغيلي </w:t>
      </w:r>
      <w:r w:rsidR="00D27E9B">
        <w:rPr>
          <w:rFonts w:hint="cs"/>
          <w:rtl/>
        </w:rPr>
        <w:t xml:space="preserve">للطلبات الدولية </w:t>
      </w:r>
      <w:r w:rsidR="00292E6C">
        <w:rPr>
          <w:rFonts w:hint="cs"/>
          <w:rtl/>
        </w:rPr>
        <w:t>لدى</w:t>
      </w:r>
      <w:r w:rsidR="00D27E9B">
        <w:rPr>
          <w:rFonts w:hint="cs"/>
          <w:rtl/>
        </w:rPr>
        <w:t xml:space="preserve"> المكتب الدولي</w:t>
      </w:r>
      <w:r w:rsidR="00456FB5">
        <w:rPr>
          <w:rFonts w:hint="cs"/>
          <w:rtl/>
        </w:rPr>
        <w:t xml:space="preserve">، غير أنها غير متاحة على المتصفح ووظائف البحث في </w:t>
      </w:r>
      <w:r w:rsidR="00AD6672">
        <w:rPr>
          <w:rFonts w:hint="cs"/>
          <w:color w:val="FF0000"/>
          <w:rtl/>
        </w:rPr>
        <w:t xml:space="preserve"> </w:t>
      </w:r>
      <w:r w:rsidR="00AD6672" w:rsidRPr="00AD6672">
        <w:rPr>
          <w:rFonts w:hint="cs"/>
          <w:color w:val="000000" w:themeColor="text1"/>
          <w:rtl/>
        </w:rPr>
        <w:t>نظام</w:t>
      </w:r>
      <w:r w:rsidR="00456FB5" w:rsidRPr="00AD6672">
        <w:rPr>
          <w:rFonts w:hint="cs"/>
          <w:color w:val="000000" w:themeColor="text1"/>
          <w:rtl/>
        </w:rPr>
        <w:t xml:space="preserve"> </w:t>
      </w:r>
      <w:r w:rsidR="00456FB5">
        <w:rPr>
          <w:rFonts w:hint="cs"/>
          <w:rtl/>
        </w:rPr>
        <w:t xml:space="preserve">السلع والخدمات. </w:t>
      </w:r>
      <w:r w:rsidR="00A5153A">
        <w:rPr>
          <w:rFonts w:hint="cs"/>
          <w:rtl/>
        </w:rPr>
        <w:t xml:space="preserve">وسيصبح </w:t>
      </w:r>
      <w:r w:rsidR="00AD6672">
        <w:rPr>
          <w:rFonts w:hint="cs"/>
          <w:color w:val="FF0000"/>
          <w:rtl/>
        </w:rPr>
        <w:t xml:space="preserve"> </w:t>
      </w:r>
      <w:r w:rsidR="00AD6672" w:rsidRPr="00AD6672">
        <w:rPr>
          <w:rFonts w:hint="cs"/>
          <w:color w:val="000000" w:themeColor="text1"/>
          <w:rtl/>
        </w:rPr>
        <w:t>نظام</w:t>
      </w:r>
      <w:r w:rsidR="00A5153A" w:rsidRPr="00AD6672">
        <w:rPr>
          <w:rFonts w:hint="cs"/>
          <w:color w:val="000000" w:themeColor="text1"/>
          <w:rtl/>
        </w:rPr>
        <w:t xml:space="preserve"> </w:t>
      </w:r>
      <w:r w:rsidR="00A5153A">
        <w:rPr>
          <w:rFonts w:hint="cs"/>
          <w:rtl/>
        </w:rPr>
        <w:t xml:space="preserve">السلع والخدمات متماشيًا أكثر مع </w:t>
      </w:r>
      <w:r w:rsidR="00592DD4">
        <w:rPr>
          <w:rFonts w:hint="cs"/>
          <w:rtl/>
        </w:rPr>
        <w:t>سياسة</w:t>
      </w:r>
      <w:r w:rsidR="009A3610">
        <w:rPr>
          <w:rFonts w:hint="cs"/>
          <w:rtl/>
        </w:rPr>
        <w:t xml:space="preserve"> سجل مدريد</w:t>
      </w:r>
      <w:r w:rsidR="00592DD4">
        <w:rPr>
          <w:rFonts w:hint="cs"/>
          <w:rtl/>
        </w:rPr>
        <w:t xml:space="preserve"> </w:t>
      </w:r>
      <w:r w:rsidR="009A3610">
        <w:rPr>
          <w:rFonts w:hint="cs"/>
          <w:rtl/>
        </w:rPr>
        <w:t>ل</w:t>
      </w:r>
      <w:r w:rsidR="00592DD4">
        <w:rPr>
          <w:rFonts w:hint="cs"/>
          <w:rtl/>
        </w:rPr>
        <w:t>فحص التصنيف</w:t>
      </w:r>
      <w:r w:rsidR="00292E6C">
        <w:rPr>
          <w:rFonts w:hint="cs"/>
          <w:rtl/>
        </w:rPr>
        <w:t xml:space="preserve"> بفضل الإضافة التدريجية لعدد أكبر فأكبر من الأوصاف المخصصة للاستخدام الداخلي</w:t>
      </w:r>
      <w:r w:rsidR="00BA24E4">
        <w:rPr>
          <w:rFonts w:hint="cs"/>
          <w:rtl/>
        </w:rPr>
        <w:t>.</w:t>
      </w:r>
    </w:p>
    <w:p w:rsidR="00BA24E4" w:rsidRDefault="003070C6" w:rsidP="000849FE">
      <w:pPr>
        <w:pStyle w:val="NumberedParaAR"/>
        <w:widowControl w:val="0"/>
      </w:pPr>
      <w:r>
        <w:rPr>
          <w:rFonts w:hint="cs"/>
          <w:rtl/>
        </w:rPr>
        <w:lastRenderedPageBreak/>
        <w:t xml:space="preserve">ويجري </w:t>
      </w:r>
      <w:r w:rsidR="00E6428E">
        <w:rPr>
          <w:rFonts w:hint="cs"/>
          <w:rtl/>
        </w:rPr>
        <w:t>إعداد عرض مجموعات</w:t>
      </w:r>
      <w:r>
        <w:rPr>
          <w:rFonts w:hint="cs"/>
          <w:rtl/>
        </w:rPr>
        <w:t xml:space="preserve"> </w:t>
      </w:r>
      <w:r w:rsidR="00E6428E">
        <w:rPr>
          <w:rFonts w:hint="cs"/>
          <w:rtl/>
        </w:rPr>
        <w:t>ا</w:t>
      </w:r>
      <w:r>
        <w:rPr>
          <w:rFonts w:hint="cs"/>
          <w:rtl/>
        </w:rPr>
        <w:t xml:space="preserve">لرموز </w:t>
      </w:r>
      <w:r w:rsidR="00E6428E">
        <w:rPr>
          <w:rFonts w:hint="cs"/>
          <w:rtl/>
        </w:rPr>
        <w:t xml:space="preserve">المتشابهة </w:t>
      </w:r>
      <w:r>
        <w:rPr>
          <w:rFonts w:hint="cs"/>
          <w:rtl/>
        </w:rPr>
        <w:t>المستخدمة</w:t>
      </w:r>
      <w:r w:rsidR="00C8682A">
        <w:rPr>
          <w:rFonts w:hint="cs"/>
          <w:rtl/>
        </w:rPr>
        <w:t xml:space="preserve"> على التوالي</w:t>
      </w:r>
      <w:r>
        <w:rPr>
          <w:rFonts w:hint="cs"/>
          <w:rtl/>
        </w:rPr>
        <w:t xml:space="preserve"> في اليابان وجمهورية كوريا في نظام إدارة السلع والخدمات عقب مناقشات</w:t>
      </w:r>
      <w:r w:rsidR="0072506D">
        <w:rPr>
          <w:rFonts w:hint="cs"/>
          <w:rtl/>
        </w:rPr>
        <w:t xml:space="preserve"> أجريت</w:t>
      </w:r>
      <w:r>
        <w:rPr>
          <w:rFonts w:hint="cs"/>
          <w:rtl/>
        </w:rPr>
        <w:t xml:space="preserve"> مع </w:t>
      </w:r>
      <w:r w:rsidR="0072506D" w:rsidRPr="0072506D">
        <w:rPr>
          <w:rtl/>
        </w:rPr>
        <w:t>المكتب الياباني للبراءات</w:t>
      </w:r>
      <w:r w:rsidR="0072506D">
        <w:rPr>
          <w:rFonts w:hint="cs"/>
          <w:rtl/>
        </w:rPr>
        <w:t xml:space="preserve"> و</w:t>
      </w:r>
      <w:r w:rsidR="0072506D" w:rsidRPr="0072506D">
        <w:rPr>
          <w:rtl/>
        </w:rPr>
        <w:t>مكتب كوريا للملكية الفكرية</w:t>
      </w:r>
      <w:r w:rsidR="0072506D">
        <w:rPr>
          <w:rFonts w:hint="cs"/>
          <w:rtl/>
        </w:rPr>
        <w:t>.</w:t>
      </w:r>
      <w:r w:rsidR="00C8682A">
        <w:rPr>
          <w:rFonts w:hint="cs"/>
          <w:rtl/>
        </w:rPr>
        <w:t xml:space="preserve"> </w:t>
      </w:r>
      <w:r w:rsidR="003C4A25">
        <w:rPr>
          <w:rFonts w:hint="cs"/>
          <w:rtl/>
        </w:rPr>
        <w:t>وتُسن</w:t>
      </w:r>
      <w:r w:rsidR="00855CF4">
        <w:rPr>
          <w:rFonts w:hint="cs"/>
          <w:rtl/>
        </w:rPr>
        <w:t>َ</w:t>
      </w:r>
      <w:r w:rsidR="003C4A25">
        <w:rPr>
          <w:rFonts w:hint="cs"/>
          <w:rtl/>
        </w:rPr>
        <w:t xml:space="preserve">د هذه الرموز إلى </w:t>
      </w:r>
      <w:r w:rsidR="00C8682A">
        <w:rPr>
          <w:rFonts w:hint="cs"/>
          <w:rtl/>
        </w:rPr>
        <w:t>مجموعات السلع والخدمات التي ت</w:t>
      </w:r>
      <w:r w:rsidR="00855CF4">
        <w:rPr>
          <w:rFonts w:hint="cs"/>
          <w:rtl/>
        </w:rPr>
        <w:t>ُ</w:t>
      </w:r>
      <w:r w:rsidR="00C8682A">
        <w:rPr>
          <w:rFonts w:hint="cs"/>
          <w:rtl/>
        </w:rPr>
        <w:t>عتبر متشابهة خلال فحص العلامات</w:t>
      </w:r>
      <w:r w:rsidR="007C398B">
        <w:rPr>
          <w:rFonts w:hint="cs"/>
          <w:rtl/>
        </w:rPr>
        <w:t xml:space="preserve"> وتُنظَّم هذه المجموعات في هيكل هرمي على شكل شجرة يلائم البحوث المتشابهة</w:t>
      </w:r>
      <w:r w:rsidR="002654A4">
        <w:rPr>
          <w:rFonts w:hint="cs"/>
          <w:rtl/>
        </w:rPr>
        <w:t xml:space="preserve"> في</w:t>
      </w:r>
      <w:r w:rsidR="007C398B">
        <w:rPr>
          <w:rFonts w:hint="cs"/>
          <w:rtl/>
        </w:rPr>
        <w:t xml:space="preserve"> </w:t>
      </w:r>
      <w:r w:rsidR="007C398B" w:rsidRPr="007C398B">
        <w:rPr>
          <w:rtl/>
        </w:rPr>
        <w:t xml:space="preserve">قواعد البيانات </w:t>
      </w:r>
      <w:r w:rsidR="002654A4">
        <w:rPr>
          <w:rFonts w:hint="cs"/>
          <w:rtl/>
        </w:rPr>
        <w:t>الوطنية</w:t>
      </w:r>
      <w:r w:rsidR="007C398B" w:rsidRPr="007C398B">
        <w:rPr>
          <w:rtl/>
        </w:rPr>
        <w:t xml:space="preserve"> الخاصة بالعلامات التجارية</w:t>
      </w:r>
      <w:r w:rsidR="002654A4">
        <w:rPr>
          <w:rFonts w:hint="cs"/>
          <w:rtl/>
        </w:rPr>
        <w:t xml:space="preserve">. ويُطلب من </w:t>
      </w:r>
      <w:r w:rsidR="002654A4" w:rsidRPr="002654A4">
        <w:rPr>
          <w:rtl/>
        </w:rPr>
        <w:t>مودعي طلبات العلامات التجارية</w:t>
      </w:r>
      <w:r w:rsidR="002654A4">
        <w:rPr>
          <w:rFonts w:hint="cs"/>
          <w:rtl/>
        </w:rPr>
        <w:t xml:space="preserve"> في اليابان وجمهورية كوريا </w:t>
      </w:r>
      <w:r w:rsidR="002011F8">
        <w:rPr>
          <w:rFonts w:hint="cs"/>
          <w:rtl/>
        </w:rPr>
        <w:t xml:space="preserve">مراجعة هذه الرموز قبل </w:t>
      </w:r>
      <w:r w:rsidR="002011F8" w:rsidRPr="002011F8">
        <w:rPr>
          <w:rtl/>
        </w:rPr>
        <w:t>إيداع طلب علامة تجارية</w:t>
      </w:r>
      <w:r w:rsidR="002011F8">
        <w:rPr>
          <w:rFonts w:hint="cs"/>
          <w:rtl/>
        </w:rPr>
        <w:t xml:space="preserve"> للتحقق من </w:t>
      </w:r>
      <w:r w:rsidR="003C4A25" w:rsidRPr="00855CF4">
        <w:rPr>
          <w:rFonts w:hint="cs"/>
          <w:color w:val="000000" w:themeColor="text1"/>
          <w:rtl/>
        </w:rPr>
        <w:t xml:space="preserve">عدم </w:t>
      </w:r>
      <w:r w:rsidR="002011F8">
        <w:rPr>
          <w:rFonts w:hint="cs"/>
          <w:rtl/>
        </w:rPr>
        <w:t>وجود علامات تجارية مسج</w:t>
      </w:r>
      <w:r w:rsidR="00855CF4">
        <w:rPr>
          <w:rFonts w:hint="cs"/>
          <w:rtl/>
        </w:rPr>
        <w:t>َّ</w:t>
      </w:r>
      <w:r w:rsidR="002011F8">
        <w:rPr>
          <w:rFonts w:hint="cs"/>
          <w:rtl/>
        </w:rPr>
        <w:t>لة مشابهة.</w:t>
      </w:r>
    </w:p>
    <w:p w:rsidR="002011F8" w:rsidRPr="001000DF" w:rsidRDefault="001000DF" w:rsidP="000849FE">
      <w:pPr>
        <w:pStyle w:val="Heading1AR"/>
        <w:rPr>
          <w:rtl/>
        </w:rPr>
      </w:pPr>
      <w:r w:rsidRPr="001000DF">
        <w:rPr>
          <w:rFonts w:hint="cs"/>
          <w:rtl/>
        </w:rPr>
        <w:t xml:space="preserve">إثراء أكثر لقاعدة </w:t>
      </w:r>
      <w:r w:rsidRPr="000849FE">
        <w:rPr>
          <w:rFonts w:hint="cs"/>
          <w:rtl/>
        </w:rPr>
        <w:t>بيانات</w:t>
      </w:r>
      <w:r w:rsidRPr="001000DF">
        <w:rPr>
          <w:rFonts w:hint="cs"/>
          <w:rtl/>
        </w:rPr>
        <w:t xml:space="preserve"> السلع والخدمات</w:t>
      </w:r>
    </w:p>
    <w:p w:rsidR="001000DF" w:rsidRPr="00C75510" w:rsidRDefault="001000DF" w:rsidP="000849FE">
      <w:pPr>
        <w:pStyle w:val="Heading2AR"/>
        <w:rPr>
          <w:bCs/>
          <w:iCs/>
          <w:rtl/>
        </w:rPr>
      </w:pPr>
      <w:r w:rsidRPr="00C75510">
        <w:rPr>
          <w:rtl/>
        </w:rPr>
        <w:t>التثبت من حالة القبول لدى المكاتب الوطنية</w:t>
      </w:r>
    </w:p>
    <w:p w:rsidR="001000DF" w:rsidRPr="00DB3B73" w:rsidRDefault="00DB3B73" w:rsidP="00F72E90">
      <w:pPr>
        <w:pStyle w:val="NumberedParaAR"/>
        <w:widowControl w:val="0"/>
      </w:pPr>
      <w:r>
        <w:rPr>
          <w:rFonts w:hint="cs"/>
          <w:rtl/>
        </w:rPr>
        <w:t>ترد في المرفق الرابع قائمة ال</w:t>
      </w:r>
      <w:r w:rsidR="003C4A25">
        <w:rPr>
          <w:rFonts w:hint="cs"/>
          <w:rtl/>
        </w:rPr>
        <w:t>أطراف المتعاقدة في نظام مدريد م</w:t>
      </w:r>
      <w:r>
        <w:rPr>
          <w:rFonts w:eastAsia="Arial" w:hint="cs"/>
          <w:rtl/>
        </w:rPr>
        <w:t>رتبة</w:t>
      </w:r>
      <w:r w:rsidR="00855CF4">
        <w:rPr>
          <w:rFonts w:eastAsia="Arial" w:hint="cs"/>
          <w:rtl/>
        </w:rPr>
        <w:t>ً</w:t>
      </w:r>
      <w:r>
        <w:rPr>
          <w:rFonts w:eastAsia="Arial" w:hint="cs"/>
          <w:rtl/>
        </w:rPr>
        <w:t xml:space="preserve"> بحسب عدد إعلانات الرفض الصادرة في سنة</w:t>
      </w:r>
      <w:r w:rsidR="00F72E90">
        <w:rPr>
          <w:rFonts w:eastAsia="Arial" w:hint="eastAsia"/>
          <w:rtl/>
        </w:rPr>
        <w:t> </w:t>
      </w:r>
      <w:r>
        <w:rPr>
          <w:rFonts w:eastAsia="Arial" w:hint="cs"/>
          <w:rtl/>
        </w:rPr>
        <w:t>2013.</w:t>
      </w:r>
    </w:p>
    <w:p w:rsidR="00625218" w:rsidRPr="00625218" w:rsidRDefault="00DB3B73" w:rsidP="000849FE">
      <w:pPr>
        <w:pStyle w:val="NumberedParaAR"/>
        <w:widowControl w:val="0"/>
      </w:pPr>
      <w:r>
        <w:rPr>
          <w:rFonts w:eastAsia="Arial" w:hint="cs"/>
          <w:rtl/>
        </w:rPr>
        <w:t>وبغية تزويد مودعي</w:t>
      </w:r>
      <w:r w:rsidR="004E0091">
        <w:rPr>
          <w:rFonts w:eastAsia="Arial" w:hint="cs"/>
          <w:rtl/>
        </w:rPr>
        <w:t xml:space="preserve"> طلبات</w:t>
      </w:r>
      <w:r>
        <w:rPr>
          <w:rFonts w:eastAsia="Arial" w:hint="cs"/>
          <w:rtl/>
        </w:rPr>
        <w:t xml:space="preserve"> العلامات التجارية الذي يستخدمون نظام مدريد </w:t>
      </w:r>
      <w:r w:rsidR="00CD01EF">
        <w:rPr>
          <w:rFonts w:eastAsia="Arial" w:hint="cs"/>
          <w:rtl/>
        </w:rPr>
        <w:t>ب</w:t>
      </w:r>
      <w:r>
        <w:rPr>
          <w:rFonts w:eastAsia="Arial" w:hint="cs"/>
          <w:rtl/>
        </w:rPr>
        <w:t>المعلومات</w:t>
      </w:r>
      <w:r w:rsidR="00CD01EF">
        <w:rPr>
          <w:rFonts w:eastAsia="Arial" w:hint="cs"/>
          <w:rtl/>
        </w:rPr>
        <w:t xml:space="preserve"> البالغة الأهمية</w:t>
      </w:r>
      <w:r>
        <w:rPr>
          <w:rFonts w:eastAsia="Arial" w:hint="cs"/>
          <w:rtl/>
        </w:rPr>
        <w:t xml:space="preserve"> لأغراض الإيداع الدولي للطلب، سيكون من المفيد أن يتعاون </w:t>
      </w:r>
      <w:r w:rsidRPr="0000660B">
        <w:rPr>
          <w:rFonts w:eastAsia="Arial" w:hint="cs"/>
          <w:rtl/>
          <w:lang w:val="ar-SA"/>
        </w:rPr>
        <w:t>المكتب الدولي للويبو</w:t>
      </w:r>
      <w:r>
        <w:rPr>
          <w:rFonts w:eastAsia="Arial" w:hint="cs"/>
          <w:rtl/>
          <w:lang w:val="ar-SA"/>
        </w:rPr>
        <w:t xml:space="preserve"> مع </w:t>
      </w:r>
      <w:r>
        <w:rPr>
          <w:rFonts w:eastAsia="Arial" w:hint="cs"/>
          <w:rtl/>
        </w:rPr>
        <w:t>الأطراف المتعاقدة في القائمة المذكورة أعلاه</w:t>
      </w:r>
      <w:r>
        <w:rPr>
          <w:rFonts w:eastAsia="Arial" w:hint="cs"/>
          <w:rtl/>
          <w:lang w:val="ar-SA"/>
        </w:rPr>
        <w:t xml:space="preserve"> </w:t>
      </w:r>
      <w:r w:rsidR="001B31A7">
        <w:rPr>
          <w:rFonts w:eastAsia="Arial" w:hint="cs"/>
          <w:rtl/>
          <w:lang w:val="ar-SA"/>
        </w:rPr>
        <w:t xml:space="preserve">لزيادة كمية المعلومات الخاصة بالقبول </w:t>
      </w:r>
      <w:r w:rsidR="001B31A7" w:rsidRPr="00AD6672">
        <w:rPr>
          <w:rFonts w:eastAsia="Arial" w:hint="cs"/>
          <w:color w:val="000000" w:themeColor="text1"/>
          <w:rtl/>
          <w:lang w:val="ar-SA"/>
        </w:rPr>
        <w:t xml:space="preserve">والمتاحة </w:t>
      </w:r>
      <w:r w:rsidR="00331B72" w:rsidRPr="00AD6672">
        <w:rPr>
          <w:rFonts w:eastAsia="Arial" w:hint="cs"/>
          <w:color w:val="000000" w:themeColor="text1"/>
          <w:rtl/>
          <w:lang w:val="ar-SA"/>
        </w:rPr>
        <w:t xml:space="preserve">على </w:t>
      </w:r>
      <w:r w:rsidR="00331B72">
        <w:rPr>
          <w:rFonts w:eastAsia="Arial" w:hint="cs"/>
          <w:rtl/>
          <w:lang w:val="ar-SA"/>
        </w:rPr>
        <w:t>قاعدة بيانات السلع والخدمات</w:t>
      </w:r>
      <w:r w:rsidR="003155C0">
        <w:rPr>
          <w:rFonts w:eastAsia="Arial" w:hint="cs"/>
          <w:rtl/>
          <w:lang w:val="ar-SA"/>
        </w:rPr>
        <w:t xml:space="preserve">. </w:t>
      </w:r>
      <w:r w:rsidR="00CD01EF">
        <w:rPr>
          <w:rFonts w:eastAsia="Arial" w:hint="cs"/>
          <w:rtl/>
          <w:lang w:val="ar-SA"/>
        </w:rPr>
        <w:t>و</w:t>
      </w:r>
      <w:r w:rsidR="00E43451">
        <w:rPr>
          <w:rFonts w:eastAsia="Arial" w:hint="cs"/>
          <w:rtl/>
          <w:lang w:val="ar-SA"/>
        </w:rPr>
        <w:t>سيتبين</w:t>
      </w:r>
      <w:r w:rsidR="003155C0">
        <w:rPr>
          <w:rFonts w:eastAsia="Arial" w:hint="cs"/>
          <w:rtl/>
          <w:lang w:val="ar-SA"/>
        </w:rPr>
        <w:t xml:space="preserve"> مسبقًا</w:t>
      </w:r>
      <w:r w:rsidR="00331B72">
        <w:rPr>
          <w:rFonts w:eastAsia="Arial" w:hint="cs"/>
          <w:rtl/>
          <w:lang w:val="ar-SA"/>
        </w:rPr>
        <w:t xml:space="preserve"> </w:t>
      </w:r>
      <w:r w:rsidR="00E43451">
        <w:rPr>
          <w:rFonts w:eastAsia="Arial" w:hint="cs"/>
          <w:rtl/>
          <w:lang w:val="ar-SA"/>
        </w:rPr>
        <w:t>ل</w:t>
      </w:r>
      <w:r w:rsidR="00331B72">
        <w:rPr>
          <w:rFonts w:eastAsia="Arial" w:hint="cs"/>
          <w:rtl/>
          <w:lang w:val="ar-SA"/>
        </w:rPr>
        <w:t>مودع</w:t>
      </w:r>
      <w:r w:rsidR="00E43451">
        <w:rPr>
          <w:rFonts w:eastAsia="Arial" w:hint="cs"/>
          <w:rtl/>
          <w:lang w:val="ar-SA"/>
        </w:rPr>
        <w:t>ي</w:t>
      </w:r>
      <w:r w:rsidR="00D61797">
        <w:rPr>
          <w:rFonts w:eastAsia="Arial" w:hint="cs"/>
          <w:rtl/>
          <w:lang w:val="ar-SA"/>
        </w:rPr>
        <w:t xml:space="preserve"> طلبات</w:t>
      </w:r>
      <w:r w:rsidR="00625218">
        <w:rPr>
          <w:rFonts w:eastAsia="Arial" w:hint="cs"/>
          <w:rtl/>
          <w:lang w:val="ar-SA"/>
        </w:rPr>
        <w:t xml:space="preserve"> العلامات</w:t>
      </w:r>
      <w:r w:rsidR="00331B72">
        <w:rPr>
          <w:rFonts w:eastAsia="Arial" w:hint="cs"/>
          <w:rtl/>
          <w:lang w:val="ar-SA"/>
        </w:rPr>
        <w:t xml:space="preserve"> التجارية الذين يستخدمون نظام إدارة السلع والخدمات </w:t>
      </w:r>
      <w:r w:rsidR="00E43451">
        <w:rPr>
          <w:rFonts w:eastAsia="Arial" w:hint="cs"/>
          <w:rtl/>
          <w:lang w:val="ar-SA"/>
        </w:rPr>
        <w:t>لتجميع قائمة بالسلع والخدمات والتثبت من قبولها</w:t>
      </w:r>
      <w:r w:rsidR="00625218">
        <w:rPr>
          <w:rFonts w:eastAsia="Arial" w:hint="cs"/>
          <w:rtl/>
          <w:lang w:val="ar-SA"/>
        </w:rPr>
        <w:t>،</w:t>
      </w:r>
      <w:r w:rsidR="00CD01EF">
        <w:rPr>
          <w:rFonts w:eastAsia="Arial" w:hint="cs"/>
          <w:rtl/>
          <w:lang w:val="ar-SA"/>
        </w:rPr>
        <w:t xml:space="preserve"> على وجه الخصوص،</w:t>
      </w:r>
      <w:r w:rsidR="003155C0">
        <w:rPr>
          <w:rFonts w:eastAsia="Arial" w:hint="cs"/>
          <w:rtl/>
          <w:lang w:val="ar-SA"/>
        </w:rPr>
        <w:t xml:space="preserve"> </w:t>
      </w:r>
      <w:r w:rsidR="00625218">
        <w:rPr>
          <w:rFonts w:eastAsia="Arial" w:hint="cs"/>
          <w:rtl/>
          <w:lang w:val="ar-SA"/>
        </w:rPr>
        <w:t>ما إذا كانت البلدان المعينة قد تبدي رفضًا مؤقتًا لبيانات معينة.</w:t>
      </w:r>
    </w:p>
    <w:p w:rsidR="001000DF" w:rsidRPr="00E93A4C" w:rsidRDefault="004E0091" w:rsidP="000849FE">
      <w:pPr>
        <w:pStyle w:val="NumberedParaAR"/>
        <w:widowControl w:val="0"/>
        <w:rPr>
          <w:lang w:bidi="ar-AE"/>
        </w:rPr>
      </w:pPr>
      <w:r>
        <w:rPr>
          <w:rFonts w:eastAsia="Arial" w:hint="cs"/>
          <w:rtl/>
          <w:lang w:val="ar-SA"/>
        </w:rPr>
        <w:t>و</w:t>
      </w:r>
      <w:r w:rsidR="00D61797" w:rsidRPr="00D61797">
        <w:rPr>
          <w:rFonts w:eastAsia="Arial" w:hint="cs"/>
          <w:rtl/>
          <w:lang w:val="ar-SA"/>
        </w:rPr>
        <w:t xml:space="preserve">أثناء النصف الأول من عام 2014، اختتم </w:t>
      </w:r>
      <w:r w:rsidR="00D61797" w:rsidRPr="00D61797">
        <w:rPr>
          <w:rFonts w:eastAsia="Arial"/>
          <w:rtl/>
          <w:lang w:val="ar-SA"/>
        </w:rPr>
        <w:t>مكتب الولايات المتحدة للبراءات والعلامات التجارية</w:t>
      </w:r>
      <w:r w:rsidR="00D61797">
        <w:rPr>
          <w:rFonts w:eastAsia="Arial" w:hint="cs"/>
          <w:rtl/>
          <w:lang w:val="ar-SA"/>
        </w:rPr>
        <w:t xml:space="preserve"> استعراضه لقائمة نيس الأبجدية للسلع والخدمات حتى يتسنى عرض بيانات نيس التي رفضتها الولايات المتحدة الأمريكية</w:t>
      </w:r>
      <w:r w:rsidR="00CD01EF">
        <w:rPr>
          <w:rFonts w:eastAsia="Arial" w:hint="cs"/>
          <w:rtl/>
          <w:lang w:val="ar-SA"/>
        </w:rPr>
        <w:t>،</w:t>
      </w:r>
      <w:r w:rsidR="00D61797">
        <w:rPr>
          <w:rFonts w:eastAsia="Arial" w:hint="cs"/>
          <w:rtl/>
          <w:lang w:val="ar-SA"/>
        </w:rPr>
        <w:t xml:space="preserve"> وهي بنسبة 30% من البيانا</w:t>
      </w:r>
      <w:r w:rsidR="00D61797">
        <w:rPr>
          <w:rFonts w:eastAsia="Arial" w:hint="eastAsia"/>
          <w:rtl/>
          <w:lang w:val="ar-SA"/>
        </w:rPr>
        <w:t>ت</w:t>
      </w:r>
      <w:r w:rsidR="00CD01EF">
        <w:rPr>
          <w:rFonts w:eastAsia="Arial" w:hint="cs"/>
          <w:rtl/>
          <w:lang w:val="ar-SA"/>
        </w:rPr>
        <w:t>،</w:t>
      </w:r>
      <w:r w:rsidR="00D61797">
        <w:rPr>
          <w:rFonts w:eastAsia="Arial" w:hint="cs"/>
          <w:rtl/>
          <w:lang w:val="ar-SA"/>
        </w:rPr>
        <w:t xml:space="preserve"> على نظام إدارة السلع والخدمات. ونظرا لأهمية قائمة نيس الأبجدية</w:t>
      </w:r>
      <w:r>
        <w:rPr>
          <w:rFonts w:eastAsia="Arial" w:hint="cs"/>
          <w:rtl/>
          <w:lang w:val="ar-SA"/>
        </w:rPr>
        <w:t xml:space="preserve"> بالنسبة</w:t>
      </w:r>
      <w:r w:rsidR="00D61797">
        <w:rPr>
          <w:rFonts w:eastAsia="Arial" w:hint="cs"/>
          <w:rtl/>
          <w:lang w:val="ar-SA"/>
        </w:rPr>
        <w:t xml:space="preserve"> لمودعي طلبات العلامات التجارية </w:t>
      </w:r>
      <w:r>
        <w:rPr>
          <w:rFonts w:eastAsia="Arial" w:hint="cs"/>
          <w:rtl/>
          <w:lang w:val="ar-SA"/>
        </w:rPr>
        <w:t>وبالرغم من أن القائمة الأبجدية لا تشكل إلا ربع قاعدة بيانات السلع والخدمات، إل</w:t>
      </w:r>
      <w:r w:rsidR="007352B9">
        <w:rPr>
          <w:rFonts w:eastAsia="Arial" w:hint="cs"/>
          <w:rtl/>
          <w:lang w:val="ar-SA"/>
        </w:rPr>
        <w:t>ّ</w:t>
      </w:r>
      <w:r>
        <w:rPr>
          <w:rFonts w:eastAsia="Arial" w:hint="cs"/>
          <w:rtl/>
          <w:lang w:val="ar-SA"/>
        </w:rPr>
        <w:t xml:space="preserve">ا أن عرض هذه البيانات المرفوضة في قاعدة بيانات السلع والخدمات يتيح معلومات قيِّمة تهدف إلى تقليص عدد حالات الرفض المؤقت التي يصدرها </w:t>
      </w:r>
      <w:r w:rsidRPr="00D61797">
        <w:rPr>
          <w:rFonts w:eastAsia="Arial"/>
          <w:rtl/>
          <w:lang w:val="ar-SA"/>
        </w:rPr>
        <w:t>مكتب الولايات المتحدة للبراءات والعلامات التجارية</w:t>
      </w:r>
      <w:r>
        <w:rPr>
          <w:rFonts w:eastAsia="Arial" w:hint="cs"/>
          <w:rtl/>
          <w:lang w:val="ar-SA"/>
        </w:rPr>
        <w:t xml:space="preserve">. كما وافق </w:t>
      </w:r>
      <w:r w:rsidRPr="00D61797">
        <w:rPr>
          <w:rFonts w:eastAsia="Arial"/>
          <w:rtl/>
          <w:lang w:val="ar-SA"/>
        </w:rPr>
        <w:t>مكتب الولايات المتحدة للبراءات والعلامات التجارية</w:t>
      </w:r>
      <w:r>
        <w:rPr>
          <w:rFonts w:eastAsia="Arial" w:hint="cs"/>
          <w:rtl/>
          <w:lang w:val="ar-SA"/>
        </w:rPr>
        <w:t xml:space="preserve"> </w:t>
      </w:r>
      <w:r w:rsidR="00E93A4C">
        <w:rPr>
          <w:rFonts w:eastAsia="Arial" w:hint="cs"/>
          <w:rtl/>
          <w:lang w:val="ar-SA"/>
        </w:rPr>
        <w:t xml:space="preserve">على التثبت من قبول أجزاء أخرى من قاعدة بيانات السلع والخدمات الأكثر ارتباطًا </w:t>
      </w:r>
      <w:r w:rsidR="00E93A4C" w:rsidRPr="00AD6672">
        <w:rPr>
          <w:rFonts w:eastAsia="Arial" w:hint="cs"/>
          <w:color w:val="000000" w:themeColor="text1"/>
          <w:rtl/>
          <w:lang w:val="ar-SA"/>
        </w:rPr>
        <w:t xml:space="preserve">بتعيينات </w:t>
      </w:r>
      <w:r w:rsidR="00E93A4C">
        <w:rPr>
          <w:rFonts w:eastAsia="Arial" w:hint="cs"/>
          <w:rtl/>
          <w:lang w:val="ar-SA"/>
        </w:rPr>
        <w:t>الولايات المتحدة الأمريكية.</w:t>
      </w:r>
    </w:p>
    <w:p w:rsidR="00E93A4C" w:rsidRDefault="00E93A4C" w:rsidP="000849FE">
      <w:pPr>
        <w:pStyle w:val="NumberedParaAR"/>
        <w:widowControl w:val="0"/>
        <w:rPr>
          <w:lang w:bidi="ar-AE"/>
        </w:rPr>
      </w:pPr>
      <w:r>
        <w:rPr>
          <w:rFonts w:hint="cs"/>
          <w:rtl/>
          <w:lang w:bidi="ar-AE"/>
        </w:rPr>
        <w:t>و</w:t>
      </w:r>
      <w:r w:rsidR="00C01EA8">
        <w:rPr>
          <w:rFonts w:hint="cs"/>
          <w:rtl/>
          <w:lang w:bidi="ar-AE"/>
        </w:rPr>
        <w:t xml:space="preserve">انضمت المكسيك، </w:t>
      </w:r>
      <w:r>
        <w:rPr>
          <w:rFonts w:hint="cs"/>
          <w:rtl/>
          <w:lang w:bidi="ar-AE"/>
        </w:rPr>
        <w:t xml:space="preserve">في فبراير 2013، </w:t>
      </w:r>
      <w:r w:rsidR="00C01EA8">
        <w:rPr>
          <w:rFonts w:hint="cs"/>
          <w:rtl/>
          <w:lang w:bidi="ar-AE"/>
        </w:rPr>
        <w:t>إلى بروتوكول مدريد</w:t>
      </w:r>
      <w:r w:rsidR="00CD01EF">
        <w:rPr>
          <w:rFonts w:hint="cs"/>
          <w:rtl/>
          <w:lang w:bidi="ar-AE"/>
        </w:rPr>
        <w:t>،</w:t>
      </w:r>
      <w:r w:rsidR="00C01EA8">
        <w:rPr>
          <w:rFonts w:hint="cs"/>
          <w:rtl/>
          <w:lang w:bidi="ar-AE"/>
        </w:rPr>
        <w:t xml:space="preserve"> وبحلول نهاية العام كانت قد احتلت المركز السادس عشر من حيث عدد التعيينات </w:t>
      </w:r>
      <w:r w:rsidR="00AF7FFE">
        <w:rPr>
          <w:rFonts w:hint="cs"/>
          <w:rtl/>
          <w:lang w:bidi="ar-AE"/>
        </w:rPr>
        <w:t xml:space="preserve">في الطلبات الدولية. ولهذا السبب، طلب </w:t>
      </w:r>
      <w:r w:rsidR="00AF7FFE" w:rsidRPr="00AF7FFE">
        <w:rPr>
          <w:rtl/>
          <w:lang w:bidi="ar-AE"/>
        </w:rPr>
        <w:t>المعهد المكسيكي للملكية الصناعية</w:t>
      </w:r>
      <w:r w:rsidR="00AF7FFE">
        <w:rPr>
          <w:rFonts w:hint="cs"/>
          <w:rtl/>
          <w:lang w:bidi="ar-AE"/>
        </w:rPr>
        <w:t xml:space="preserve"> التعاون مع المكتب الدولي للتثبت من قبوله للسلع والخدمات المقترحة في إطار نظام إدارة السلع والخدمات لتقليص عدد إعلانات الرفض المؤقت الصادرة عن </w:t>
      </w:r>
      <w:r w:rsidR="00AF7FFE" w:rsidRPr="00AF7FFE">
        <w:rPr>
          <w:rtl/>
          <w:lang w:bidi="ar-AE"/>
        </w:rPr>
        <w:t>المعهد المكسيكي للملكية الصناعية</w:t>
      </w:r>
      <w:r w:rsidR="00AF7FFE">
        <w:rPr>
          <w:rFonts w:hint="cs"/>
          <w:rtl/>
          <w:lang w:bidi="ar-AE"/>
        </w:rPr>
        <w:t>.</w:t>
      </w:r>
    </w:p>
    <w:p w:rsidR="00AF7FFE" w:rsidRDefault="00AF7FFE" w:rsidP="000849FE">
      <w:pPr>
        <w:pStyle w:val="NumberedParaAR"/>
        <w:widowControl w:val="0"/>
        <w:rPr>
          <w:lang w:bidi="ar-AE"/>
        </w:rPr>
      </w:pPr>
      <w:r>
        <w:rPr>
          <w:rFonts w:hint="cs"/>
          <w:rtl/>
          <w:lang w:bidi="ar-AE"/>
        </w:rPr>
        <w:t>وعلاوة على ذلك، ستواصل جمهورية كوريا وجمهورية صربيا التثبت من قبولهما لقاعدة بيانات السلع والخدمات بالموازاة مع أعمال الترجمة التي شرعتا فيها.</w:t>
      </w:r>
    </w:p>
    <w:p w:rsidR="00AF7FFE" w:rsidRPr="007352B9" w:rsidRDefault="00AF7FFE" w:rsidP="000849FE">
      <w:pPr>
        <w:pStyle w:val="Heading2AR"/>
        <w:rPr>
          <w:lang w:bidi="ar-AE"/>
        </w:rPr>
      </w:pPr>
      <w:r w:rsidRPr="007352B9">
        <w:rPr>
          <w:rFonts w:hint="cs"/>
          <w:rtl/>
          <w:lang w:bidi="ar-AE"/>
        </w:rPr>
        <w:t xml:space="preserve">إدراج </w:t>
      </w:r>
      <w:r w:rsidR="0088112F" w:rsidRPr="007352B9">
        <w:rPr>
          <w:rFonts w:hint="cs"/>
          <w:rtl/>
          <w:lang w:bidi="ar-AE"/>
        </w:rPr>
        <w:t>بيانات</w:t>
      </w:r>
      <w:r w:rsidRPr="007352B9">
        <w:rPr>
          <w:rFonts w:hint="cs"/>
          <w:rtl/>
          <w:lang w:bidi="ar-AE"/>
        </w:rPr>
        <w:t xml:space="preserve"> </w:t>
      </w:r>
      <w:r w:rsidR="00C75510" w:rsidRPr="007352B9">
        <w:rPr>
          <w:rFonts w:hint="cs"/>
          <w:rtl/>
          <w:lang w:bidi="ar-AE"/>
        </w:rPr>
        <w:t>جديدة خاصة با</w:t>
      </w:r>
      <w:r w:rsidR="0088112F" w:rsidRPr="007352B9">
        <w:rPr>
          <w:rFonts w:hint="cs"/>
          <w:rtl/>
          <w:lang w:bidi="ar-AE"/>
        </w:rPr>
        <w:t>لسلع والخدمات</w:t>
      </w:r>
    </w:p>
    <w:p w:rsidR="00AF7FFE" w:rsidRDefault="0088112F" w:rsidP="000849FE">
      <w:pPr>
        <w:pStyle w:val="NumberedParaAR"/>
        <w:widowControl w:val="0"/>
        <w:rPr>
          <w:lang w:bidi="ar-AE"/>
        </w:rPr>
      </w:pPr>
      <w:r>
        <w:rPr>
          <w:rFonts w:hint="cs"/>
          <w:rtl/>
          <w:lang w:bidi="ar-AE"/>
        </w:rPr>
        <w:t>سيتواصل إثراء قاعدة بيانات السلع والخدمات ببيانات مستمدة من مصادر متنوعة واستُعرضت</w:t>
      </w:r>
      <w:r w:rsidR="00DF087A">
        <w:rPr>
          <w:rFonts w:hint="cs"/>
          <w:rtl/>
          <w:lang w:bidi="ar-AE"/>
        </w:rPr>
        <w:t xml:space="preserve"> هذه البيانات</w:t>
      </w:r>
      <w:r>
        <w:rPr>
          <w:rFonts w:hint="cs"/>
          <w:rtl/>
          <w:lang w:bidi="ar-AE"/>
        </w:rPr>
        <w:t xml:space="preserve"> بتأني قبل الإدراج وذلك بغية جعل قاعدة بيانات السلع والخدمات وجيهة</w:t>
      </w:r>
      <w:r w:rsidR="007352B9">
        <w:rPr>
          <w:rFonts w:hint="cs"/>
          <w:rtl/>
          <w:lang w:bidi="ar-AE"/>
        </w:rPr>
        <w:t>ً</w:t>
      </w:r>
      <w:r>
        <w:rPr>
          <w:rFonts w:hint="cs"/>
          <w:rtl/>
          <w:lang w:bidi="ar-AE"/>
        </w:rPr>
        <w:t xml:space="preserve"> قدر الإمكان لمودعي طلبات العلامات التجارية لدى الإيداع الوطني والدولي على حد سواء. </w:t>
      </w:r>
      <w:r w:rsidR="00325DF0">
        <w:rPr>
          <w:rFonts w:hint="cs"/>
          <w:rtl/>
          <w:lang w:bidi="ar-AE"/>
        </w:rPr>
        <w:t>وأهم المصادر التي ستؤخذ بعين الاعتبار في عام 2014 هي كالتالي:</w:t>
      </w:r>
    </w:p>
    <w:p w:rsidR="00325DF0" w:rsidRDefault="00325DF0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>
        <w:rPr>
          <w:rFonts w:hint="cs"/>
          <w:rtl/>
          <w:lang w:bidi="ar-AE"/>
        </w:rPr>
        <w:t>ا</w:t>
      </w:r>
      <w:r w:rsidRPr="00325DF0">
        <w:rPr>
          <w:rtl/>
          <w:lang w:bidi="ar-AE"/>
        </w:rPr>
        <w:t>لسجل الدولي للعلامات التجارية</w:t>
      </w:r>
      <w:r>
        <w:rPr>
          <w:rFonts w:hint="cs"/>
          <w:rtl/>
          <w:lang w:bidi="ar-AE"/>
        </w:rPr>
        <w:t xml:space="preserve"> الذي تُست</w:t>
      </w:r>
      <w:r w:rsidR="00DF087A">
        <w:rPr>
          <w:rFonts w:hint="cs"/>
          <w:rtl/>
          <w:lang w:bidi="ar-AE"/>
        </w:rPr>
        <w:t>مد منه، بشكل منتظم، البيانات شائعة الاستخدام</w:t>
      </w:r>
      <w:r>
        <w:rPr>
          <w:rFonts w:hint="cs"/>
          <w:rtl/>
          <w:lang w:bidi="ar-AE"/>
        </w:rPr>
        <w:t>؛</w:t>
      </w:r>
    </w:p>
    <w:p w:rsidR="00325DF0" w:rsidRPr="00064F32" w:rsidRDefault="00DF087A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>
        <w:rPr>
          <w:rFonts w:hint="cs"/>
          <w:rtl/>
          <w:lang w:bidi="ar-AE"/>
        </w:rPr>
        <w:lastRenderedPageBreak/>
        <w:t>ال</w:t>
      </w:r>
      <w:r w:rsidR="00064F32">
        <w:rPr>
          <w:rFonts w:hint="cs"/>
          <w:rtl/>
          <w:lang w:bidi="ar-AE"/>
        </w:rPr>
        <w:t xml:space="preserve">قائمة </w:t>
      </w:r>
      <w:r>
        <w:rPr>
          <w:rFonts w:hint="cs"/>
          <w:rtl/>
          <w:lang w:bidi="ar-AE"/>
        </w:rPr>
        <w:t xml:space="preserve">الموحدة لمواصفات السلع والخدمات التي وضعتها المكاتب الخمسة </w:t>
      </w:r>
      <w:r w:rsidR="00064F32" w:rsidRPr="00DF087A">
        <w:t>TM5 ID</w:t>
      </w:r>
      <w:r w:rsidR="00064F32">
        <w:rPr>
          <w:rFonts w:hint="cs"/>
          <w:rtl/>
          <w:lang w:bidi="ar-AE"/>
        </w:rPr>
        <w:t xml:space="preserve"> باللغة الإنكليزية </w:t>
      </w:r>
      <w:r>
        <w:rPr>
          <w:rFonts w:hint="cs"/>
          <w:rtl/>
          <w:lang w:bidi="ar-AE"/>
        </w:rPr>
        <w:t>وهي ثمرة</w:t>
      </w:r>
      <w:r w:rsidR="00064F32">
        <w:rPr>
          <w:rFonts w:hint="cs"/>
          <w:rtl/>
          <w:lang w:bidi="ar-AE"/>
        </w:rPr>
        <w:t xml:space="preserve"> التعاون بين </w:t>
      </w:r>
      <w:r w:rsidR="00064F32" w:rsidRPr="00064F32">
        <w:rPr>
          <w:rtl/>
          <w:lang w:bidi="ar-AE"/>
        </w:rPr>
        <w:t>المكتب الياباني للبراءات</w:t>
      </w:r>
      <w:r w:rsidR="00064F32">
        <w:rPr>
          <w:rFonts w:hint="cs"/>
          <w:rtl/>
          <w:lang w:bidi="ar-AE"/>
        </w:rPr>
        <w:t xml:space="preserve"> و</w:t>
      </w:r>
      <w:r w:rsidR="00064F32" w:rsidRPr="00064F32">
        <w:rPr>
          <w:rtl/>
          <w:lang w:bidi="ar-AE"/>
        </w:rPr>
        <w:t>مكتب كوريا للملكية الفكرية</w:t>
      </w:r>
      <w:r w:rsidR="00064F32">
        <w:rPr>
          <w:rFonts w:hint="cs"/>
          <w:rtl/>
          <w:lang w:bidi="ar-AE"/>
        </w:rPr>
        <w:t xml:space="preserve"> وم</w:t>
      </w:r>
      <w:r w:rsidR="00064F32" w:rsidRPr="00064F32">
        <w:rPr>
          <w:rtl/>
          <w:lang w:bidi="ar-AE"/>
        </w:rPr>
        <w:t>كتب التنسيق في السوق الداخلية</w:t>
      </w:r>
      <w:r w:rsidR="00064F32">
        <w:rPr>
          <w:rFonts w:hint="cs"/>
          <w:rtl/>
          <w:lang w:bidi="ar-AE"/>
        </w:rPr>
        <w:t xml:space="preserve"> و</w:t>
      </w:r>
      <w:r w:rsidR="00064F32" w:rsidRPr="00D61797">
        <w:rPr>
          <w:rFonts w:eastAsia="Arial"/>
          <w:rtl/>
          <w:lang w:val="ar-SA"/>
        </w:rPr>
        <w:t>مكتب الولايات المتحدة للبراءات والعلامات التجارية</w:t>
      </w:r>
      <w:r w:rsidR="00064F32">
        <w:rPr>
          <w:rFonts w:eastAsia="Arial" w:hint="cs"/>
          <w:rtl/>
          <w:lang w:val="ar-SA"/>
        </w:rPr>
        <w:t>؛</w:t>
      </w:r>
    </w:p>
    <w:p w:rsidR="00A1784A" w:rsidRDefault="00064F32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>
        <w:rPr>
          <w:rFonts w:hint="cs"/>
          <w:rtl/>
          <w:lang w:bidi="ar-AE"/>
        </w:rPr>
        <w:t xml:space="preserve">قوائم السلع والخدمات الوطنية الواردة من </w:t>
      </w:r>
      <w:r w:rsidR="00A1784A">
        <w:rPr>
          <w:rFonts w:hint="cs"/>
          <w:rtl/>
          <w:lang w:bidi="ar-AE"/>
        </w:rPr>
        <w:t xml:space="preserve">المكاتب الوطنية في البلدان التالية: الصين وألمانيا واليابان وجمهورية كوريا وسويسرا وكذا القوائم الواردة من </w:t>
      </w:r>
      <w:r w:rsidR="00A1784A" w:rsidRPr="00A1784A">
        <w:rPr>
          <w:rtl/>
          <w:lang w:bidi="ar-AE"/>
        </w:rPr>
        <w:t>رابطة أمم جنوب شرقي آسيا.</w:t>
      </w:r>
    </w:p>
    <w:p w:rsidR="00A1784A" w:rsidRDefault="00A1784A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>
        <w:rPr>
          <w:rFonts w:hint="cs"/>
          <w:rtl/>
          <w:lang w:bidi="ar-AE"/>
        </w:rPr>
        <w:t xml:space="preserve">السجلات الوطنية للعلامات التجارية للبلدان المتعاونة مع الويبو في </w:t>
      </w:r>
      <w:r w:rsidR="002B312B">
        <w:rPr>
          <w:rFonts w:hint="cs"/>
          <w:rtl/>
          <w:lang w:bidi="ar-AE"/>
        </w:rPr>
        <w:t xml:space="preserve">مشروع </w:t>
      </w:r>
      <w:r w:rsidRPr="00A1784A">
        <w:rPr>
          <w:rtl/>
          <w:lang w:bidi="ar-AE"/>
        </w:rPr>
        <w:t>قاعدة بيانات أدوات التعريف العالمية</w:t>
      </w:r>
      <w:r w:rsidR="002B312B">
        <w:rPr>
          <w:rFonts w:hint="cs"/>
          <w:rtl/>
          <w:lang w:bidi="ar-AE"/>
        </w:rPr>
        <w:t xml:space="preserve"> </w:t>
      </w:r>
      <w:r w:rsidR="00DF087A">
        <w:rPr>
          <w:rFonts w:hint="cs"/>
          <w:rtl/>
          <w:lang w:bidi="ar-AE"/>
        </w:rPr>
        <w:t>و</w:t>
      </w:r>
      <w:r w:rsidR="002B312B">
        <w:rPr>
          <w:rFonts w:hint="cs"/>
          <w:rtl/>
          <w:lang w:bidi="ar-AE"/>
        </w:rPr>
        <w:t>ستُستعرض البيانات شائعة الاستخدام فيها</w:t>
      </w:r>
      <w:r w:rsidR="00DF087A">
        <w:rPr>
          <w:rFonts w:hint="cs"/>
          <w:rtl/>
          <w:lang w:bidi="ar-AE"/>
        </w:rPr>
        <w:t>،</w:t>
      </w:r>
      <w:r w:rsidR="002B312B">
        <w:rPr>
          <w:rFonts w:hint="cs"/>
          <w:rtl/>
          <w:lang w:bidi="ar-AE"/>
        </w:rPr>
        <w:t xml:space="preserve"> من غير الموجودة في قاعدة بيانات السلع والخدمات</w:t>
      </w:r>
      <w:r w:rsidR="00DF087A">
        <w:rPr>
          <w:rFonts w:hint="cs"/>
          <w:rtl/>
          <w:lang w:bidi="ar-AE"/>
        </w:rPr>
        <w:t>،</w:t>
      </w:r>
      <w:r w:rsidR="002B312B">
        <w:rPr>
          <w:rFonts w:hint="cs"/>
          <w:rtl/>
          <w:lang w:bidi="ar-AE"/>
        </w:rPr>
        <w:t xml:space="preserve"> تحضيرًا لإدراجها المحتمل.</w:t>
      </w:r>
      <w:r w:rsidR="00AD6672">
        <w:rPr>
          <w:rFonts w:hint="cs"/>
          <w:rtl/>
          <w:lang w:bidi="ar-AE"/>
        </w:rPr>
        <w:t xml:space="preserve"> </w:t>
      </w:r>
      <w:r w:rsidR="002B312B">
        <w:rPr>
          <w:rFonts w:hint="cs"/>
          <w:rtl/>
          <w:lang w:bidi="ar-AE"/>
        </w:rPr>
        <w:t>وحتى الآن، است</w:t>
      </w:r>
      <w:r w:rsidR="00DF087A">
        <w:rPr>
          <w:rFonts w:hint="cs"/>
          <w:rtl/>
          <w:lang w:bidi="ar-AE"/>
        </w:rPr>
        <w:t>ُ</w:t>
      </w:r>
      <w:r w:rsidR="002B312B">
        <w:rPr>
          <w:rFonts w:hint="cs"/>
          <w:rtl/>
          <w:lang w:bidi="ar-AE"/>
        </w:rPr>
        <w:t>مدت البيانات الشائعة من السجلات الوطنية للبلدان التالية: أستراليا وإسرائيل والاتحاد الروسي وسنغافورة وسويسرا والولايات المتحدة الأمريكية.</w:t>
      </w:r>
    </w:p>
    <w:p w:rsidR="002B312B" w:rsidRDefault="002B312B" w:rsidP="000849FE">
      <w:pPr>
        <w:pStyle w:val="Heading1AR"/>
        <w:rPr>
          <w:rFonts w:eastAsia="Arial"/>
          <w:rtl/>
        </w:rPr>
      </w:pPr>
      <w:r w:rsidRPr="002B312B">
        <w:rPr>
          <w:rFonts w:eastAsia="Arial" w:hint="cs"/>
          <w:rtl/>
        </w:rPr>
        <w:t xml:space="preserve">استخدام نظام إدارة السلع </w:t>
      </w:r>
      <w:r w:rsidRPr="000849FE">
        <w:rPr>
          <w:rFonts w:eastAsia="Arial" w:hint="cs"/>
          <w:rtl/>
        </w:rPr>
        <w:t>والخدمات</w:t>
      </w:r>
      <w:r w:rsidR="00C75510">
        <w:rPr>
          <w:rFonts w:eastAsia="Arial" w:hint="cs"/>
          <w:rtl/>
        </w:rPr>
        <w:t xml:space="preserve"> في أرقام:</w:t>
      </w:r>
    </w:p>
    <w:p w:rsidR="002B312B" w:rsidRDefault="002B312B" w:rsidP="000849FE">
      <w:pPr>
        <w:pStyle w:val="NumberedParaAR"/>
        <w:widowControl w:val="0"/>
        <w:rPr>
          <w:lang w:bidi="ar-AE"/>
        </w:rPr>
      </w:pPr>
      <w:r>
        <w:rPr>
          <w:rFonts w:hint="cs"/>
          <w:rtl/>
          <w:lang w:bidi="ar-AE"/>
        </w:rPr>
        <w:t xml:space="preserve">تعكس بعض الأرقام </w:t>
      </w:r>
      <w:r w:rsidR="0086020E">
        <w:rPr>
          <w:rFonts w:hint="cs"/>
          <w:rtl/>
          <w:lang w:bidi="ar-AE"/>
        </w:rPr>
        <w:t xml:space="preserve">تنامي </w:t>
      </w:r>
      <w:r>
        <w:rPr>
          <w:rFonts w:hint="cs"/>
          <w:rtl/>
          <w:lang w:bidi="ar-AE"/>
        </w:rPr>
        <w:t>الاهتمام العام بنظام إدارة السلع والخدمات:</w:t>
      </w:r>
    </w:p>
    <w:p w:rsidR="0086020E" w:rsidRDefault="0086020E" w:rsidP="00F72E90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>تضاعف عدد زيارات نظام إدارة السلع والخدمات، منذ إطلاقه في 2011</w:t>
      </w:r>
      <w:r w:rsidR="00AD6672">
        <w:rPr>
          <w:rFonts w:hint="cs"/>
          <w:rtl/>
          <w:lang w:bidi="ar-AE"/>
        </w:rPr>
        <w:t xml:space="preserve"> </w:t>
      </w:r>
      <w:r>
        <w:rPr>
          <w:rFonts w:hint="cs"/>
          <w:rtl/>
          <w:lang w:bidi="ar-AE"/>
        </w:rPr>
        <w:t>إلى غاية مارس 2014، بنسبة</w:t>
      </w:r>
      <w:r w:rsidR="00F72E90">
        <w:rPr>
          <w:rFonts w:hint="eastAsia"/>
          <w:rtl/>
          <w:lang w:bidi="ar-AE"/>
        </w:rPr>
        <w:t> </w:t>
      </w:r>
      <w:r>
        <w:rPr>
          <w:rFonts w:hint="cs"/>
          <w:rtl/>
          <w:lang w:bidi="ar-AE"/>
        </w:rPr>
        <w:t>245%؛</w:t>
      </w:r>
    </w:p>
    <w:p w:rsidR="002B312B" w:rsidRDefault="00B65FE2" w:rsidP="00F72E90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>و</w:t>
      </w:r>
      <w:r w:rsidR="0086020E">
        <w:rPr>
          <w:rFonts w:hint="cs"/>
          <w:rtl/>
          <w:lang w:bidi="ar-AE"/>
        </w:rPr>
        <w:t>تضاعف عدد الزيارات في يناير 2012 عندما أتيحت سبع لغات وطنية بالإضافة</w:t>
      </w:r>
      <w:r w:rsidR="00F72E90">
        <w:rPr>
          <w:rFonts w:hint="cs"/>
          <w:rtl/>
          <w:lang w:bidi="ar-AE"/>
        </w:rPr>
        <w:t xml:space="preserve"> إلى لغات الإيداع </w:t>
      </w:r>
      <w:r w:rsidR="00F72E90">
        <w:rPr>
          <w:rFonts w:hint="cs"/>
          <w:rtl/>
          <w:lang w:bidi="ar-AE"/>
        </w:rPr>
        <w:t>الثلاث</w:t>
      </w:r>
      <w:r w:rsidR="00F72E90">
        <w:rPr>
          <w:rFonts w:hint="cs"/>
          <w:rtl/>
          <w:lang w:bidi="ar-AE"/>
        </w:rPr>
        <w:t xml:space="preserve"> في نظام مدريد</w:t>
      </w:r>
      <w:r w:rsidR="0086020E">
        <w:rPr>
          <w:rFonts w:hint="cs"/>
          <w:rtl/>
          <w:lang w:bidi="ar-AE"/>
        </w:rPr>
        <w:t>،</w:t>
      </w:r>
    </w:p>
    <w:p w:rsidR="00B65FE2" w:rsidRDefault="00B65FE2" w:rsidP="00F72E90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>و</w:t>
      </w:r>
      <w:r w:rsidR="0086020E">
        <w:rPr>
          <w:rFonts w:hint="cs"/>
          <w:rtl/>
          <w:lang w:bidi="ar-AE"/>
        </w:rPr>
        <w:t>أسفرت الوظائف الأساسية (البحث والتصديق والتصفح والترجمة و</w:t>
      </w:r>
      <w:r>
        <w:rPr>
          <w:rFonts w:hint="cs"/>
          <w:rtl/>
          <w:lang w:bidi="ar-AE"/>
        </w:rPr>
        <w:t xml:space="preserve">التصدير والاستيراد) على بلوغ عدد المشاهدات اليومية للصفحة </w:t>
      </w:r>
      <w:r w:rsidR="00F72E90">
        <w:rPr>
          <w:rFonts w:hint="cs"/>
          <w:rtl/>
          <w:lang w:bidi="ar-AE"/>
        </w:rPr>
        <w:t>000 10</w:t>
      </w:r>
      <w:r w:rsidR="002516C8">
        <w:rPr>
          <w:rFonts w:hint="cs"/>
          <w:rtl/>
          <w:lang w:bidi="ar-AE"/>
        </w:rPr>
        <w:t xml:space="preserve"> زيارة</w:t>
      </w:r>
      <w:r>
        <w:rPr>
          <w:rFonts w:hint="cs"/>
          <w:rtl/>
          <w:lang w:bidi="ar-AE"/>
        </w:rPr>
        <w:t>؛</w:t>
      </w:r>
    </w:p>
    <w:p w:rsidR="0086020E" w:rsidRDefault="00B65FE2" w:rsidP="00F72E90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 xml:space="preserve">وأكثر الوظائف تداولًا هي وظيفة "البحث" (88% من </w:t>
      </w:r>
      <w:r w:rsidR="00F72E90">
        <w:rPr>
          <w:rFonts w:hint="cs"/>
          <w:rtl/>
          <w:lang w:bidi="ar-AE"/>
        </w:rPr>
        <w:t>زيارة الصفحات</w:t>
      </w:r>
      <w:r>
        <w:rPr>
          <w:rFonts w:hint="cs"/>
          <w:rtl/>
          <w:lang w:bidi="ar-AE"/>
        </w:rPr>
        <w:t>)؛</w:t>
      </w:r>
    </w:p>
    <w:p w:rsidR="00B65FE2" w:rsidRDefault="00B65FE2" w:rsidP="000849FE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 xml:space="preserve">وأكثر اللغات استخدامًا لدى "البحث" هي بالترتيب: الإنكليزية </w:t>
      </w:r>
      <w:proofErr w:type="spellStart"/>
      <w:r>
        <w:rPr>
          <w:rFonts w:hint="cs"/>
          <w:rtl/>
          <w:lang w:bidi="ar-AE"/>
        </w:rPr>
        <w:t>والاسبانية</w:t>
      </w:r>
      <w:proofErr w:type="spellEnd"/>
      <w:r>
        <w:rPr>
          <w:rFonts w:hint="cs"/>
          <w:rtl/>
          <w:lang w:bidi="ar-AE"/>
        </w:rPr>
        <w:t xml:space="preserve"> والفرنسية والروسية؛</w:t>
      </w:r>
    </w:p>
    <w:p w:rsidR="00B65FE2" w:rsidRDefault="000865AF" w:rsidP="000849FE">
      <w:pPr>
        <w:pStyle w:val="NumberedParaAR"/>
        <w:widowControl w:val="0"/>
        <w:numPr>
          <w:ilvl w:val="0"/>
          <w:numId w:val="21"/>
        </w:numPr>
        <w:rPr>
          <w:lang w:bidi="ar-AE"/>
        </w:rPr>
      </w:pPr>
      <w:r>
        <w:rPr>
          <w:rFonts w:hint="cs"/>
          <w:rtl/>
          <w:lang w:bidi="ar-AE"/>
        </w:rPr>
        <w:t>و</w:t>
      </w:r>
      <w:r w:rsidR="003F525E">
        <w:rPr>
          <w:rFonts w:hint="cs"/>
          <w:rtl/>
          <w:lang w:bidi="ar-AE"/>
        </w:rPr>
        <w:t xml:space="preserve">صارت بعض البلدان التي انضمت مؤخرًا إلى نظام مدريد (مثل كولومبيا والهند والمكسيك) وكذا </w:t>
      </w:r>
      <w:r>
        <w:rPr>
          <w:rFonts w:hint="cs"/>
          <w:rtl/>
          <w:lang w:bidi="ar-AE"/>
        </w:rPr>
        <w:t xml:space="preserve">البلدان التي لم تنضم بعد إلى نظام مدريد (مثل الشيلي والبيرو والأرجنتين </w:t>
      </w:r>
      <w:proofErr w:type="spellStart"/>
      <w:r>
        <w:rPr>
          <w:rFonts w:hint="cs"/>
          <w:rtl/>
          <w:lang w:bidi="ar-AE"/>
        </w:rPr>
        <w:t>واندونيسيا</w:t>
      </w:r>
      <w:proofErr w:type="spellEnd"/>
      <w:r>
        <w:rPr>
          <w:rFonts w:hint="cs"/>
          <w:rtl/>
          <w:lang w:bidi="ar-AE"/>
        </w:rPr>
        <w:t xml:space="preserve"> وماليزيا) من أكثر البلدان انتفاعًا من نظام إدارة السلع والخدمات.</w:t>
      </w:r>
    </w:p>
    <w:p w:rsidR="000865AF" w:rsidRPr="00C75510" w:rsidRDefault="000865AF" w:rsidP="000849FE">
      <w:pPr>
        <w:pStyle w:val="Heading1AR"/>
        <w:rPr>
          <w:iCs/>
          <w:rtl/>
          <w:lang w:bidi="ar-AE"/>
        </w:rPr>
      </w:pPr>
      <w:r w:rsidRPr="00C75510">
        <w:rPr>
          <w:rtl/>
          <w:lang w:bidi="ar-AE"/>
        </w:rPr>
        <w:t>الميزانية</w:t>
      </w:r>
    </w:p>
    <w:p w:rsidR="000865AF" w:rsidRDefault="000865AF" w:rsidP="00F72E90">
      <w:pPr>
        <w:pStyle w:val="NumberedParaAR"/>
        <w:widowControl w:val="0"/>
        <w:rPr>
          <w:rFonts w:eastAsia="Arial"/>
        </w:rPr>
      </w:pPr>
      <w:r>
        <w:rPr>
          <w:rFonts w:eastAsia="Arial" w:hint="cs"/>
          <w:rtl/>
        </w:rPr>
        <w:t xml:space="preserve">وافقت جمعية اتحاد مدريد في سنة 2013 على استخدام أموال المشروع المتبقية في نهاية 2013 لمساعدة بعض المكاتب الوطنية على دفع تكاليف ترجمة </w:t>
      </w:r>
      <w:r>
        <w:rPr>
          <w:rFonts w:eastAsia="Arial" w:hint="cs"/>
          <w:rtl/>
          <w:lang w:val="ar-SA"/>
        </w:rPr>
        <w:t>قاعدة بيانات السلع والخدمات إلى</w:t>
      </w:r>
      <w:r w:rsidR="002516C8">
        <w:rPr>
          <w:rFonts w:eastAsia="Arial" w:hint="cs"/>
          <w:rtl/>
          <w:lang w:val="ar-SA"/>
        </w:rPr>
        <w:t xml:space="preserve"> لغاتها الوطنية (انظر الفقرة 33</w:t>
      </w:r>
      <w:r>
        <w:rPr>
          <w:rFonts w:eastAsia="Arial" w:hint="cs"/>
          <w:rtl/>
          <w:lang w:val="ar-SA"/>
        </w:rPr>
        <w:t xml:space="preserve"> من الوثيقة</w:t>
      </w:r>
      <w:r w:rsidR="00F72E90">
        <w:rPr>
          <w:rFonts w:eastAsia="Arial" w:hint="cs"/>
          <w:rtl/>
        </w:rPr>
        <w:t> </w:t>
      </w:r>
      <w:r>
        <w:rPr>
          <w:rFonts w:eastAsia="Arial"/>
        </w:rPr>
        <w:t>MM/</w:t>
      </w:r>
      <w:r>
        <w:rPr>
          <w:rFonts w:eastAsia="Arial"/>
          <w:lang w:bidi="ar-AE"/>
        </w:rPr>
        <w:t>A/46/2</w:t>
      </w:r>
      <w:r w:rsidR="00F72E90">
        <w:rPr>
          <w:rFonts w:eastAsia="Arial" w:hint="cs"/>
          <w:rtl/>
          <w:lang w:bidi="ar-AE"/>
        </w:rPr>
        <w:t>)</w:t>
      </w:r>
      <w:r>
        <w:rPr>
          <w:rFonts w:eastAsia="Arial" w:hint="cs"/>
          <w:rtl/>
          <w:lang w:val="ar-SA"/>
        </w:rPr>
        <w:t>.</w:t>
      </w:r>
    </w:p>
    <w:p w:rsidR="00AB68FF" w:rsidRDefault="001B655E" w:rsidP="00F72E90">
      <w:pPr>
        <w:pStyle w:val="NumberedParaAR"/>
        <w:widowControl w:val="0"/>
        <w:rPr>
          <w:rFonts w:eastAsia="Arial"/>
        </w:rPr>
      </w:pPr>
      <w:r>
        <w:rPr>
          <w:rFonts w:hint="cs"/>
          <w:rtl/>
          <w:lang w:bidi="ar-AE"/>
        </w:rPr>
        <w:t xml:space="preserve">ويرد في المرفق الخامس جدول يبيّن توزيع </w:t>
      </w:r>
      <w:r w:rsidR="00AB68FF">
        <w:rPr>
          <w:rFonts w:hint="cs"/>
          <w:rtl/>
          <w:lang w:bidi="ar-AE"/>
        </w:rPr>
        <w:t xml:space="preserve">الأموال الأولية (وقدرها </w:t>
      </w:r>
      <w:r w:rsidR="00F72E90">
        <w:rPr>
          <w:rFonts w:hint="cs"/>
          <w:rtl/>
          <w:lang w:bidi="ar-AE"/>
        </w:rPr>
        <w:t>000 232</w:t>
      </w:r>
      <w:r w:rsidR="00AB68FF">
        <w:rPr>
          <w:rFonts w:hint="cs"/>
          <w:rtl/>
          <w:lang w:bidi="ar-AE"/>
        </w:rPr>
        <w:t xml:space="preserve"> فرنك سويسري) التي خصصتها الويبو </w:t>
      </w:r>
      <w:r w:rsidR="00AB68FF">
        <w:rPr>
          <w:rFonts w:eastAsia="Arial" w:hint="cs"/>
          <w:rtl/>
        </w:rPr>
        <w:t xml:space="preserve">لترجمة </w:t>
      </w:r>
      <w:r w:rsidR="00AB68FF" w:rsidRPr="007E0BD5">
        <w:rPr>
          <w:rFonts w:eastAsia="Arial"/>
          <w:rtl/>
          <w:lang w:val="ar-SA"/>
        </w:rPr>
        <w:t>قاعدة بيانات السلع والخدمات</w:t>
      </w:r>
      <w:r w:rsidR="00AB68FF">
        <w:rPr>
          <w:rFonts w:eastAsia="Arial" w:hint="cs"/>
          <w:rtl/>
          <w:lang w:val="ar-SA"/>
        </w:rPr>
        <w:t xml:space="preserve"> والمدفوعات الفعلية إلى غاية</w:t>
      </w:r>
      <w:r w:rsidR="00AB68FF">
        <w:rPr>
          <w:rFonts w:eastAsia="Arial" w:hint="eastAsia"/>
          <w:rtl/>
          <w:lang w:val="ar-SA"/>
        </w:rPr>
        <w:t> </w:t>
      </w:r>
      <w:r w:rsidR="00AB68FF">
        <w:rPr>
          <w:rFonts w:eastAsia="Arial" w:hint="cs"/>
          <w:rtl/>
          <w:lang w:val="ar-SA"/>
        </w:rPr>
        <w:t>30</w:t>
      </w:r>
      <w:r w:rsidR="00AB68FF">
        <w:rPr>
          <w:rFonts w:eastAsia="Arial" w:hint="eastAsia"/>
          <w:rtl/>
          <w:lang w:val="ar-SA"/>
        </w:rPr>
        <w:t> </w:t>
      </w:r>
      <w:r w:rsidR="00AB68FF">
        <w:rPr>
          <w:rFonts w:eastAsia="Arial" w:hint="cs"/>
          <w:rtl/>
          <w:lang w:val="ar-SA"/>
        </w:rPr>
        <w:t xml:space="preserve">مايو 2014 فيما يخص الترجمة التي قامت بها المكاتب الوطنية التي وقع عليها في الأصل الاختيار أو </w:t>
      </w:r>
      <w:r w:rsidR="002516C8">
        <w:rPr>
          <w:rFonts w:eastAsia="Arial" w:hint="cs"/>
          <w:rtl/>
          <w:lang w:val="ar-SA"/>
        </w:rPr>
        <w:t xml:space="preserve">تلك </w:t>
      </w:r>
      <w:r w:rsidR="00AB68FF">
        <w:rPr>
          <w:rFonts w:eastAsia="Arial" w:hint="cs"/>
          <w:rtl/>
          <w:lang w:val="ar-SA"/>
        </w:rPr>
        <w:t>التي طلبت الحصول على الدعم المالي. ويبيّن الجدول</w:t>
      </w:r>
      <w:r w:rsidR="002516C8">
        <w:rPr>
          <w:rFonts w:eastAsia="Arial" w:hint="cs"/>
          <w:rtl/>
          <w:lang w:val="ar-SA"/>
        </w:rPr>
        <w:t>،</w:t>
      </w:r>
      <w:r w:rsidR="00AB68FF">
        <w:rPr>
          <w:rFonts w:eastAsia="Arial" w:hint="cs"/>
          <w:rtl/>
          <w:lang w:val="ar-SA"/>
        </w:rPr>
        <w:t xml:space="preserve"> على وجه الخصوص</w:t>
      </w:r>
      <w:r w:rsidR="002516C8">
        <w:rPr>
          <w:rFonts w:eastAsia="Arial" w:hint="cs"/>
          <w:rtl/>
          <w:lang w:val="ar-SA"/>
        </w:rPr>
        <w:t>،</w:t>
      </w:r>
      <w:r w:rsidR="00AB68FF">
        <w:rPr>
          <w:rFonts w:eastAsia="Arial" w:hint="cs"/>
          <w:rtl/>
          <w:lang w:val="ar-SA"/>
        </w:rPr>
        <w:t xml:space="preserve"> (تحت باب "</w:t>
      </w:r>
      <w:r w:rsidR="00AB68FF" w:rsidRPr="00C95A24">
        <w:rPr>
          <w:rFonts w:eastAsia="Arial" w:hint="cs"/>
          <w:rtl/>
          <w:lang w:val="ar-SA"/>
        </w:rPr>
        <w:t>الرصيد</w:t>
      </w:r>
      <w:r w:rsidR="00AB68FF">
        <w:rPr>
          <w:rFonts w:eastAsia="Arial" w:hint="cs"/>
          <w:rtl/>
          <w:lang w:val="ar-SA"/>
        </w:rPr>
        <w:t>") الموارد التي لا تزال متاحة لكل مكتب مشارك لمواصلة ترجمة قاعدة البيانات.</w:t>
      </w:r>
    </w:p>
    <w:p w:rsidR="000865AF" w:rsidRDefault="0072364E" w:rsidP="00A56F39">
      <w:pPr>
        <w:pStyle w:val="NumberedParaAR"/>
        <w:widowControl w:val="0"/>
        <w:rPr>
          <w:lang w:bidi="ar-AE"/>
        </w:rPr>
      </w:pPr>
      <w:r>
        <w:rPr>
          <w:rFonts w:hint="cs"/>
          <w:rtl/>
          <w:lang w:bidi="ar-AE"/>
        </w:rPr>
        <w:lastRenderedPageBreak/>
        <w:t xml:space="preserve">واعتبارًا من مايو 2014، ظل مبلغ إجمالي قدره </w:t>
      </w:r>
      <w:r w:rsidR="00A56F39">
        <w:rPr>
          <w:rFonts w:hint="cs"/>
          <w:rtl/>
          <w:lang w:bidi="ar-AE"/>
        </w:rPr>
        <w:t>343 117</w:t>
      </w:r>
      <w:r>
        <w:rPr>
          <w:rFonts w:hint="cs"/>
          <w:rtl/>
          <w:lang w:bidi="ar-AE"/>
        </w:rPr>
        <w:t xml:space="preserve"> فرنك سويسري متاحًا لتمويل </w:t>
      </w:r>
      <w:r w:rsidR="002516C8">
        <w:rPr>
          <w:rFonts w:hint="cs"/>
          <w:rtl/>
          <w:lang w:bidi="ar-AE"/>
        </w:rPr>
        <w:t>ترجمة قاعدة بيانات السل</w:t>
      </w:r>
      <w:r>
        <w:rPr>
          <w:rFonts w:hint="cs"/>
          <w:rtl/>
          <w:lang w:bidi="ar-AE"/>
        </w:rPr>
        <w:t>ع والخدمات إلى اللغات السبع التي وُقِّع بشأنها مذكرة تفاهم بين الويبو و</w:t>
      </w:r>
      <w:r w:rsidR="00271DB5">
        <w:rPr>
          <w:rFonts w:hint="cs"/>
          <w:rtl/>
          <w:lang w:bidi="ar-AE"/>
        </w:rPr>
        <w:t>المكتب الوطني المعني.</w:t>
      </w:r>
    </w:p>
    <w:p w:rsidR="00271DB5" w:rsidRDefault="00271DB5" w:rsidP="00A56F39">
      <w:pPr>
        <w:pStyle w:val="DecisionParaAR"/>
        <w:rPr>
          <w:rFonts w:eastAsia="Arial"/>
        </w:rPr>
      </w:pPr>
      <w:r w:rsidRPr="00271DB5">
        <w:rPr>
          <w:rFonts w:eastAsia="Arial" w:hint="cs"/>
          <w:rtl/>
        </w:rPr>
        <w:t xml:space="preserve">إن </w:t>
      </w:r>
      <w:r w:rsidRPr="00271DB5">
        <w:rPr>
          <w:rFonts w:eastAsia="Arial"/>
          <w:rtl/>
        </w:rPr>
        <w:t>الجمعية مدعوة إلى</w:t>
      </w:r>
      <w:r w:rsidRPr="00271DB5">
        <w:rPr>
          <w:rFonts w:eastAsia="Arial" w:hint="cs"/>
          <w:rtl/>
        </w:rPr>
        <w:t xml:space="preserve"> ما يلي</w:t>
      </w:r>
      <w:r w:rsidRPr="00271DB5">
        <w:rPr>
          <w:rFonts w:eastAsia="Arial"/>
          <w:rtl/>
        </w:rPr>
        <w:t>:</w:t>
      </w:r>
    </w:p>
    <w:p w:rsidR="00271DB5" w:rsidRDefault="00A56F39" w:rsidP="00A56F39">
      <w:pPr>
        <w:pStyle w:val="DecisionParaAR"/>
        <w:numPr>
          <w:ilvl w:val="0"/>
          <w:numId w:val="0"/>
        </w:numPr>
        <w:ind w:left="6236"/>
        <w:rPr>
          <w:rFonts w:eastAsia="Arial"/>
        </w:rPr>
      </w:pPr>
      <w:r>
        <w:rPr>
          <w:rFonts w:eastAsia="Arial" w:hint="cs"/>
          <w:rtl/>
        </w:rPr>
        <w:t>"1"</w:t>
      </w:r>
      <w:r>
        <w:rPr>
          <w:rFonts w:eastAsia="Arial" w:hint="cs"/>
          <w:rtl/>
        </w:rPr>
        <w:tab/>
      </w:r>
      <w:r w:rsidR="00271DB5">
        <w:rPr>
          <w:rFonts w:eastAsia="Arial" w:hint="cs"/>
          <w:rtl/>
        </w:rPr>
        <w:t xml:space="preserve">الإحاطة علمًا بقاعدة بيانات نظام مدريد بشأن السلع والخدمات والتقرير المرحلي </w:t>
      </w:r>
      <w:r>
        <w:rPr>
          <w:rFonts w:eastAsia="Arial" w:hint="cs"/>
          <w:rtl/>
        </w:rPr>
        <w:t>(</w:t>
      </w:r>
      <w:r w:rsidR="00271DB5">
        <w:rPr>
          <w:rFonts w:eastAsia="Arial" w:hint="cs"/>
          <w:rtl/>
        </w:rPr>
        <w:t xml:space="preserve">الوثيقة </w:t>
      </w:r>
      <w:r w:rsidR="00271DB5">
        <w:rPr>
          <w:rFonts w:eastAsia="Arial"/>
        </w:rPr>
        <w:t>M</w:t>
      </w:r>
      <w:r>
        <w:rPr>
          <w:rFonts w:eastAsia="Arial"/>
        </w:rPr>
        <w:t>M</w:t>
      </w:r>
      <w:r w:rsidR="00271DB5">
        <w:rPr>
          <w:rFonts w:eastAsia="Arial"/>
        </w:rPr>
        <w:t>/A/48/2</w:t>
      </w:r>
      <w:r>
        <w:rPr>
          <w:rFonts w:eastAsia="Arial" w:hint="cs"/>
          <w:rtl/>
          <w:lang w:val="fr-CH"/>
        </w:rPr>
        <w:t>)</w:t>
      </w:r>
      <w:r w:rsidR="00271DB5">
        <w:rPr>
          <w:rFonts w:eastAsia="Arial" w:hint="cs"/>
          <w:rtl/>
          <w:lang w:bidi="ar-AE"/>
        </w:rPr>
        <w:t>، بما</w:t>
      </w:r>
      <w:r>
        <w:rPr>
          <w:rFonts w:eastAsia="Arial" w:hint="eastAsia"/>
          <w:rtl/>
          <w:lang w:bidi="ar-AE"/>
        </w:rPr>
        <w:t> </w:t>
      </w:r>
      <w:r w:rsidR="00271DB5">
        <w:rPr>
          <w:rFonts w:eastAsia="Arial" w:hint="cs"/>
          <w:rtl/>
          <w:lang w:bidi="ar-AE"/>
        </w:rPr>
        <w:t>في ذلك الفقرة 26 المتعلقة بأموال المشروع المتبقية.</w:t>
      </w:r>
    </w:p>
    <w:p w:rsidR="000438DD" w:rsidRPr="00B771EF" w:rsidRDefault="00A56F39" w:rsidP="00A56F39">
      <w:pPr>
        <w:pStyle w:val="DecisionParaAR"/>
        <w:numPr>
          <w:ilvl w:val="0"/>
          <w:numId w:val="0"/>
        </w:numPr>
        <w:ind w:left="6236"/>
        <w:rPr>
          <w:rFonts w:eastAsia="Arial"/>
        </w:rPr>
      </w:pPr>
      <w:r>
        <w:rPr>
          <w:rFonts w:eastAsia="Arial" w:hint="cs"/>
          <w:rtl/>
          <w:lang w:val="ar-SA"/>
        </w:rPr>
        <w:t>"2"</w:t>
      </w:r>
      <w:r>
        <w:rPr>
          <w:rFonts w:eastAsia="Arial" w:hint="cs"/>
          <w:rtl/>
          <w:lang w:val="ar-SA"/>
        </w:rPr>
        <w:tab/>
        <w:t xml:space="preserve">والالتماس من </w:t>
      </w:r>
      <w:r w:rsidR="00271DB5" w:rsidRPr="00271DB5">
        <w:rPr>
          <w:rFonts w:eastAsia="Arial"/>
          <w:rtl/>
          <w:lang w:val="ar-SA"/>
        </w:rPr>
        <w:t xml:space="preserve">المكتب الدولي للويبو </w:t>
      </w:r>
      <w:r>
        <w:rPr>
          <w:rFonts w:eastAsia="Arial" w:hint="cs"/>
          <w:rtl/>
          <w:lang w:val="ar-SA"/>
        </w:rPr>
        <w:t xml:space="preserve">أن يقدّم </w:t>
      </w:r>
      <w:r w:rsidR="00271DB5" w:rsidRPr="00271DB5">
        <w:rPr>
          <w:rFonts w:eastAsia="Arial"/>
          <w:rtl/>
          <w:lang w:val="ar-SA"/>
        </w:rPr>
        <w:t>تقرير</w:t>
      </w:r>
      <w:r>
        <w:rPr>
          <w:rFonts w:eastAsia="Arial" w:hint="cs"/>
          <w:rtl/>
          <w:lang w:val="ar-SA"/>
        </w:rPr>
        <w:t>ا</w:t>
      </w:r>
      <w:r w:rsidR="00271DB5" w:rsidRPr="00271DB5">
        <w:rPr>
          <w:rFonts w:eastAsia="Arial"/>
          <w:rtl/>
          <w:lang w:val="ar-SA"/>
        </w:rPr>
        <w:t xml:space="preserve"> إلى الجمعية في عام </w:t>
      </w:r>
      <w:r w:rsidR="005142B9" w:rsidRPr="005142B9">
        <w:rPr>
          <w:rFonts w:eastAsia="Arial" w:hint="cs"/>
          <w:rtl/>
          <w:lang w:val="ar-SA"/>
        </w:rPr>
        <w:t>2015</w:t>
      </w:r>
      <w:r w:rsidR="00271DB5" w:rsidRPr="005142B9">
        <w:rPr>
          <w:rFonts w:eastAsia="Arial"/>
          <w:rtl/>
          <w:lang w:val="ar-SA"/>
        </w:rPr>
        <w:t xml:space="preserve"> </w:t>
      </w:r>
      <w:r w:rsidR="005142B9" w:rsidRPr="005142B9">
        <w:rPr>
          <w:rFonts w:eastAsia="Arial" w:hint="cs"/>
          <w:rtl/>
          <w:lang w:val="ar-SA"/>
        </w:rPr>
        <w:t xml:space="preserve">بشأن </w:t>
      </w:r>
      <w:r w:rsidR="005142B9" w:rsidRPr="005142B9">
        <w:rPr>
          <w:rFonts w:eastAsia="Arial"/>
          <w:rtl/>
          <w:lang w:val="ar-SA"/>
        </w:rPr>
        <w:t xml:space="preserve">التقدم المحرز في تنفيذ قاعدة بيانات نظام مدريد بشأن السلع </w:t>
      </w:r>
      <w:r w:rsidR="005142B9" w:rsidRPr="00A56F39">
        <w:rPr>
          <w:rFonts w:eastAsia="Arial"/>
          <w:rtl/>
        </w:rPr>
        <w:t>والخدمات</w:t>
      </w:r>
      <w:r w:rsidR="005142B9">
        <w:rPr>
          <w:rFonts w:eastAsia="Arial" w:hint="cs"/>
          <w:rtl/>
          <w:lang w:val="ar-SA"/>
        </w:rPr>
        <w:t>، بما</w:t>
      </w:r>
      <w:r>
        <w:rPr>
          <w:rFonts w:eastAsia="Arial" w:hint="eastAsia"/>
          <w:rtl/>
          <w:lang w:val="ar-SA"/>
        </w:rPr>
        <w:t> </w:t>
      </w:r>
      <w:r w:rsidR="005142B9">
        <w:rPr>
          <w:rFonts w:eastAsia="Arial" w:hint="cs"/>
          <w:rtl/>
          <w:lang w:val="ar-SA"/>
        </w:rPr>
        <w:t xml:space="preserve">في </w:t>
      </w:r>
      <w:r w:rsidR="005142B9" w:rsidRPr="005142B9">
        <w:rPr>
          <w:rFonts w:eastAsia="Arial" w:hint="cs"/>
          <w:rtl/>
          <w:lang w:val="ar-SA"/>
        </w:rPr>
        <w:t xml:space="preserve">ذلك </w:t>
      </w:r>
      <w:r w:rsidR="005142B9" w:rsidRPr="005142B9">
        <w:rPr>
          <w:rFonts w:eastAsia="Arial"/>
          <w:rtl/>
          <w:lang w:val="ar-SA"/>
        </w:rPr>
        <w:t xml:space="preserve">استخدام </w:t>
      </w:r>
      <w:r w:rsidR="005142B9">
        <w:rPr>
          <w:rFonts w:eastAsia="Arial" w:hint="cs"/>
          <w:rtl/>
          <w:lang w:val="ar-SA"/>
        </w:rPr>
        <w:t>أموال</w:t>
      </w:r>
      <w:r>
        <w:rPr>
          <w:rFonts w:eastAsia="Arial" w:hint="eastAsia"/>
          <w:rtl/>
          <w:lang w:val="ar-SA"/>
        </w:rPr>
        <w:t> </w:t>
      </w:r>
      <w:r w:rsidR="005142B9">
        <w:rPr>
          <w:rFonts w:eastAsia="Arial" w:hint="cs"/>
          <w:rtl/>
          <w:lang w:val="ar-SA"/>
        </w:rPr>
        <w:t>المشروع</w:t>
      </w:r>
      <w:r>
        <w:rPr>
          <w:rFonts w:eastAsia="Arial" w:hint="cs"/>
          <w:rtl/>
          <w:lang w:val="ar-SA"/>
        </w:rPr>
        <w:t xml:space="preserve"> المتبقية</w:t>
      </w:r>
      <w:r w:rsidR="005142B9">
        <w:rPr>
          <w:rFonts w:eastAsia="Arial" w:hint="cs"/>
          <w:rtl/>
          <w:lang w:val="ar-SA"/>
        </w:rPr>
        <w:t>.</w:t>
      </w:r>
    </w:p>
    <w:p w:rsidR="00B771EF" w:rsidRDefault="00B771EF" w:rsidP="00A56F39">
      <w:pPr>
        <w:pStyle w:val="EndofDocumentAR"/>
        <w:keepNext/>
        <w:rPr>
          <w:rFonts w:eastAsia="Arial" w:hint="cs"/>
          <w:rtl/>
          <w:lang w:val="ar-SA"/>
        </w:rPr>
      </w:pPr>
      <w:r w:rsidRPr="00543BFA">
        <w:rPr>
          <w:rFonts w:eastAsia="Arial"/>
          <w:rtl/>
          <w:lang w:val="ar-SA"/>
        </w:rPr>
        <w:t>[</w:t>
      </w:r>
      <w:r w:rsidR="00A56F39">
        <w:rPr>
          <w:rFonts w:eastAsia="Arial" w:hint="cs"/>
          <w:rtl/>
          <w:lang w:val="ar-SA"/>
        </w:rPr>
        <w:t>ت</w:t>
      </w:r>
      <w:r w:rsidRPr="00543BFA">
        <w:rPr>
          <w:rFonts w:eastAsia="Arial"/>
          <w:rtl/>
          <w:lang w:val="ar-SA"/>
        </w:rPr>
        <w:t>لي ذلك المرفقات</w:t>
      </w:r>
      <w:r w:rsidR="00336150">
        <w:rPr>
          <w:rFonts w:eastAsia="Arial" w:hint="cs"/>
          <w:rtl/>
          <w:lang w:val="ar-SA"/>
        </w:rPr>
        <w:t>]</w:t>
      </w:r>
    </w:p>
    <w:p w:rsidR="00A56F39" w:rsidRPr="00A56F39" w:rsidRDefault="00A56F39" w:rsidP="00A56F39">
      <w:pPr>
        <w:pStyle w:val="NormalParaAR"/>
        <w:rPr>
          <w:rFonts w:eastAsia="Arial" w:hint="cs"/>
          <w:rtl/>
          <w:lang w:val="ar-SA"/>
        </w:rPr>
      </w:pPr>
    </w:p>
    <w:p w:rsidR="00A56F39" w:rsidRPr="00A56F39" w:rsidRDefault="00A56F39" w:rsidP="00A56F39">
      <w:pPr>
        <w:pStyle w:val="NormalParaAR"/>
        <w:rPr>
          <w:rFonts w:eastAsia="Arial"/>
          <w:rtl/>
          <w:lang w:val="ar-SA"/>
        </w:rPr>
        <w:sectPr w:rsidR="00A56F39" w:rsidRPr="00A56F39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E548B" w:rsidRDefault="00DE548B" w:rsidP="00DE548B">
      <w:pPr>
        <w:pStyle w:val="NormalParaAR"/>
        <w:spacing w:line="240" w:lineRule="auto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محتويات قاعدة بيانات مدريد للسلع والخدمات</w:t>
      </w:r>
      <w:r>
        <w:rPr>
          <w:b/>
          <w:bCs/>
          <w:sz w:val="40"/>
          <w:szCs w:val="40"/>
          <w:rtl/>
        </w:rPr>
        <w:br/>
      </w:r>
      <w:r>
        <w:rPr>
          <w:rFonts w:hint="cs"/>
          <w:b/>
          <w:bCs/>
          <w:sz w:val="40"/>
          <w:szCs w:val="40"/>
          <w:rtl/>
        </w:rPr>
        <w:t>مايو 2014</w:t>
      </w:r>
    </w:p>
    <w:p w:rsidR="00DE548B" w:rsidRPr="007A252D" w:rsidRDefault="00DE548B" w:rsidP="007A252D">
      <w:pPr>
        <w:pStyle w:val="NormalParaAR"/>
        <w:spacing w:line="240" w:lineRule="auto"/>
        <w:jc w:val="center"/>
        <w:rPr>
          <w:b/>
          <w:bCs/>
          <w:sz w:val="40"/>
          <w:szCs w:val="40"/>
          <w:rtl/>
        </w:rPr>
      </w:pPr>
      <w:r w:rsidRPr="00DE548B">
        <w:rPr>
          <w:rtl/>
        </w:rPr>
        <w:drawing>
          <wp:inline distT="0" distB="0" distL="0" distR="0">
            <wp:extent cx="3998595" cy="613473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613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FC" w:rsidRPr="004417FC" w:rsidRDefault="004417FC" w:rsidP="004417FC">
      <w:pPr>
        <w:rPr>
          <w:rtl/>
        </w:rPr>
      </w:pPr>
    </w:p>
    <w:p w:rsidR="004417FC" w:rsidRPr="004417FC" w:rsidRDefault="004417FC" w:rsidP="00DE548B">
      <w:pPr>
        <w:pStyle w:val="EndofDocumentAR"/>
        <w:rPr>
          <w:rFonts w:eastAsia="Arial"/>
          <w:rtl/>
          <w:lang w:val="ar-SA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الثاني</w:t>
      </w:r>
      <w:r w:rsidRPr="00543BFA">
        <w:rPr>
          <w:rFonts w:eastAsia="Arial"/>
          <w:rtl/>
          <w:lang w:val="ar-SA"/>
        </w:rPr>
        <w:t>]</w:t>
      </w:r>
    </w:p>
    <w:p w:rsidR="004417FC" w:rsidRDefault="004417FC" w:rsidP="004417FC">
      <w:pPr>
        <w:tabs>
          <w:tab w:val="left" w:pos="2400"/>
        </w:tabs>
        <w:rPr>
          <w:rtl/>
        </w:rPr>
      </w:pPr>
    </w:p>
    <w:p w:rsidR="004417FC" w:rsidRDefault="004417FC" w:rsidP="004417FC">
      <w:pPr>
        <w:rPr>
          <w:rtl/>
        </w:rPr>
      </w:pPr>
    </w:p>
    <w:p w:rsidR="004417FC" w:rsidRPr="004417FC" w:rsidRDefault="004417FC" w:rsidP="004417FC">
      <w:pPr>
        <w:rPr>
          <w:rtl/>
        </w:rPr>
        <w:sectPr w:rsidR="004417FC" w:rsidRPr="004417FC" w:rsidSect="004417FC">
          <w:headerReference w:type="first" r:id="rId1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417FC" w:rsidRDefault="00DE548B" w:rsidP="006F474E">
      <w:pPr>
        <w:jc w:val="center"/>
        <w:rPr>
          <w:rFonts w:ascii="Arabic Typesetting" w:hAnsi="Arabic Typesetting" w:cs="Arabic Typesetting"/>
          <w:sz w:val="36"/>
          <w:szCs w:val="36"/>
          <w:rtl/>
        </w:rPr>
      </w:pPr>
      <w:r w:rsidRPr="00DE548B">
        <w:lastRenderedPageBreak/>
        <w:drawing>
          <wp:inline distT="0" distB="0" distL="0" distR="0" wp14:anchorId="49BE5899" wp14:editId="2659C977">
            <wp:extent cx="7531129" cy="5024208"/>
            <wp:effectExtent l="0" t="381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1227" cy="50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74E" w:rsidRPr="006F474E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F474E" w:rsidRPr="006F474E">
        <w:drawing>
          <wp:inline distT="0" distB="0" distL="0" distR="0" wp14:anchorId="1FACE374" wp14:editId="469E978E">
            <wp:extent cx="5940425" cy="4395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3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FC" w:rsidRDefault="007A252D" w:rsidP="007A252D">
      <w:pPr>
        <w:pStyle w:val="EndofDocumentAR"/>
        <w:rPr>
          <w:rFonts w:eastAsia="Arial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الثالث</w:t>
      </w:r>
      <w:r w:rsidRPr="00543BFA">
        <w:rPr>
          <w:rFonts w:eastAsia="Arial"/>
          <w:rtl/>
          <w:lang w:val="ar-SA"/>
        </w:rPr>
        <w:t>]</w:t>
      </w:r>
    </w:p>
    <w:p w:rsidR="006F474E" w:rsidRPr="006F474E" w:rsidRDefault="006F474E" w:rsidP="006F474E">
      <w:pPr>
        <w:pStyle w:val="NormalParaAR"/>
        <w:rPr>
          <w:rtl/>
        </w:rPr>
      </w:pPr>
    </w:p>
    <w:p w:rsidR="006F474E" w:rsidRDefault="006F474E" w:rsidP="004417FC">
      <w:pPr>
        <w:pStyle w:val="EndofDocumentAR"/>
        <w:spacing w:line="240" w:lineRule="auto"/>
        <w:ind w:left="-29"/>
        <w:jc w:val="center"/>
        <w:rPr>
          <w:rFonts w:eastAsia="Arial"/>
          <w:rtl/>
          <w:lang w:val="ar-SA"/>
        </w:rPr>
        <w:sectPr w:rsidR="006F474E" w:rsidSect="00DE548B">
          <w:headerReference w:type="default" r:id="rId15"/>
          <w:headerReference w:type="first" r:id="rId16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252D" w:rsidRDefault="006F474E" w:rsidP="006F474E">
      <w:pPr>
        <w:pStyle w:val="NormalParaAR"/>
        <w:bidi w:val="0"/>
        <w:spacing w:line="240" w:lineRule="auto"/>
        <w:jc w:val="center"/>
        <w:rPr>
          <w:rFonts w:eastAsia="Arial"/>
        </w:rPr>
      </w:pPr>
      <w:r w:rsidRPr="006F474E">
        <w:rPr>
          <w:rFonts w:eastAsia="Arial"/>
          <w:rtl/>
        </w:rPr>
        <w:lastRenderedPageBreak/>
        <w:drawing>
          <wp:inline distT="0" distB="0" distL="0" distR="0" wp14:anchorId="48BB7922" wp14:editId="5B22DE33">
            <wp:extent cx="7845278" cy="4999413"/>
            <wp:effectExtent l="0" t="6033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55889" cy="500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</w:t>
      </w:r>
      <w:r w:rsidRPr="006F474E">
        <w:rPr>
          <w:rFonts w:eastAsia="Arial"/>
        </w:rPr>
        <w:drawing>
          <wp:inline distT="0" distB="0" distL="0" distR="0" wp14:anchorId="78A048AF" wp14:editId="3811684C">
            <wp:extent cx="5940425" cy="42916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2D" w:rsidRPr="007A252D" w:rsidRDefault="007A252D" w:rsidP="006F474E">
      <w:pPr>
        <w:pStyle w:val="EndofDocumentAR"/>
        <w:rPr>
          <w:rFonts w:eastAsia="Arial"/>
          <w:rtl/>
          <w:lang w:val="ar-SA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الرابع</w:t>
      </w:r>
      <w:r w:rsidRPr="00543BFA">
        <w:rPr>
          <w:rFonts w:eastAsia="Arial"/>
          <w:rtl/>
          <w:lang w:val="ar-SA"/>
        </w:rPr>
        <w:t>]</w:t>
      </w:r>
    </w:p>
    <w:p w:rsidR="004417FC" w:rsidRDefault="004417FC" w:rsidP="007A252D">
      <w:pPr>
        <w:pStyle w:val="EndofDocumentAR"/>
        <w:spacing w:line="240" w:lineRule="auto"/>
        <w:ind w:left="-29"/>
        <w:jc w:val="center"/>
        <w:rPr>
          <w:rtl/>
        </w:rPr>
        <w:sectPr w:rsidR="004417FC" w:rsidSect="00DE548B">
          <w:headerReference w:type="first" r:id="rId1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252D" w:rsidRPr="00644C86" w:rsidRDefault="00644C86" w:rsidP="00644C86">
      <w:pPr>
        <w:pStyle w:val="NormalParaAR"/>
        <w:spacing w:after="0" w:line="240" w:lineRule="auto"/>
        <w:jc w:val="center"/>
        <w:rPr>
          <w:rtl/>
        </w:rPr>
      </w:pPr>
      <w:bookmarkStart w:id="2" w:name="_GoBack"/>
      <w:bookmarkEnd w:id="2"/>
      <w:r w:rsidRPr="00644C86">
        <w:rPr>
          <w:rtl/>
        </w:rPr>
        <w:lastRenderedPageBreak/>
        <w:drawing>
          <wp:inline distT="0" distB="0" distL="0" distR="0">
            <wp:extent cx="5162550" cy="8854002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762" cy="886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42" w:rsidRDefault="007A252D" w:rsidP="009F2342">
      <w:pPr>
        <w:pStyle w:val="EndofDocumentAR"/>
        <w:spacing w:after="0"/>
        <w:rPr>
          <w:rFonts w:eastAsia="Arial"/>
          <w:rtl/>
          <w:lang w:val="ar-SA"/>
        </w:rPr>
        <w:sectPr w:rsidR="009F2342" w:rsidSect="00644C86">
          <w:headerReference w:type="default" r:id="rId21"/>
          <w:headerReference w:type="first" r:id="rId22"/>
          <w:pgSz w:w="11907" w:h="16840" w:code="9"/>
          <w:pgMar w:top="567" w:right="1418" w:bottom="907" w:left="1134" w:header="510" w:footer="1021" w:gutter="0"/>
          <w:cols w:space="720"/>
          <w:titlePg/>
          <w:docGrid w:linePitch="299"/>
        </w:sect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الخامس</w:t>
      </w:r>
      <w:r w:rsidRPr="00543BFA">
        <w:rPr>
          <w:rFonts w:eastAsia="Arial"/>
          <w:rtl/>
          <w:lang w:val="ar-SA"/>
        </w:rPr>
        <w:t>]</w:t>
      </w:r>
    </w:p>
    <w:p w:rsidR="007A252D" w:rsidRDefault="00C84D1F" w:rsidP="00C84D1F">
      <w:pPr>
        <w:pStyle w:val="NormalParaAR"/>
        <w:spacing w:line="240" w:lineRule="auto"/>
        <w:jc w:val="center"/>
        <w:rPr>
          <w:rFonts w:eastAsia="Arial"/>
        </w:rPr>
      </w:pPr>
      <w:r w:rsidRPr="00C84D1F">
        <w:rPr>
          <w:rFonts w:eastAsia="Arial"/>
          <w:rtl/>
        </w:rPr>
        <w:lastRenderedPageBreak/>
        <w:drawing>
          <wp:inline distT="0" distB="0" distL="0" distR="0" wp14:anchorId="31DD1A65" wp14:editId="0A4A5D27">
            <wp:extent cx="7900004" cy="5237951"/>
            <wp:effectExtent l="0" t="2540" r="381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02772" cy="523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42" w:rsidRPr="009F2342" w:rsidRDefault="009F2342" w:rsidP="009F2342">
      <w:pPr>
        <w:pStyle w:val="NormalParaAR"/>
        <w:rPr>
          <w:rtl/>
        </w:rPr>
      </w:pPr>
    </w:p>
    <w:p w:rsidR="00FC7671" w:rsidRPr="007A252D" w:rsidRDefault="009F2342" w:rsidP="009F2342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7A252D" w:rsidRPr="007A252D">
        <w:rPr>
          <w:rtl/>
        </w:rPr>
        <w:t>نهاية المرفق</w:t>
      </w:r>
      <w:r w:rsidR="007A252D">
        <w:rPr>
          <w:rFonts w:hint="cs"/>
          <w:rtl/>
        </w:rPr>
        <w:t xml:space="preserve"> الخامس</w:t>
      </w:r>
      <w:r w:rsidR="007A252D" w:rsidRPr="007A252D">
        <w:rPr>
          <w:rtl/>
        </w:rPr>
        <w:t xml:space="preserve"> والوثيقة</w:t>
      </w:r>
      <w:r>
        <w:rPr>
          <w:rFonts w:hint="cs"/>
          <w:rtl/>
        </w:rPr>
        <w:t>]</w:t>
      </w:r>
    </w:p>
    <w:sectPr w:rsidR="00FC7671" w:rsidRPr="007A252D" w:rsidSect="00FC7671">
      <w:headerReference w:type="first" r:id="rId2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69" w:rsidRDefault="00044F69">
      <w:r>
        <w:separator/>
      </w:r>
    </w:p>
  </w:endnote>
  <w:endnote w:type="continuationSeparator" w:id="0">
    <w:p w:rsidR="00044F69" w:rsidRDefault="000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69" w:rsidRDefault="00044F6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44F69" w:rsidRDefault="00044F6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9" w:rsidRDefault="009A4F99" w:rsidP="00F72E90">
    <w:r>
      <w:t>MM/A/4</w:t>
    </w:r>
    <w:r w:rsidR="00F72E90">
      <w:t>8</w:t>
    </w:r>
    <w:r>
      <w:t>/</w:t>
    </w:r>
    <w:r>
      <w:t>2</w:t>
    </w:r>
  </w:p>
  <w:p w:rsidR="009A4F99" w:rsidRDefault="009A4F99" w:rsidP="009A4F99">
    <w:r>
      <w:fldChar w:fldCharType="begin"/>
    </w:r>
    <w:r>
      <w:instrText xml:space="preserve"> PAGE  \* MERGEFORMAT </w:instrText>
    </w:r>
    <w:r>
      <w:fldChar w:fldCharType="separate"/>
    </w:r>
    <w:r w:rsidR="006270CA">
      <w:rPr>
        <w:noProof/>
      </w:rPr>
      <w:t>6</w:t>
    </w:r>
    <w:r>
      <w:fldChar w:fldCharType="end"/>
    </w:r>
  </w:p>
  <w:p w:rsidR="0029014C" w:rsidRPr="009A4F99" w:rsidRDefault="0029014C" w:rsidP="009A4F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3F79CC">
    <w:pPr>
      <w:pStyle w:val="Header"/>
    </w:pPr>
    <w:r>
      <w:t>MM/A/48/2</w:t>
    </w:r>
  </w:p>
  <w:p w:rsidR="00241CA4" w:rsidRDefault="00241CA4" w:rsidP="00241CA4">
    <w:pPr>
      <w:pStyle w:val="Header"/>
    </w:pPr>
    <w:r>
      <w:t>ANNEX I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29014C">
    <w:pPr>
      <w:pStyle w:val="Header"/>
    </w:pPr>
    <w:r>
      <w:t>MM/A/48/2</w:t>
    </w:r>
  </w:p>
  <w:p w:rsidR="00241CA4" w:rsidRDefault="00241CA4" w:rsidP="00241CA4">
    <w:pPr>
      <w:pStyle w:val="Header"/>
    </w:pPr>
    <w:r>
      <w:t>ANNEX III</w:t>
    </w:r>
  </w:p>
  <w:p w:rsidR="00241CA4" w:rsidRDefault="00241CA4" w:rsidP="00241CA4">
    <w:pPr>
      <w:pStyle w:val="Header"/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الثالث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3F79CC">
    <w:pPr>
      <w:pStyle w:val="Header"/>
    </w:pPr>
    <w:r>
      <w:t>MM/A/48/2</w:t>
    </w:r>
  </w:p>
  <w:p w:rsidR="00241CA4" w:rsidRDefault="00241CA4" w:rsidP="00241CA4">
    <w:pPr>
      <w:pStyle w:val="Header"/>
    </w:pPr>
    <w:r>
      <w:t>ANNEX II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4E" w:rsidRDefault="006F474E" w:rsidP="003F79CC">
    <w:pPr>
      <w:pStyle w:val="Header"/>
    </w:pPr>
    <w:r>
      <w:t>MM/A/48/2</w:t>
    </w:r>
  </w:p>
  <w:p w:rsidR="006F474E" w:rsidRDefault="006F474E" w:rsidP="00241CA4">
    <w:pPr>
      <w:pStyle w:val="Header"/>
    </w:pPr>
    <w:r>
      <w:t>ANNEX III</w:t>
    </w:r>
  </w:p>
  <w:p w:rsidR="006F474E" w:rsidRPr="00A65C37" w:rsidRDefault="006F474E" w:rsidP="006F474E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الثالث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29014C">
    <w:pPr>
      <w:pStyle w:val="Header"/>
    </w:pPr>
    <w:r>
      <w:t>MM/A/48/2</w:t>
    </w:r>
  </w:p>
  <w:p w:rsidR="00241CA4" w:rsidRDefault="00241CA4" w:rsidP="00241CA4">
    <w:pPr>
      <w:pStyle w:val="Header"/>
    </w:pPr>
    <w:r>
      <w:t>ANNEX V</w:t>
    </w:r>
  </w:p>
  <w:p w:rsidR="00241CA4" w:rsidRDefault="00241CA4" w:rsidP="00241CA4">
    <w:pPr>
      <w:pStyle w:val="Header"/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الخامس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3F79CC">
    <w:pPr>
      <w:pStyle w:val="Header"/>
    </w:pPr>
    <w:r>
      <w:t>MM/A/48/2</w:t>
    </w:r>
  </w:p>
  <w:p w:rsidR="00241CA4" w:rsidRDefault="00241CA4" w:rsidP="00241CA4">
    <w:pPr>
      <w:pStyle w:val="Header"/>
    </w:pPr>
    <w:r>
      <w:t>ANNEX IV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الرابع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2" w:rsidRDefault="009F2342" w:rsidP="003F79CC">
    <w:pPr>
      <w:pStyle w:val="Header"/>
    </w:pPr>
    <w:r>
      <w:t>MM/A/48/2</w:t>
    </w:r>
  </w:p>
  <w:p w:rsidR="009F2342" w:rsidRDefault="009F2342" w:rsidP="009F2342">
    <w:pPr>
      <w:pStyle w:val="Header"/>
    </w:pPr>
    <w:r>
      <w:t>ANNEX V</w:t>
    </w:r>
  </w:p>
  <w:p w:rsidR="009F2342" w:rsidRPr="00A65C37" w:rsidRDefault="009F2342" w:rsidP="009F2342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الخامس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9ECEC926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D015C"/>
    <w:multiLevelType w:val="hybridMultilevel"/>
    <w:tmpl w:val="2C481698"/>
    <w:lvl w:ilvl="0" w:tplc="4740B2B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0E6F"/>
    <w:multiLevelType w:val="hybridMultilevel"/>
    <w:tmpl w:val="087A6B3E"/>
    <w:lvl w:ilvl="0" w:tplc="9A4A9434">
      <w:start w:val="1"/>
      <w:numFmt w:val="decimal"/>
      <w:lvlText w:val="(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50E7D0E"/>
    <w:multiLevelType w:val="hybridMultilevel"/>
    <w:tmpl w:val="3AC05476"/>
    <w:lvl w:ilvl="0" w:tplc="E3A6118A">
      <w:start w:val="1"/>
      <w:numFmt w:val="decimal"/>
      <w:lvlText w:val="(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9"/>
  </w:num>
  <w:num w:numId="5">
    <w:abstractNumId w:val="8"/>
  </w:num>
  <w:num w:numId="6">
    <w:abstractNumId w:val="21"/>
  </w:num>
  <w:num w:numId="7">
    <w:abstractNumId w:val="13"/>
  </w:num>
  <w:num w:numId="8">
    <w:abstractNumId w:val="18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846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4F69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4F32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9FE"/>
    <w:rsid w:val="00085A0B"/>
    <w:rsid w:val="000863B7"/>
    <w:rsid w:val="000865AF"/>
    <w:rsid w:val="00087DB6"/>
    <w:rsid w:val="00090139"/>
    <w:rsid w:val="0009024C"/>
    <w:rsid w:val="00090597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366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0DF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6DB4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AC9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4CC6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31A7"/>
    <w:rsid w:val="001B4B2F"/>
    <w:rsid w:val="001B655E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1F8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8E7"/>
    <w:rsid w:val="00220227"/>
    <w:rsid w:val="0022176B"/>
    <w:rsid w:val="00222760"/>
    <w:rsid w:val="00222782"/>
    <w:rsid w:val="0022360A"/>
    <w:rsid w:val="002263F1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CA4"/>
    <w:rsid w:val="0024220D"/>
    <w:rsid w:val="00242BD3"/>
    <w:rsid w:val="00242C02"/>
    <w:rsid w:val="00243155"/>
    <w:rsid w:val="00246E87"/>
    <w:rsid w:val="00247783"/>
    <w:rsid w:val="002516C8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4A4"/>
    <w:rsid w:val="002661B3"/>
    <w:rsid w:val="00266486"/>
    <w:rsid w:val="00266B0A"/>
    <w:rsid w:val="00266C61"/>
    <w:rsid w:val="0026749A"/>
    <w:rsid w:val="00270E72"/>
    <w:rsid w:val="0027167E"/>
    <w:rsid w:val="00271DB5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14C"/>
    <w:rsid w:val="002909B9"/>
    <w:rsid w:val="00292CEE"/>
    <w:rsid w:val="00292D22"/>
    <w:rsid w:val="00292E6C"/>
    <w:rsid w:val="0029470D"/>
    <w:rsid w:val="00297B80"/>
    <w:rsid w:val="002A076C"/>
    <w:rsid w:val="002A1059"/>
    <w:rsid w:val="002A3C9D"/>
    <w:rsid w:val="002A5403"/>
    <w:rsid w:val="002A5702"/>
    <w:rsid w:val="002A6C9F"/>
    <w:rsid w:val="002A77F3"/>
    <w:rsid w:val="002B14F0"/>
    <w:rsid w:val="002B1F0F"/>
    <w:rsid w:val="002B312B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0C6"/>
    <w:rsid w:val="00311453"/>
    <w:rsid w:val="003114C9"/>
    <w:rsid w:val="0031229D"/>
    <w:rsid w:val="00314E12"/>
    <w:rsid w:val="003155C0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5DF0"/>
    <w:rsid w:val="00327011"/>
    <w:rsid w:val="00331B72"/>
    <w:rsid w:val="00334127"/>
    <w:rsid w:val="00335CA6"/>
    <w:rsid w:val="0033615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660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46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59F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A25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25E"/>
    <w:rsid w:val="003F67AE"/>
    <w:rsid w:val="003F6BBB"/>
    <w:rsid w:val="003F719F"/>
    <w:rsid w:val="003F79CC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17FC"/>
    <w:rsid w:val="00442FBE"/>
    <w:rsid w:val="004433B1"/>
    <w:rsid w:val="00443571"/>
    <w:rsid w:val="004444E3"/>
    <w:rsid w:val="004447FD"/>
    <w:rsid w:val="00445032"/>
    <w:rsid w:val="004450CB"/>
    <w:rsid w:val="00446801"/>
    <w:rsid w:val="00446967"/>
    <w:rsid w:val="00446AB6"/>
    <w:rsid w:val="00450EEE"/>
    <w:rsid w:val="004512B2"/>
    <w:rsid w:val="004528EE"/>
    <w:rsid w:val="00453360"/>
    <w:rsid w:val="00454669"/>
    <w:rsid w:val="00456409"/>
    <w:rsid w:val="004569C6"/>
    <w:rsid w:val="00456ADC"/>
    <w:rsid w:val="00456FB5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2B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6A8"/>
    <w:rsid w:val="004D18CF"/>
    <w:rsid w:val="004D30CE"/>
    <w:rsid w:val="004D4071"/>
    <w:rsid w:val="004D421A"/>
    <w:rsid w:val="004D4D0C"/>
    <w:rsid w:val="004D6144"/>
    <w:rsid w:val="004D678F"/>
    <w:rsid w:val="004E0091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7074"/>
    <w:rsid w:val="005104E8"/>
    <w:rsid w:val="005107DB"/>
    <w:rsid w:val="00510DB0"/>
    <w:rsid w:val="005119F6"/>
    <w:rsid w:val="00511B7D"/>
    <w:rsid w:val="00511D00"/>
    <w:rsid w:val="005137E7"/>
    <w:rsid w:val="005142B9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3F1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2DD4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276"/>
    <w:rsid w:val="005D0AE3"/>
    <w:rsid w:val="005D1103"/>
    <w:rsid w:val="005D276D"/>
    <w:rsid w:val="005D4BDC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2A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5218"/>
    <w:rsid w:val="00626594"/>
    <w:rsid w:val="006270CA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B6F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4C8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AB6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4BCB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1A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74E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68B3"/>
    <w:rsid w:val="00720860"/>
    <w:rsid w:val="00721087"/>
    <w:rsid w:val="00721530"/>
    <w:rsid w:val="00723422"/>
    <w:rsid w:val="0072364E"/>
    <w:rsid w:val="0072506D"/>
    <w:rsid w:val="007260FE"/>
    <w:rsid w:val="00726DD6"/>
    <w:rsid w:val="0073076E"/>
    <w:rsid w:val="00733416"/>
    <w:rsid w:val="0073377E"/>
    <w:rsid w:val="00733E05"/>
    <w:rsid w:val="007352B9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433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2C2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252D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398B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41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5CF4"/>
    <w:rsid w:val="0086020E"/>
    <w:rsid w:val="00860323"/>
    <w:rsid w:val="00860F4F"/>
    <w:rsid w:val="008610B9"/>
    <w:rsid w:val="00862656"/>
    <w:rsid w:val="00863013"/>
    <w:rsid w:val="00863F67"/>
    <w:rsid w:val="0086483A"/>
    <w:rsid w:val="00864F59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12F"/>
    <w:rsid w:val="008812BF"/>
    <w:rsid w:val="00881341"/>
    <w:rsid w:val="00882931"/>
    <w:rsid w:val="008836BD"/>
    <w:rsid w:val="00884939"/>
    <w:rsid w:val="008853E0"/>
    <w:rsid w:val="00885A8F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910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87B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3610"/>
    <w:rsid w:val="009A41C7"/>
    <w:rsid w:val="009A4F5A"/>
    <w:rsid w:val="009A4F99"/>
    <w:rsid w:val="009A5C82"/>
    <w:rsid w:val="009B010D"/>
    <w:rsid w:val="009B0AAB"/>
    <w:rsid w:val="009B0D3E"/>
    <w:rsid w:val="009B2AD1"/>
    <w:rsid w:val="009B31D8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342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4D7B"/>
    <w:rsid w:val="00A1562A"/>
    <w:rsid w:val="00A15901"/>
    <w:rsid w:val="00A1618E"/>
    <w:rsid w:val="00A161A1"/>
    <w:rsid w:val="00A1784A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53A"/>
    <w:rsid w:val="00A51DF1"/>
    <w:rsid w:val="00A52AFB"/>
    <w:rsid w:val="00A53967"/>
    <w:rsid w:val="00A5455C"/>
    <w:rsid w:val="00A545EC"/>
    <w:rsid w:val="00A54C5F"/>
    <w:rsid w:val="00A54D3B"/>
    <w:rsid w:val="00A5578A"/>
    <w:rsid w:val="00A56F39"/>
    <w:rsid w:val="00A61365"/>
    <w:rsid w:val="00A61759"/>
    <w:rsid w:val="00A61B88"/>
    <w:rsid w:val="00A62C70"/>
    <w:rsid w:val="00A636F8"/>
    <w:rsid w:val="00A63982"/>
    <w:rsid w:val="00A65845"/>
    <w:rsid w:val="00A65A41"/>
    <w:rsid w:val="00A65C37"/>
    <w:rsid w:val="00A666AA"/>
    <w:rsid w:val="00A671FC"/>
    <w:rsid w:val="00A71670"/>
    <w:rsid w:val="00A72874"/>
    <w:rsid w:val="00A72E48"/>
    <w:rsid w:val="00A7359C"/>
    <w:rsid w:val="00A73616"/>
    <w:rsid w:val="00A74A5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8FF"/>
    <w:rsid w:val="00AB7348"/>
    <w:rsid w:val="00AC13B0"/>
    <w:rsid w:val="00AC22B2"/>
    <w:rsid w:val="00AC2FD0"/>
    <w:rsid w:val="00AC3DBD"/>
    <w:rsid w:val="00AC3E1F"/>
    <w:rsid w:val="00AC4D30"/>
    <w:rsid w:val="00AC5E85"/>
    <w:rsid w:val="00AD03D8"/>
    <w:rsid w:val="00AD0D5F"/>
    <w:rsid w:val="00AD34CF"/>
    <w:rsid w:val="00AD36C8"/>
    <w:rsid w:val="00AD37C9"/>
    <w:rsid w:val="00AD47D3"/>
    <w:rsid w:val="00AD652F"/>
    <w:rsid w:val="00AD6672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AF7FFE"/>
    <w:rsid w:val="00B0072E"/>
    <w:rsid w:val="00B03B63"/>
    <w:rsid w:val="00B0513A"/>
    <w:rsid w:val="00B0620B"/>
    <w:rsid w:val="00B072A3"/>
    <w:rsid w:val="00B07FCD"/>
    <w:rsid w:val="00B1149C"/>
    <w:rsid w:val="00B11AD7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D0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5FE2"/>
    <w:rsid w:val="00B672E3"/>
    <w:rsid w:val="00B675F9"/>
    <w:rsid w:val="00B70849"/>
    <w:rsid w:val="00B72C1C"/>
    <w:rsid w:val="00B73BB7"/>
    <w:rsid w:val="00B751C3"/>
    <w:rsid w:val="00B76C0D"/>
    <w:rsid w:val="00B771EF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4E4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E4C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1EA8"/>
    <w:rsid w:val="00C026BC"/>
    <w:rsid w:val="00C02AD4"/>
    <w:rsid w:val="00C03869"/>
    <w:rsid w:val="00C05C9E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5510"/>
    <w:rsid w:val="00C76CF7"/>
    <w:rsid w:val="00C83A4C"/>
    <w:rsid w:val="00C84D1F"/>
    <w:rsid w:val="00C8533B"/>
    <w:rsid w:val="00C858BA"/>
    <w:rsid w:val="00C8682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65F1"/>
    <w:rsid w:val="00CB79E4"/>
    <w:rsid w:val="00CB7BD7"/>
    <w:rsid w:val="00CC4CB6"/>
    <w:rsid w:val="00CC4DB0"/>
    <w:rsid w:val="00CC5038"/>
    <w:rsid w:val="00CC5326"/>
    <w:rsid w:val="00CC7426"/>
    <w:rsid w:val="00CC7910"/>
    <w:rsid w:val="00CD01EF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2F7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27E9B"/>
    <w:rsid w:val="00D31021"/>
    <w:rsid w:val="00D3253C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797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3B73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48B"/>
    <w:rsid w:val="00DE7822"/>
    <w:rsid w:val="00DF081A"/>
    <w:rsid w:val="00DF087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451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44E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D73"/>
    <w:rsid w:val="00E63E99"/>
    <w:rsid w:val="00E6428E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3A4C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F0C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4DF0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534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E6D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2E90"/>
    <w:rsid w:val="00F75896"/>
    <w:rsid w:val="00F76666"/>
    <w:rsid w:val="00F76ECB"/>
    <w:rsid w:val="00F76EF7"/>
    <w:rsid w:val="00F76F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0BE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71"/>
    <w:rsid w:val="00FD01CC"/>
    <w:rsid w:val="00FD08AF"/>
    <w:rsid w:val="00FD1E7A"/>
    <w:rsid w:val="00FD21ED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emf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A_4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7275-ABA9-4BD0-AC27-0A635EF7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MM_A_46_AR.dotx</Template>
  <TotalTime>71</TotalTime>
  <Pages>11</Pages>
  <Words>1908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MM/A/46/-- (Arabic)</vt:lpstr>
    </vt:vector>
  </TitlesOfParts>
  <Company>World Intellectual Property Organization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MM/A/46/-- (Arabic)</dc:title>
  <dc:creator>AHMIDOUCH Noureddine</dc:creator>
  <cp:lastModifiedBy>AHMIDOUCH Noureddine</cp:lastModifiedBy>
  <cp:revision>12</cp:revision>
  <cp:lastPrinted>2014-06-11T11:18:00Z</cp:lastPrinted>
  <dcterms:created xsi:type="dcterms:W3CDTF">2014-06-05T15:25:00Z</dcterms:created>
  <dcterms:modified xsi:type="dcterms:W3CDTF">2014-06-11T11:19:00Z</dcterms:modified>
</cp:coreProperties>
</file>