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00B1F" w:rsidP="003132DE">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LI/A/35/</w:t>
      </w:r>
      <w:r w:rsidR="0062542D">
        <w:rPr>
          <w:rFonts w:ascii="Arial Black" w:eastAsia="SimSun" w:hAnsi="Arial Black" w:cs="Arial"/>
          <w:b/>
          <w:caps/>
          <w:noProof/>
          <w:sz w:val="16"/>
          <w:szCs w:val="16"/>
          <w:lang w:eastAsia="zh-CN"/>
        </w:rPr>
        <w:t>2</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62542D">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62542D">
        <w:rPr>
          <w:b/>
          <w:bCs/>
          <w:sz w:val="30"/>
          <w:szCs w:val="30"/>
          <w:rtl/>
        </w:rPr>
        <w:t>23 يوليو 2018</w:t>
      </w:r>
    </w:p>
    <w:p w:rsidR="00000B1F" w:rsidRDefault="00000B1F" w:rsidP="009B7572">
      <w:pPr>
        <w:pStyle w:val="Heading1"/>
        <w:spacing w:after="600" w:line="240" w:lineRule="auto"/>
        <w:rPr>
          <w:rtl/>
        </w:rPr>
      </w:pPr>
      <w:r>
        <w:rPr>
          <w:rFonts w:hint="eastAsia"/>
          <w:rtl/>
        </w:rPr>
        <w:t>الاتحاد</w:t>
      </w:r>
      <w:r>
        <w:rPr>
          <w:rtl/>
        </w:rPr>
        <w:t xml:space="preserve"> </w:t>
      </w:r>
      <w:r>
        <w:rPr>
          <w:rFonts w:hint="eastAsia"/>
          <w:rtl/>
        </w:rPr>
        <w:t>الخاص</w:t>
      </w:r>
      <w:r>
        <w:rPr>
          <w:rtl/>
        </w:rPr>
        <w:t xml:space="preserve"> </w:t>
      </w:r>
      <w:r>
        <w:rPr>
          <w:rFonts w:hint="eastAsia"/>
          <w:rtl/>
        </w:rPr>
        <w:t>لحماية</w:t>
      </w:r>
      <w:r>
        <w:rPr>
          <w:rtl/>
        </w:rPr>
        <w:t xml:space="preserve"> </w:t>
      </w:r>
      <w:r>
        <w:rPr>
          <w:rFonts w:hint="eastAsia"/>
          <w:rtl/>
        </w:rPr>
        <w:t>تسميات</w:t>
      </w:r>
      <w:r>
        <w:rPr>
          <w:rtl/>
        </w:rPr>
        <w:t xml:space="preserve"> </w:t>
      </w:r>
      <w:r>
        <w:rPr>
          <w:rFonts w:hint="eastAsia"/>
          <w:rtl/>
        </w:rPr>
        <w:t>المنشأ</w:t>
      </w:r>
      <w:r>
        <w:rPr>
          <w:rtl/>
        </w:rPr>
        <w:t xml:space="preserve"> </w:t>
      </w:r>
      <w:r>
        <w:rPr>
          <w:rFonts w:hint="eastAsia"/>
          <w:rtl/>
        </w:rPr>
        <w:t>وتسجيلها</w:t>
      </w:r>
      <w:r>
        <w:rPr>
          <w:rtl/>
        </w:rPr>
        <w:t xml:space="preserve"> </w:t>
      </w:r>
      <w:r>
        <w:rPr>
          <w:rFonts w:hint="eastAsia"/>
          <w:rtl/>
        </w:rPr>
        <w:t>الدولي</w:t>
      </w:r>
      <w:r>
        <w:rPr>
          <w:rtl/>
        </w:rPr>
        <w:t xml:space="preserve"> (</w:t>
      </w:r>
      <w:r>
        <w:rPr>
          <w:rFonts w:hint="eastAsia"/>
          <w:rtl/>
        </w:rPr>
        <w:t>اتحاد</w:t>
      </w:r>
      <w:r>
        <w:rPr>
          <w:rtl/>
        </w:rPr>
        <w:t xml:space="preserve"> </w:t>
      </w:r>
      <w:r>
        <w:rPr>
          <w:rFonts w:hint="eastAsia"/>
          <w:rtl/>
        </w:rPr>
        <w:t>لشبونة</w:t>
      </w:r>
      <w:r>
        <w:rPr>
          <w:rtl/>
        </w:rPr>
        <w:t>)</w:t>
      </w:r>
    </w:p>
    <w:p w:rsidR="002E7810" w:rsidRPr="00FD6D15" w:rsidRDefault="00000B1F" w:rsidP="009B7572">
      <w:pPr>
        <w:pStyle w:val="Heading1"/>
        <w:spacing w:after="600" w:line="240" w:lineRule="auto"/>
        <w:rPr>
          <w:rtl/>
        </w:rPr>
      </w:pPr>
      <w:r>
        <w:rPr>
          <w:rFonts w:hint="eastAsia"/>
          <w:rtl/>
        </w:rPr>
        <w:t>الجمعية</w:t>
      </w:r>
    </w:p>
    <w:p w:rsidR="002E7810" w:rsidRPr="002E7810" w:rsidRDefault="00000B1F" w:rsidP="00000B1F">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الخامسة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cs"/>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الثالثة</w:t>
      </w:r>
      <w:r>
        <w:rPr>
          <w:rFonts w:ascii="Arial Black" w:hAnsi="Arial Black" w:cs="PT Bold Heading"/>
          <w:sz w:val="30"/>
          <w:szCs w:val="30"/>
          <w:rtl/>
        </w:rPr>
        <w:t xml:space="preserve"> </w:t>
      </w:r>
      <w:r>
        <w:rPr>
          <w:rFonts w:ascii="Arial Black" w:hAnsi="Arial Black" w:cs="PT Bold Heading" w:hint="cs"/>
          <w:sz w:val="30"/>
          <w:szCs w:val="30"/>
          <w:rtl/>
        </w:rPr>
        <w:t>عشرة</w:t>
      </w:r>
      <w:r>
        <w:rPr>
          <w:rFonts w:ascii="Arial Black" w:hAnsi="Arial Black" w:cs="PT Bold Heading"/>
          <w:sz w:val="30"/>
          <w:szCs w:val="30"/>
          <w:rtl/>
        </w:rPr>
        <w:t>)</w:t>
      </w:r>
    </w:p>
    <w:p w:rsidR="002E7810" w:rsidRPr="002E7810" w:rsidRDefault="00000B1F" w:rsidP="00874721">
      <w:pPr>
        <w:spacing w:line="600" w:lineRule="auto"/>
        <w:rPr>
          <w:b/>
          <w:bCs/>
          <w:rtl/>
        </w:rPr>
      </w:pPr>
      <w:r>
        <w:rPr>
          <w:b/>
          <w:bCs/>
          <w:rtl/>
        </w:rPr>
        <w:t>جنيف، من 24 سبتمبر إلى 2 أكتوبر 2018</w:t>
      </w:r>
    </w:p>
    <w:p w:rsidR="002E7810" w:rsidRPr="002E7810" w:rsidRDefault="0062542D" w:rsidP="00874721">
      <w:pPr>
        <w:rPr>
          <w:rFonts w:ascii="Arial Black" w:hAnsi="Arial Black" w:cs="PT Bold Heading"/>
          <w:sz w:val="26"/>
          <w:szCs w:val="26"/>
          <w:rtl/>
        </w:rPr>
      </w:pPr>
      <w:r>
        <w:rPr>
          <w:rFonts w:ascii="Arial Black" w:hAnsi="Arial Black" w:cs="PT Bold Heading" w:hint="eastAsia"/>
          <w:sz w:val="26"/>
          <w:szCs w:val="26"/>
          <w:rtl/>
        </w:rPr>
        <w:t>التعديلات</w:t>
      </w:r>
      <w:r>
        <w:rPr>
          <w:rFonts w:ascii="Arial Black" w:hAnsi="Arial Black" w:cs="PT Bold Heading"/>
          <w:sz w:val="26"/>
          <w:szCs w:val="26"/>
          <w:rtl/>
        </w:rPr>
        <w:t xml:space="preserve"> </w:t>
      </w:r>
      <w:r w:rsidR="001F5662">
        <w:rPr>
          <w:rFonts w:ascii="Arial Black" w:hAnsi="Arial Black" w:cs="PT Bold Heading" w:hint="eastAsia"/>
          <w:sz w:val="26"/>
          <w:szCs w:val="26"/>
          <w:rtl/>
        </w:rPr>
        <w:t>المقترح</w:t>
      </w:r>
      <w:r w:rsidR="00581EB9">
        <w:rPr>
          <w:rFonts w:ascii="Arial Black" w:hAnsi="Arial Black" w:cs="PT Bold Heading"/>
          <w:sz w:val="26"/>
          <w:szCs w:val="26"/>
        </w:rPr>
        <w:t xml:space="preserve"> </w:t>
      </w:r>
      <w:r w:rsidR="001F5662">
        <w:rPr>
          <w:rFonts w:ascii="Arial Black" w:hAnsi="Arial Black" w:cs="PT Bold Heading" w:hint="cs"/>
          <w:sz w:val="26"/>
          <w:szCs w:val="26"/>
          <w:rtl/>
        </w:rPr>
        <w:t>إدخالها على</w:t>
      </w:r>
      <w:r w:rsidR="001F5662">
        <w:rPr>
          <w:rFonts w:ascii="Arial Black" w:hAnsi="Arial Black" w:cs="PT Bold Heading"/>
          <w:sz w:val="26"/>
          <w:szCs w:val="26"/>
        </w:rPr>
        <w:t xml:space="preserve"> </w:t>
      </w:r>
      <w:r w:rsidR="001F5662" w:rsidRPr="001F5662">
        <w:rPr>
          <w:rFonts w:ascii="Arial Black" w:hAnsi="Arial Black" w:cs="PT Bold Heading"/>
          <w:sz w:val="26"/>
          <w:szCs w:val="26"/>
          <w:rtl/>
        </w:rPr>
        <w:t>اللائحة التنفيذية المشتركة بين اتفاق لشبونة ووثيقة جنيف لاتفاق لشبونة</w:t>
      </w:r>
    </w:p>
    <w:p w:rsidR="003F7284" w:rsidRPr="00BB6440" w:rsidRDefault="0062542D"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المكتب</w:t>
      </w:r>
      <w:r>
        <w:rPr>
          <w:i/>
          <w:iCs/>
          <w:rtl/>
        </w:rPr>
        <w:t xml:space="preserve"> الدولي</w:t>
      </w:r>
    </w:p>
    <w:p w:rsidR="00E3612C" w:rsidRDefault="00581EB9" w:rsidP="00C810BB">
      <w:pPr>
        <w:pStyle w:val="ONUMA"/>
      </w:pPr>
      <w:r>
        <w:rPr>
          <w:rtl/>
        </w:rPr>
        <w:t xml:space="preserve">تحتوي هذه الوثيقة على </w:t>
      </w:r>
      <w:r>
        <w:rPr>
          <w:rFonts w:hint="cs"/>
          <w:rtl/>
        </w:rPr>
        <w:t xml:space="preserve">اقتراح لإدخال تعديلات على </w:t>
      </w:r>
      <w:r w:rsidRPr="00581EB9">
        <w:rPr>
          <w:rtl/>
        </w:rPr>
        <w:t>جدول الرسوم الوارد</w:t>
      </w:r>
      <w:r>
        <w:rPr>
          <w:rtl/>
        </w:rPr>
        <w:t xml:space="preserve"> في اللائحة التنفيذية المشتركة </w:t>
      </w:r>
      <w:r>
        <w:rPr>
          <w:rFonts w:hint="cs"/>
          <w:rtl/>
        </w:rPr>
        <w:t xml:space="preserve">بين </w:t>
      </w:r>
      <w:r w:rsidRPr="00581EB9">
        <w:rPr>
          <w:rtl/>
        </w:rPr>
        <w:t>اتفاق لشبونة</w:t>
      </w:r>
      <w:r>
        <w:rPr>
          <w:rFonts w:hint="cs"/>
          <w:rtl/>
        </w:rPr>
        <w:t xml:space="preserve"> بشأن حماية </w:t>
      </w:r>
      <w:r w:rsidRPr="00581EB9">
        <w:rPr>
          <w:rtl/>
        </w:rPr>
        <w:t>تسميات المنشأ وتسجيلها على الصعيد الدولي</w:t>
      </w:r>
      <w:r w:rsidR="00C810BB">
        <w:rPr>
          <w:rFonts w:hint="cs"/>
          <w:rtl/>
        </w:rPr>
        <w:t>،</w:t>
      </w:r>
      <w:r w:rsidRPr="00581EB9">
        <w:rPr>
          <w:rtl/>
        </w:rPr>
        <w:t xml:space="preserve"> ووثيقة جنيف لاتفاق لشبونة بشأن تسميات المنشأ والمؤشرات الجغرافية (المشار إليها فيما يلي بعبارة "اللائحة التنفيذية المشتركة")</w:t>
      </w:r>
      <w:r w:rsidR="00470E06">
        <w:rPr>
          <w:rStyle w:val="FootnoteReference"/>
          <w:rtl/>
        </w:rPr>
        <w:footnoteReference w:id="1"/>
      </w:r>
      <w:r w:rsidR="00470E06">
        <w:rPr>
          <w:rFonts w:hint="cs"/>
          <w:rtl/>
        </w:rPr>
        <w:t>، بالصيغة التي وافق عليها الفريق العامل المعني بتطوير نظام لشبونة (المشار إليه</w:t>
      </w:r>
      <w:r w:rsidR="00C810BB">
        <w:rPr>
          <w:rFonts w:hint="cs"/>
          <w:rtl/>
        </w:rPr>
        <w:t xml:space="preserve"> فيما يلي باسم "الفريق العامل")، من أجل تقديمها إلى جمعية اتحاد لشبونة لتنظر فيها خلال دورتها الحالية.</w:t>
      </w:r>
    </w:p>
    <w:p w:rsidR="00C810BB" w:rsidRDefault="00C810BB" w:rsidP="00C810BB">
      <w:pPr>
        <w:pStyle w:val="ONUMA"/>
      </w:pPr>
      <w:r>
        <w:rPr>
          <w:rFonts w:hint="cs"/>
          <w:rtl/>
        </w:rPr>
        <w:lastRenderedPageBreak/>
        <w:t>وتُدر</w:t>
      </w:r>
      <w:r w:rsidR="00295B51">
        <w:rPr>
          <w:rFonts w:hint="cs"/>
          <w:rtl/>
        </w:rPr>
        <w:t>ِ</w:t>
      </w:r>
      <w:r>
        <w:rPr>
          <w:rFonts w:hint="cs"/>
          <w:rtl/>
        </w:rPr>
        <w:t xml:space="preserve">ج التعديلات المقترح إدخالها على اللائحة التنفيذية المشتركة </w:t>
      </w:r>
      <w:r w:rsidRPr="00C810BB">
        <w:rPr>
          <w:rtl/>
        </w:rPr>
        <w:t>تخفيض</w:t>
      </w:r>
      <w:r>
        <w:rPr>
          <w:rFonts w:hint="cs"/>
          <w:rtl/>
        </w:rPr>
        <w:t>اً</w:t>
      </w:r>
      <w:r w:rsidRPr="00C810BB">
        <w:rPr>
          <w:rtl/>
        </w:rPr>
        <w:t xml:space="preserve"> بنسبة 50 بالمائة من مبلغ الرسوم المقرّرة المستحقة ا</w:t>
      </w:r>
      <w:r>
        <w:rPr>
          <w:rtl/>
        </w:rPr>
        <w:t>لسداد من قبل البلدان الأقل نموا</w:t>
      </w:r>
      <w:r>
        <w:rPr>
          <w:rFonts w:hint="cs"/>
          <w:rtl/>
        </w:rPr>
        <w:t xml:space="preserve"> فيما يخص التسجيلات الدولية ل</w:t>
      </w:r>
      <w:r w:rsidRPr="00581EB9">
        <w:rPr>
          <w:rtl/>
        </w:rPr>
        <w:t>تسميات المنشأ والمؤشرات الجغرافية</w:t>
      </w:r>
      <w:r>
        <w:rPr>
          <w:rFonts w:hint="cs"/>
          <w:rtl/>
        </w:rPr>
        <w:t xml:space="preserve">، </w:t>
      </w:r>
      <w:r w:rsidRPr="00C810BB">
        <w:rPr>
          <w:rtl/>
        </w:rPr>
        <w:t>كما هو منصوص عليه في المادة 7(3) من وثيقة جنيف</w:t>
      </w:r>
      <w:r>
        <w:rPr>
          <w:rFonts w:hint="cs"/>
          <w:rtl/>
        </w:rPr>
        <w:t xml:space="preserve"> لاتفاق </w:t>
      </w:r>
      <w:r w:rsidRPr="00581EB9">
        <w:rPr>
          <w:rtl/>
        </w:rPr>
        <w:t>لشبونة بشأن تسميات المنشأ والمؤشرات الجغرافية</w:t>
      </w:r>
      <w:r>
        <w:rPr>
          <w:rFonts w:hint="cs"/>
          <w:rtl/>
        </w:rPr>
        <w:t xml:space="preserve"> (المُشار إليها فيما يلي باسم "وثيقة جنيف"). و</w:t>
      </w:r>
      <w:r w:rsidR="002E14A3">
        <w:rPr>
          <w:rFonts w:hint="cs"/>
          <w:rtl/>
        </w:rPr>
        <w:t>من أجل</w:t>
      </w:r>
      <w:r>
        <w:rPr>
          <w:rFonts w:hint="cs"/>
          <w:rtl/>
        </w:rPr>
        <w:t xml:space="preserve"> تنفيذ هذه الرسوم المخفّضة، </w:t>
      </w:r>
      <w:r w:rsidR="00295B51">
        <w:rPr>
          <w:rFonts w:hint="cs"/>
          <w:rtl/>
        </w:rPr>
        <w:t>يُقترح</w:t>
      </w:r>
      <w:r>
        <w:rPr>
          <w:rFonts w:hint="cs"/>
          <w:rtl/>
        </w:rPr>
        <w:t xml:space="preserve"> </w:t>
      </w:r>
      <w:r w:rsidRPr="00C810BB">
        <w:rPr>
          <w:rtl/>
        </w:rPr>
        <w:t>إدراج ملاحظة في البندين "1" و"2" من القاعدة 8(1)</w:t>
      </w:r>
      <w:r w:rsidR="00295B51">
        <w:rPr>
          <w:rFonts w:hint="cs"/>
          <w:rtl/>
        </w:rPr>
        <w:t>.</w:t>
      </w:r>
    </w:p>
    <w:p w:rsidR="00C41AE0" w:rsidRDefault="00295B51" w:rsidP="00295B51">
      <w:pPr>
        <w:pStyle w:val="ONUMA"/>
      </w:pPr>
      <w:r>
        <w:rPr>
          <w:rFonts w:hint="cs"/>
          <w:rtl/>
        </w:rPr>
        <w:t xml:space="preserve">وأوصى الفريق العامل أيضا جمعية اتحاد لشبونة بتطبيق تخفيضات الرسوم المُشار إليها في الفقرة 2، آنفاً، </w:t>
      </w:r>
      <w:r w:rsidRPr="00295B51">
        <w:rPr>
          <w:rtl/>
        </w:rPr>
        <w:t>لمدة ثلاث سنوات اعتبارا من دخول وثيقة جنيف حيز النفاذ</w:t>
      </w:r>
      <w:r>
        <w:rPr>
          <w:rFonts w:hint="cs"/>
          <w:rtl/>
        </w:rPr>
        <w:t xml:space="preserve">، وإعادة تقييم مسألة تخفيضات الرسوم </w:t>
      </w:r>
      <w:r w:rsidRPr="00295B51">
        <w:rPr>
          <w:rtl/>
        </w:rPr>
        <w:t xml:space="preserve">في إطار نظام لشبونة قبل انقضاء </w:t>
      </w:r>
      <w:r>
        <w:rPr>
          <w:rFonts w:hint="cs"/>
          <w:rtl/>
        </w:rPr>
        <w:t xml:space="preserve">تلك </w:t>
      </w:r>
      <w:r w:rsidRPr="00295B51">
        <w:rPr>
          <w:rtl/>
        </w:rPr>
        <w:t>المدة بسنة واحدة.</w:t>
      </w:r>
    </w:p>
    <w:p w:rsidR="00295B51" w:rsidRDefault="00295B51" w:rsidP="00295B51">
      <w:pPr>
        <w:pStyle w:val="ONUMA"/>
      </w:pPr>
      <w:r>
        <w:rPr>
          <w:rFonts w:hint="cs"/>
          <w:rtl/>
        </w:rPr>
        <w:t>ويحتوي مرفق هذه الوثيقة على التعديلات المقترح إدخالها على القاعدة 8(1) من اللائحة التنفيذية المشتركة، على النحو المبيّن في الفقرتين 2 و3 آنفا.</w:t>
      </w:r>
    </w:p>
    <w:p w:rsidR="00295B51" w:rsidRPr="00ED7555" w:rsidRDefault="00295B51" w:rsidP="00ED46F0">
      <w:pPr>
        <w:pStyle w:val="Decision"/>
        <w:rPr>
          <w:rtl/>
        </w:rPr>
      </w:pPr>
      <w:r>
        <w:rPr>
          <w:rFonts w:hint="cs"/>
          <w:rtl/>
        </w:rPr>
        <w:t xml:space="preserve">إنّ </w:t>
      </w:r>
      <w:r w:rsidR="00ED46F0">
        <w:rPr>
          <w:rFonts w:hint="cs"/>
          <w:rtl/>
        </w:rPr>
        <w:t>جمعية اتحاد برشلونة مدعوّة إلى:</w:t>
      </w:r>
    </w:p>
    <w:p w:rsidR="000D7E81" w:rsidRDefault="00295B51" w:rsidP="00ED46F0">
      <w:pPr>
        <w:pStyle w:val="Decision"/>
        <w:numPr>
          <w:ilvl w:val="1"/>
          <w:numId w:val="24"/>
        </w:numPr>
        <w:ind w:left="6236"/>
      </w:pPr>
      <w:r w:rsidRPr="00ED46F0">
        <w:rPr>
          <w:rtl/>
          <w:lang w:bidi="ar-EG"/>
        </w:rPr>
        <w:t>اعتماد التعديلات على اللائحة التنفيذية المشتركة</w:t>
      </w:r>
      <w:r w:rsidR="00ED46F0">
        <w:rPr>
          <w:rFonts w:hint="cs"/>
          <w:rtl/>
          <w:lang w:bidi="ar-EG"/>
        </w:rPr>
        <w:t xml:space="preserve"> بين اتفاق لشبونة ووثيقة جنيف لاتحاد لشبونة</w:t>
      </w:r>
      <w:r w:rsidR="002E14A3">
        <w:rPr>
          <w:rFonts w:hint="cs"/>
          <w:rtl/>
          <w:lang w:bidi="ar-EG"/>
        </w:rPr>
        <w:t>،</w:t>
      </w:r>
      <w:r w:rsidR="00ED46F0">
        <w:rPr>
          <w:rFonts w:hint="cs"/>
          <w:rtl/>
          <w:lang w:bidi="ar-EG"/>
        </w:rPr>
        <w:t xml:space="preserve"> المبيّنة في مرفق الوثيقة </w:t>
      </w:r>
      <w:r w:rsidR="00ED46F0" w:rsidRPr="00ED46F0">
        <w:rPr>
          <w:lang w:bidi="ar-EG"/>
        </w:rPr>
        <w:t>LI/A/35/2</w:t>
      </w:r>
      <w:r w:rsidR="00ED46F0">
        <w:rPr>
          <w:rFonts w:hint="cs"/>
          <w:rtl/>
          <w:lang w:bidi="ar-EG"/>
        </w:rPr>
        <w:t>؛</w:t>
      </w:r>
    </w:p>
    <w:p w:rsidR="00ED46F0" w:rsidRDefault="00ED46F0" w:rsidP="002E14A3">
      <w:pPr>
        <w:pStyle w:val="Decision"/>
        <w:numPr>
          <w:ilvl w:val="1"/>
          <w:numId w:val="24"/>
        </w:numPr>
        <w:ind w:left="6236"/>
      </w:pPr>
      <w:r>
        <w:rPr>
          <w:rFonts w:hint="cs"/>
          <w:rtl/>
          <w:lang w:bidi="ar-EG"/>
        </w:rPr>
        <w:t xml:space="preserve">وإعادة تقييم </w:t>
      </w:r>
      <w:r w:rsidR="00295B51" w:rsidRPr="00ED46F0">
        <w:rPr>
          <w:rFonts w:hint="cs"/>
          <w:rtl/>
        </w:rPr>
        <w:t xml:space="preserve">مسألة تخفيضات الرسوم </w:t>
      </w:r>
      <w:r w:rsidR="00295B51" w:rsidRPr="00ED46F0">
        <w:rPr>
          <w:rtl/>
        </w:rPr>
        <w:t xml:space="preserve">في إطار نظام لشبونة قبل انقضاء المدة </w:t>
      </w:r>
      <w:r w:rsidR="002E14A3">
        <w:rPr>
          <w:rFonts w:hint="cs"/>
          <w:rtl/>
        </w:rPr>
        <w:t>المُشار إليها</w:t>
      </w:r>
      <w:r>
        <w:rPr>
          <w:rFonts w:hint="cs"/>
          <w:rtl/>
        </w:rPr>
        <w:t xml:space="preserve"> في الفقرة 3 من الوثيقة </w:t>
      </w:r>
      <w:r w:rsidRPr="00ED46F0">
        <w:t>LI/A/35/2</w:t>
      </w:r>
      <w:r>
        <w:rPr>
          <w:rFonts w:hint="cs"/>
          <w:rtl/>
        </w:rPr>
        <w:t>.</w:t>
      </w:r>
    </w:p>
    <w:p w:rsidR="00ED46F0" w:rsidRPr="00ED46F0" w:rsidRDefault="00ED46F0" w:rsidP="00ED46F0">
      <w:pPr>
        <w:pStyle w:val="Endofdocument-Annex"/>
        <w:spacing w:before="480"/>
        <w:rPr>
          <w:rtl/>
        </w:rPr>
      </w:pPr>
      <w:r>
        <w:t>]</w:t>
      </w:r>
      <w:r>
        <w:rPr>
          <w:rFonts w:hint="cs"/>
          <w:rtl/>
        </w:rPr>
        <w:t>يلي ذلك المرفق</w:t>
      </w:r>
      <w:r>
        <w:t>[</w:t>
      </w:r>
    </w:p>
    <w:p w:rsidR="00ED46F0" w:rsidRDefault="00ED46F0" w:rsidP="000D7E81">
      <w:pPr>
        <w:pStyle w:val="BodyText"/>
        <w:rPr>
          <w:rtl/>
        </w:rPr>
        <w:sectPr w:rsidR="00ED46F0" w:rsidSect="00EB7752">
          <w:headerReference w:type="default" r:id="rId10"/>
          <w:headerReference w:type="first" r:id="rId11"/>
          <w:footnotePr>
            <w:numFmt w:val="chicago"/>
          </w:footnotePr>
          <w:pgSz w:w="11907" w:h="16840" w:code="9"/>
          <w:pgMar w:top="567" w:right="1418" w:bottom="1418" w:left="1134" w:header="510" w:footer="1021" w:gutter="0"/>
          <w:cols w:space="720"/>
          <w:titlePg/>
          <w:docGrid w:linePitch="299"/>
        </w:sectPr>
      </w:pPr>
    </w:p>
    <w:p w:rsidR="00ED46F0" w:rsidRPr="00ED46F0" w:rsidRDefault="00ED46F0" w:rsidP="00ED46F0">
      <w:pPr>
        <w:pStyle w:val="Heading2"/>
      </w:pPr>
      <w:r w:rsidRPr="00ED46F0">
        <w:rPr>
          <w:rFonts w:hint="cs"/>
          <w:rtl/>
        </w:rPr>
        <w:lastRenderedPageBreak/>
        <w:t>التعديل المقترح إدخاله على جدول الرسوم المقرّرة بناء على اللائحة التنفيذية المشتركة لاتفاق لشبونة ووثيقة جنيف لاتفاق لشبونة.</w:t>
      </w:r>
    </w:p>
    <w:p w:rsidR="00ED46F0" w:rsidRPr="00ED46F0" w:rsidRDefault="00ED46F0" w:rsidP="00ED46F0">
      <w:pPr>
        <w:spacing w:line="360" w:lineRule="exact"/>
        <w:jc w:val="center"/>
        <w:rPr>
          <w:b/>
          <w:bCs/>
          <w:rtl/>
          <w:lang w:val="fr-CH"/>
        </w:rPr>
      </w:pPr>
      <w:r w:rsidRPr="00ED46F0">
        <w:rPr>
          <w:rFonts w:hint="cs"/>
          <w:b/>
          <w:bCs/>
          <w:rtl/>
          <w:lang w:val="fr-CH"/>
        </w:rPr>
        <w:t>القاعدة 8</w:t>
      </w:r>
    </w:p>
    <w:p w:rsidR="00ED46F0" w:rsidRPr="00ED46F0" w:rsidRDefault="00ED46F0" w:rsidP="00ED46F0">
      <w:pPr>
        <w:spacing w:after="240" w:line="360" w:lineRule="exact"/>
        <w:jc w:val="center"/>
        <w:rPr>
          <w:rtl/>
          <w:lang w:val="fr-CH"/>
        </w:rPr>
      </w:pPr>
      <w:r w:rsidRPr="00ED46F0">
        <w:rPr>
          <w:rFonts w:hint="cs"/>
          <w:rtl/>
          <w:lang w:val="fr-CH"/>
        </w:rPr>
        <w:t>الرسوم</w:t>
      </w:r>
    </w:p>
    <w:p w:rsidR="00ED46F0" w:rsidRPr="00ED46F0" w:rsidRDefault="00ED46F0" w:rsidP="00ED46F0">
      <w:pPr>
        <w:spacing w:after="240" w:line="360" w:lineRule="exact"/>
        <w:rPr>
          <w:rtl/>
        </w:rPr>
      </w:pPr>
      <w:r w:rsidRPr="00ED46F0">
        <w:rPr>
          <w:rFonts w:hint="cs"/>
          <w:rtl/>
        </w:rPr>
        <w:t>(1)</w:t>
      </w:r>
      <w:r w:rsidRPr="00ED46F0">
        <w:rPr>
          <w:rFonts w:hint="cs"/>
          <w:rtl/>
        </w:rPr>
        <w:tab/>
      </w:r>
      <w:r w:rsidRPr="00ED46F0">
        <w:rPr>
          <w:rFonts w:hint="cs"/>
          <w:i/>
          <w:iCs/>
          <w:rtl/>
        </w:rPr>
        <w:t>[مبالغ الرسوم]</w:t>
      </w:r>
      <w:r w:rsidRPr="00ED46F0">
        <w:rPr>
          <w:rFonts w:hint="cs"/>
          <w:rtl/>
        </w:rPr>
        <w:t xml:space="preserve"> يحصّل المكتب الدولي الرسوم التالية المستحقة السداد بالفرنكات السويسرية:</w:t>
      </w:r>
    </w:p>
    <w:p w:rsidR="00ED46F0" w:rsidRPr="00ED46F0" w:rsidRDefault="00ED46F0" w:rsidP="00ED46F0">
      <w:pPr>
        <w:tabs>
          <w:tab w:val="left" w:pos="1230"/>
          <w:tab w:val="right" w:pos="3402"/>
          <w:tab w:val="right" w:pos="7937"/>
        </w:tabs>
        <w:spacing w:line="360" w:lineRule="exact"/>
        <w:ind w:left="1134" w:right="2977"/>
      </w:pPr>
      <w:r w:rsidRPr="00ED46F0">
        <w:rPr>
          <w:rFonts w:hint="cs"/>
          <w:rtl/>
        </w:rPr>
        <w:t>"1"</w:t>
      </w:r>
      <w:r w:rsidRPr="00ED46F0">
        <w:rPr>
          <w:rFonts w:hint="cs"/>
          <w:rtl/>
        </w:rPr>
        <w:tab/>
        <w:t>رسم عن تسجيل دولي</w:t>
      </w:r>
      <w:r w:rsidRPr="00ED46F0">
        <w:rPr>
          <w:color w:val="FF0000"/>
          <w:sz w:val="28"/>
          <w:szCs w:val="28"/>
          <w:u w:val="single"/>
          <w:vertAlign w:val="superscript"/>
        </w:rPr>
        <w:footnoteReference w:customMarkFollows="1" w:id="2"/>
        <w:sym w:font="Symbol" w:char="F02A"/>
      </w:r>
      <w:r w:rsidRPr="00ED46F0">
        <w:tab/>
      </w:r>
      <w:r w:rsidRPr="00ED46F0">
        <w:rPr>
          <w:rFonts w:hint="cs"/>
          <w:rtl/>
        </w:rPr>
        <w:tab/>
        <w:t>[1000]</w:t>
      </w:r>
    </w:p>
    <w:p w:rsidR="00ED46F0" w:rsidRPr="00ED46F0" w:rsidRDefault="00ED46F0" w:rsidP="00ED46F0">
      <w:pPr>
        <w:tabs>
          <w:tab w:val="left" w:pos="1230"/>
          <w:tab w:val="left" w:pos="1700"/>
          <w:tab w:val="right" w:pos="2834"/>
          <w:tab w:val="right" w:pos="8504"/>
        </w:tabs>
        <w:spacing w:line="360" w:lineRule="exact"/>
        <w:ind w:left="1134" w:right="2977"/>
      </w:pPr>
      <w:r w:rsidRPr="00ED46F0">
        <w:rPr>
          <w:rFonts w:hint="cs"/>
          <w:rtl/>
        </w:rPr>
        <w:t>"2"</w:t>
      </w:r>
      <w:r w:rsidRPr="00ED46F0">
        <w:tab/>
      </w:r>
      <w:r w:rsidRPr="00ED46F0">
        <w:rPr>
          <w:rFonts w:hint="cs"/>
          <w:rtl/>
        </w:rPr>
        <w:t>رسم عن أي تعديل متعلق بالتسجيل الدولي</w:t>
      </w:r>
      <w:r w:rsidRPr="00ED46F0">
        <w:rPr>
          <w:color w:val="FF0000"/>
          <w:sz w:val="28"/>
          <w:szCs w:val="28"/>
          <w:u w:val="single"/>
          <w:vertAlign w:val="superscript"/>
        </w:rPr>
        <w:footnoteReference w:customMarkFollows="1" w:id="3"/>
        <w:sym w:font="Symbol" w:char="F02A"/>
      </w:r>
      <w:r w:rsidRPr="00ED46F0">
        <w:rPr>
          <w:rFonts w:hint="cs"/>
          <w:rtl/>
        </w:rPr>
        <w:tab/>
        <w:t>[500]</w:t>
      </w:r>
    </w:p>
    <w:p w:rsidR="00ED46F0" w:rsidRPr="00ED46F0" w:rsidRDefault="00ED46F0" w:rsidP="00ED46F0">
      <w:pPr>
        <w:tabs>
          <w:tab w:val="left" w:pos="1230"/>
          <w:tab w:val="left" w:pos="1700"/>
          <w:tab w:val="right" w:pos="3402"/>
          <w:tab w:val="right" w:pos="8504"/>
        </w:tabs>
        <w:spacing w:line="360" w:lineRule="exact"/>
        <w:ind w:left="1134" w:right="2977"/>
      </w:pPr>
      <w:r w:rsidRPr="00ED46F0">
        <w:rPr>
          <w:rFonts w:hint="cs"/>
          <w:rtl/>
        </w:rPr>
        <w:t>"3"</w:t>
      </w:r>
      <w:r w:rsidRPr="00ED46F0">
        <w:rPr>
          <w:rFonts w:hint="cs"/>
          <w:rtl/>
        </w:rPr>
        <w:tab/>
      </w:r>
      <w:r w:rsidRPr="00ED46F0">
        <w:tab/>
      </w:r>
      <w:r w:rsidRPr="00ED46F0">
        <w:rPr>
          <w:rFonts w:hint="cs"/>
          <w:rtl/>
        </w:rPr>
        <w:t>رسم عن إصدار مستخرج عن السجل الدولي</w:t>
      </w:r>
      <w:r w:rsidRPr="00ED46F0">
        <w:rPr>
          <w:rFonts w:hint="cs"/>
          <w:rtl/>
        </w:rPr>
        <w:tab/>
        <w:t>[150]</w:t>
      </w:r>
    </w:p>
    <w:p w:rsidR="00ED46F0" w:rsidRPr="00ED46F0" w:rsidRDefault="00ED46F0" w:rsidP="00ED46F0">
      <w:pPr>
        <w:tabs>
          <w:tab w:val="left" w:pos="1700"/>
          <w:tab w:val="left" w:pos="2880"/>
          <w:tab w:val="right" w:pos="8504"/>
        </w:tabs>
        <w:spacing w:line="360" w:lineRule="exact"/>
        <w:ind w:left="1134" w:right="2977"/>
      </w:pPr>
      <w:r w:rsidRPr="00ED46F0">
        <w:rPr>
          <w:rFonts w:hint="cs"/>
          <w:rtl/>
        </w:rPr>
        <w:t>"4"</w:t>
      </w:r>
      <w:r w:rsidRPr="00ED46F0">
        <w:tab/>
      </w:r>
      <w:r w:rsidRPr="00ED46F0">
        <w:rPr>
          <w:rFonts w:hint="cs"/>
          <w:rtl/>
        </w:rPr>
        <w:t>رسم عن إصدار إعلان أو تقديم أية معلومات أخرى كتابية</w:t>
      </w:r>
      <w:r w:rsidRPr="00ED46F0">
        <w:rPr>
          <w:rFonts w:hint="cs"/>
          <w:rtl/>
        </w:rPr>
        <w:tab/>
        <w:t>[100]</w:t>
      </w:r>
    </w:p>
    <w:p w:rsidR="00ED46F0" w:rsidRPr="00ED46F0" w:rsidRDefault="00ED46F0" w:rsidP="00ED46F0">
      <w:pPr>
        <w:tabs>
          <w:tab w:val="right" w:pos="3402"/>
          <w:tab w:val="right" w:pos="8504"/>
        </w:tabs>
        <w:spacing w:line="360" w:lineRule="exact"/>
        <w:ind w:left="1700" w:right="2977"/>
        <w:rPr>
          <w:rtl/>
        </w:rPr>
      </w:pPr>
      <w:r w:rsidRPr="00ED46F0">
        <w:rPr>
          <w:rFonts w:hint="cs"/>
          <w:rtl/>
        </w:rPr>
        <w:t>بشأن محتويات السجل الدولي</w:t>
      </w:r>
    </w:p>
    <w:p w:rsidR="00ED46F0" w:rsidRPr="00ED46F0" w:rsidRDefault="00ED46F0" w:rsidP="00ED46F0">
      <w:pPr>
        <w:spacing w:after="240" w:line="360" w:lineRule="exact"/>
        <w:ind w:left="1134"/>
      </w:pPr>
      <w:r w:rsidRPr="00ED46F0">
        <w:rPr>
          <w:rFonts w:hint="cs"/>
          <w:rtl/>
        </w:rPr>
        <w:t>"5"</w:t>
      </w:r>
      <w:r w:rsidRPr="00ED46F0">
        <w:rPr>
          <w:rFonts w:hint="cs"/>
          <w:rtl/>
        </w:rPr>
        <w:tab/>
        <w:t>الرسوم الفردية المشار إليها في الفقرة (2).</w:t>
      </w:r>
    </w:p>
    <w:p w:rsidR="00ED46F0" w:rsidRPr="00ED46F0" w:rsidRDefault="00ED46F0" w:rsidP="00ED46F0">
      <w:pPr>
        <w:spacing w:after="240" w:line="360" w:lineRule="exact"/>
        <w:rPr>
          <w:rtl/>
        </w:rPr>
      </w:pPr>
      <w:r w:rsidRPr="00ED46F0">
        <w:rPr>
          <w:rFonts w:hint="cs"/>
          <w:rtl/>
        </w:rPr>
        <w:t>[...]</w:t>
      </w:r>
    </w:p>
    <w:p w:rsidR="00ED46F0" w:rsidRPr="00ED46F0" w:rsidRDefault="00ED46F0" w:rsidP="00ED46F0">
      <w:pPr>
        <w:spacing w:before="200"/>
        <w:ind w:left="5534"/>
        <w:rPr>
          <w:rtl/>
        </w:rPr>
      </w:pPr>
      <w:r w:rsidRPr="00ED46F0">
        <w:rPr>
          <w:rFonts w:hint="cs"/>
          <w:rtl/>
        </w:rPr>
        <w:t>[نهاية المرفق والوثيقة]</w:t>
      </w:r>
    </w:p>
    <w:p w:rsidR="00FD6D15" w:rsidRPr="00C41AE0" w:rsidRDefault="00FD6D15" w:rsidP="000D7E81">
      <w:pPr>
        <w:pStyle w:val="BodyText"/>
        <w:rPr>
          <w:rtl/>
        </w:rPr>
      </w:pPr>
    </w:p>
    <w:sectPr w:rsidR="00FD6D15" w:rsidRPr="00C41AE0" w:rsidSect="00EB7752">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01B" w:rsidRDefault="00EB001B">
      <w:r>
        <w:separator/>
      </w:r>
    </w:p>
  </w:endnote>
  <w:endnote w:type="continuationSeparator" w:id="0">
    <w:p w:rsidR="00EB001B" w:rsidRDefault="00EB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01B" w:rsidRDefault="00EB001B" w:rsidP="009622BF">
      <w:bookmarkStart w:id="0" w:name="OLE_LINK1"/>
      <w:bookmarkStart w:id="1" w:name="OLE_LINK2"/>
      <w:r>
        <w:separator/>
      </w:r>
      <w:bookmarkEnd w:id="0"/>
      <w:bookmarkEnd w:id="1"/>
    </w:p>
  </w:footnote>
  <w:footnote w:type="continuationSeparator" w:id="0">
    <w:p w:rsidR="00EB001B" w:rsidRDefault="00EB001B" w:rsidP="009622BF">
      <w:r>
        <w:separator/>
      </w:r>
    </w:p>
  </w:footnote>
  <w:footnote w:id="1">
    <w:p w:rsidR="00470E06" w:rsidRDefault="00470E06" w:rsidP="00657402">
      <w:pPr>
        <w:pStyle w:val="FootnoteText"/>
        <w:rPr>
          <w:lang w:bidi="ar-SA"/>
        </w:rPr>
      </w:pPr>
      <w:r>
        <w:rPr>
          <w:rStyle w:val="FootnoteReference"/>
        </w:rPr>
        <w:footnoteRef/>
      </w:r>
      <w:r>
        <w:rPr>
          <w:rtl/>
        </w:rPr>
        <w:t xml:space="preserve"> </w:t>
      </w:r>
      <w:r w:rsidR="00657402">
        <w:rPr>
          <w:rFonts w:hint="cs"/>
          <w:rtl/>
        </w:rPr>
        <w:t xml:space="preserve">"القواعد" المُشار إليها </w:t>
      </w:r>
      <w:r w:rsidR="00061851">
        <w:rPr>
          <w:rFonts w:hint="cs"/>
          <w:rtl/>
        </w:rPr>
        <w:t>في هذه الوثيقة</w:t>
      </w:r>
      <w:r w:rsidR="00657402">
        <w:rPr>
          <w:rFonts w:hint="cs"/>
          <w:rtl/>
        </w:rPr>
        <w:t xml:space="preserve"> هي </w:t>
      </w:r>
      <w:r w:rsidR="002E14A3">
        <w:rPr>
          <w:rFonts w:hint="cs"/>
          <w:rtl/>
        </w:rPr>
        <w:t xml:space="preserve">قواعد اللائحة التنفيذية المشتركة أو </w:t>
      </w:r>
      <w:r w:rsidR="00657402">
        <w:rPr>
          <w:rFonts w:hint="cs"/>
          <w:rtl/>
        </w:rPr>
        <w:t>أيّ</w:t>
      </w:r>
      <w:r w:rsidR="002E14A3">
        <w:rPr>
          <w:rFonts w:hint="cs"/>
          <w:rtl/>
        </w:rPr>
        <w:t xml:space="preserve"> من أحكامها المُقترح تعديلها.</w:t>
      </w:r>
    </w:p>
  </w:footnote>
  <w:footnote w:id="2">
    <w:p w:rsidR="00ED46F0" w:rsidRDefault="00ED46F0" w:rsidP="00ED46F0">
      <w:pPr>
        <w:pStyle w:val="FootnoteText"/>
        <w:rPr>
          <w:color w:val="FF0000"/>
          <w:u w:val="single"/>
        </w:rPr>
      </w:pPr>
      <w:r>
        <w:rPr>
          <w:rStyle w:val="FootnoteReference"/>
          <w:color w:val="FF0000"/>
          <w:u w:val="single"/>
        </w:rPr>
        <w:sym w:font="Symbol" w:char="F02A"/>
      </w:r>
      <w:r>
        <w:rPr>
          <w:rFonts w:hint="cs"/>
          <w:color w:val="FF0000"/>
          <w:u w:val="single"/>
          <w:rtl/>
        </w:rPr>
        <w:tab/>
        <w:t>في حال تسجيل دولي يشير إلى منطقة جغرافية تقع في أحد البلدان الأقل نموا، وفقا للقوائم التي تضعها الأمم المتحدة، يُخفَّض الرسم بنسبة 50% من المبلغ المقرّر (يُحوّل المبلغ المُخفّض بكسوره إلى أقرب رقم بلا كسور). وفي تلك الحالة، يصبح مبلغ الرسم 500 فرنك سويسري عن تسجيل دولي يشير إلى منطقة منشأ جغرافية تقع في أحد البلدان الأقل نموا، و250 فرنكا سويسريا عن أي تعديل متعلق بتسجيل دولي يشير إلى منطقة منشأ جغرافية تقع في أحد البلدان الأقل نموا. وستُطبق هذه التخفيضات في الرسوم لمدة ثلاث سنوات اعتبارا من تاريخ دخول وثيقة جنيف لاتفاق لشبونة حيز النفاذ.</w:t>
      </w:r>
    </w:p>
  </w:footnote>
  <w:footnote w:id="3">
    <w:p w:rsidR="00ED46F0" w:rsidRDefault="00ED46F0" w:rsidP="00ED46F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42D" w:rsidRDefault="0062542D" w:rsidP="0023693F">
    <w:pPr>
      <w:bidi w:val="0"/>
      <w:rPr>
        <w:rFonts w:ascii="Arial" w:hAnsi="Arial" w:cs="Arial"/>
        <w:sz w:val="22"/>
        <w:szCs w:val="22"/>
      </w:rPr>
    </w:pPr>
    <w:bookmarkStart w:id="4" w:name="Code3"/>
    <w:bookmarkEnd w:id="4"/>
    <w:r>
      <w:rPr>
        <w:rFonts w:ascii="Arial" w:hAnsi="Arial" w:cs="Arial"/>
        <w:sz w:val="22"/>
        <w:szCs w:val="22"/>
      </w:rPr>
      <w:t>LI/A/35/2</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7404E">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95B" w:rsidRPr="00836516" w:rsidRDefault="004C495B" w:rsidP="00836516">
    <w:pPr>
      <w:tabs>
        <w:tab w:val="center" w:pos="4536"/>
        <w:tab w:val="right" w:pos="9072"/>
      </w:tabs>
      <w:bidi w:val="0"/>
      <w:rPr>
        <w:rFonts w:eastAsia="SimSun" w:cs="Arial"/>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EA5" w:rsidRPr="00DD1EA5" w:rsidRDefault="00EB001B" w:rsidP="000F4B5D">
    <w:pPr>
      <w:tabs>
        <w:tab w:val="center" w:pos="4536"/>
        <w:tab w:val="right" w:pos="9072"/>
      </w:tabs>
      <w:bidi w:val="0"/>
      <w:rPr>
        <w:rFonts w:ascii="Arial" w:eastAsia="SimSun" w:hAnsi="Arial" w:cs="Arial"/>
        <w:sz w:val="22"/>
        <w:szCs w:val="20"/>
        <w:lang w:eastAsia="zh-CN"/>
      </w:rPr>
    </w:pPr>
    <w:r w:rsidRPr="00DD1EA5">
      <w:rPr>
        <w:rFonts w:ascii="Arial" w:eastAsia="SimSun" w:hAnsi="Arial" w:cs="Arial"/>
        <w:sz w:val="22"/>
        <w:szCs w:val="20"/>
        <w:lang w:eastAsia="zh-CN"/>
      </w:rPr>
      <w:t>LI/</w:t>
    </w:r>
    <w:r w:rsidR="000F4B5D">
      <w:rPr>
        <w:rFonts w:ascii="Arial" w:eastAsia="SimSun" w:hAnsi="Arial" w:cs="Arial"/>
        <w:sz w:val="22"/>
        <w:szCs w:val="20"/>
        <w:lang w:eastAsia="zh-CN"/>
      </w:rPr>
      <w:t>A</w:t>
    </w:r>
    <w:r w:rsidRPr="00DD1EA5">
      <w:rPr>
        <w:rFonts w:ascii="Arial" w:eastAsia="SimSun" w:hAnsi="Arial" w:cs="Arial"/>
        <w:sz w:val="22"/>
        <w:szCs w:val="20"/>
        <w:lang w:eastAsia="zh-CN"/>
      </w:rPr>
      <w:t>/</w:t>
    </w:r>
    <w:r w:rsidR="000F4B5D">
      <w:rPr>
        <w:rFonts w:ascii="Arial" w:eastAsia="SimSun" w:hAnsi="Arial" w:cs="Arial"/>
        <w:sz w:val="22"/>
        <w:szCs w:val="20"/>
        <w:lang w:eastAsia="zh-CN"/>
      </w:rPr>
      <w:t>35/2</w:t>
    </w:r>
  </w:p>
  <w:p w:rsidR="00DD1EA5" w:rsidRDefault="00EB001B" w:rsidP="00DD1EA5">
    <w:pPr>
      <w:tabs>
        <w:tab w:val="center" w:pos="4536"/>
        <w:tab w:val="right" w:pos="9072"/>
      </w:tabs>
      <w:bidi w:val="0"/>
      <w:rPr>
        <w:rFonts w:ascii="Arial" w:eastAsia="SimSun" w:hAnsi="Arial" w:cs="Arial"/>
        <w:sz w:val="22"/>
        <w:szCs w:val="20"/>
        <w:rtl/>
        <w:lang w:eastAsia="zh-CN"/>
      </w:rPr>
    </w:pPr>
    <w:r w:rsidRPr="00DD1EA5">
      <w:rPr>
        <w:rFonts w:ascii="Arial" w:eastAsia="SimSun" w:hAnsi="Arial" w:cs="Arial"/>
        <w:sz w:val="22"/>
        <w:szCs w:val="20"/>
        <w:lang w:eastAsia="zh-CN"/>
      </w:rPr>
      <w:t>ANNEX</w:t>
    </w:r>
  </w:p>
  <w:p w:rsidR="00DD1EA5" w:rsidRDefault="00EB001B" w:rsidP="00DD1EA5">
    <w:pPr>
      <w:tabs>
        <w:tab w:val="center" w:pos="4536"/>
        <w:tab w:val="right" w:pos="9072"/>
      </w:tabs>
      <w:bidi w:val="0"/>
      <w:rPr>
        <w:rFonts w:eastAsia="SimSun"/>
        <w:rtl/>
        <w:lang w:eastAsia="zh-CN"/>
      </w:rPr>
    </w:pPr>
    <w:r w:rsidRPr="00DD1EA5">
      <w:rPr>
        <w:rFonts w:eastAsia="SimSun"/>
        <w:rtl/>
        <w:lang w:eastAsia="zh-CN"/>
      </w:rPr>
      <w:t>المرفق</w:t>
    </w:r>
  </w:p>
  <w:p w:rsidR="00DD1EA5" w:rsidRPr="00DD1EA5" w:rsidRDefault="0097404E" w:rsidP="00DD1EA5">
    <w:pPr>
      <w:tabs>
        <w:tab w:val="center" w:pos="4536"/>
        <w:tab w:val="right" w:pos="9072"/>
      </w:tabs>
      <w:bidi w:val="0"/>
      <w:rPr>
        <w:rFonts w:asciiTheme="minorBidi" w:eastAsia="SimSun" w:hAnsiTheme="minorBidi" w:cstheme="minorBidi"/>
        <w:sz w:val="22"/>
        <w:szCs w:val="2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42D"/>
    <w:rsid w:val="00000B1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851"/>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4B5D"/>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662"/>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4371"/>
    <w:rsid w:val="00286744"/>
    <w:rsid w:val="002909B9"/>
    <w:rsid w:val="00292CEE"/>
    <w:rsid w:val="00292D22"/>
    <w:rsid w:val="0029470D"/>
    <w:rsid w:val="00295B51"/>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4A3"/>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0E06"/>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EB9"/>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542D"/>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402"/>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04E"/>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46F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10BB"/>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69F"/>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001B"/>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6F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Hyperlink" w:uiPriority="99"/>
    <w:lsdException w:name="Strong" w:semiHidden="0" w:unhideWhenUsed="0" w:qFormat="1"/>
    <w:lsdException w:name="Emphasis" w:semiHidden="0" w:qFormat="1"/>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Hyperlink" w:uiPriority="99"/>
    <w:lsdException w:name="Strong" w:semiHidden="0" w:unhideWhenUsed="0" w:qFormat="1"/>
    <w:lsdException w:name="Emphasis" w:semiHidden="0" w:qFormat="1"/>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EF8F1-FECC-4B10-B942-2A54FFEE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LI/A/35/2_x000d_ (Arabic)</vt:lpstr>
    </vt:vector>
  </TitlesOfParts>
  <Company>World Intellectual Property Organization</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LI/A/35/2_x000d_ (Arabic)</dc:title>
  <dc:creator>REFFADA Amir</dc:creator>
  <cp:lastModifiedBy>DORE Marie-Pierre</cp:lastModifiedBy>
  <cp:revision>2</cp:revision>
  <cp:lastPrinted>2018-07-03T12:50:00Z</cp:lastPrinted>
  <dcterms:created xsi:type="dcterms:W3CDTF">2018-07-11T14:17:00Z</dcterms:created>
  <dcterms:modified xsi:type="dcterms:W3CDTF">2018-07-11T14:17:00Z</dcterms:modified>
</cp:coreProperties>
</file>