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B742A7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40273E" w:rsidP="0040273E">
      <w:pPr>
        <w:bidi w:val="0"/>
        <w:rPr>
          <w:rFonts w:ascii="Arial Black" w:hAnsi="Arial Black"/>
          <w:caps/>
          <w:sz w:val="15"/>
          <w:szCs w:val="15"/>
        </w:rPr>
      </w:pPr>
      <w:r>
        <w:rPr>
          <w:rFonts w:ascii="Arial Black" w:hAnsi="Arial Black"/>
          <w:caps/>
          <w:sz w:val="15"/>
          <w:szCs w:val="15"/>
        </w:rPr>
        <w:t>BP/A/39/</w:t>
      </w:r>
      <w:r w:rsidR="00584E4A">
        <w:rPr>
          <w:rFonts w:ascii="Arial Black" w:hAnsi="Arial Black"/>
          <w:caps/>
          <w:sz w:val="15"/>
          <w:szCs w:val="15"/>
        </w:rPr>
        <w:t>2</w:t>
      </w:r>
    </w:p>
    <w:p w:rsidR="008B2CC1" w:rsidRPr="001715E8" w:rsidRDefault="00CC3E2D" w:rsidP="00CC3E2D">
      <w:pPr>
        <w:jc w:val="right"/>
        <w:rPr>
          <w:rFonts w:asciiTheme="minorHAnsi" w:hAnsiTheme="minorHAnsi" w:cstheme="minorHAnsi"/>
          <w:b/>
          <w:bCs/>
          <w:caps/>
          <w:sz w:val="15"/>
          <w:szCs w:val="15"/>
        </w:rPr>
      </w:pPr>
      <w:bookmarkStart w:id="1" w:name="Original"/>
      <w:r w:rsidRPr="001715E8">
        <w:rPr>
          <w:rFonts w:asciiTheme="minorHAnsi" w:hAnsiTheme="minorHAnsi" w:cstheme="minorHAnsi" w:hint="cs"/>
          <w:b/>
          <w:bCs/>
          <w:caps/>
          <w:sz w:val="15"/>
          <w:szCs w:val="15"/>
          <w:rtl/>
        </w:rPr>
        <w:t xml:space="preserve">الأصل: </w:t>
      </w:r>
      <w:r w:rsidR="000A1C96" w:rsidRPr="001715E8">
        <w:rPr>
          <w:rFonts w:asciiTheme="minorHAnsi" w:hAnsiTheme="minorHAnsi" w:cstheme="minorHAnsi" w:hint="cs"/>
          <w:b/>
          <w:bCs/>
          <w:caps/>
          <w:sz w:val="15"/>
          <w:szCs w:val="15"/>
          <w:rtl/>
        </w:rPr>
        <w:t>بالإنكليزية</w:t>
      </w:r>
    </w:p>
    <w:p w:rsidR="008B2CC1" w:rsidRPr="00CC3E2D" w:rsidRDefault="00CC3E2D" w:rsidP="00584E4A">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584E4A">
        <w:rPr>
          <w:rFonts w:asciiTheme="minorHAnsi" w:hAnsiTheme="minorHAnsi" w:cstheme="minorHAnsi" w:hint="cs"/>
          <w:b/>
          <w:bCs/>
          <w:caps/>
          <w:sz w:val="15"/>
          <w:szCs w:val="15"/>
          <w:rtl/>
        </w:rPr>
        <w:t>30</w:t>
      </w:r>
      <w:r w:rsidR="000A1C96">
        <w:rPr>
          <w:rFonts w:asciiTheme="minorHAnsi" w:hAnsiTheme="minorHAnsi" w:cstheme="minorHAnsi" w:hint="cs"/>
          <w:b/>
          <w:bCs/>
          <w:caps/>
          <w:sz w:val="15"/>
          <w:szCs w:val="15"/>
          <w:rtl/>
        </w:rPr>
        <w:t xml:space="preserve"> </w:t>
      </w:r>
      <w:r w:rsidR="001715E8">
        <w:rPr>
          <w:rFonts w:asciiTheme="minorHAnsi" w:hAnsiTheme="minorHAnsi" w:cstheme="minorHAnsi" w:hint="cs"/>
          <w:b/>
          <w:bCs/>
          <w:caps/>
          <w:sz w:val="15"/>
          <w:szCs w:val="15"/>
          <w:rtl/>
        </w:rPr>
        <w:t>س</w:t>
      </w:r>
      <w:r w:rsidR="00584E4A">
        <w:rPr>
          <w:rFonts w:asciiTheme="minorHAnsi" w:hAnsiTheme="minorHAnsi" w:cstheme="minorHAnsi" w:hint="cs"/>
          <w:b/>
          <w:bCs/>
          <w:caps/>
          <w:sz w:val="15"/>
          <w:szCs w:val="15"/>
          <w:rtl/>
        </w:rPr>
        <w:t xml:space="preserve">بتمبر </w:t>
      </w:r>
      <w:r w:rsidR="000A1C96">
        <w:rPr>
          <w:rFonts w:asciiTheme="minorHAnsi" w:hAnsiTheme="minorHAnsi" w:cstheme="minorHAnsi" w:hint="cs"/>
          <w:b/>
          <w:bCs/>
          <w:caps/>
          <w:sz w:val="15"/>
          <w:szCs w:val="15"/>
          <w:rtl/>
        </w:rPr>
        <w:t>2022</w:t>
      </w:r>
    </w:p>
    <w:bookmarkEnd w:id="2"/>
    <w:p w:rsidR="008B2CC1" w:rsidRDefault="00F0061B" w:rsidP="0040273E">
      <w:pPr>
        <w:pStyle w:val="Heading1"/>
        <w:rPr>
          <w:rtl/>
        </w:rPr>
      </w:pPr>
      <w:r w:rsidRPr="00F0061B">
        <w:rPr>
          <w:rtl/>
        </w:rPr>
        <w:t xml:space="preserve">اتحاد </w:t>
      </w:r>
      <w:r w:rsidR="0040273E">
        <w:rPr>
          <w:rFonts w:hint="cs"/>
          <w:rtl/>
        </w:rPr>
        <w:t>الاعتراف الدولي بإيداع الكائنات الدقيقة لأغراض الإجراءات الخاصة بالبراءات</w:t>
      </w:r>
      <w:r w:rsidRPr="00F0061B">
        <w:rPr>
          <w:rtl/>
        </w:rPr>
        <w:t xml:space="preserve"> (اتحاد </w:t>
      </w:r>
      <w:r w:rsidR="0040273E">
        <w:rPr>
          <w:rFonts w:hint="cs"/>
          <w:rtl/>
        </w:rPr>
        <w:t>بودابست</w:t>
      </w:r>
      <w:r w:rsidRPr="00F0061B">
        <w:rPr>
          <w:rtl/>
        </w:rPr>
        <w:t>)</w:t>
      </w:r>
    </w:p>
    <w:p w:rsidR="00F0061B" w:rsidRDefault="00F0061B" w:rsidP="00F0061B">
      <w:pPr>
        <w:pStyle w:val="Heading1"/>
        <w:rPr>
          <w:rtl/>
        </w:rPr>
      </w:pPr>
      <w:r>
        <w:rPr>
          <w:rFonts w:hint="cs"/>
          <w:rtl/>
        </w:rPr>
        <w:t>الجمعية</w:t>
      </w:r>
    </w:p>
    <w:p w:rsidR="00A90F0A" w:rsidRPr="00D67EAE" w:rsidRDefault="00D67EAE" w:rsidP="0040273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40273E">
        <w:rPr>
          <w:rFonts w:asciiTheme="minorHAnsi" w:hAnsiTheme="minorHAnsi" w:cstheme="minorHAnsi" w:hint="cs"/>
          <w:bCs/>
          <w:sz w:val="24"/>
          <w:szCs w:val="24"/>
          <w:rtl/>
        </w:rPr>
        <w:t>التاسعة</w:t>
      </w:r>
      <w:r w:rsidR="00F0061B">
        <w:rPr>
          <w:rFonts w:asciiTheme="minorHAnsi" w:hAnsiTheme="minorHAnsi" w:cstheme="minorHAnsi" w:hint="cs"/>
          <w:bCs/>
          <w:sz w:val="24"/>
          <w:szCs w:val="24"/>
          <w:rtl/>
        </w:rPr>
        <w:t xml:space="preserve"> والثلاثون</w:t>
      </w:r>
      <w:r w:rsidR="00B710E8">
        <w:rPr>
          <w:rFonts w:asciiTheme="minorHAnsi" w:hAnsiTheme="minorHAnsi" w:cstheme="minorHAnsi" w:hint="cs"/>
          <w:bCs/>
          <w:sz w:val="24"/>
          <w:szCs w:val="24"/>
          <w:rtl/>
        </w:rPr>
        <w:t xml:space="preserve"> (الدورة </w:t>
      </w:r>
      <w:r w:rsidR="0040273E">
        <w:rPr>
          <w:rFonts w:asciiTheme="minorHAnsi" w:hAnsiTheme="minorHAnsi" w:cstheme="minorHAnsi" w:hint="cs"/>
          <w:bCs/>
          <w:sz w:val="24"/>
          <w:szCs w:val="24"/>
          <w:rtl/>
        </w:rPr>
        <w:t>الاستثنائية</w:t>
      </w:r>
      <w:r w:rsidR="00B710E8">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الثامنة</w:t>
      </w:r>
      <w:r w:rsidR="00B710E8">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عشرة</w:t>
      </w:r>
      <w:r w:rsidR="00B710E8">
        <w:rPr>
          <w:rFonts w:asciiTheme="minorHAnsi" w:hAnsiTheme="minorHAnsi" w:cstheme="minorHAnsi" w:hint="cs"/>
          <w:bCs/>
          <w:sz w:val="24"/>
          <w:szCs w:val="24"/>
          <w:rtl/>
        </w:rPr>
        <w:t>)</w:t>
      </w:r>
    </w:p>
    <w:p w:rsidR="008B2CC1" w:rsidRPr="00D67EAE" w:rsidRDefault="00D67EAE" w:rsidP="0040273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0273E">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40273E">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40273E">
        <w:rPr>
          <w:rFonts w:asciiTheme="minorHAnsi" w:hAnsiTheme="minorHAnsi" w:cstheme="minorHAnsi" w:hint="cs"/>
          <w:bCs/>
          <w:sz w:val="24"/>
          <w:szCs w:val="24"/>
          <w:rtl/>
        </w:rPr>
        <w:t>2022</w:t>
      </w:r>
    </w:p>
    <w:p w:rsidR="008B2CC1" w:rsidRPr="00D67EAE" w:rsidRDefault="001715E8" w:rsidP="001715E8">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ال</w:t>
      </w:r>
      <w:r w:rsidRPr="001715E8">
        <w:rPr>
          <w:rFonts w:asciiTheme="minorHAnsi" w:hAnsiTheme="minorHAnsi"/>
          <w:caps/>
          <w:sz w:val="28"/>
          <w:szCs w:val="24"/>
          <w:rtl/>
        </w:rPr>
        <w:t>تقرير</w:t>
      </w:r>
    </w:p>
    <w:p w:rsidR="002928D3" w:rsidRDefault="00584E4A" w:rsidP="00584E4A">
      <w:pPr>
        <w:spacing w:after="1040"/>
        <w:rPr>
          <w:rFonts w:asciiTheme="minorHAnsi" w:hAnsiTheme="minorHAnsi" w:cstheme="minorHAnsi"/>
          <w:iCs/>
          <w:rtl/>
        </w:rPr>
      </w:pPr>
      <w:bookmarkStart w:id="4" w:name="Prepared"/>
      <w:bookmarkEnd w:id="3"/>
      <w:bookmarkEnd w:id="4"/>
      <w:r w:rsidRPr="00584E4A">
        <w:rPr>
          <w:rFonts w:asciiTheme="minorHAnsi" w:hAnsiTheme="minorHAnsi"/>
          <w:iCs/>
          <w:rtl/>
        </w:rPr>
        <w:t>الذي اعتمد</w:t>
      </w:r>
      <w:r>
        <w:rPr>
          <w:rFonts w:asciiTheme="minorHAnsi" w:hAnsiTheme="minorHAnsi" w:hint="cs"/>
          <w:iCs/>
          <w:rtl/>
        </w:rPr>
        <w:t>ت</w:t>
      </w:r>
      <w:r w:rsidRPr="00584E4A">
        <w:rPr>
          <w:rFonts w:asciiTheme="minorHAnsi" w:hAnsiTheme="minorHAnsi"/>
          <w:iCs/>
          <w:rtl/>
        </w:rPr>
        <w:t>ه الجمعية</w:t>
      </w:r>
    </w:p>
    <w:p w:rsidR="001715E8" w:rsidRDefault="001715E8" w:rsidP="00C707B9">
      <w:pPr>
        <w:pStyle w:val="ONUMA"/>
      </w:pPr>
      <w:r w:rsidRPr="001715E8">
        <w:rPr>
          <w:rtl/>
        </w:rPr>
        <w:t xml:space="preserve">تناولت الجمعية البنود التالية التي تعنيها من جدول الأعمال الموحّد (الوثيقة </w:t>
      </w:r>
      <w:r w:rsidRPr="001715E8">
        <w:t>A/</w:t>
      </w:r>
      <w:r>
        <w:t>63</w:t>
      </w:r>
      <w:r w:rsidRPr="001715E8">
        <w:t>/1</w:t>
      </w:r>
      <w:r w:rsidRPr="001715E8">
        <w:rPr>
          <w:rtl/>
        </w:rPr>
        <w:t xml:space="preserve">): 1 و2 </w:t>
      </w:r>
      <w:r>
        <w:rPr>
          <w:rFonts w:hint="cs"/>
          <w:rtl/>
        </w:rPr>
        <w:t xml:space="preserve">و3 </w:t>
      </w:r>
      <w:r w:rsidRPr="001715E8">
        <w:rPr>
          <w:rtl/>
        </w:rPr>
        <w:t>و4 و6 و8 و10"2" و11 و</w:t>
      </w:r>
      <w:r>
        <w:rPr>
          <w:rFonts w:hint="cs"/>
          <w:rtl/>
        </w:rPr>
        <w:t>18</w:t>
      </w:r>
      <w:r w:rsidRPr="001715E8">
        <w:rPr>
          <w:rtl/>
        </w:rPr>
        <w:t xml:space="preserve"> </w:t>
      </w:r>
      <w:r>
        <w:rPr>
          <w:rFonts w:hint="cs"/>
          <w:rtl/>
        </w:rPr>
        <w:t xml:space="preserve">و19 و20 </w:t>
      </w:r>
      <w:r w:rsidRPr="001715E8">
        <w:rPr>
          <w:rtl/>
        </w:rPr>
        <w:t>و21</w:t>
      </w:r>
      <w:r>
        <w:rPr>
          <w:rFonts w:hint="cs"/>
          <w:rtl/>
        </w:rPr>
        <w:t>.</w:t>
      </w:r>
    </w:p>
    <w:p w:rsidR="001715E8" w:rsidRDefault="001715E8" w:rsidP="00584E4A">
      <w:pPr>
        <w:pStyle w:val="ONUMA"/>
      </w:pPr>
      <w:r w:rsidRPr="001715E8">
        <w:rPr>
          <w:rtl/>
        </w:rPr>
        <w:t xml:space="preserve">وترد التقارير الخاصة بالبنود المذكورة، فيما عدا البند </w:t>
      </w:r>
      <w:r>
        <w:rPr>
          <w:rFonts w:hint="cs"/>
          <w:rtl/>
        </w:rPr>
        <w:t>18</w:t>
      </w:r>
      <w:r w:rsidRPr="001715E8">
        <w:rPr>
          <w:rtl/>
        </w:rPr>
        <w:t>، في التقرير العام (الوثيقة</w:t>
      </w:r>
      <w:r>
        <w:rPr>
          <w:rFonts w:hint="cs"/>
          <w:rtl/>
        </w:rPr>
        <w:t> </w:t>
      </w:r>
      <w:r w:rsidRPr="001715E8">
        <w:t>A/63/10</w:t>
      </w:r>
      <w:r w:rsidRPr="001715E8">
        <w:rPr>
          <w:rtl/>
        </w:rPr>
        <w:t>).</w:t>
      </w:r>
    </w:p>
    <w:p w:rsidR="001715E8" w:rsidRDefault="001715E8" w:rsidP="001715E8">
      <w:pPr>
        <w:pStyle w:val="ONUMA"/>
      </w:pPr>
      <w:r w:rsidRPr="001715E8">
        <w:rPr>
          <w:rtl/>
        </w:rPr>
        <w:t xml:space="preserve">ويرد التقرير الخاص بالبند </w:t>
      </w:r>
      <w:r>
        <w:rPr>
          <w:rFonts w:hint="cs"/>
          <w:rtl/>
        </w:rPr>
        <w:t>18</w:t>
      </w:r>
      <w:r w:rsidRPr="001715E8">
        <w:rPr>
          <w:rtl/>
        </w:rPr>
        <w:t xml:space="preserve"> في هذه الوثيقة.</w:t>
      </w:r>
    </w:p>
    <w:p w:rsidR="001715E8" w:rsidRDefault="001715E8" w:rsidP="00C707B9">
      <w:pPr>
        <w:pStyle w:val="ONUMA"/>
      </w:pPr>
      <w:r>
        <w:rPr>
          <w:rFonts w:hint="cs"/>
          <w:rtl/>
        </w:rPr>
        <w:t>و</w:t>
      </w:r>
      <w:r w:rsidR="00C707B9">
        <w:rPr>
          <w:rFonts w:hint="cs"/>
          <w:rtl/>
        </w:rPr>
        <w:t xml:space="preserve">في غياب </w:t>
      </w:r>
      <w:r w:rsidRPr="001715E8">
        <w:rPr>
          <w:rtl/>
        </w:rPr>
        <w:t>السيد عبد السلام محمد آل علي (الإمارات العربية المتحدة)، نائب رئيس الجمعية</w:t>
      </w:r>
      <w:r w:rsidR="00C707B9">
        <w:rPr>
          <w:rFonts w:hint="cs"/>
          <w:rtl/>
        </w:rPr>
        <w:t xml:space="preserve">، انتخب السيد </w:t>
      </w:r>
      <w:r w:rsidR="00C707B9" w:rsidRPr="00C707B9">
        <w:rPr>
          <w:rtl/>
        </w:rPr>
        <w:t>تشابا باتيتش (هنغاريا)</w:t>
      </w:r>
      <w:r w:rsidR="00C707B9">
        <w:rPr>
          <w:rFonts w:hint="cs"/>
          <w:rtl/>
        </w:rPr>
        <w:t xml:space="preserve"> </w:t>
      </w:r>
      <w:r w:rsidR="00C707B9" w:rsidRPr="00C707B9">
        <w:rPr>
          <w:rtl/>
        </w:rPr>
        <w:t>رئيس</w:t>
      </w:r>
      <w:r w:rsidR="00C707B9">
        <w:rPr>
          <w:rFonts w:hint="cs"/>
          <w:rtl/>
        </w:rPr>
        <w:t>ا</w:t>
      </w:r>
      <w:r w:rsidR="00C707B9" w:rsidRPr="00C707B9">
        <w:rPr>
          <w:rtl/>
        </w:rPr>
        <w:t xml:space="preserve"> </w:t>
      </w:r>
      <w:r w:rsidR="00C707B9">
        <w:rPr>
          <w:rFonts w:hint="cs"/>
          <w:rtl/>
        </w:rPr>
        <w:t>ل</w:t>
      </w:r>
      <w:r w:rsidR="00C707B9" w:rsidRPr="00C707B9">
        <w:rPr>
          <w:rtl/>
        </w:rPr>
        <w:t>لجمعية بالنيابة</w:t>
      </w:r>
      <w:r w:rsidRPr="001715E8">
        <w:rPr>
          <w:rtl/>
        </w:rPr>
        <w:t>.</w:t>
      </w:r>
    </w:p>
    <w:p w:rsidR="001715E8" w:rsidRDefault="001715E8">
      <w:pPr>
        <w:bidi w:val="0"/>
        <w:rPr>
          <w:rFonts w:eastAsia="Times New Roman"/>
          <w:rtl/>
          <w:lang w:eastAsia="en-US"/>
        </w:rPr>
      </w:pPr>
      <w:r>
        <w:rPr>
          <w:rtl/>
        </w:rPr>
        <w:br w:type="page"/>
      </w:r>
    </w:p>
    <w:p w:rsidR="001715E8" w:rsidRDefault="001715E8" w:rsidP="001715E8">
      <w:pPr>
        <w:pStyle w:val="Heading2"/>
        <w:rPr>
          <w:i/>
          <w:iCs w:val="0"/>
          <w:rtl/>
        </w:rPr>
      </w:pPr>
      <w:r w:rsidRPr="001715E8">
        <w:rPr>
          <w:i/>
          <w:iCs w:val="0"/>
          <w:rtl/>
        </w:rPr>
        <w:lastRenderedPageBreak/>
        <w:t>البند 18 من جدول الأعمال الموحّد</w:t>
      </w:r>
    </w:p>
    <w:p w:rsidR="001715E8" w:rsidRDefault="001715E8" w:rsidP="001715E8">
      <w:pPr>
        <w:pStyle w:val="Heading2"/>
        <w:spacing w:after="240"/>
        <w:rPr>
          <w:i/>
          <w:iCs w:val="0"/>
          <w:rtl/>
        </w:rPr>
      </w:pPr>
      <w:r w:rsidRPr="001715E8">
        <w:rPr>
          <w:i/>
          <w:iCs w:val="0"/>
          <w:rtl/>
        </w:rPr>
        <w:t>جمعية اتحاد بودابست</w:t>
      </w:r>
    </w:p>
    <w:p w:rsidR="001715E8" w:rsidRDefault="001715E8" w:rsidP="001715E8">
      <w:pPr>
        <w:pStyle w:val="ONUMA"/>
      </w:pPr>
      <w:r w:rsidRPr="001715E8">
        <w:rPr>
          <w:rtl/>
        </w:rPr>
        <w:t>استندت المناقشات إلى الوثيقة</w:t>
      </w:r>
      <w:r>
        <w:rPr>
          <w:rFonts w:hint="cs"/>
          <w:rtl/>
        </w:rPr>
        <w:t> </w:t>
      </w:r>
      <w:r w:rsidRPr="001715E8">
        <w:t>BP/A/39/1</w:t>
      </w:r>
      <w:r>
        <w:rPr>
          <w:rFonts w:hint="cs"/>
          <w:rtl/>
        </w:rPr>
        <w:t>.</w:t>
      </w:r>
    </w:p>
    <w:p w:rsidR="00C707B9" w:rsidRDefault="00C707B9" w:rsidP="00C707B9">
      <w:pPr>
        <w:pStyle w:val="ONUMA"/>
      </w:pPr>
      <w:r>
        <w:rPr>
          <w:rFonts w:hint="cs"/>
          <w:rtl/>
        </w:rPr>
        <w:t>و</w:t>
      </w:r>
      <w:r w:rsidRPr="00C707B9">
        <w:rPr>
          <w:rtl/>
        </w:rPr>
        <w:t>رحب الرئيس بالنيابة لجمعية اتحاد بودابست بانضمام ماليزيا في 31 مارس 2022</w:t>
      </w:r>
      <w:r w:rsidR="00E26884">
        <w:rPr>
          <w:rFonts w:hint="cs"/>
          <w:rtl/>
        </w:rPr>
        <w:t>،</w:t>
      </w:r>
      <w:r w:rsidRPr="00C707B9">
        <w:rPr>
          <w:rtl/>
        </w:rPr>
        <w:t xml:space="preserve"> وإندونيسيا في 13 يوليو 2022</w:t>
      </w:r>
      <w:r w:rsidR="00E26884">
        <w:rPr>
          <w:rFonts w:hint="cs"/>
          <w:rtl/>
        </w:rPr>
        <w:t>،</w:t>
      </w:r>
      <w:r w:rsidRPr="00C707B9">
        <w:rPr>
          <w:rtl/>
        </w:rPr>
        <w:t xml:space="preserve"> إلى معاهدة بودابست. وبذلك يصل العدد الإجمالي للأطراف المتعاقدة في معاهدة بودابست إلى 87</w:t>
      </w:r>
      <w:r>
        <w:rPr>
          <w:rFonts w:hint="cs"/>
          <w:rtl/>
        </w:rPr>
        <w:t xml:space="preserve"> طرفاً</w:t>
      </w:r>
      <w:r w:rsidRPr="00C707B9">
        <w:rPr>
          <w:rtl/>
        </w:rPr>
        <w:t>.</w:t>
      </w:r>
    </w:p>
    <w:p w:rsidR="00C707B9" w:rsidRDefault="00C707B9" w:rsidP="00E26884">
      <w:pPr>
        <w:pStyle w:val="ONUMA"/>
      </w:pPr>
      <w:r>
        <w:rPr>
          <w:rFonts w:hint="cs"/>
          <w:rtl/>
        </w:rPr>
        <w:t>و</w:t>
      </w:r>
      <w:r w:rsidRPr="00C707B9">
        <w:rPr>
          <w:rtl/>
        </w:rPr>
        <w:t xml:space="preserve">قدمت الأمانة الوثيقة </w:t>
      </w:r>
      <w:r w:rsidRPr="00C707B9">
        <w:t>BP/A/39/1</w:t>
      </w:r>
      <w:r w:rsidRPr="00C707B9">
        <w:rPr>
          <w:rtl/>
        </w:rPr>
        <w:t xml:space="preserve"> وأشارت إلى أنها عالجت مسألتين فيما يتعلق بالاستمارات بموجب معاهدة بودابست. تتعلق المسألة الأولى بإدراج معلومات عن عناوين البريد الإلكتروني وأرقام هواتف </w:t>
      </w:r>
      <w:r w:rsidR="00C222A8">
        <w:rPr>
          <w:rFonts w:hint="cs"/>
          <w:rtl/>
        </w:rPr>
        <w:t>مودعي الكائنات الدقيقة أو ملتمسي عينات من الكائنات الدقيقة المودعة</w:t>
      </w:r>
      <w:r w:rsidR="00C222A8" w:rsidRPr="00C707B9">
        <w:rPr>
          <w:rtl/>
        </w:rPr>
        <w:t xml:space="preserve"> </w:t>
      </w:r>
      <w:r w:rsidRPr="00C707B9">
        <w:rPr>
          <w:rtl/>
        </w:rPr>
        <w:t xml:space="preserve">في </w:t>
      </w:r>
      <w:r w:rsidR="00C222A8" w:rsidRPr="00C707B9">
        <w:rPr>
          <w:rtl/>
        </w:rPr>
        <w:t>الاستمارات</w:t>
      </w:r>
      <w:r w:rsidRPr="00C707B9">
        <w:rPr>
          <w:rtl/>
        </w:rPr>
        <w:t>. وأوضحت الأمانة أن هذا التعديل سهّل التواصل بين مستخدمي نظام بودابست وسلطات الإيداع الدولية ومكاتب الملكية الفكرية. وأشارت الأمانة إلى أن التعديل المقترح كان مجرد تحديث لشكلي</w:t>
      </w:r>
      <w:r w:rsidR="00C222A8">
        <w:rPr>
          <w:rFonts w:hint="cs"/>
          <w:rtl/>
        </w:rPr>
        <w:t>ات</w:t>
      </w:r>
      <w:r w:rsidRPr="00C707B9">
        <w:rPr>
          <w:rtl/>
        </w:rPr>
        <w:t xml:space="preserve"> </w:t>
      </w:r>
      <w:r w:rsidR="00C222A8" w:rsidRPr="00C707B9">
        <w:rPr>
          <w:rtl/>
        </w:rPr>
        <w:t>الاستمارات</w:t>
      </w:r>
      <w:r w:rsidR="00C222A8">
        <w:rPr>
          <w:rFonts w:hint="cs"/>
          <w:rtl/>
        </w:rPr>
        <w:t>.</w:t>
      </w:r>
      <w:r w:rsidRPr="00C707B9">
        <w:rPr>
          <w:rtl/>
        </w:rPr>
        <w:t xml:space="preserve"> و</w:t>
      </w:r>
      <w:r w:rsidR="00C222A8">
        <w:rPr>
          <w:rFonts w:hint="cs"/>
          <w:rtl/>
        </w:rPr>
        <w:t>ل</w:t>
      </w:r>
      <w:r w:rsidRPr="00C707B9">
        <w:rPr>
          <w:rtl/>
        </w:rPr>
        <w:t>ك</w:t>
      </w:r>
      <w:r w:rsidR="00C222A8">
        <w:rPr>
          <w:rFonts w:hint="cs"/>
          <w:rtl/>
        </w:rPr>
        <w:t>ن</w:t>
      </w:r>
      <w:r w:rsidRPr="00C707B9">
        <w:rPr>
          <w:rtl/>
        </w:rPr>
        <w:t xml:space="preserve"> فيما يتعلق </w:t>
      </w:r>
      <w:r w:rsidR="00C222A8" w:rsidRPr="00C707B9">
        <w:rPr>
          <w:rtl/>
        </w:rPr>
        <w:t>بالاستمار</w:t>
      </w:r>
      <w:r w:rsidR="00C222A8">
        <w:rPr>
          <w:rFonts w:hint="cs"/>
          <w:rtl/>
        </w:rPr>
        <w:t>ة</w:t>
      </w:r>
      <w:r w:rsidR="00C222A8" w:rsidRPr="00C707B9">
        <w:rPr>
          <w:rtl/>
        </w:rPr>
        <w:t xml:space="preserve"> </w:t>
      </w:r>
      <w:r w:rsidRPr="00C707B9">
        <w:t>BP/12</w:t>
      </w:r>
      <w:r w:rsidRPr="00C707B9">
        <w:rPr>
          <w:rtl/>
        </w:rPr>
        <w:t xml:space="preserve">، فإن هذا التعديل يتطلب قرارًا من جمعية اتحاد بودابست. لذلك، </w:t>
      </w:r>
      <w:r w:rsidR="00C222A8">
        <w:rPr>
          <w:rFonts w:hint="cs"/>
          <w:rtl/>
        </w:rPr>
        <w:t>د</w:t>
      </w:r>
      <w:r w:rsidRPr="00C707B9">
        <w:rPr>
          <w:rtl/>
        </w:rPr>
        <w:t>ع</w:t>
      </w:r>
      <w:r w:rsidR="00C222A8">
        <w:rPr>
          <w:rFonts w:hint="cs"/>
          <w:rtl/>
        </w:rPr>
        <w:t xml:space="preserve">يت </w:t>
      </w:r>
      <w:r w:rsidRPr="00C707B9">
        <w:rPr>
          <w:rtl/>
        </w:rPr>
        <w:t xml:space="preserve">الجمعية لاتخاذ قرار بشأن إدراج عنوان البريد الإلكتروني ورقم الهاتف للطرف المعني كجزء من محتويات </w:t>
      </w:r>
      <w:r w:rsidR="00C222A8" w:rsidRPr="00C707B9">
        <w:rPr>
          <w:rtl/>
        </w:rPr>
        <w:t>الاستمار</w:t>
      </w:r>
      <w:r w:rsidR="00C222A8">
        <w:rPr>
          <w:rFonts w:hint="cs"/>
          <w:rtl/>
        </w:rPr>
        <w:t>ة</w:t>
      </w:r>
      <w:r w:rsidR="00C222A8" w:rsidRPr="00C707B9">
        <w:rPr>
          <w:rtl/>
        </w:rPr>
        <w:t xml:space="preserve"> </w:t>
      </w:r>
      <w:r w:rsidRPr="00C707B9">
        <w:t>BP/12</w:t>
      </w:r>
      <w:r w:rsidRPr="00C707B9">
        <w:rPr>
          <w:rtl/>
        </w:rPr>
        <w:t xml:space="preserve">. </w:t>
      </w:r>
      <w:r w:rsidR="00C222A8">
        <w:rPr>
          <w:rFonts w:hint="cs"/>
          <w:rtl/>
        </w:rPr>
        <w:t>و</w:t>
      </w:r>
      <w:r w:rsidRPr="00C707B9">
        <w:rPr>
          <w:rtl/>
        </w:rPr>
        <w:t xml:space="preserve">فيما يتعلق </w:t>
      </w:r>
      <w:r w:rsidR="00C222A8" w:rsidRPr="00C707B9">
        <w:rPr>
          <w:rtl/>
        </w:rPr>
        <w:t xml:space="preserve">بالاستمارات </w:t>
      </w:r>
      <w:r w:rsidRPr="00C707B9">
        <w:rPr>
          <w:rtl/>
        </w:rPr>
        <w:t xml:space="preserve">الأخرى التي وضعها المدير العام، أشارت الأمانة إلى الوثيقة </w:t>
      </w:r>
      <w:r w:rsidRPr="00C707B9">
        <w:t>BP/A/39/1</w:t>
      </w:r>
      <w:r w:rsidR="00E26884">
        <w:rPr>
          <w:rFonts w:hint="cs"/>
          <w:rtl/>
        </w:rPr>
        <w:t>،</w:t>
      </w:r>
      <w:r w:rsidRPr="00C707B9">
        <w:rPr>
          <w:rtl/>
        </w:rPr>
        <w:t xml:space="preserve"> التي تعرض الإجراء الذي سيتبعه المكتب الدولي لإجراء تعديلات مماثلة على تلك </w:t>
      </w:r>
      <w:r w:rsidR="00C222A8" w:rsidRPr="00C707B9">
        <w:rPr>
          <w:rtl/>
        </w:rPr>
        <w:t xml:space="preserve">الاستمارات </w:t>
      </w:r>
      <w:r w:rsidRPr="00C707B9">
        <w:rPr>
          <w:rtl/>
        </w:rPr>
        <w:t xml:space="preserve">الأخرى. وقالت الأمانة إن القضية الثانية تتعلق بتوسيع لغات </w:t>
      </w:r>
      <w:r w:rsidR="00C222A8" w:rsidRPr="00C707B9">
        <w:rPr>
          <w:rtl/>
        </w:rPr>
        <w:t xml:space="preserve">الاستمارات </w:t>
      </w:r>
      <w:r w:rsidRPr="00C707B9">
        <w:rPr>
          <w:rtl/>
        </w:rPr>
        <w:t xml:space="preserve">بموجب معاهدة بودابست إلى لغات الأمم المتحدة الست. </w:t>
      </w:r>
      <w:r w:rsidR="00C222A8">
        <w:rPr>
          <w:rFonts w:hint="cs"/>
          <w:rtl/>
        </w:rPr>
        <w:t>و</w:t>
      </w:r>
      <w:r w:rsidRPr="00C707B9">
        <w:rPr>
          <w:rtl/>
        </w:rPr>
        <w:t xml:space="preserve">فيما يتعلق بلغات </w:t>
      </w:r>
      <w:r w:rsidR="00C222A8" w:rsidRPr="00C707B9">
        <w:rPr>
          <w:rtl/>
        </w:rPr>
        <w:t xml:space="preserve">الاستمارات </w:t>
      </w:r>
      <w:r w:rsidRPr="00C707B9">
        <w:t>BP/4</w:t>
      </w:r>
      <w:r w:rsidRPr="00C707B9">
        <w:rPr>
          <w:rtl/>
        </w:rPr>
        <w:t xml:space="preserve"> و5 و6 و9</w:t>
      </w:r>
      <w:r w:rsidR="00E26884">
        <w:rPr>
          <w:rFonts w:hint="cs"/>
          <w:rtl/>
        </w:rPr>
        <w:t>،</w:t>
      </w:r>
      <w:r w:rsidRPr="00C707B9">
        <w:rPr>
          <w:rtl/>
        </w:rPr>
        <w:t xml:space="preserve"> </w:t>
      </w:r>
      <w:r w:rsidR="00E26884" w:rsidRPr="00C707B9">
        <w:rPr>
          <w:rtl/>
        </w:rPr>
        <w:t xml:space="preserve">التي ينبغي </w:t>
      </w:r>
      <w:r w:rsidRPr="00C707B9">
        <w:rPr>
          <w:rtl/>
        </w:rPr>
        <w:t>بموجب معاهدة بودابست</w:t>
      </w:r>
      <w:r w:rsidR="00E26884">
        <w:rPr>
          <w:rFonts w:hint="cs"/>
          <w:rtl/>
        </w:rPr>
        <w:t>،</w:t>
      </w:r>
      <w:r w:rsidRPr="00C707B9">
        <w:rPr>
          <w:rtl/>
        </w:rPr>
        <w:t xml:space="preserve"> أن تعينها جمعية اتحاد بودابست</w:t>
      </w:r>
      <w:r w:rsidR="00C222A8">
        <w:rPr>
          <w:rtl/>
        </w:rPr>
        <w:t>، اقترحت الأمانة أن ت</w:t>
      </w:r>
      <w:r w:rsidRPr="00C707B9">
        <w:rPr>
          <w:rtl/>
        </w:rPr>
        <w:t>و</w:t>
      </w:r>
      <w:r w:rsidR="00C222A8">
        <w:rPr>
          <w:rFonts w:hint="cs"/>
          <w:rtl/>
        </w:rPr>
        <w:t>سع لغات ل</w:t>
      </w:r>
      <w:r w:rsidRPr="00C707B9">
        <w:rPr>
          <w:rtl/>
        </w:rPr>
        <w:t xml:space="preserve">تلك </w:t>
      </w:r>
      <w:r w:rsidR="00C222A8" w:rsidRPr="00C707B9">
        <w:rPr>
          <w:rtl/>
        </w:rPr>
        <w:t>الاستمارات</w:t>
      </w:r>
      <w:r w:rsidR="00C222A8">
        <w:rPr>
          <w:rtl/>
        </w:rPr>
        <w:t xml:space="preserve"> </w:t>
      </w:r>
      <w:r w:rsidR="00E26884">
        <w:rPr>
          <w:rFonts w:hint="cs"/>
          <w:rtl/>
        </w:rPr>
        <w:t>(</w:t>
      </w:r>
      <w:r w:rsidR="00C222A8">
        <w:rPr>
          <w:rFonts w:hint="cs"/>
          <w:rtl/>
        </w:rPr>
        <w:t>ال</w:t>
      </w:r>
      <w:r w:rsidR="00C222A8">
        <w:rPr>
          <w:rtl/>
        </w:rPr>
        <w:t>متاحة حاليًا باللغات الإن</w:t>
      </w:r>
      <w:r w:rsidR="00C222A8">
        <w:rPr>
          <w:rFonts w:hint="cs"/>
          <w:rtl/>
        </w:rPr>
        <w:t>ك</w:t>
      </w:r>
      <w:r w:rsidRPr="00C707B9">
        <w:rPr>
          <w:rtl/>
        </w:rPr>
        <w:t>ليزية والفرنسية والروسية والإسبانية</w:t>
      </w:r>
      <w:r w:rsidR="00E26884">
        <w:rPr>
          <w:rFonts w:hint="cs"/>
          <w:rtl/>
        </w:rPr>
        <w:t>)،</w:t>
      </w:r>
      <w:r w:rsidRPr="00C707B9">
        <w:rPr>
          <w:rtl/>
        </w:rPr>
        <w:t xml:space="preserve"> إلى لغات الأمم المتحدة الست لمراعاة التوسع في التغطية الجغرافية لعضوية معاهدة بودابست وسياسة الويبو الخاصة باللغات. </w:t>
      </w:r>
      <w:r w:rsidR="00C222A8">
        <w:rPr>
          <w:rFonts w:hint="cs"/>
          <w:rtl/>
        </w:rPr>
        <w:t>و</w:t>
      </w:r>
      <w:r w:rsidRPr="00C707B9">
        <w:rPr>
          <w:rtl/>
        </w:rPr>
        <w:t>إضافة إلى ذلك، أشارت الأمانة إلى القاعد</w:t>
      </w:r>
      <w:r w:rsidR="006F1181">
        <w:rPr>
          <w:rFonts w:hint="cs"/>
          <w:rtl/>
        </w:rPr>
        <w:t xml:space="preserve">تين </w:t>
      </w:r>
      <w:r w:rsidR="00C222A8">
        <w:rPr>
          <w:rFonts w:hint="cs"/>
          <w:rtl/>
        </w:rPr>
        <w:t>4.11</w:t>
      </w:r>
      <w:r w:rsidRPr="00C707B9">
        <w:rPr>
          <w:rtl/>
        </w:rPr>
        <w:t xml:space="preserve">(أ) و(ب) من معاهدة بودابست التي تنظم لغات الطلب والإعلان وأنواع الاتصالات الأخرى </w:t>
      </w:r>
      <w:r w:rsidR="00C222A8">
        <w:rPr>
          <w:rFonts w:hint="cs"/>
          <w:rtl/>
        </w:rPr>
        <w:t xml:space="preserve">مع </w:t>
      </w:r>
      <w:r w:rsidR="00C222A8" w:rsidRPr="00C707B9">
        <w:rPr>
          <w:rtl/>
        </w:rPr>
        <w:t>سلطات الإيداع الدولية</w:t>
      </w:r>
      <w:r w:rsidR="00C222A8">
        <w:rPr>
          <w:rFonts w:hint="cs"/>
          <w:rtl/>
        </w:rPr>
        <w:t xml:space="preserve"> </w:t>
      </w:r>
      <w:r w:rsidRPr="00C707B9">
        <w:rPr>
          <w:rtl/>
        </w:rPr>
        <w:t>فيما يتعلق بتوفير عينات من الكائنات الدقيقة المودعة، وكذلك شريطة التزام المكتب الدولي، في ظل ظروف معينة، ب</w:t>
      </w:r>
      <w:r w:rsidR="00C222A8">
        <w:rPr>
          <w:rFonts w:hint="cs"/>
          <w:rtl/>
        </w:rPr>
        <w:t xml:space="preserve">وضع </w:t>
      </w:r>
      <w:r w:rsidRPr="00C707B9">
        <w:rPr>
          <w:rtl/>
        </w:rPr>
        <w:t xml:space="preserve">ترجمة معتمدة لتلك الاتصالات. </w:t>
      </w:r>
      <w:r w:rsidR="00C222A8">
        <w:rPr>
          <w:rFonts w:hint="cs"/>
          <w:rtl/>
        </w:rPr>
        <w:t>و</w:t>
      </w:r>
      <w:r w:rsidRPr="00C707B9">
        <w:rPr>
          <w:rtl/>
        </w:rPr>
        <w:t>تماشياً مع التزام الويبو بتعدد</w:t>
      </w:r>
      <w:r w:rsidR="00C222A8">
        <w:rPr>
          <w:rFonts w:hint="cs"/>
          <w:rtl/>
        </w:rPr>
        <w:t>ية</w:t>
      </w:r>
      <w:r w:rsidRPr="00C707B9">
        <w:rPr>
          <w:rtl/>
        </w:rPr>
        <w:t xml:space="preserve"> اللغات، اقترحت الأمانة توسيع اللغات المنصوص عليها في </w:t>
      </w:r>
      <w:r w:rsidR="006F1181">
        <w:rPr>
          <w:rFonts w:hint="cs"/>
          <w:rtl/>
        </w:rPr>
        <w:t>ا</w:t>
      </w:r>
      <w:r w:rsidR="006F1181" w:rsidRPr="00C707B9">
        <w:rPr>
          <w:rtl/>
        </w:rPr>
        <w:t>لقاعد</w:t>
      </w:r>
      <w:r w:rsidR="006F1181">
        <w:rPr>
          <w:rFonts w:hint="cs"/>
          <w:rtl/>
        </w:rPr>
        <w:t>تين 4.11</w:t>
      </w:r>
      <w:r w:rsidR="006F1181" w:rsidRPr="00C707B9">
        <w:rPr>
          <w:rtl/>
        </w:rPr>
        <w:t>(أ) و(ب)</w:t>
      </w:r>
      <w:r w:rsidRPr="00C707B9">
        <w:rPr>
          <w:rtl/>
        </w:rPr>
        <w:t xml:space="preserve"> </w:t>
      </w:r>
      <w:r w:rsidR="00E26884">
        <w:rPr>
          <w:rFonts w:hint="cs"/>
          <w:rtl/>
        </w:rPr>
        <w:t xml:space="preserve">أيضاً </w:t>
      </w:r>
      <w:r w:rsidRPr="00C707B9">
        <w:rPr>
          <w:rtl/>
        </w:rPr>
        <w:t xml:space="preserve">إلى لغات الأمم المتحدة الست كما هو مقترح في المرفق الثاني للوثيقة </w:t>
      </w:r>
      <w:r w:rsidRPr="00C707B9">
        <w:t>BP/39/1</w:t>
      </w:r>
      <w:r w:rsidR="00E26884">
        <w:rPr>
          <w:rFonts w:hint="cs"/>
          <w:rtl/>
        </w:rPr>
        <w:t>،</w:t>
      </w:r>
      <w:r w:rsidRPr="00C707B9">
        <w:rPr>
          <w:rtl/>
        </w:rPr>
        <w:t xml:space="preserve"> </w:t>
      </w:r>
      <w:r w:rsidR="006F1181">
        <w:rPr>
          <w:rFonts w:hint="cs"/>
          <w:rtl/>
        </w:rPr>
        <w:t xml:space="preserve">على أن </w:t>
      </w:r>
      <w:r w:rsidR="006F1181" w:rsidRPr="006F1181">
        <w:rPr>
          <w:rtl/>
        </w:rPr>
        <w:t xml:space="preserve">تدخل حيّز النفاذ في 1 يناير </w:t>
      </w:r>
      <w:r w:rsidRPr="00C707B9">
        <w:rPr>
          <w:rtl/>
        </w:rPr>
        <w:t xml:space="preserve">2023. </w:t>
      </w:r>
      <w:r w:rsidR="006F1181">
        <w:rPr>
          <w:rFonts w:hint="cs"/>
          <w:rtl/>
        </w:rPr>
        <w:t>و</w:t>
      </w:r>
      <w:r w:rsidRPr="00C707B9">
        <w:rPr>
          <w:rtl/>
        </w:rPr>
        <w:t xml:space="preserve">فيما يتعلق بلغات </w:t>
      </w:r>
      <w:r w:rsidR="006F1181">
        <w:rPr>
          <w:rFonts w:hint="cs"/>
          <w:rtl/>
        </w:rPr>
        <w:t xml:space="preserve">الاستمارات </w:t>
      </w:r>
      <w:r w:rsidRPr="00C707B9">
        <w:rPr>
          <w:rtl/>
        </w:rPr>
        <w:t xml:space="preserve">الأخرى التي لا تتطلب قرارًا من جمعية اتحاد بودابست، أشارت الأمانة إلى أن المكتب الدولي سيعدها أيضًا بست لغات لصالح </w:t>
      </w:r>
      <w:r w:rsidR="006F1181" w:rsidRPr="00C707B9">
        <w:rPr>
          <w:rtl/>
        </w:rPr>
        <w:t>مستخدمي نظام بودابست وسلطات الإيداع الدولية ومكاتب الملكية الفكرية</w:t>
      </w:r>
      <w:r w:rsidRPr="00C707B9">
        <w:rPr>
          <w:rtl/>
        </w:rPr>
        <w:t>.</w:t>
      </w:r>
    </w:p>
    <w:p w:rsidR="006F1181" w:rsidRDefault="006F1181" w:rsidP="00E26884">
      <w:pPr>
        <w:pStyle w:val="ONUMA"/>
      </w:pPr>
      <w:r w:rsidRPr="006F1181">
        <w:rPr>
          <w:rtl/>
        </w:rPr>
        <w:t xml:space="preserve">وشكر وفد ماليزيا الويبو ولا سيما شعبة آسيا والمحيط الهادئ وقطاع حق المؤلف والصناعات الإبداعية وقطاع البراءات والتكنولوجيا على </w:t>
      </w:r>
      <w:r>
        <w:rPr>
          <w:rFonts w:hint="cs"/>
          <w:rtl/>
        </w:rPr>
        <w:t xml:space="preserve">ما تلقاه من </w:t>
      </w:r>
      <w:r w:rsidRPr="006F1181">
        <w:rPr>
          <w:rtl/>
        </w:rPr>
        <w:t>دعم ومساعدة من أجل الانضمام إلى معاهدتي بودابست ومراكش. وأعرب الوفد عن أمله في أن تواصل الويبو تقديم الدعم لماليزيا في رحل</w:t>
      </w:r>
      <w:r>
        <w:rPr>
          <w:rFonts w:hint="cs"/>
          <w:rtl/>
        </w:rPr>
        <w:t>تها</w:t>
      </w:r>
      <w:r w:rsidRPr="006F1181">
        <w:rPr>
          <w:rtl/>
        </w:rPr>
        <w:t xml:space="preserve"> </w:t>
      </w:r>
      <w:r>
        <w:rPr>
          <w:rtl/>
        </w:rPr>
        <w:t>ل</w:t>
      </w:r>
      <w:r w:rsidR="00E26884">
        <w:rPr>
          <w:rFonts w:hint="cs"/>
          <w:rtl/>
        </w:rPr>
        <w:t>ل</w:t>
      </w:r>
      <w:r w:rsidR="00E26884">
        <w:rPr>
          <w:rtl/>
        </w:rPr>
        <w:t>تماش</w:t>
      </w:r>
      <w:r w:rsidR="00E26884">
        <w:rPr>
          <w:rFonts w:hint="cs"/>
          <w:rtl/>
        </w:rPr>
        <w:t>ي</w:t>
      </w:r>
      <w:r>
        <w:rPr>
          <w:rtl/>
        </w:rPr>
        <w:t xml:space="preserve"> مع ال</w:t>
      </w:r>
      <w:r>
        <w:rPr>
          <w:rFonts w:hint="cs"/>
          <w:rtl/>
        </w:rPr>
        <w:t xml:space="preserve">تطور </w:t>
      </w:r>
      <w:r w:rsidRPr="006F1181">
        <w:rPr>
          <w:rtl/>
        </w:rPr>
        <w:t>التكنولوجي والتشريعات والمعاهدات الدولية المتعلقة بالملكية الفكرية. وأعرب الوفد عن التزام حكومة ماليزيا، من خلال مؤسسة الملكية الفكرية الماليزية، بتحسين نظام تقديم خدمات الملكية الفكرية، ليس فقط من خلال ترقية وتحديث نظام تكنولوجي</w:t>
      </w:r>
      <w:r>
        <w:rPr>
          <w:rFonts w:hint="cs"/>
          <w:rtl/>
        </w:rPr>
        <w:t xml:space="preserve">ا </w:t>
      </w:r>
      <w:r w:rsidRPr="006F1181">
        <w:rPr>
          <w:rtl/>
        </w:rPr>
        <w:t>المعلومات، ولكن أيضًا من خلال تعزيز مهارات الفاحصين ومعرفتهم.</w:t>
      </w:r>
    </w:p>
    <w:p w:rsidR="006F1181" w:rsidRDefault="006F1181" w:rsidP="00E26884">
      <w:pPr>
        <w:pStyle w:val="ONUMA"/>
      </w:pPr>
      <w:r w:rsidRPr="006F1181">
        <w:rPr>
          <w:rtl/>
        </w:rPr>
        <w:t xml:space="preserve">وهنأ وفد الصين الرئيس بالنيابة على انتخابه. وفي إشارة إلى التعديلين المقترحين في الوثيقة قيد النظر، أعرب الوفد عن اعتقاده أن توسيع التغطية اللغوية </w:t>
      </w:r>
      <w:r>
        <w:rPr>
          <w:rFonts w:hint="cs"/>
          <w:rtl/>
        </w:rPr>
        <w:t xml:space="preserve">لاستمارات </w:t>
      </w:r>
      <w:r w:rsidRPr="006F1181">
        <w:t>BP</w:t>
      </w:r>
      <w:r w:rsidRPr="006F1181">
        <w:rPr>
          <w:rtl/>
        </w:rPr>
        <w:t xml:space="preserve"> </w:t>
      </w:r>
      <w:r>
        <w:rPr>
          <w:rtl/>
        </w:rPr>
        <w:t>ل</w:t>
      </w:r>
      <w:r>
        <w:rPr>
          <w:rFonts w:hint="cs"/>
          <w:rtl/>
        </w:rPr>
        <w:t>ت</w:t>
      </w:r>
      <w:r w:rsidRPr="006F1181">
        <w:rPr>
          <w:rtl/>
        </w:rPr>
        <w:t xml:space="preserve">شمل الصينية والعربية من أجل تغطية جميع اللغات الرسمية للأمم المتحدة، سيكون مناسبًا </w:t>
      </w:r>
      <w:r>
        <w:rPr>
          <w:rFonts w:hint="cs"/>
          <w:rtl/>
        </w:rPr>
        <w:t>ل</w:t>
      </w:r>
      <w:r w:rsidRPr="00C707B9">
        <w:rPr>
          <w:rtl/>
        </w:rPr>
        <w:t>سلطات الإيداع الدولية</w:t>
      </w:r>
      <w:r>
        <w:rPr>
          <w:rFonts w:hint="cs"/>
          <w:rtl/>
        </w:rPr>
        <w:t xml:space="preserve"> </w:t>
      </w:r>
      <w:r w:rsidRPr="006F1181">
        <w:rPr>
          <w:rtl/>
        </w:rPr>
        <w:t xml:space="preserve">والدول الأعضاء ومكاتب </w:t>
      </w:r>
      <w:r>
        <w:rPr>
          <w:rFonts w:hint="cs"/>
          <w:rtl/>
        </w:rPr>
        <w:t>ال</w:t>
      </w:r>
      <w:r w:rsidRPr="006F1181">
        <w:rPr>
          <w:rtl/>
        </w:rPr>
        <w:t xml:space="preserve">براءات ومقدمي الطلبات وغيرهم من مستخدمي نظام بودابست. ورحب الوفد بالاقتراح باعتباره تدبيرا فعالا لتنفيذ سياسة اللغات في الويبو. وأشار الوفد كذلك إلى أن إدراج عنوان البريد الإلكتروني ورقم الهاتف في الاستمارات من شأنه أن يلبي الاحتياجات الحالية لمستخدمي نظام بودابست ويساعد على زيادة كفاءة الاتصال بشكل كبير بين </w:t>
      </w:r>
      <w:r w:rsidRPr="00C707B9">
        <w:rPr>
          <w:rtl/>
        </w:rPr>
        <w:t>سلطات الإيداع الدولية</w:t>
      </w:r>
      <w:r>
        <w:rPr>
          <w:rFonts w:hint="cs"/>
          <w:rtl/>
        </w:rPr>
        <w:t xml:space="preserve"> و</w:t>
      </w:r>
      <w:r w:rsidRPr="006F1181">
        <w:rPr>
          <w:rtl/>
        </w:rPr>
        <w:t xml:space="preserve">مكاتب </w:t>
      </w:r>
      <w:r>
        <w:rPr>
          <w:rFonts w:hint="cs"/>
          <w:rtl/>
        </w:rPr>
        <w:t>ال</w:t>
      </w:r>
      <w:r w:rsidRPr="006F1181">
        <w:rPr>
          <w:rtl/>
        </w:rPr>
        <w:t>براءات والمودعين ومقدمي الطلبات. و</w:t>
      </w:r>
      <w:r w:rsidR="00E26884">
        <w:rPr>
          <w:rFonts w:hint="cs"/>
          <w:rtl/>
        </w:rPr>
        <w:t>للأسباب المذكورة،</w:t>
      </w:r>
      <w:r w:rsidRPr="006F1181">
        <w:rPr>
          <w:rtl/>
        </w:rPr>
        <w:t xml:space="preserve"> </w:t>
      </w:r>
      <w:r w:rsidR="00E26884">
        <w:rPr>
          <w:rFonts w:hint="cs"/>
          <w:rtl/>
        </w:rPr>
        <w:t xml:space="preserve">أيد </w:t>
      </w:r>
      <w:r w:rsidRPr="006F1181">
        <w:rPr>
          <w:rtl/>
        </w:rPr>
        <w:t>الوفد التعديلين.</w:t>
      </w:r>
    </w:p>
    <w:p w:rsidR="006F1181" w:rsidRDefault="006F1181" w:rsidP="006F1181">
      <w:pPr>
        <w:pStyle w:val="ONUMA"/>
      </w:pPr>
      <w:r w:rsidRPr="006F1181">
        <w:rPr>
          <w:rtl/>
        </w:rPr>
        <w:t xml:space="preserve">وهنأ وفد المملكة العربية السعودية الرئيس بالنيابة على انتخابه. وأعرب الوفد عن دعمه للمقترحات المتعلقة بالاستمارات بموجب معاهدة بودابست، أي إدراج عنوان البريد الإلكتروني ورقم الهاتف في الاستمارات وتعديل </w:t>
      </w:r>
      <w:r>
        <w:rPr>
          <w:rFonts w:hint="cs"/>
          <w:rtl/>
        </w:rPr>
        <w:t>ا</w:t>
      </w:r>
      <w:r w:rsidRPr="00C707B9">
        <w:rPr>
          <w:rtl/>
        </w:rPr>
        <w:t>لقاعد</w:t>
      </w:r>
      <w:r>
        <w:rPr>
          <w:rFonts w:hint="cs"/>
          <w:rtl/>
        </w:rPr>
        <w:t>تين 4.11</w:t>
      </w:r>
      <w:r w:rsidRPr="00C707B9">
        <w:rPr>
          <w:rtl/>
        </w:rPr>
        <w:t xml:space="preserve">(أ) و(ب) </w:t>
      </w:r>
      <w:r>
        <w:rPr>
          <w:rFonts w:hint="cs"/>
          <w:rtl/>
        </w:rPr>
        <w:t xml:space="preserve">من </w:t>
      </w:r>
      <w:r w:rsidRPr="006F1181">
        <w:rPr>
          <w:rtl/>
        </w:rPr>
        <w:t>اللائحة التنفيذية لمعاهدة بودابست بهدف توفير الاستمارات بلغات الأمم المتحدة الست.</w:t>
      </w:r>
    </w:p>
    <w:p w:rsidR="006F1181" w:rsidRDefault="006F1181" w:rsidP="008C1CF2">
      <w:pPr>
        <w:pStyle w:val="ONUMA"/>
      </w:pPr>
      <w:r w:rsidRPr="006F1181">
        <w:rPr>
          <w:rtl/>
        </w:rPr>
        <w:t xml:space="preserve">وهنأ وفد إسبانيا الرئيس بالنيابة على </w:t>
      </w:r>
      <w:r w:rsidR="008C1CF2" w:rsidRPr="006F1181">
        <w:rPr>
          <w:rFonts w:hint="cs"/>
          <w:rtl/>
        </w:rPr>
        <w:t>ترؤس</w:t>
      </w:r>
      <w:r w:rsidRPr="006F1181">
        <w:rPr>
          <w:rtl/>
        </w:rPr>
        <w:t xml:space="preserve"> الدورة الهامة لجمعية اتحاد بودابست. وفي إشارة إلى التزام إسبانيا القوي بتعدد اللغات، رحب الوفد بالاقتراح الداعي إلى وضع الاستمارات بموجب معاهدة بودابست بجميع اللغات الرسمية للأمم المتحدة وأعرب عن دعمه لمشروع تعديل قواعد اللائحة التنفيذية لمعاهدة بودابست.</w:t>
      </w:r>
    </w:p>
    <w:p w:rsidR="008C1CF2" w:rsidRDefault="008C1CF2" w:rsidP="008C1CF2">
      <w:pPr>
        <w:pStyle w:val="ONUMA"/>
      </w:pPr>
      <w:r w:rsidRPr="008C1CF2">
        <w:rPr>
          <w:rtl/>
        </w:rPr>
        <w:t xml:space="preserve">وشكر وفد الاتحاد الروسي الأمانة على إعداد الوثيقة المتعلقة بالتعديلات على الاستمارات بموجب معاهدة بودابست. ورحب الوفد بتوسيع نظام اللغات لمعاهدة بودابست من أجل إتاحة الاستمارات بجميع اللغات الرسمية للأمم المتحدة. وأعرب الوفد عن رأي مفاده أن العناصر الجديدة المقترحة ستساعد على الارتقاء بخدمات الويبو إلى مستويات جديدة عالية الجودة. وأشار الوفد إلى أن </w:t>
      </w:r>
      <w:r w:rsidRPr="008C1CF2">
        <w:rPr>
          <w:rtl/>
        </w:rPr>
        <w:lastRenderedPageBreak/>
        <w:t>تضمين أرقام الهواتف وعناوين البريد الإلكتروني في الاستمارات سيساعد على ضمان سرعة الاتصال والمراسلات بالبريد بين مستخدمي معاهدة بودابست ومكاتب الملكية الفكرية و</w:t>
      </w:r>
      <w:r w:rsidRPr="00C707B9">
        <w:rPr>
          <w:rtl/>
        </w:rPr>
        <w:t>سلطات الإيداع الدولية</w:t>
      </w:r>
      <w:r>
        <w:rPr>
          <w:rFonts w:hint="cs"/>
          <w:rtl/>
        </w:rPr>
        <w:t xml:space="preserve"> لمودعي الكائنات الدقيقة أو ملتمسي عينات من الكائنات الدقيقة المودعة</w:t>
      </w:r>
      <w:r w:rsidRPr="008C1CF2">
        <w:rPr>
          <w:rtl/>
        </w:rPr>
        <w:t>، مما يجعل نظام بودابست أكثر سهولة في الاستخدام.</w:t>
      </w:r>
    </w:p>
    <w:p w:rsidR="008C1CF2" w:rsidRDefault="008C1CF2" w:rsidP="00B763C3">
      <w:pPr>
        <w:pStyle w:val="ONUMA"/>
      </w:pPr>
      <w:r>
        <w:rPr>
          <w:rFonts w:hint="cs"/>
          <w:rtl/>
        </w:rPr>
        <w:t>و</w:t>
      </w:r>
      <w:r w:rsidRPr="008C1CF2">
        <w:rPr>
          <w:rtl/>
        </w:rPr>
        <w:t>شكر ممثل مدرسة أمريكا اللاتينية للملكية الفكرية (</w:t>
      </w:r>
      <w:r w:rsidRPr="008C1CF2">
        <w:t>ELAPI</w:t>
      </w:r>
      <w:r w:rsidRPr="008C1CF2">
        <w:rPr>
          <w:rtl/>
        </w:rPr>
        <w:t xml:space="preserve">) الأمانة على إعداد الوثيقة الخاصة بالاستمارات بموجب معاهدة بودابست والتعديل المقترح لمعاهدة بودابست. </w:t>
      </w:r>
      <w:r>
        <w:rPr>
          <w:rFonts w:hint="cs"/>
          <w:rtl/>
        </w:rPr>
        <w:t>و</w:t>
      </w:r>
      <w:r w:rsidRPr="008C1CF2">
        <w:rPr>
          <w:rtl/>
        </w:rPr>
        <w:t xml:space="preserve">بالنظر إلى السياق الحالي لتعزيز إشراك مختلف أصحاب المصلحة العالميين في مجال الملكية الفكرية، ولا سيما للترويج للاختراعات القائمة على تطوير التكنولوجيا الحيوية وعلم الأحياء الدقيقة، أعرب الممثل عن اعتقاده أن دمج التفاصيل الشخصية </w:t>
      </w:r>
      <w:r>
        <w:rPr>
          <w:rFonts w:hint="cs"/>
          <w:rtl/>
        </w:rPr>
        <w:t>ب</w:t>
      </w:r>
      <w:r w:rsidRPr="008C1CF2">
        <w:rPr>
          <w:rtl/>
        </w:rPr>
        <w:t xml:space="preserve">هدف تسهيل التواصل بين الأطراف أثناء معالجة طلبات الاعتراف الدولي بإيداع الكائنات الدقيقة أمام مكاتب البراءات المختلفة </w:t>
      </w:r>
      <w:r>
        <w:rPr>
          <w:rFonts w:hint="cs"/>
          <w:rtl/>
        </w:rPr>
        <w:t>سي</w:t>
      </w:r>
      <w:r w:rsidRPr="008C1CF2">
        <w:rPr>
          <w:rtl/>
        </w:rPr>
        <w:t>ساهم بشكل كبير في تحسين وتسهيل الاتصال المباشر بين الأطراف. وأضاف الممثل أنه يؤيد التعديلات المقترحة على اللائح</w:t>
      </w:r>
      <w:r>
        <w:rPr>
          <w:rFonts w:hint="cs"/>
          <w:rtl/>
        </w:rPr>
        <w:t>ة التنفيذية ب</w:t>
      </w:r>
      <w:r w:rsidRPr="008C1CF2">
        <w:rPr>
          <w:rtl/>
        </w:rPr>
        <w:t xml:space="preserve">إدراج لغات الجهات الفاعلة ذات الصلة في مجالات العلوم والتكنولوجيا، مثل الصينية والعربية، </w:t>
      </w:r>
      <w:r w:rsidR="00B763C3">
        <w:rPr>
          <w:rFonts w:hint="cs"/>
          <w:rtl/>
        </w:rPr>
        <w:t>ولك</w:t>
      </w:r>
      <w:r w:rsidRPr="008C1CF2">
        <w:rPr>
          <w:rtl/>
        </w:rPr>
        <w:t>نه ي</w:t>
      </w:r>
      <w:r w:rsidR="00B763C3">
        <w:rPr>
          <w:rFonts w:hint="cs"/>
          <w:rtl/>
        </w:rPr>
        <w:t xml:space="preserve">رى </w:t>
      </w:r>
      <w:r w:rsidRPr="008C1CF2">
        <w:rPr>
          <w:rtl/>
        </w:rPr>
        <w:t xml:space="preserve">أيضًا أنه سيكون من المناسب إدراج اللغة الإسبانية </w:t>
      </w:r>
      <w:r w:rsidR="00B763C3">
        <w:rPr>
          <w:rFonts w:hint="cs"/>
          <w:rtl/>
        </w:rPr>
        <w:t>ك</w:t>
      </w:r>
      <w:r w:rsidRPr="008C1CF2">
        <w:rPr>
          <w:rtl/>
        </w:rPr>
        <w:t>بديل عن اللغتين الفرنسية والإن</w:t>
      </w:r>
      <w:r w:rsidR="00B763C3">
        <w:rPr>
          <w:rFonts w:hint="cs"/>
          <w:rtl/>
        </w:rPr>
        <w:t>ك</w:t>
      </w:r>
      <w:r w:rsidRPr="008C1CF2">
        <w:rPr>
          <w:rtl/>
        </w:rPr>
        <w:t xml:space="preserve">ليزية في </w:t>
      </w:r>
      <w:r w:rsidR="00B763C3">
        <w:rPr>
          <w:rFonts w:hint="cs"/>
          <w:rtl/>
        </w:rPr>
        <w:t>ا</w:t>
      </w:r>
      <w:r w:rsidR="00B763C3" w:rsidRPr="00C707B9">
        <w:rPr>
          <w:rtl/>
        </w:rPr>
        <w:t>لقاعد</w:t>
      </w:r>
      <w:r w:rsidR="00B763C3">
        <w:rPr>
          <w:rFonts w:hint="cs"/>
          <w:rtl/>
        </w:rPr>
        <w:t>تين 4.11</w:t>
      </w:r>
      <w:r w:rsidR="00B763C3" w:rsidRPr="00C707B9">
        <w:rPr>
          <w:rtl/>
        </w:rPr>
        <w:t>(أ) و(ب)</w:t>
      </w:r>
      <w:r w:rsidRPr="008C1CF2">
        <w:rPr>
          <w:rtl/>
        </w:rPr>
        <w:t xml:space="preserve">. وسلط الممثل الضوء على مستوى التطور العلمي للشركات القائمة على التكنولوجيا ومهارات العلماء في منطقة أمريكا اللاتينية، ولا سيما بالنظر إلى مشاركتهم النشطة في الشركات الكبرى في النصف الشمالي من الكرة الأرضية والنظر فيها على مدى السنوات العشر الماضية. لذلك، رأى الممثل أن اقتراحه من شأنه أن يقلل من حواجز الاتصال، في تسهيل وصول المخترعين والمودعين في المنطقة إلى الأدوات التي من شأنها أن تسمح لهم بحماية وتعزيز تكنولوجياتهم، إلى جانب الاعتراف الرسمي بالتقدم المحرز في أمريكا اللاتينية في تطوير تقنيات جديدة ذات تأثير عالمي في بداية القرن الحادي والعشرين. </w:t>
      </w:r>
      <w:r w:rsidR="00B763C3">
        <w:rPr>
          <w:rFonts w:hint="cs"/>
          <w:rtl/>
        </w:rPr>
        <w:t>و</w:t>
      </w:r>
      <w:r w:rsidRPr="008C1CF2">
        <w:rPr>
          <w:rtl/>
        </w:rPr>
        <w:t xml:space="preserve">في الختام، أبلغ الممثل </w:t>
      </w:r>
      <w:r w:rsidR="00B763C3">
        <w:rPr>
          <w:rFonts w:hint="cs"/>
          <w:rtl/>
        </w:rPr>
        <w:t xml:space="preserve">أن مؤسسته مستعدة </w:t>
      </w:r>
      <w:r w:rsidR="00B763C3">
        <w:rPr>
          <w:rtl/>
        </w:rPr>
        <w:t xml:space="preserve">لمشاركة </w:t>
      </w:r>
      <w:r w:rsidR="00B763C3" w:rsidRPr="008C1CF2">
        <w:rPr>
          <w:rtl/>
        </w:rPr>
        <w:t>معرف</w:t>
      </w:r>
      <w:r w:rsidR="00B763C3">
        <w:rPr>
          <w:rFonts w:hint="cs"/>
          <w:rtl/>
        </w:rPr>
        <w:t xml:space="preserve">تها </w:t>
      </w:r>
      <w:r w:rsidR="00B763C3" w:rsidRPr="008C1CF2">
        <w:rPr>
          <w:rtl/>
        </w:rPr>
        <w:t xml:space="preserve">الأكاديمية </w:t>
      </w:r>
      <w:r w:rsidR="00B763C3">
        <w:rPr>
          <w:rFonts w:hint="cs"/>
          <w:rtl/>
        </w:rPr>
        <w:t>مع ا</w:t>
      </w:r>
      <w:r w:rsidRPr="008C1CF2">
        <w:rPr>
          <w:rtl/>
        </w:rPr>
        <w:t xml:space="preserve">لجمعية واللجان والدول الأعضاء، وخاصة </w:t>
      </w:r>
      <w:r w:rsidR="00B763C3" w:rsidRPr="00B763C3">
        <w:rPr>
          <w:rtl/>
        </w:rPr>
        <w:t>مجموعة بلدان أمريكا اللاتينية والكاريبي</w:t>
      </w:r>
      <w:r w:rsidRPr="008C1CF2">
        <w:rPr>
          <w:rtl/>
        </w:rPr>
        <w:t xml:space="preserve">، وتسهيل </w:t>
      </w:r>
      <w:r w:rsidR="00B763C3" w:rsidRPr="008C1CF2">
        <w:rPr>
          <w:rtl/>
        </w:rPr>
        <w:t xml:space="preserve">إدارة العملية </w:t>
      </w:r>
      <w:r w:rsidRPr="008C1CF2">
        <w:rPr>
          <w:rtl/>
        </w:rPr>
        <w:t xml:space="preserve">التي تهدف إلى </w:t>
      </w:r>
      <w:r w:rsidR="00B763C3" w:rsidRPr="00B763C3">
        <w:rPr>
          <w:rtl/>
        </w:rPr>
        <w:t xml:space="preserve">الاعتراف الدولي بإيداع الكائنات الدقيقة </w:t>
      </w:r>
      <w:r w:rsidR="00B763C3">
        <w:rPr>
          <w:rFonts w:hint="cs"/>
          <w:rtl/>
        </w:rPr>
        <w:t xml:space="preserve">على </w:t>
      </w:r>
      <w:r w:rsidR="00B763C3" w:rsidRPr="008C1CF2">
        <w:rPr>
          <w:rtl/>
        </w:rPr>
        <w:t>المخترعين والم</w:t>
      </w:r>
      <w:r w:rsidR="00B763C3">
        <w:rPr>
          <w:rFonts w:hint="cs"/>
          <w:rtl/>
        </w:rPr>
        <w:t>و</w:t>
      </w:r>
      <w:r w:rsidR="00B763C3">
        <w:rPr>
          <w:rtl/>
        </w:rPr>
        <w:t>د</w:t>
      </w:r>
      <w:r w:rsidR="00B763C3">
        <w:rPr>
          <w:rFonts w:hint="cs"/>
          <w:rtl/>
        </w:rPr>
        <w:t>ع</w:t>
      </w:r>
      <w:r w:rsidR="00B763C3" w:rsidRPr="008C1CF2">
        <w:rPr>
          <w:rtl/>
        </w:rPr>
        <w:t>ين</w:t>
      </w:r>
      <w:r w:rsidRPr="008C1CF2">
        <w:rPr>
          <w:rtl/>
        </w:rPr>
        <w:t>.</w:t>
      </w:r>
    </w:p>
    <w:p w:rsidR="00B763C3" w:rsidRPr="0011287C" w:rsidRDefault="00B763C3" w:rsidP="00B763C3">
      <w:pPr>
        <w:pStyle w:val="ONUMA"/>
        <w:ind w:left="562"/>
      </w:pPr>
      <w:r w:rsidRPr="0011287C">
        <w:rPr>
          <w:rFonts w:hint="cs"/>
          <w:rtl/>
        </w:rPr>
        <w:t>إن جمعية معاهدة بودابست</w:t>
      </w:r>
      <w:r w:rsidRPr="004615B4">
        <w:rPr>
          <w:rFonts w:hint="cs"/>
          <w:rtl/>
        </w:rPr>
        <w:t xml:space="preserve">: </w:t>
      </w:r>
    </w:p>
    <w:p w:rsidR="00B763C3" w:rsidRDefault="00B763C3" w:rsidP="00B763C3">
      <w:pPr>
        <w:pStyle w:val="ONUMA"/>
        <w:numPr>
          <w:ilvl w:val="0"/>
          <w:numId w:val="0"/>
        </w:numPr>
        <w:ind w:left="1133"/>
      </w:pPr>
      <w:r>
        <w:rPr>
          <w:rFonts w:hint="cs"/>
          <w:rtl/>
        </w:rPr>
        <w:t>"1"</w:t>
      </w:r>
      <w:r>
        <w:rPr>
          <w:rFonts w:hint="cs"/>
          <w:rtl/>
        </w:rPr>
        <w:tab/>
        <w:t>ثبتت</w:t>
      </w:r>
      <w:r w:rsidRPr="0011287C">
        <w:rPr>
          <w:rtl/>
        </w:rPr>
        <w:t xml:space="preserve"> محتوى الاستمارة </w:t>
      </w:r>
      <w:r w:rsidRPr="0011287C">
        <w:t>BP/12</w:t>
      </w:r>
      <w:r w:rsidRPr="0011287C">
        <w:rPr>
          <w:rtl/>
        </w:rPr>
        <w:t xml:space="preserve"> على النحو المبيّن في الفقرة 8 من الوثيقة </w:t>
      </w:r>
      <w:r w:rsidRPr="0011287C">
        <w:t>BP/A/39/1</w:t>
      </w:r>
      <w:r w:rsidRPr="0011287C">
        <w:rPr>
          <w:rtl/>
        </w:rPr>
        <w:t>؛</w:t>
      </w:r>
    </w:p>
    <w:p w:rsidR="00B763C3" w:rsidRPr="0011287C" w:rsidRDefault="00B763C3" w:rsidP="00B763C3">
      <w:pPr>
        <w:pStyle w:val="ONUMA"/>
        <w:numPr>
          <w:ilvl w:val="0"/>
          <w:numId w:val="0"/>
        </w:numPr>
        <w:ind w:left="1133"/>
        <w:rPr>
          <w:rtl/>
        </w:rPr>
      </w:pPr>
      <w:r>
        <w:rPr>
          <w:rFonts w:hint="cs"/>
          <w:rtl/>
        </w:rPr>
        <w:t>"2"</w:t>
      </w:r>
      <w:r>
        <w:rPr>
          <w:rFonts w:hint="cs"/>
          <w:rtl/>
        </w:rPr>
        <w:tab/>
      </w:r>
      <w:r w:rsidRPr="0011287C">
        <w:rPr>
          <w:rtl/>
        </w:rPr>
        <w:t>و</w:t>
      </w:r>
      <w:r>
        <w:rPr>
          <w:rFonts w:hint="cs"/>
          <w:rtl/>
        </w:rPr>
        <w:t>أ</w:t>
      </w:r>
      <w:r w:rsidRPr="0011287C">
        <w:rPr>
          <w:rtl/>
        </w:rPr>
        <w:t>حاط</w:t>
      </w:r>
      <w:r>
        <w:rPr>
          <w:rFonts w:hint="cs"/>
          <w:rtl/>
        </w:rPr>
        <w:t>ت</w:t>
      </w:r>
      <w:r w:rsidRPr="0011287C">
        <w:rPr>
          <w:rtl/>
        </w:rPr>
        <w:t xml:space="preserve"> علماً بمحتوى الفقرة 9 من الوثيقة </w:t>
      </w:r>
      <w:r w:rsidRPr="0011287C">
        <w:t>BP/A/39/1</w:t>
      </w:r>
      <w:r w:rsidRPr="0011287C">
        <w:rPr>
          <w:rtl/>
        </w:rPr>
        <w:t>؛</w:t>
      </w:r>
    </w:p>
    <w:p w:rsidR="00B763C3" w:rsidRPr="0011287C" w:rsidRDefault="00B763C3" w:rsidP="00B763C3">
      <w:pPr>
        <w:pStyle w:val="ONUMA"/>
        <w:numPr>
          <w:ilvl w:val="0"/>
          <w:numId w:val="0"/>
        </w:numPr>
        <w:ind w:left="1133"/>
        <w:rPr>
          <w:rtl/>
        </w:rPr>
      </w:pPr>
      <w:r>
        <w:rPr>
          <w:rFonts w:hint="cs"/>
          <w:rtl/>
        </w:rPr>
        <w:t>"3"</w:t>
      </w:r>
      <w:r>
        <w:rPr>
          <w:rFonts w:hint="cs"/>
          <w:rtl/>
        </w:rPr>
        <w:tab/>
      </w:r>
      <w:r w:rsidRPr="0011287C">
        <w:rPr>
          <w:rtl/>
        </w:rPr>
        <w:t>وحدد</w:t>
      </w:r>
      <w:r>
        <w:rPr>
          <w:rFonts w:hint="cs"/>
          <w:rtl/>
        </w:rPr>
        <w:t>ت</w:t>
      </w:r>
      <w:r w:rsidRPr="0011287C">
        <w:rPr>
          <w:rtl/>
        </w:rPr>
        <w:t xml:space="preserve"> لغات الاستمارات </w:t>
      </w:r>
      <w:r w:rsidRPr="0011287C">
        <w:t>BP/4</w:t>
      </w:r>
      <w:r w:rsidRPr="0011287C">
        <w:rPr>
          <w:rtl/>
        </w:rPr>
        <w:t xml:space="preserve"> و</w:t>
      </w:r>
      <w:r w:rsidRPr="0011287C">
        <w:t>BP/5</w:t>
      </w:r>
      <w:r w:rsidRPr="0011287C">
        <w:rPr>
          <w:rtl/>
        </w:rPr>
        <w:t xml:space="preserve"> و</w:t>
      </w:r>
      <w:r w:rsidRPr="0011287C">
        <w:t>BP/6</w:t>
      </w:r>
      <w:r>
        <w:rPr>
          <w:rFonts w:hint="cs"/>
          <w:rtl/>
        </w:rPr>
        <w:t xml:space="preserve"> </w:t>
      </w:r>
      <w:r w:rsidRPr="0011287C">
        <w:rPr>
          <w:rtl/>
        </w:rPr>
        <w:t>و</w:t>
      </w:r>
      <w:r w:rsidRPr="0011287C">
        <w:t>BP/9</w:t>
      </w:r>
      <w:r w:rsidRPr="0011287C">
        <w:rPr>
          <w:rtl/>
        </w:rPr>
        <w:t xml:space="preserve">، على النحو المبيّن في الفقرة 11 من الوثيقة </w:t>
      </w:r>
      <w:r w:rsidRPr="0011287C">
        <w:t>BP/A/39/1</w:t>
      </w:r>
      <w:r w:rsidRPr="0011287C">
        <w:rPr>
          <w:rtl/>
        </w:rPr>
        <w:t>؛</w:t>
      </w:r>
    </w:p>
    <w:p w:rsidR="00B763C3" w:rsidRDefault="00B763C3" w:rsidP="00B763C3">
      <w:pPr>
        <w:pStyle w:val="ONUMA"/>
        <w:numPr>
          <w:ilvl w:val="0"/>
          <w:numId w:val="0"/>
        </w:numPr>
        <w:ind w:left="1133"/>
      </w:pPr>
      <w:r>
        <w:rPr>
          <w:rFonts w:hint="cs"/>
          <w:rtl/>
        </w:rPr>
        <w:t>"4"</w:t>
      </w:r>
      <w:r>
        <w:rPr>
          <w:rFonts w:hint="cs"/>
          <w:rtl/>
        </w:rPr>
        <w:tab/>
      </w:r>
      <w:r w:rsidRPr="0011287C">
        <w:rPr>
          <w:rtl/>
        </w:rPr>
        <w:t>واعتمد</w:t>
      </w:r>
      <w:r>
        <w:rPr>
          <w:rFonts w:hint="cs"/>
          <w:rtl/>
        </w:rPr>
        <w:t>ت</w:t>
      </w:r>
      <w:r w:rsidRPr="0011287C">
        <w:rPr>
          <w:rtl/>
        </w:rPr>
        <w:t xml:space="preserve"> التعديلات المقترح</w:t>
      </w:r>
      <w:r>
        <w:rPr>
          <w:rFonts w:hint="cs"/>
          <w:rtl/>
        </w:rPr>
        <w:t>ة</w:t>
      </w:r>
      <w:r w:rsidRPr="0011287C">
        <w:rPr>
          <w:rtl/>
        </w:rPr>
        <w:t xml:space="preserve"> على اللائحة التنفيذية لمعاهدة بودابست، على النحو المبيّن في المرفق الثاني، على أن ت</w:t>
      </w:r>
      <w:r>
        <w:rPr>
          <w:rFonts w:hint="cs"/>
          <w:rtl/>
        </w:rPr>
        <w:t xml:space="preserve">دخل حيز </w:t>
      </w:r>
      <w:r w:rsidRPr="0011287C">
        <w:rPr>
          <w:rtl/>
        </w:rPr>
        <w:t xml:space="preserve">النفاذ </w:t>
      </w:r>
      <w:r>
        <w:rPr>
          <w:rFonts w:hint="cs"/>
          <w:rtl/>
        </w:rPr>
        <w:t xml:space="preserve">في </w:t>
      </w:r>
      <w:r w:rsidRPr="0011287C">
        <w:rPr>
          <w:rtl/>
        </w:rPr>
        <w:t>1 يناير 2023.</w:t>
      </w:r>
    </w:p>
    <w:p w:rsidR="001715E8" w:rsidRPr="001715E8" w:rsidRDefault="001715E8" w:rsidP="001715E8">
      <w:pPr>
        <w:pStyle w:val="Endofdocument-Annex"/>
      </w:pPr>
      <w:r>
        <w:rPr>
          <w:rFonts w:hint="cs"/>
          <w:rtl/>
        </w:rPr>
        <w:t>[نهاية الوثيقة]</w:t>
      </w:r>
    </w:p>
    <w:sectPr w:rsidR="001715E8" w:rsidRPr="001715E8"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601" w:rsidRDefault="00284601">
      <w:r>
        <w:separator/>
      </w:r>
    </w:p>
  </w:endnote>
  <w:endnote w:type="continuationSeparator" w:id="0">
    <w:p w:rsidR="00284601" w:rsidRDefault="00284601" w:rsidP="003B38C1">
      <w:r>
        <w:separator/>
      </w:r>
    </w:p>
    <w:p w:rsidR="00284601" w:rsidRPr="003B38C1" w:rsidRDefault="00284601" w:rsidP="003B38C1">
      <w:pPr>
        <w:spacing w:after="60"/>
        <w:rPr>
          <w:sz w:val="17"/>
        </w:rPr>
      </w:pPr>
      <w:r>
        <w:rPr>
          <w:sz w:val="17"/>
        </w:rPr>
        <w:t>[Endnote continued from previous page]</w:t>
      </w:r>
    </w:p>
  </w:endnote>
  <w:endnote w:type="continuationNotice" w:id="1">
    <w:p w:rsidR="00284601" w:rsidRPr="003B38C1" w:rsidRDefault="002846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33" w:rsidRDefault="00211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33" w:rsidRDefault="00211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33" w:rsidRDefault="00211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601" w:rsidRDefault="00284601">
      <w:r>
        <w:separator/>
      </w:r>
    </w:p>
  </w:footnote>
  <w:footnote w:type="continuationSeparator" w:id="0">
    <w:p w:rsidR="00284601" w:rsidRDefault="00284601" w:rsidP="008B60B2">
      <w:r>
        <w:separator/>
      </w:r>
    </w:p>
    <w:p w:rsidR="00284601" w:rsidRPr="00ED77FB" w:rsidRDefault="00284601" w:rsidP="008B60B2">
      <w:pPr>
        <w:spacing w:after="60"/>
        <w:rPr>
          <w:sz w:val="17"/>
          <w:szCs w:val="17"/>
        </w:rPr>
      </w:pPr>
      <w:r w:rsidRPr="00ED77FB">
        <w:rPr>
          <w:sz w:val="17"/>
          <w:szCs w:val="17"/>
        </w:rPr>
        <w:t>[Footnote continued from previous page]</w:t>
      </w:r>
    </w:p>
  </w:footnote>
  <w:footnote w:type="continuationNotice" w:id="1">
    <w:p w:rsidR="00284601" w:rsidRPr="00ED77FB" w:rsidRDefault="0028460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33" w:rsidRDefault="00211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5E8" w:rsidRDefault="001715E8" w:rsidP="001715E8">
    <w:pPr>
      <w:bidi w:val="0"/>
      <w:rPr>
        <w:rFonts w:cs="Arial"/>
        <w:szCs w:val="20"/>
        <w:rtl/>
      </w:rPr>
    </w:pPr>
    <w:bookmarkStart w:id="5" w:name="Code2"/>
    <w:bookmarkEnd w:id="5"/>
    <w:r w:rsidRPr="001715E8">
      <w:rPr>
        <w:rFonts w:cs="Arial"/>
        <w:szCs w:val="20"/>
      </w:rPr>
      <w:t>B</w:t>
    </w:r>
    <w:r w:rsidR="00584E4A">
      <w:rPr>
        <w:rFonts w:cs="Arial"/>
        <w:szCs w:val="20"/>
      </w:rPr>
      <w:t>P/A/39/2</w:t>
    </w:r>
  </w:p>
  <w:p w:rsidR="001715E8" w:rsidRDefault="001715E8" w:rsidP="001715E8">
    <w:pPr>
      <w:bidi w:val="0"/>
      <w:rPr>
        <w:rFonts w:cs="Arial"/>
        <w:szCs w:val="20"/>
        <w:rtl/>
      </w:rPr>
    </w:pPr>
    <w:r w:rsidRPr="001715E8">
      <w:rPr>
        <w:rFonts w:cs="Arial"/>
        <w:szCs w:val="20"/>
      </w:rPr>
      <w:fldChar w:fldCharType="begin"/>
    </w:r>
    <w:r w:rsidRPr="001715E8">
      <w:rPr>
        <w:rFonts w:cs="Arial"/>
        <w:szCs w:val="20"/>
      </w:rPr>
      <w:instrText xml:space="preserve"> PAGE   \* MERGEFORMAT </w:instrText>
    </w:r>
    <w:r w:rsidRPr="001715E8">
      <w:rPr>
        <w:rFonts w:cs="Arial"/>
        <w:szCs w:val="20"/>
      </w:rPr>
      <w:fldChar w:fldCharType="separate"/>
    </w:r>
    <w:r w:rsidR="00211D33">
      <w:rPr>
        <w:rFonts w:cs="Arial"/>
        <w:noProof/>
        <w:szCs w:val="20"/>
      </w:rPr>
      <w:t>3</w:t>
    </w:r>
    <w:r w:rsidRPr="001715E8">
      <w:rPr>
        <w:rFonts w:cs="Arial"/>
        <w:noProof/>
        <w:szCs w:val="20"/>
      </w:rPr>
      <w:fldChar w:fldCharType="end"/>
    </w:r>
  </w:p>
  <w:p w:rsidR="001715E8" w:rsidRPr="001715E8" w:rsidRDefault="001715E8" w:rsidP="001715E8">
    <w:pPr>
      <w:bidi w:val="0"/>
      <w:rPr>
        <w:rFonts w:cs="Arial"/>
        <w:szCs w:val="20"/>
      </w:rPr>
    </w:pPr>
  </w:p>
  <w:p w:rsidR="001715E8" w:rsidRDefault="001715E8" w:rsidP="001715E8">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D33" w:rsidRDefault="00211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43"/>
    <w:rsid w:val="0002184E"/>
    <w:rsid w:val="0002380A"/>
    <w:rsid w:val="00043CAA"/>
    <w:rsid w:val="00056816"/>
    <w:rsid w:val="00075432"/>
    <w:rsid w:val="000814DD"/>
    <w:rsid w:val="000968ED"/>
    <w:rsid w:val="000A1C96"/>
    <w:rsid w:val="000A3D97"/>
    <w:rsid w:val="000E1310"/>
    <w:rsid w:val="000F246F"/>
    <w:rsid w:val="000F5E56"/>
    <w:rsid w:val="00126E9C"/>
    <w:rsid w:val="001362EE"/>
    <w:rsid w:val="001406E1"/>
    <w:rsid w:val="00155D8A"/>
    <w:rsid w:val="00161E5F"/>
    <w:rsid w:val="001647D5"/>
    <w:rsid w:val="001715E8"/>
    <w:rsid w:val="001832A6"/>
    <w:rsid w:val="0019592A"/>
    <w:rsid w:val="001D4107"/>
    <w:rsid w:val="001F53F8"/>
    <w:rsid w:val="00203D24"/>
    <w:rsid w:val="00210D5F"/>
    <w:rsid w:val="00211D33"/>
    <w:rsid w:val="0021217E"/>
    <w:rsid w:val="002326AB"/>
    <w:rsid w:val="00243430"/>
    <w:rsid w:val="00250FB0"/>
    <w:rsid w:val="00253F66"/>
    <w:rsid w:val="002634C4"/>
    <w:rsid w:val="00284601"/>
    <w:rsid w:val="002928D3"/>
    <w:rsid w:val="002A06AD"/>
    <w:rsid w:val="002D4D10"/>
    <w:rsid w:val="002F1FE6"/>
    <w:rsid w:val="002F4E68"/>
    <w:rsid w:val="00307B1E"/>
    <w:rsid w:val="00312F7F"/>
    <w:rsid w:val="003229FF"/>
    <w:rsid w:val="00324EFC"/>
    <w:rsid w:val="0035081D"/>
    <w:rsid w:val="00361450"/>
    <w:rsid w:val="003673CF"/>
    <w:rsid w:val="003845C1"/>
    <w:rsid w:val="00385030"/>
    <w:rsid w:val="003A6F89"/>
    <w:rsid w:val="003B355C"/>
    <w:rsid w:val="003B38C1"/>
    <w:rsid w:val="003C34E9"/>
    <w:rsid w:val="0040273E"/>
    <w:rsid w:val="00416B55"/>
    <w:rsid w:val="00423E3E"/>
    <w:rsid w:val="00427AF4"/>
    <w:rsid w:val="00461F79"/>
    <w:rsid w:val="004647DA"/>
    <w:rsid w:val="00465D2B"/>
    <w:rsid w:val="00474062"/>
    <w:rsid w:val="00477D6B"/>
    <w:rsid w:val="00487DDB"/>
    <w:rsid w:val="004C5FEC"/>
    <w:rsid w:val="005019FF"/>
    <w:rsid w:val="0053057A"/>
    <w:rsid w:val="00555756"/>
    <w:rsid w:val="00556076"/>
    <w:rsid w:val="00560A29"/>
    <w:rsid w:val="00570B8C"/>
    <w:rsid w:val="00584E4A"/>
    <w:rsid w:val="00592A6B"/>
    <w:rsid w:val="005C6649"/>
    <w:rsid w:val="005E7B89"/>
    <w:rsid w:val="005F7F43"/>
    <w:rsid w:val="00605827"/>
    <w:rsid w:val="006319F3"/>
    <w:rsid w:val="00646050"/>
    <w:rsid w:val="00661543"/>
    <w:rsid w:val="006713CA"/>
    <w:rsid w:val="00672BE5"/>
    <w:rsid w:val="00673356"/>
    <w:rsid w:val="00676C5C"/>
    <w:rsid w:val="006B5C12"/>
    <w:rsid w:val="006F1181"/>
    <w:rsid w:val="00720EFD"/>
    <w:rsid w:val="007854AF"/>
    <w:rsid w:val="00793A7C"/>
    <w:rsid w:val="007A398A"/>
    <w:rsid w:val="007C4902"/>
    <w:rsid w:val="007D1613"/>
    <w:rsid w:val="007E4C0E"/>
    <w:rsid w:val="007F2029"/>
    <w:rsid w:val="00841459"/>
    <w:rsid w:val="0089221B"/>
    <w:rsid w:val="008A134B"/>
    <w:rsid w:val="008B2CC1"/>
    <w:rsid w:val="008B60B2"/>
    <w:rsid w:val="008C1CF2"/>
    <w:rsid w:val="0090731E"/>
    <w:rsid w:val="00916EE2"/>
    <w:rsid w:val="0095657F"/>
    <w:rsid w:val="00966A22"/>
    <w:rsid w:val="0096722F"/>
    <w:rsid w:val="00980843"/>
    <w:rsid w:val="0099799E"/>
    <w:rsid w:val="009B0855"/>
    <w:rsid w:val="009C0C01"/>
    <w:rsid w:val="009C41D0"/>
    <w:rsid w:val="009E2791"/>
    <w:rsid w:val="009E3F6F"/>
    <w:rsid w:val="009F499F"/>
    <w:rsid w:val="00A37342"/>
    <w:rsid w:val="00A42DAF"/>
    <w:rsid w:val="00A45BD8"/>
    <w:rsid w:val="00A515CF"/>
    <w:rsid w:val="00A869B7"/>
    <w:rsid w:val="00A90F0A"/>
    <w:rsid w:val="00AC1DF4"/>
    <w:rsid w:val="00AC205C"/>
    <w:rsid w:val="00AE4885"/>
    <w:rsid w:val="00AF0A6B"/>
    <w:rsid w:val="00B05A69"/>
    <w:rsid w:val="00B274EA"/>
    <w:rsid w:val="00B42CA9"/>
    <w:rsid w:val="00B51FF7"/>
    <w:rsid w:val="00B710E8"/>
    <w:rsid w:val="00B75281"/>
    <w:rsid w:val="00B763C3"/>
    <w:rsid w:val="00B92F1F"/>
    <w:rsid w:val="00B9734B"/>
    <w:rsid w:val="00BA30E2"/>
    <w:rsid w:val="00BA6F83"/>
    <w:rsid w:val="00C11BFE"/>
    <w:rsid w:val="00C164B0"/>
    <w:rsid w:val="00C222A8"/>
    <w:rsid w:val="00C5068F"/>
    <w:rsid w:val="00C707B9"/>
    <w:rsid w:val="00C86D74"/>
    <w:rsid w:val="00CB3DBA"/>
    <w:rsid w:val="00CC3E2D"/>
    <w:rsid w:val="00CC5F37"/>
    <w:rsid w:val="00CD04F1"/>
    <w:rsid w:val="00CD1D00"/>
    <w:rsid w:val="00CE19F8"/>
    <w:rsid w:val="00CE353F"/>
    <w:rsid w:val="00CF681A"/>
    <w:rsid w:val="00D07C78"/>
    <w:rsid w:val="00D44612"/>
    <w:rsid w:val="00D45252"/>
    <w:rsid w:val="00D51B9D"/>
    <w:rsid w:val="00D60B2C"/>
    <w:rsid w:val="00D624F7"/>
    <w:rsid w:val="00D67EAE"/>
    <w:rsid w:val="00D71B4D"/>
    <w:rsid w:val="00D90B96"/>
    <w:rsid w:val="00D93D55"/>
    <w:rsid w:val="00DA0D9C"/>
    <w:rsid w:val="00DD6D41"/>
    <w:rsid w:val="00DD7B7F"/>
    <w:rsid w:val="00E112CF"/>
    <w:rsid w:val="00E15015"/>
    <w:rsid w:val="00E26884"/>
    <w:rsid w:val="00E319DF"/>
    <w:rsid w:val="00E335FE"/>
    <w:rsid w:val="00E34396"/>
    <w:rsid w:val="00E66CC5"/>
    <w:rsid w:val="00E7374D"/>
    <w:rsid w:val="00E741EB"/>
    <w:rsid w:val="00EA7D6E"/>
    <w:rsid w:val="00EB2F76"/>
    <w:rsid w:val="00EC260E"/>
    <w:rsid w:val="00EC4E49"/>
    <w:rsid w:val="00ED77FB"/>
    <w:rsid w:val="00EE066C"/>
    <w:rsid w:val="00EE45FA"/>
    <w:rsid w:val="00F0061B"/>
    <w:rsid w:val="00F043DE"/>
    <w:rsid w:val="00F442BC"/>
    <w:rsid w:val="00F44B7A"/>
    <w:rsid w:val="00F66152"/>
    <w:rsid w:val="00F842F5"/>
    <w:rsid w:val="00F9165B"/>
    <w:rsid w:val="00FB24BA"/>
    <w:rsid w:val="00FC482F"/>
    <w:rsid w:val="00FF02C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DAF5225-FAF3-48F1-BBBD-1B95F95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6319F3"/>
    <w:rPr>
      <w:vertAlign w:val="superscript"/>
    </w:rPr>
  </w:style>
  <w:style w:type="character" w:customStyle="1" w:styleId="HeaderChar">
    <w:name w:val="Header Char"/>
    <w:basedOn w:val="DefaultParagraphFont"/>
    <w:link w:val="Header"/>
    <w:uiPriority w:val="99"/>
    <w:rsid w:val="00DA0D9C"/>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7CE7D-BBE9-43D2-89C3-632FCA50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1176</Words>
  <Characters>6493</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BP/A/39/1 (Arabic)</vt:lpstr>
    </vt:vector>
  </TitlesOfParts>
  <Company>WIPO</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BP/A/39/2 (Arabic)</dc:title>
  <dc:creator>WIPO</dc:creator>
  <cp:keywords>PUBLIC</cp:keywords>
  <cp:lastModifiedBy>HÄFLIGER Patience</cp:lastModifiedBy>
  <cp:revision>7</cp:revision>
  <cp:lastPrinted>2022-09-23T11:39:00Z</cp:lastPrinted>
  <dcterms:created xsi:type="dcterms:W3CDTF">2022-09-23T11:39:00Z</dcterms:created>
  <dcterms:modified xsi:type="dcterms:W3CDTF">2022-09-27T12:50:00Z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