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997423"/>
    <w:p w14:paraId="75316056" w14:textId="19AEFEB7" w:rsidR="00D2664B" w:rsidRPr="008B2CC1" w:rsidRDefault="0017699B" w:rsidP="00D2664B">
      <w:pPr>
        <w:bidi/>
        <w:spacing w:after="120"/>
        <w:jc w:val="right"/>
        <w:rPr>
          <w:rtl/>
        </w:rPr>
      </w:pPr>
      <w:r>
        <w:rPr>
          <w:b/>
          <w:noProof/>
          <w:sz w:val="32"/>
          <w:szCs w:val="40"/>
        </w:rPr>
        <mc:AlternateContent>
          <mc:Choice Requires="wpg">
            <w:drawing>
              <wp:inline distT="0" distB="0" distL="0" distR="0" wp14:anchorId="696E711E" wp14:editId="4CF6866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929A4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4"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5" o:title="عربية"/>
                </v:shape>
                <w10:anchorlock/>
              </v:group>
            </w:pict>
          </mc:Fallback>
        </mc:AlternateContent>
      </w:r>
      <w:r w:rsidR="00D2664B">
        <w:rPr>
          <w:rFonts w:ascii="Arial Black" w:hAnsi="Arial Black" w:hint="cs"/>
          <w:caps/>
          <w:noProof/>
          <w:sz w:val="15"/>
          <w:rtl/>
        </w:rPr>
        <mc:AlternateContent>
          <mc:Choice Requires="wps">
            <w:drawing>
              <wp:inline distT="0" distB="0" distL="0" distR="0" wp14:anchorId="31B9A781" wp14:editId="50459D43">
                <wp:extent cx="5935980" cy="0"/>
                <wp:effectExtent l="0" t="0" r="26670" b="19050"/>
                <wp:docPr id="1382639863" name="Straight Connector 1382639863"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ACC028" id="Straight Connector 1382639863"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0249ABEC" w14:textId="77777777" w:rsidR="00D2664B" w:rsidRPr="001024FE" w:rsidRDefault="00D2664B" w:rsidP="00D2664B">
      <w:pPr>
        <w:bidi/>
        <w:jc w:val="right"/>
        <w:rPr>
          <w:rFonts w:ascii="Arial Black" w:hAnsi="Arial Black"/>
          <w:caps/>
          <w:sz w:val="15"/>
          <w:szCs w:val="15"/>
          <w:rtl/>
        </w:rPr>
      </w:pPr>
      <w:r>
        <w:rPr>
          <w:rFonts w:ascii="Arial Black" w:hAnsi="Arial Black"/>
          <w:caps/>
          <w:sz w:val="15"/>
          <w:szCs w:val="15"/>
        </w:rPr>
        <w:t>A/68/5</w:t>
      </w:r>
    </w:p>
    <w:p w14:paraId="5F5526C4" w14:textId="5EC8AE3E" w:rsidR="00D2664B" w:rsidRPr="0017699B" w:rsidRDefault="009B3879" w:rsidP="00D2664B">
      <w:pPr>
        <w:bidi/>
        <w:jc w:val="right"/>
        <w:rPr>
          <w:rFonts w:cs="Calibri"/>
          <w:b/>
          <w:bCs/>
          <w:caps/>
          <w:sz w:val="18"/>
          <w:szCs w:val="18"/>
          <w:rtl/>
        </w:rPr>
      </w:pPr>
      <w:r>
        <w:rPr>
          <w:rFonts w:cs="Calibri" w:hint="cs"/>
          <w:b/>
          <w:bCs/>
          <w:caps/>
          <w:sz w:val="18"/>
          <w:szCs w:val="18"/>
          <w:rtl/>
        </w:rPr>
        <w:t>الأصل:</w:t>
      </w:r>
      <w:r w:rsidR="00646ECC">
        <w:rPr>
          <w:rFonts w:cs="Calibri" w:hint="cs"/>
          <w:b/>
          <w:bCs/>
          <w:caps/>
          <w:sz w:val="18"/>
          <w:szCs w:val="18"/>
          <w:rtl/>
        </w:rPr>
        <w:t xml:space="preserve"> بالإنكليزية</w:t>
      </w:r>
    </w:p>
    <w:p w14:paraId="60BD2996" w14:textId="6533514A" w:rsidR="00D2664B" w:rsidRPr="0017699B" w:rsidRDefault="00D2664B" w:rsidP="00D2664B">
      <w:pPr>
        <w:bidi/>
        <w:spacing w:after="1200"/>
        <w:jc w:val="right"/>
        <w:rPr>
          <w:rFonts w:cs="Calibri"/>
          <w:b/>
          <w:bCs/>
          <w:caps/>
          <w:sz w:val="18"/>
          <w:szCs w:val="18"/>
          <w:rtl/>
        </w:rPr>
      </w:pPr>
      <w:r w:rsidRPr="0017699B">
        <w:rPr>
          <w:rFonts w:cs="Calibri" w:hint="cs"/>
          <w:b/>
          <w:bCs/>
          <w:sz w:val="18"/>
          <w:szCs w:val="18"/>
          <w:rtl/>
        </w:rPr>
        <w:t>التاريخ:</w:t>
      </w:r>
      <w:r w:rsidR="00646ECC">
        <w:rPr>
          <w:rFonts w:cs="Calibri" w:hint="cs"/>
          <w:b/>
          <w:bCs/>
          <w:sz w:val="18"/>
          <w:szCs w:val="18"/>
          <w:rtl/>
        </w:rPr>
        <w:t xml:space="preserve"> 21 مايو 2026</w:t>
      </w:r>
    </w:p>
    <w:p w14:paraId="53F13E0D" w14:textId="77777777" w:rsidR="00D2664B" w:rsidRPr="0017699B" w:rsidRDefault="00D2664B" w:rsidP="00D2664B">
      <w:pPr>
        <w:bidi/>
        <w:spacing w:after="600"/>
        <w:rPr>
          <w:rFonts w:cs="Calibri"/>
          <w:b/>
          <w:sz w:val="32"/>
          <w:szCs w:val="32"/>
          <w:rtl/>
        </w:rPr>
      </w:pPr>
      <w:r w:rsidRPr="0017699B">
        <w:rPr>
          <w:rFonts w:cs="Calibri" w:hint="cs"/>
          <w:b/>
          <w:bCs/>
          <w:sz w:val="32"/>
          <w:szCs w:val="32"/>
          <w:rtl/>
        </w:rPr>
        <w:t>جمعيات الدول الأعضاء في الويبو</w:t>
      </w:r>
    </w:p>
    <w:p w14:paraId="68E65B67" w14:textId="77777777" w:rsidR="00D2664B" w:rsidRPr="0017699B" w:rsidRDefault="00D2664B" w:rsidP="00D2664B">
      <w:pPr>
        <w:bidi/>
        <w:rPr>
          <w:rFonts w:cs="Calibri"/>
          <w:b/>
          <w:sz w:val="24"/>
          <w:szCs w:val="24"/>
          <w:rtl/>
        </w:rPr>
      </w:pPr>
      <w:r w:rsidRPr="0017699B">
        <w:rPr>
          <w:rFonts w:cs="Calibri" w:hint="cs"/>
          <w:b/>
          <w:bCs/>
          <w:sz w:val="24"/>
          <w:szCs w:val="24"/>
          <w:rtl/>
        </w:rPr>
        <w:t>سلسة الاجتماعات الثامنة والستون</w:t>
      </w:r>
    </w:p>
    <w:p w14:paraId="684D60B9" w14:textId="77777777" w:rsidR="00D2664B" w:rsidRPr="0017699B" w:rsidRDefault="00D2664B" w:rsidP="00D2664B">
      <w:pPr>
        <w:bidi/>
        <w:spacing w:after="720"/>
        <w:rPr>
          <w:rFonts w:cs="Calibri"/>
          <w:rtl/>
        </w:rPr>
      </w:pPr>
      <w:r w:rsidRPr="0017699B">
        <w:rPr>
          <w:rFonts w:cs="Calibri" w:hint="cs"/>
          <w:b/>
          <w:bCs/>
          <w:sz w:val="24"/>
          <w:szCs w:val="24"/>
          <w:rtl/>
        </w:rPr>
        <w:t>جنيف، من 7 إلى 15 يوليو 2026</w:t>
      </w:r>
    </w:p>
    <w:p w14:paraId="7B847F08" w14:textId="0D39A41D" w:rsidR="00D2664B" w:rsidRPr="0017699B" w:rsidRDefault="00D2664B" w:rsidP="00D2664B">
      <w:pPr>
        <w:bidi/>
        <w:spacing w:after="360"/>
        <w:rPr>
          <w:rFonts w:cs="Calibri"/>
          <w:caps/>
          <w:sz w:val="28"/>
          <w:szCs w:val="24"/>
          <w:rtl/>
        </w:rPr>
      </w:pPr>
      <w:r w:rsidRPr="0017699B">
        <w:rPr>
          <w:rFonts w:cs="Calibri" w:hint="cs"/>
          <w:caps/>
          <w:sz w:val="28"/>
          <w:szCs w:val="28"/>
          <w:rtl/>
        </w:rPr>
        <w:t>تقرير المدقق الخارجي عن البيانات المالية</w:t>
      </w:r>
    </w:p>
    <w:p w14:paraId="250A5057" w14:textId="77777777" w:rsidR="00D2664B" w:rsidRPr="0017699B" w:rsidRDefault="00D2664B" w:rsidP="00D2664B">
      <w:pPr>
        <w:bidi/>
        <w:spacing w:after="960"/>
        <w:rPr>
          <w:rFonts w:cs="Calibri"/>
          <w:i/>
          <w:rtl/>
        </w:rPr>
      </w:pPr>
      <w:r w:rsidRPr="0017699B">
        <w:rPr>
          <w:rFonts w:cs="Calibri" w:hint="cs"/>
          <w:i/>
          <w:iCs/>
          <w:rtl/>
        </w:rPr>
        <w:t>من إعداد الأمانة</w:t>
      </w:r>
    </w:p>
    <w:p w14:paraId="17B8EBF4" w14:textId="51869253" w:rsidR="00D2664B" w:rsidRPr="0017699B" w:rsidRDefault="00D2664B" w:rsidP="008E3F34">
      <w:pPr>
        <w:pStyle w:val="ListParagraph"/>
        <w:numPr>
          <w:ilvl w:val="0"/>
          <w:numId w:val="39"/>
        </w:numPr>
        <w:bidi/>
        <w:ind w:left="0" w:firstLine="0"/>
        <w:rPr>
          <w:rFonts w:cs="Calibri"/>
          <w:sz w:val="24"/>
          <w:szCs w:val="24"/>
          <w:rtl/>
        </w:rPr>
      </w:pPr>
      <w:r w:rsidRPr="0017699B">
        <w:rPr>
          <w:rFonts w:cs="Calibri" w:hint="cs"/>
          <w:rtl/>
        </w:rPr>
        <w:t>تحتوي هذه الوثيقة الحالية على "تقرير المدقق الخارجي</w:t>
      </w:r>
      <w:r w:rsidR="00646ECC">
        <w:rPr>
          <w:rFonts w:cs="Calibri" w:hint="cs"/>
          <w:rtl/>
        </w:rPr>
        <w:t xml:space="preserve"> في البيانات المالية</w:t>
      </w:r>
      <w:r w:rsidRPr="0017699B">
        <w:rPr>
          <w:rFonts w:cs="Calibri" w:hint="cs"/>
          <w:rtl/>
        </w:rPr>
        <w:t xml:space="preserve">" (الوثيقة </w:t>
      </w:r>
      <w:r w:rsidRPr="0017699B">
        <w:rPr>
          <w:rFonts w:cs="Calibri"/>
        </w:rPr>
        <w:t>WO/PBC/40/3</w:t>
      </w:r>
      <w:r w:rsidRPr="0017699B">
        <w:rPr>
          <w:rFonts w:cs="Calibri" w:hint="cs"/>
          <w:rtl/>
        </w:rPr>
        <w:t>)، المقدم إلى لجنة الويبو للبرنامج والميزانية (لجنة الميزانية) في دورتها الأربعين (من 15 إلى 19 يونيو 2026).</w:t>
      </w:r>
    </w:p>
    <w:p w14:paraId="2C40BB05" w14:textId="77777777" w:rsidR="00D2664B" w:rsidRPr="0017699B" w:rsidRDefault="00D2664B" w:rsidP="00D2664B">
      <w:pPr>
        <w:spacing w:line="256" w:lineRule="auto"/>
        <w:ind w:left="720" w:hanging="990"/>
        <w:contextualSpacing/>
        <w:rPr>
          <w:rFonts w:eastAsia="Calibri" w:cs="Calibri"/>
        </w:rPr>
      </w:pPr>
    </w:p>
    <w:p w14:paraId="4A537E51" w14:textId="0E96AD3E" w:rsidR="00D2664B" w:rsidRPr="0017699B" w:rsidRDefault="00D2664B" w:rsidP="008E3F34">
      <w:pPr>
        <w:pStyle w:val="ListParagraph"/>
        <w:numPr>
          <w:ilvl w:val="0"/>
          <w:numId w:val="39"/>
        </w:numPr>
        <w:bidi/>
        <w:ind w:left="0" w:firstLine="0"/>
        <w:rPr>
          <w:rFonts w:eastAsia="Calibri" w:cs="Calibri"/>
          <w:rtl/>
        </w:rPr>
      </w:pPr>
      <w:r w:rsidRPr="0017699B">
        <w:rPr>
          <w:rFonts w:cs="Calibri" w:hint="cs"/>
          <w:rtl/>
        </w:rPr>
        <w:t>وترد أي قرارات للجنة الميزانية بشأن تلك الوثيقة في "قائمة القرارات التي اتخذتها لجنة البرنامج والميزانية" (الوثيقة</w:t>
      </w:r>
      <w:r w:rsidR="009B3879">
        <w:rPr>
          <w:rFonts w:cs="Calibri" w:hint="eastAsia"/>
          <w:rtl/>
        </w:rPr>
        <w:t> </w:t>
      </w:r>
      <w:r w:rsidRPr="0017699B">
        <w:rPr>
          <w:rFonts w:cs="Calibri"/>
        </w:rPr>
        <w:t>A/68/6</w:t>
      </w:r>
      <w:r w:rsidRPr="0017699B">
        <w:rPr>
          <w:rFonts w:cs="Calibri" w:hint="cs"/>
          <w:rtl/>
        </w:rPr>
        <w:t>).</w:t>
      </w:r>
    </w:p>
    <w:p w14:paraId="0021B88E" w14:textId="77777777" w:rsidR="00D2664B" w:rsidRPr="0017699B" w:rsidRDefault="00D2664B" w:rsidP="00D2664B">
      <w:pPr>
        <w:spacing w:line="256" w:lineRule="auto"/>
        <w:ind w:left="720" w:hanging="990"/>
        <w:contextualSpacing/>
        <w:rPr>
          <w:rFonts w:eastAsia="Calibri" w:cs="Calibri"/>
        </w:rPr>
      </w:pPr>
    </w:p>
    <w:p w14:paraId="28B1CBDF" w14:textId="77777777" w:rsidR="00D2664B" w:rsidRPr="0017699B" w:rsidRDefault="00D2664B" w:rsidP="00D2664B">
      <w:pPr>
        <w:spacing w:line="256" w:lineRule="auto"/>
        <w:ind w:left="720" w:hanging="990"/>
        <w:contextualSpacing/>
        <w:rPr>
          <w:rFonts w:eastAsia="Calibri" w:cs="Calibri"/>
        </w:rPr>
      </w:pPr>
    </w:p>
    <w:p w14:paraId="47E6EAE7" w14:textId="77777777" w:rsidR="00D2664B" w:rsidRPr="0017699B" w:rsidRDefault="00D2664B" w:rsidP="00D2664B">
      <w:pPr>
        <w:spacing w:line="256" w:lineRule="auto"/>
        <w:ind w:left="720" w:hanging="990"/>
        <w:contextualSpacing/>
        <w:rPr>
          <w:rFonts w:eastAsia="Calibri" w:cs="Calibri"/>
        </w:rPr>
      </w:pPr>
    </w:p>
    <w:p w14:paraId="00CE6D53" w14:textId="288BC391" w:rsidR="00D2664B" w:rsidRPr="0017699B" w:rsidRDefault="00D2664B" w:rsidP="00D2664B">
      <w:pPr>
        <w:bidi/>
        <w:spacing w:after="220"/>
        <w:ind w:left="5103" w:hanging="990"/>
        <w:rPr>
          <w:rFonts w:cs="Calibri"/>
          <w:rtl/>
        </w:rPr>
      </w:pPr>
      <w:r w:rsidRPr="0017699B">
        <w:rPr>
          <w:rFonts w:cs="Calibri" w:hint="cs"/>
          <w:rtl/>
        </w:rPr>
        <w:t xml:space="preserve">[تلي ذلك الوثيقة </w:t>
      </w:r>
      <w:r w:rsidRPr="0017699B">
        <w:rPr>
          <w:rFonts w:cs="Calibri"/>
        </w:rPr>
        <w:t>WO/PBC/40/3</w:t>
      </w:r>
      <w:r w:rsidR="0017699B">
        <w:rPr>
          <w:rFonts w:cs="Calibri" w:hint="cs"/>
          <w:rtl/>
        </w:rPr>
        <w:t>]</w:t>
      </w:r>
    </w:p>
    <w:p w14:paraId="0A44AE9F" w14:textId="77777777" w:rsidR="00D2664B" w:rsidRPr="0017699B" w:rsidRDefault="00D2664B" w:rsidP="00D2664B">
      <w:pPr>
        <w:spacing w:after="220"/>
        <w:rPr>
          <w:rFonts w:cs="Calibri"/>
        </w:rPr>
      </w:pPr>
    </w:p>
    <w:p w14:paraId="07EBB659" w14:textId="77777777" w:rsidR="00D2664B" w:rsidRPr="0017699B" w:rsidRDefault="00D2664B" w:rsidP="00D2664B">
      <w:pPr>
        <w:spacing w:after="120"/>
        <w:jc w:val="right"/>
        <w:rPr>
          <w:rFonts w:cs="Calibri"/>
        </w:rPr>
      </w:pPr>
    </w:p>
    <w:p w14:paraId="78BF363A" w14:textId="77777777" w:rsidR="00D2664B" w:rsidRPr="0017699B" w:rsidRDefault="00D2664B" w:rsidP="00D2664B">
      <w:pPr>
        <w:spacing w:after="120"/>
        <w:jc w:val="right"/>
        <w:rPr>
          <w:rFonts w:cs="Calibri"/>
        </w:rPr>
      </w:pPr>
    </w:p>
    <w:p w14:paraId="5A9058F9" w14:textId="77777777" w:rsidR="00D2664B" w:rsidRPr="0017699B" w:rsidRDefault="00D2664B" w:rsidP="00D2664B">
      <w:pPr>
        <w:spacing w:after="120"/>
        <w:jc w:val="right"/>
        <w:rPr>
          <w:rFonts w:cs="Calibri"/>
        </w:rPr>
      </w:pPr>
    </w:p>
    <w:p w14:paraId="6EB24177" w14:textId="77777777" w:rsidR="00D2664B" w:rsidRPr="0017699B" w:rsidRDefault="00D2664B" w:rsidP="00D2664B">
      <w:pPr>
        <w:spacing w:after="120"/>
        <w:jc w:val="right"/>
        <w:rPr>
          <w:rFonts w:cs="Calibri"/>
        </w:rPr>
      </w:pPr>
    </w:p>
    <w:p w14:paraId="4786597B" w14:textId="77777777" w:rsidR="00D2664B" w:rsidRPr="0017699B" w:rsidRDefault="00D2664B" w:rsidP="00D2664B">
      <w:pPr>
        <w:spacing w:after="120"/>
        <w:jc w:val="right"/>
        <w:rPr>
          <w:rFonts w:cs="Calibri"/>
        </w:rPr>
      </w:pPr>
    </w:p>
    <w:p w14:paraId="0823A937" w14:textId="77777777" w:rsidR="00D2664B" w:rsidRPr="0017699B" w:rsidRDefault="00D2664B" w:rsidP="00D2664B">
      <w:pPr>
        <w:spacing w:after="120"/>
        <w:jc w:val="right"/>
        <w:rPr>
          <w:rFonts w:cs="Calibri"/>
        </w:rPr>
      </w:pPr>
    </w:p>
    <w:p w14:paraId="5B1F5B2D" w14:textId="77777777" w:rsidR="00D2664B" w:rsidRDefault="00D2664B" w:rsidP="00D2664B">
      <w:pPr>
        <w:spacing w:after="120"/>
        <w:jc w:val="right"/>
      </w:pPr>
    </w:p>
    <w:p w14:paraId="5CF9B007" w14:textId="77777777" w:rsidR="00D2664B" w:rsidRDefault="00D2664B" w:rsidP="00D2664B">
      <w:pPr>
        <w:spacing w:after="120"/>
        <w:jc w:val="right"/>
        <w:sectPr w:rsidR="00D2664B" w:rsidSect="00D2664B">
          <w:headerReference w:type="default" r:id="rId16"/>
          <w:endnotePr>
            <w:numFmt w:val="decimal"/>
          </w:endnotePr>
          <w:pgSz w:w="11907" w:h="16840" w:code="9"/>
          <w:pgMar w:top="567" w:right="1134" w:bottom="1418" w:left="1418" w:header="510" w:footer="1021" w:gutter="0"/>
          <w:cols w:space="720"/>
          <w:titlePg/>
          <w:docGrid w:linePitch="299"/>
        </w:sectPr>
      </w:pPr>
    </w:p>
    <w:p w14:paraId="71E2DED9" w14:textId="1345057D" w:rsidR="00D2664B" w:rsidRPr="008B2CC1" w:rsidRDefault="0017699B" w:rsidP="005F17C3">
      <w:pPr>
        <w:bidi/>
        <w:spacing w:after="120"/>
        <w:jc w:val="right"/>
        <w:rPr>
          <w:rtl/>
        </w:rPr>
      </w:pPr>
      <w:r>
        <w:rPr>
          <w:b/>
          <w:noProof/>
          <w:sz w:val="32"/>
          <w:szCs w:val="40"/>
        </w:rPr>
        <w:lastRenderedPageBreak/>
        <mc:AlternateContent>
          <mc:Choice Requires="wpg">
            <w:drawing>
              <wp:inline distT="0" distB="0" distL="0" distR="0" wp14:anchorId="59F059BC" wp14:editId="74AF6C84">
                <wp:extent cx="2777259" cy="1333500"/>
                <wp:effectExtent l="0" t="0" r="4445" b="0"/>
                <wp:docPr id="46321553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07682201" name="Picture 607682201" descr="شعار المنظمة العالمية للملكية الفكرية (الويبو)" title="شعار الويبو"/>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021500811" name="Picture 1021500811" descr="عربية" title="عربية"/>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774F9A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">
                <v:shape id="Picture 607682201"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">
                  <v:imagedata r:id="rId14" o:title="شعار المنظمة العالمية للملكية الفكرية (الويبو)"/>
                </v:shape>
                <v:shape id="Picture 1021500811"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">
                  <v:imagedata r:id="rId15" o:title="عربية"/>
                </v:shape>
                <w10:anchorlock/>
              </v:group>
            </w:pict>
          </mc:Fallback>
        </mc:AlternateContent>
      </w:r>
      <w:r w:rsidR="00D2664B">
        <w:rPr>
          <w:rFonts w:ascii="Arial Black" w:hAnsi="Arial Black" w:hint="cs"/>
          <w:caps/>
          <w:noProof/>
          <w:sz w:val="15"/>
          <w:rtl/>
        </w:rPr>
        <mc:AlternateContent>
          <mc:Choice Requires="wps">
            <w:drawing>
              <wp:inline distT="0" distB="0" distL="0" distR="0" wp14:anchorId="64EEA9F6" wp14:editId="42D57DB9">
                <wp:extent cx="5935980" cy="0"/>
                <wp:effectExtent l="0" t="0" r="26670" b="19050"/>
                <wp:docPr id="1416572068" name="Straight Connector 1416572068"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41A7FA4" id="Straight Connector 1416572068"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278C10A9" w14:textId="65E0D1F2" w:rsidR="00D2664B" w:rsidRPr="0017699B" w:rsidRDefault="00D2664B" w:rsidP="0017699B">
      <w:pPr>
        <w:rPr>
          <w:rFonts w:ascii="Arial Black" w:hAnsi="Arial Black"/>
          <w:caps/>
          <w:sz w:val="15"/>
          <w:szCs w:val="15"/>
          <w:rtl/>
          <w:lang w:val="fr-CH"/>
        </w:rPr>
      </w:pPr>
      <w:r>
        <w:rPr>
          <w:rFonts w:ascii="Arial Black" w:hAnsi="Arial Black"/>
          <w:caps/>
          <w:sz w:val="15"/>
          <w:szCs w:val="15"/>
        </w:rPr>
        <w:t>WO/PBC/40</w:t>
      </w:r>
      <w:r w:rsidR="0017699B">
        <w:rPr>
          <w:rFonts w:ascii="Arial Black" w:hAnsi="Arial Black"/>
          <w:caps/>
          <w:sz w:val="15"/>
          <w:szCs w:val="15"/>
          <w:lang w:val="fr-CH"/>
        </w:rPr>
        <w:t>/3</w:t>
      </w:r>
    </w:p>
    <w:p w14:paraId="4367F78A" w14:textId="77777777" w:rsidR="00D2664B" w:rsidRPr="009B3879" w:rsidRDefault="00D2664B" w:rsidP="00D2664B">
      <w:pPr>
        <w:bidi/>
        <w:jc w:val="right"/>
        <w:rPr>
          <w:rFonts w:cs="Calibri"/>
          <w:b/>
          <w:bCs/>
          <w:caps/>
          <w:sz w:val="15"/>
          <w:szCs w:val="15"/>
          <w:rtl/>
        </w:rPr>
      </w:pPr>
      <w:r w:rsidRPr="009B3879">
        <w:rPr>
          <w:rFonts w:cs="Calibri" w:hint="cs"/>
          <w:b/>
          <w:bCs/>
          <w:caps/>
          <w:sz w:val="15"/>
          <w:szCs w:val="15"/>
          <w:rtl/>
        </w:rPr>
        <w:t>الأصل:</w:t>
      </w:r>
      <w:bookmarkStart w:id="2" w:name="Original"/>
      <w:r w:rsidRPr="009B3879">
        <w:rPr>
          <w:rFonts w:cs="Calibri" w:hint="cs"/>
          <w:b/>
          <w:bCs/>
          <w:caps/>
          <w:sz w:val="15"/>
          <w:szCs w:val="15"/>
          <w:rtl/>
        </w:rPr>
        <w:t xml:space="preserve"> بالإنكليزية</w:t>
      </w:r>
    </w:p>
    <w:bookmarkEnd w:id="2"/>
    <w:p w14:paraId="0690424D" w14:textId="5A6633CB" w:rsidR="00D2664B" w:rsidRPr="009B3879" w:rsidRDefault="00D2664B" w:rsidP="00D2664B">
      <w:pPr>
        <w:bidi/>
        <w:spacing w:after="1200"/>
        <w:jc w:val="right"/>
        <w:rPr>
          <w:rFonts w:cs="Calibri"/>
          <w:b/>
          <w:bCs/>
          <w:caps/>
          <w:sz w:val="15"/>
          <w:szCs w:val="15"/>
          <w:rtl/>
        </w:rPr>
      </w:pPr>
      <w:r w:rsidRPr="009B3879">
        <w:rPr>
          <w:rFonts w:cs="Calibri" w:hint="cs"/>
          <w:b/>
          <w:bCs/>
          <w:rtl/>
        </w:rPr>
        <w:t xml:space="preserve">التاريخ: </w:t>
      </w:r>
      <w:bookmarkStart w:id="3" w:name="Date"/>
      <w:r w:rsidR="00D45187">
        <w:rPr>
          <w:rFonts w:cs="Calibri" w:hint="cs"/>
          <w:b/>
          <w:bCs/>
          <w:rtl/>
        </w:rPr>
        <w:t>21</w:t>
      </w:r>
      <w:r w:rsidRPr="009B3879">
        <w:rPr>
          <w:rFonts w:cs="Calibri" w:hint="cs"/>
          <w:b/>
          <w:bCs/>
          <w:rtl/>
        </w:rPr>
        <w:t xml:space="preserve"> مايو 2026</w:t>
      </w:r>
    </w:p>
    <w:bookmarkEnd w:id="3"/>
    <w:p w14:paraId="674C3D4A" w14:textId="77777777" w:rsidR="00D2664B" w:rsidRPr="009B3879" w:rsidRDefault="00D2664B" w:rsidP="00225299">
      <w:pPr>
        <w:bidi/>
        <w:spacing w:after="600"/>
        <w:rPr>
          <w:rFonts w:cs="Calibri"/>
          <w:b/>
          <w:sz w:val="32"/>
          <w:szCs w:val="32"/>
          <w:rtl/>
        </w:rPr>
      </w:pPr>
      <w:r w:rsidRPr="009B3879">
        <w:rPr>
          <w:rFonts w:cs="Calibri" w:hint="cs"/>
          <w:b/>
          <w:bCs/>
          <w:sz w:val="32"/>
          <w:szCs w:val="32"/>
          <w:rtl/>
        </w:rPr>
        <w:t>لجنة البرنامج والميزانية</w:t>
      </w:r>
    </w:p>
    <w:p w14:paraId="72D83E5C" w14:textId="77777777" w:rsidR="00D2664B" w:rsidRPr="0017699B" w:rsidRDefault="00D2664B" w:rsidP="00D2664B">
      <w:pPr>
        <w:bidi/>
        <w:rPr>
          <w:rFonts w:cs="Calibri"/>
          <w:b/>
          <w:sz w:val="24"/>
          <w:szCs w:val="24"/>
          <w:rtl/>
        </w:rPr>
      </w:pPr>
      <w:r w:rsidRPr="0017699B">
        <w:rPr>
          <w:rFonts w:cs="Calibri" w:hint="cs"/>
          <w:b/>
          <w:bCs/>
          <w:sz w:val="24"/>
          <w:szCs w:val="24"/>
          <w:rtl/>
        </w:rPr>
        <w:t>الدورة الأربعون</w:t>
      </w:r>
    </w:p>
    <w:p w14:paraId="6CDD40A3" w14:textId="77777777" w:rsidR="00D2664B" w:rsidRPr="0017699B" w:rsidRDefault="00D2664B" w:rsidP="00D2664B">
      <w:pPr>
        <w:bidi/>
        <w:spacing w:after="720"/>
        <w:rPr>
          <w:rFonts w:cs="Calibri"/>
          <w:rtl/>
        </w:rPr>
      </w:pPr>
      <w:r w:rsidRPr="0017699B">
        <w:rPr>
          <w:rFonts w:cs="Calibri" w:hint="cs"/>
          <w:b/>
          <w:bCs/>
          <w:sz w:val="24"/>
          <w:szCs w:val="24"/>
          <w:rtl/>
        </w:rPr>
        <w:t>جنيف، من 15 إلى 19 يونيو 2026</w:t>
      </w:r>
    </w:p>
    <w:p w14:paraId="7F0598BC" w14:textId="622F3AFA" w:rsidR="00D2664B" w:rsidRPr="009B3879" w:rsidRDefault="00D2664B" w:rsidP="00D2664B">
      <w:pPr>
        <w:bidi/>
        <w:spacing w:after="360"/>
        <w:rPr>
          <w:rFonts w:cs="Calibri"/>
          <w:caps/>
          <w:sz w:val="28"/>
          <w:szCs w:val="24"/>
          <w:rtl/>
        </w:rPr>
      </w:pPr>
      <w:bookmarkStart w:id="4" w:name="TitleOfDoc"/>
      <w:r w:rsidRPr="009B3879">
        <w:rPr>
          <w:rFonts w:cs="Calibri" w:hint="cs"/>
          <w:caps/>
          <w:sz w:val="28"/>
          <w:szCs w:val="28"/>
          <w:rtl/>
        </w:rPr>
        <w:t xml:space="preserve">تقرير </w:t>
      </w:r>
      <w:r w:rsidR="009B3879">
        <w:rPr>
          <w:rFonts w:cs="Calibri" w:hint="cs"/>
          <w:caps/>
          <w:sz w:val="28"/>
          <w:szCs w:val="28"/>
          <w:rtl/>
        </w:rPr>
        <w:t xml:space="preserve">المدقق </w:t>
      </w:r>
      <w:r w:rsidRPr="009B3879">
        <w:rPr>
          <w:rFonts w:cs="Calibri" w:hint="cs"/>
          <w:caps/>
          <w:sz w:val="28"/>
          <w:szCs w:val="28"/>
          <w:rtl/>
        </w:rPr>
        <w:t>الخارجي عن البيانات المالية</w:t>
      </w:r>
    </w:p>
    <w:p w14:paraId="14C15751" w14:textId="77777777" w:rsidR="00D2664B" w:rsidRPr="0017699B" w:rsidRDefault="00D2664B" w:rsidP="00B65CF6">
      <w:pPr>
        <w:bidi/>
        <w:spacing w:after="480"/>
        <w:rPr>
          <w:rFonts w:cs="Calibri"/>
          <w:i/>
          <w:rtl/>
        </w:rPr>
      </w:pPr>
      <w:bookmarkStart w:id="5" w:name="Prepared"/>
      <w:bookmarkEnd w:id="4"/>
      <w:r w:rsidRPr="0017699B">
        <w:rPr>
          <w:rFonts w:cs="Calibri" w:hint="cs"/>
          <w:i/>
          <w:iCs/>
          <w:rtl/>
        </w:rPr>
        <w:t>من إعداد الأمانة</w:t>
      </w:r>
    </w:p>
    <w:bookmarkEnd w:id="5"/>
    <w:p w14:paraId="0837980C" w14:textId="77777777" w:rsidR="00D45187" w:rsidRDefault="00D2664B" w:rsidP="00D45187">
      <w:pPr>
        <w:pStyle w:val="ListParagraph"/>
        <w:numPr>
          <w:ilvl w:val="0"/>
          <w:numId w:val="40"/>
        </w:numPr>
        <w:bidi/>
        <w:spacing w:after="220"/>
        <w:rPr>
          <w:rFonts w:cs="Calibri"/>
        </w:rPr>
      </w:pPr>
      <w:r w:rsidRPr="00D45187">
        <w:rPr>
          <w:rFonts w:cs="Calibri" w:hint="cs"/>
          <w:rtl/>
        </w:rPr>
        <w:t>تشتمل هذه الوثيقة على</w:t>
      </w:r>
      <w:r w:rsidR="00D45187" w:rsidRPr="00D45187">
        <w:rPr>
          <w:rFonts w:cs="Calibri" w:hint="cs"/>
          <w:rtl/>
        </w:rPr>
        <w:t xml:space="preserve"> </w:t>
      </w:r>
      <w:r w:rsidRPr="00D45187">
        <w:rPr>
          <w:rFonts w:cs="Calibri" w:hint="cs"/>
          <w:rtl/>
        </w:rPr>
        <w:t xml:space="preserve">تقرير المدقق </w:t>
      </w:r>
      <w:r w:rsidR="00D45187" w:rsidRPr="00D45187">
        <w:rPr>
          <w:rFonts w:cs="Calibri" w:hint="cs"/>
          <w:rtl/>
        </w:rPr>
        <w:t>الخارجي</w:t>
      </w:r>
      <w:r w:rsidRPr="00D45187">
        <w:rPr>
          <w:rFonts w:cs="Calibri" w:hint="cs"/>
          <w:rtl/>
        </w:rPr>
        <w:t xml:space="preserve"> الذي يحتوي على رأي المدقق الخارجي بشأن البيانات المالية للمنظمة العالمية للملكية الفكرية (الويبو) للسنة المنتهية في 31 ديسمبر 2025؛</w:t>
      </w:r>
    </w:p>
    <w:p w14:paraId="7CF8809C" w14:textId="77777777" w:rsidR="00D45187" w:rsidRPr="00D45187" w:rsidRDefault="00D45187" w:rsidP="00D45187">
      <w:pPr>
        <w:bidi/>
        <w:spacing w:after="220"/>
        <w:ind w:left="360"/>
        <w:rPr>
          <w:rFonts w:cs="Calibri"/>
        </w:rPr>
      </w:pPr>
    </w:p>
    <w:p w14:paraId="7230AF54" w14:textId="77777777" w:rsidR="00D45187" w:rsidRDefault="00D45187" w:rsidP="00D45187">
      <w:pPr>
        <w:pStyle w:val="ListParagraph"/>
        <w:bidi/>
        <w:spacing w:after="220"/>
        <w:rPr>
          <w:rFonts w:cs="Calibri"/>
        </w:rPr>
      </w:pPr>
    </w:p>
    <w:p w14:paraId="6B40DCDC" w14:textId="77777777" w:rsidR="00D45187" w:rsidRDefault="00D45187" w:rsidP="00D45187">
      <w:pPr>
        <w:pStyle w:val="ListParagraph"/>
        <w:bidi/>
        <w:spacing w:after="220"/>
        <w:rPr>
          <w:rFonts w:cs="Calibri"/>
        </w:rPr>
      </w:pPr>
    </w:p>
    <w:p w14:paraId="46F8B94D" w14:textId="50C33123" w:rsidR="00D2664B" w:rsidRPr="00D45187" w:rsidRDefault="00D2664B" w:rsidP="00D45187">
      <w:pPr>
        <w:pStyle w:val="ListParagraph"/>
        <w:numPr>
          <w:ilvl w:val="0"/>
          <w:numId w:val="40"/>
        </w:numPr>
        <w:bidi/>
        <w:spacing w:after="220"/>
        <w:rPr>
          <w:rFonts w:cs="Calibri"/>
          <w:rtl/>
        </w:rPr>
      </w:pPr>
      <w:r w:rsidRPr="00D45187">
        <w:rPr>
          <w:rFonts w:cs="Calibri" w:hint="cs"/>
          <w:rtl/>
        </w:rPr>
        <w:t>وترد فيما يلي فقرة القرار المقترحة.</w:t>
      </w:r>
    </w:p>
    <w:p w14:paraId="4EE99EBB" w14:textId="77777777" w:rsidR="00D2664B" w:rsidRPr="0017699B" w:rsidRDefault="00D2664B" w:rsidP="00D2664B">
      <w:pPr>
        <w:pStyle w:val="ListParagraph"/>
        <w:spacing w:after="220"/>
        <w:ind w:left="780"/>
        <w:rPr>
          <w:rFonts w:cs="Calibri"/>
        </w:rPr>
      </w:pPr>
    </w:p>
    <w:p w14:paraId="737B4B04" w14:textId="13F48683" w:rsidR="00D2664B" w:rsidRPr="00D45187" w:rsidRDefault="00D45187" w:rsidP="00D45187">
      <w:pPr>
        <w:tabs>
          <w:tab w:val="left" w:pos="5580"/>
        </w:tabs>
        <w:bidi/>
        <w:spacing w:after="220"/>
        <w:ind w:left="4680"/>
        <w:rPr>
          <w:rFonts w:cs="Calibri"/>
          <w:i/>
          <w:iCs/>
          <w:rtl/>
        </w:rPr>
      </w:pPr>
      <w:r w:rsidRPr="00D45187">
        <w:rPr>
          <w:rFonts w:cs="Calibri" w:hint="cs"/>
          <w:i/>
          <w:iCs/>
          <w:rtl/>
        </w:rPr>
        <w:t xml:space="preserve">3. </w:t>
      </w:r>
      <w:r w:rsidR="00D2664B" w:rsidRPr="00D45187">
        <w:rPr>
          <w:rFonts w:cs="Calibri" w:hint="cs"/>
          <w:i/>
          <w:iCs/>
          <w:rtl/>
        </w:rPr>
        <w:t xml:space="preserve"> أوصت لجنة البرنامج والميزانية جمعيات الويبو، كل فيما يعنيه، بالإحاطة علماً بمضمون "تقرير المدقق الخارجي</w:t>
      </w:r>
      <w:r>
        <w:rPr>
          <w:rFonts w:cs="Calibri" w:hint="cs"/>
          <w:i/>
          <w:iCs/>
          <w:rtl/>
        </w:rPr>
        <w:t xml:space="preserve"> بشأن البيانات المالية</w:t>
      </w:r>
      <w:r w:rsidR="00D2664B" w:rsidRPr="00D45187">
        <w:rPr>
          <w:rFonts w:cs="Calibri" w:hint="cs"/>
          <w:i/>
          <w:iCs/>
          <w:rtl/>
        </w:rPr>
        <w:t xml:space="preserve">" (الوثيقة </w:t>
      </w:r>
      <w:r w:rsidR="00D2664B" w:rsidRPr="00D45187">
        <w:rPr>
          <w:rFonts w:cs="Calibri"/>
          <w:i/>
          <w:iCs/>
        </w:rPr>
        <w:t>WO/PBC/40/3</w:t>
      </w:r>
      <w:r w:rsidR="00D2664B" w:rsidRPr="00D45187">
        <w:rPr>
          <w:rFonts w:cs="Calibri" w:hint="cs"/>
          <w:i/>
          <w:iCs/>
          <w:rtl/>
        </w:rPr>
        <w:t>).</w:t>
      </w:r>
    </w:p>
    <w:p w14:paraId="5BF9C58C" w14:textId="77777777" w:rsidR="00D2664B" w:rsidRPr="0017699B" w:rsidRDefault="00D2664B" w:rsidP="00D2664B">
      <w:pPr>
        <w:pStyle w:val="ListParagraph"/>
        <w:rPr>
          <w:rFonts w:cs="Calibri"/>
          <w:i/>
          <w:iCs/>
        </w:rPr>
      </w:pPr>
    </w:p>
    <w:p w14:paraId="181C77AF" w14:textId="77777777" w:rsidR="00D2664B" w:rsidRPr="0017699B" w:rsidRDefault="00D2664B" w:rsidP="00D2664B">
      <w:pPr>
        <w:rPr>
          <w:rFonts w:cs="Calibri"/>
        </w:rPr>
      </w:pPr>
    </w:p>
    <w:p w14:paraId="172836AA" w14:textId="77777777" w:rsidR="00D2664B" w:rsidRPr="0017699B" w:rsidRDefault="00D2664B" w:rsidP="00D2664B">
      <w:pPr>
        <w:ind w:firstLine="4680"/>
        <w:rPr>
          <w:rFonts w:cs="Calibri"/>
        </w:rPr>
      </w:pPr>
    </w:p>
    <w:p w14:paraId="7CC5D32C" w14:textId="66706745" w:rsidR="00D2664B" w:rsidRPr="0017699B" w:rsidRDefault="00D2664B" w:rsidP="00D2664B">
      <w:pPr>
        <w:bidi/>
        <w:ind w:firstLine="4680"/>
        <w:rPr>
          <w:rFonts w:cs="Calibri"/>
          <w:rtl/>
        </w:rPr>
      </w:pPr>
      <w:r w:rsidRPr="0017699B">
        <w:rPr>
          <w:rFonts w:cs="Calibri" w:hint="cs"/>
          <w:rtl/>
        </w:rPr>
        <w:t>[يلي ذلك تقرير المدقق الخارجي]</w:t>
      </w:r>
    </w:p>
    <w:p w14:paraId="76FB9969" w14:textId="77777777" w:rsidR="009B3879" w:rsidRDefault="009B3879" w:rsidP="00CD66EC">
      <w:pPr>
        <w:bidi/>
        <w:rPr>
          <w:rFonts w:eastAsia="Aptos" w:cs="Calibri"/>
          <w:kern w:val="2"/>
          <w:sz w:val="24"/>
          <w:szCs w:val="24"/>
          <w:rtl/>
          <w14:ligatures w14:val="standardContextual"/>
        </w:rPr>
      </w:pPr>
    </w:p>
    <w:p w14:paraId="09CD6246" w14:textId="77777777" w:rsidR="009B3879" w:rsidRDefault="009B3879" w:rsidP="009B3879">
      <w:pPr>
        <w:bidi/>
        <w:rPr>
          <w:rFonts w:eastAsia="Aptos" w:cs="Calibri"/>
          <w:kern w:val="2"/>
          <w:sz w:val="24"/>
          <w:szCs w:val="24"/>
          <w:rtl/>
          <w14:ligatures w14:val="standardContextual"/>
        </w:rPr>
      </w:pPr>
    </w:p>
    <w:p w14:paraId="5612CF8C" w14:textId="77777777" w:rsidR="009B3879" w:rsidRDefault="009B3879" w:rsidP="009B3879">
      <w:pPr>
        <w:bidi/>
        <w:rPr>
          <w:rFonts w:eastAsia="Aptos" w:cs="Calibri"/>
          <w:kern w:val="2"/>
          <w:sz w:val="24"/>
          <w:szCs w:val="24"/>
          <w:rtl/>
          <w14:ligatures w14:val="standardContextual"/>
        </w:rPr>
      </w:pPr>
    </w:p>
    <w:p w14:paraId="6489CF4F" w14:textId="77777777" w:rsidR="009B3879" w:rsidRDefault="009B3879" w:rsidP="009B3879">
      <w:pPr>
        <w:bidi/>
        <w:rPr>
          <w:rFonts w:eastAsia="Aptos" w:cs="Calibri"/>
          <w:kern w:val="2"/>
          <w:sz w:val="24"/>
          <w:szCs w:val="24"/>
          <w:rtl/>
          <w14:ligatures w14:val="standardContextual"/>
        </w:rPr>
      </w:pPr>
    </w:p>
    <w:p w14:paraId="40142AB4" w14:textId="77777777" w:rsidR="009B3879" w:rsidRDefault="009B3879" w:rsidP="009B3879">
      <w:pPr>
        <w:bidi/>
        <w:rPr>
          <w:rFonts w:eastAsia="Aptos" w:cs="Calibri"/>
          <w:kern w:val="2"/>
          <w:sz w:val="24"/>
          <w:szCs w:val="24"/>
          <w:rtl/>
          <w14:ligatures w14:val="standardContextual"/>
        </w:rPr>
      </w:pPr>
    </w:p>
    <w:p w14:paraId="6CC45270" w14:textId="77777777" w:rsidR="009B3879" w:rsidRDefault="009B3879" w:rsidP="009B3879">
      <w:pPr>
        <w:bidi/>
        <w:rPr>
          <w:rFonts w:eastAsia="Aptos" w:cs="Calibri"/>
          <w:kern w:val="2"/>
          <w:sz w:val="24"/>
          <w:szCs w:val="24"/>
          <w:rtl/>
          <w14:ligatures w14:val="standardContextual"/>
        </w:rPr>
      </w:pPr>
    </w:p>
    <w:p w14:paraId="618512DB" w14:textId="77777777" w:rsidR="009B3879" w:rsidRDefault="009B3879" w:rsidP="009B3879">
      <w:pPr>
        <w:bidi/>
        <w:rPr>
          <w:rFonts w:eastAsia="Aptos" w:cs="Calibri"/>
          <w:kern w:val="2"/>
          <w:sz w:val="24"/>
          <w:szCs w:val="24"/>
          <w:rtl/>
          <w14:ligatures w14:val="standardContextual"/>
        </w:rPr>
      </w:pPr>
    </w:p>
    <w:p w14:paraId="04A5C482" w14:textId="77777777" w:rsidR="009B3879" w:rsidRDefault="009B3879" w:rsidP="009B3879">
      <w:pPr>
        <w:bidi/>
        <w:rPr>
          <w:rFonts w:eastAsia="Aptos" w:cs="Calibri"/>
          <w:kern w:val="2"/>
          <w:sz w:val="24"/>
          <w:szCs w:val="24"/>
          <w:rtl/>
          <w14:ligatures w14:val="standardContextual"/>
        </w:rPr>
      </w:pPr>
    </w:p>
    <w:p w14:paraId="778B91C6" w14:textId="246FD07D" w:rsidR="003B23B9" w:rsidRPr="0017699B" w:rsidRDefault="00B5463F" w:rsidP="009B3879">
      <w:pPr>
        <w:bidi/>
        <w:rPr>
          <w:rFonts w:eastAsia="Aptos" w:cs="Calibri"/>
          <w:kern w:val="2"/>
          <w:sz w:val="24"/>
          <w:szCs w:val="24"/>
          <w:rtl/>
          <w14:ligatures w14:val="standardContextual"/>
        </w:rPr>
      </w:pPr>
      <w:r w:rsidRPr="0017699B">
        <w:rPr>
          <w:rFonts w:cs="Calibri" w:hint="cs"/>
          <w:noProof/>
          <w:sz w:val="24"/>
          <w:rtl/>
        </w:rPr>
        <w:drawing>
          <wp:anchor distT="0" distB="0" distL="114300" distR="114300" simplePos="0" relativeHeight="251658246" behindDoc="0" locked="0" layoutInCell="1" allowOverlap="1" wp14:anchorId="5B9311B4" wp14:editId="5CECB527">
            <wp:simplePos x="0" y="0"/>
            <wp:positionH relativeFrom="leftMargin">
              <wp:posOffset>475017</wp:posOffset>
            </wp:positionH>
            <wp:positionV relativeFrom="paragraph">
              <wp:posOffset>274067</wp:posOffset>
            </wp:positionV>
            <wp:extent cx="425450" cy="431800"/>
            <wp:effectExtent l="0" t="0" r="6350" b="0"/>
            <wp:wrapThrough wrapText="bothSides">
              <wp:wrapPolygon edited="0">
                <wp:start x="0" y="0"/>
                <wp:lineTo x="0" y="15247"/>
                <wp:lineTo x="2579" y="20329"/>
                <wp:lineTo x="5803" y="20965"/>
                <wp:lineTo x="15475" y="20965"/>
                <wp:lineTo x="18699" y="20329"/>
                <wp:lineTo x="21278" y="15247"/>
                <wp:lineTo x="21278" y="0"/>
                <wp:lineTo x="0" y="0"/>
              </wp:wrapPolygon>
            </wp:wrapThrough>
            <wp:docPr id="834132170" name="Picture 834132170" descr="نسر ذهبي يحمل درعًا أحمر وأبيض&#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32170" name="Picture 834132170" descr="A golden eagle with a red and white shield&#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5450" cy="431800"/>
                    </a:xfrm>
                    <a:prstGeom prst="rect">
                      <a:avLst/>
                    </a:prstGeom>
                  </pic:spPr>
                </pic:pic>
              </a:graphicData>
            </a:graphic>
            <wp14:sizeRelH relativeFrom="margin">
              <wp14:pctWidth>0</wp14:pctWidth>
            </wp14:sizeRelH>
            <wp14:sizeRelV relativeFrom="margin">
              <wp14:pctHeight>0</wp14:pctHeight>
            </wp14:sizeRelV>
          </wp:anchor>
        </w:drawing>
      </w:r>
    </w:p>
    <w:p w14:paraId="630589B9" w14:textId="709E1955" w:rsidR="00CD66EC" w:rsidRPr="0017699B" w:rsidRDefault="009B3879" w:rsidP="00CD66EC">
      <w:pPr>
        <w:bidi/>
        <w:rPr>
          <w:rFonts w:eastAsia="Aptos" w:cs="Calibri"/>
          <w:kern w:val="2"/>
          <w:sz w:val="24"/>
          <w:szCs w:val="24"/>
          <w:rtl/>
          <w14:ligatures w14:val="standardContextual"/>
        </w:rPr>
      </w:pPr>
      <w:r w:rsidRPr="0017699B">
        <w:rPr>
          <w:rFonts w:cs="Calibri" w:hint="cs"/>
          <w:noProof/>
          <w:sz w:val="24"/>
          <w:rtl/>
        </w:rPr>
        <mc:AlternateContent>
          <mc:Choice Requires="wpg">
            <w:drawing>
              <wp:anchor distT="0" distB="0" distL="114300" distR="114300" simplePos="0" relativeHeight="251658244" behindDoc="0" locked="0" layoutInCell="1" allowOverlap="1" wp14:anchorId="30FA3956" wp14:editId="3DBB058E">
                <wp:simplePos x="0" y="0"/>
                <wp:positionH relativeFrom="margin">
                  <wp:align>left</wp:align>
                </wp:positionH>
                <wp:positionV relativeFrom="paragraph">
                  <wp:posOffset>14112</wp:posOffset>
                </wp:positionV>
                <wp:extent cx="5691116" cy="611301"/>
                <wp:effectExtent l="0" t="0" r="0" b="0"/>
                <wp:wrapNone/>
                <wp:docPr id="450306450" name="Group 17"/>
                <wp:cNvGraphicFramePr/>
                <a:graphic xmlns:a="http://schemas.openxmlformats.org/drawingml/2006/main">
                  <a:graphicData uri="http://schemas.microsoft.com/office/word/2010/wordprocessingGroup">
                    <wpg:wgp>
                      <wpg:cNvGrpSpPr/>
                      <wpg:grpSpPr>
                        <a:xfrm>
                          <a:off x="0" y="0"/>
                          <a:ext cx="5691116" cy="611301"/>
                          <a:chOff x="396815" y="0"/>
                          <a:chExt cx="4865526" cy="611301"/>
                        </a:xfrm>
                      </wpg:grpSpPr>
                      <wps:wsp>
                        <wps:cNvPr id="1998171781" name="Text Box 1"/>
                        <wps:cNvSpPr txBox="1"/>
                        <wps:spPr>
                          <a:xfrm>
                            <a:off x="1742536" y="69011"/>
                            <a:ext cx="3519805" cy="542290"/>
                          </a:xfrm>
                          <a:prstGeom prst="rect">
                            <a:avLst/>
                          </a:prstGeom>
                          <a:noFill/>
                          <a:ln>
                            <a:noFill/>
                          </a:ln>
                        </wps:spPr>
                        <wps:txbx>
                          <w:txbxContent>
                            <w:p w14:paraId="6D33BA28" w14:textId="26D91354" w:rsidR="007F5BD5" w:rsidRPr="009B3879" w:rsidRDefault="007F5BD5" w:rsidP="00CD66EC">
                              <w:pPr>
                                <w:bidi/>
                                <w:rPr>
                                  <w:rFonts w:asciiTheme="minorHAnsi" w:hAnsiTheme="minorHAnsi" w:cstheme="minorHAnsi"/>
                                  <w:color w:val="000000"/>
                                  <w:rt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3461494" name="Text Box 15"/>
                        <wps:cNvSpPr txBox="1"/>
                        <wps:spPr>
                          <a:xfrm>
                            <a:off x="396815" y="0"/>
                            <a:ext cx="3021993" cy="542290"/>
                          </a:xfrm>
                          <a:prstGeom prst="rect">
                            <a:avLst/>
                          </a:prstGeom>
                          <a:noFill/>
                          <a:ln>
                            <a:noFill/>
                          </a:ln>
                        </wps:spPr>
                        <wps:txbx>
                          <w:txbxContent>
                            <w:p w14:paraId="74797B60" w14:textId="77777777" w:rsidR="007F5BD5" w:rsidRPr="009B3879" w:rsidRDefault="007F5BD5" w:rsidP="00CD66EC">
                              <w:pPr>
                                <w:bidi/>
                                <w:rPr>
                                  <w:rFonts w:asciiTheme="minorHAnsi" w:hAnsiTheme="minorHAnsi" w:cstheme="minorHAnsi"/>
                                  <w:b/>
                                  <w:bCs/>
                                  <w:color w:val="000000"/>
                                  <w:sz w:val="40"/>
                                  <w:szCs w:val="40"/>
                                  <w:rtl/>
                                  <w14:textOutline w14:w="0" w14:cap="flat" w14:cmpd="sng" w14:algn="ctr">
                                    <w14:noFill/>
                                    <w14:prstDash w14:val="solid"/>
                                    <w14:round/>
                                  </w14:textOutline>
                                </w:rPr>
                              </w:pPr>
                              <w:r w:rsidRPr="009B3879">
                                <w:rPr>
                                  <w:rFonts w:asciiTheme="minorHAnsi" w:hAnsiTheme="minorHAnsi" w:cstheme="minorHAnsi"/>
                                  <w:b/>
                                  <w:bCs/>
                                  <w:color w:val="000000"/>
                                  <w:sz w:val="40"/>
                                  <w:szCs w:val="40"/>
                                  <w:rtl/>
                                  <w14:textOutline w14:w="0" w14:cap="flat" w14:cmpd="sng" w14:algn="ctr">
                                    <w14:noFill/>
                                    <w14:prstDash w14:val="solid"/>
                                    <w14:round/>
                                  </w14:textOutline>
                                </w:rPr>
                                <w:t>مجلس التدقيق في جمهورية إندونيسيا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0FA3956" id="Group 17" o:spid="_x0000_s1026" style="position:absolute;left:0;text-align:left;margin-left:0;margin-top:1.1pt;width:448.1pt;height:48.15pt;z-index:251658244;mso-position-horizontal:left;mso-position-horizontal-relative:margin;mso-width-relative:margin" coordorigin="3968" coordsize="48655,6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">
                <v:shapetype id="_x0000_t202" coordsize="21600,21600" o:spt="202" path="m,l,21600r21600,l21600,xe">
                  <v:stroke joinstyle="miter"/>
                  <v:path gradientshapeok="t" o:connecttype="rect"/>
                </v:shapetype>
                <v:shape id="_x0000_s1027" type="#_x0000_t202" style="position:absolute;left:17425;top:690;width:3519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" filled="f" stroked="f">
                  <v:textbox>
                    <w:txbxContent>
                      <w:p w14:paraId="6D33BA28" w14:textId="26D91354" w:rsidR="007F5BD5" w:rsidRPr="009B3879" w:rsidRDefault="007F5BD5" w:rsidP="00CD66EC">
                        <w:pPr>
                          <w:bidi/>
                          <w:rPr>
                            <w:rFonts w:asciiTheme="minorHAnsi" w:hAnsiTheme="minorHAnsi" w:cstheme="minorHAnsi"/>
                            <w:color w:val="000000"/>
                            <w:rtl/>
                            <w14:textOutline w14:w="0" w14:cap="flat" w14:cmpd="sng" w14:algn="ctr">
                              <w14:noFill/>
                              <w14:prstDash w14:val="solid"/>
                              <w14:round/>
                            </w14:textOutline>
                          </w:rPr>
                        </w:pPr>
                      </w:p>
                    </w:txbxContent>
                  </v:textbox>
                </v:shape>
                <v:shape id="Text Box 15" o:spid="_x0000_s1028" type="#_x0000_t202" style="position:absolute;left:3968;width:30220;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" filled="f" stroked="f">
                  <v:textbox>
                    <w:txbxContent>
                      <w:p w14:paraId="74797B60" w14:textId="77777777" w:rsidR="007F5BD5" w:rsidRPr="009B3879" w:rsidRDefault="007F5BD5" w:rsidP="00CD66EC">
                        <w:pPr>
                          <w:bidi/>
                          <w:rPr>
                            <w:rFonts w:asciiTheme="minorHAnsi" w:hAnsiTheme="minorHAnsi" w:cstheme="minorHAnsi"/>
                            <w:b/>
                            <w:bCs/>
                            <w:color w:val="000000"/>
                            <w:sz w:val="40"/>
                            <w:szCs w:val="40"/>
                            <w:rtl/>
                            <w14:textOutline w14:w="0" w14:cap="flat" w14:cmpd="sng" w14:algn="ctr">
                              <w14:noFill/>
                              <w14:prstDash w14:val="solid"/>
                              <w14:round/>
                            </w14:textOutline>
                          </w:rPr>
                        </w:pPr>
                        <w:r w:rsidRPr="009B3879">
                          <w:rPr>
                            <w:rFonts w:asciiTheme="minorHAnsi" w:hAnsiTheme="minorHAnsi" w:cstheme="minorHAnsi"/>
                            <w:b/>
                            <w:bCs/>
                            <w:color w:val="000000"/>
                            <w:sz w:val="40"/>
                            <w:szCs w:val="40"/>
                            <w:rtl/>
                            <w14:textOutline w14:w="0" w14:cap="flat" w14:cmpd="sng" w14:algn="ctr">
                              <w14:noFill/>
                              <w14:prstDash w14:val="solid"/>
                              <w14:round/>
                            </w14:textOutline>
                          </w:rPr>
                          <w:t>مجلس التدقيق في جمهورية إندونيسيا</w:t>
                        </w:r>
                      </w:p>
                    </w:txbxContent>
                  </v:textbox>
                </v:shape>
                <w10:wrap anchorx="margin"/>
              </v:group>
            </w:pict>
          </mc:Fallback>
        </mc:AlternateContent>
      </w:r>
      <w:r w:rsidR="00CD66EC" w:rsidRPr="0017699B">
        <w:rPr>
          <w:rFonts w:cs="Calibri" w:hint="cs"/>
          <w:noProof/>
          <w:sz w:val="24"/>
          <w:rtl/>
        </w:rPr>
        <mc:AlternateContent>
          <mc:Choice Requires="wps">
            <w:drawing>
              <wp:anchor distT="0" distB="0" distL="114300" distR="114300" simplePos="0" relativeHeight="251658240" behindDoc="0" locked="0" layoutInCell="1" allowOverlap="1" wp14:anchorId="7D5C7D4A" wp14:editId="02521161">
                <wp:simplePos x="0" y="0"/>
                <wp:positionH relativeFrom="column">
                  <wp:posOffset>-917198</wp:posOffset>
                </wp:positionH>
                <wp:positionV relativeFrom="paragraph">
                  <wp:posOffset>9497695</wp:posOffset>
                </wp:positionV>
                <wp:extent cx="7884795" cy="254000"/>
                <wp:effectExtent l="0" t="0" r="1905" b="0"/>
                <wp:wrapNone/>
                <wp:docPr id="1201608928"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CD18B" id="Rectangle 14" o:spid="_x0000_s1026" style="position:absolute;margin-left:-72.2pt;margin-top:747.85pt;width:620.8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" fillcolor="#215f9a" stroked="f" strokeweight="1.5pt"/>
            </w:pict>
          </mc:Fallback>
        </mc:AlternateContent>
      </w:r>
      <w:r w:rsidR="00CD66EC" w:rsidRPr="0017699B">
        <w:rPr>
          <w:rFonts w:cs="Calibri" w:hint="cs"/>
          <w:noProof/>
          <w:color w:val="000000"/>
          <w:sz w:val="24"/>
          <w:rtl/>
        </w:rPr>
        <mc:AlternateContent>
          <mc:Choice Requires="wps">
            <w:drawing>
              <wp:anchor distT="0" distB="0" distL="114300" distR="114300" simplePos="0" relativeHeight="251658241" behindDoc="0" locked="0" layoutInCell="1" allowOverlap="1" wp14:anchorId="1DCEC887" wp14:editId="20EFAFC6">
                <wp:simplePos x="0" y="0"/>
                <wp:positionH relativeFrom="column">
                  <wp:posOffset>-53340</wp:posOffset>
                </wp:positionH>
                <wp:positionV relativeFrom="paragraph">
                  <wp:posOffset>-3122295</wp:posOffset>
                </wp:positionV>
                <wp:extent cx="4755515" cy="835660"/>
                <wp:effectExtent l="0" t="0" r="0" b="0"/>
                <wp:wrapNone/>
                <wp:docPr id="284261778" name="Text Box 1"/>
                <wp:cNvGraphicFramePr/>
                <a:graphic xmlns:a="http://schemas.openxmlformats.org/drawingml/2006/main">
                  <a:graphicData uri="http://schemas.microsoft.com/office/word/2010/wordprocessingShape">
                    <wps:wsp>
                      <wps:cNvSpPr txBox="1"/>
                      <wps:spPr>
                        <a:xfrm>
                          <a:off x="0" y="0"/>
                          <a:ext cx="4755515" cy="835660"/>
                        </a:xfrm>
                        <a:prstGeom prst="rect">
                          <a:avLst/>
                        </a:prstGeom>
                        <a:noFill/>
                        <a:ln>
                          <a:noFill/>
                        </a:ln>
                      </wps:spPr>
                      <wps:txbx>
                        <w:txbxContent>
                          <w:p w14:paraId="612E5935" w14:textId="77777777" w:rsidR="007F5BD5" w:rsidRPr="00CD66EC" w:rsidRDefault="007F5BD5" w:rsidP="00CD66EC">
                            <w:pPr>
                              <w:bidi/>
                              <w:jc w:val="center"/>
                              <w:rPr>
                                <w:rFonts w:ascii="Helvetica" w:hAnsi="Helvetica"/>
                                <w:b/>
                                <w:bCs/>
                                <w:color w:val="FFFFFF"/>
                                <w:sz w:val="96"/>
                                <w:szCs w:val="96"/>
                                <w:rtl/>
                                <w14:textOutline w14:w="0" w14:cap="flat" w14:cmpd="sng" w14:algn="ctr">
                                  <w14:noFill/>
                                  <w14:prstDash w14:val="solid"/>
                                  <w14:round/>
                                </w14:textOutline>
                              </w:rPr>
                            </w:pPr>
                            <w:r>
                              <w:rPr>
                                <w:rFonts w:ascii="Helvetica" w:hAnsi="Helvetica" w:hint="cs"/>
                                <w:b/>
                                <w:bCs/>
                                <w:color w:val="FFFFFF"/>
                                <w:sz w:val="96"/>
                                <w:szCs w:val="96"/>
                                <w:rtl/>
                                <w14:textOutline w14:w="0" w14:cap="flat" w14:cmpd="sng" w14:algn="ctr">
                                  <w14:noFill/>
                                  <w14:prstDash w14:val="solid"/>
                                  <w14:round/>
                                </w14:textOutline>
                              </w:rPr>
                              <w:t>تقرير التدقيق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EC887" id="Text Box 1" o:spid="_x0000_s1029" type="#_x0000_t202" style="position:absolute;left:0;text-align:left;margin-left:-4.2pt;margin-top:-245.85pt;width:374.45pt;height:65.8pt;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" filled="f" stroked="f">
                <v:textbox>
                  <w:txbxContent>
                    <w:p w14:paraId="612E5935" w14:textId="77777777" w:rsidR="007F5BD5" w:rsidRPr="00CD66EC" w:rsidRDefault="007F5BD5" w:rsidP="00CD66EC">
                      <w:pPr>
                        <w:bidi/>
                        <w:jc w:val="center"/>
                        <w:rPr>
                          <w:rFonts w:ascii="Helvetica" w:hAnsi="Helvetica"/>
                          <w:b/>
                          <w:bCs/>
                          <w:color w:val="FFFFFF"/>
                          <w:sz w:val="96"/>
                          <w:szCs w:val="96"/>
                          <w:rtl/>
                          <w14:textOutline w14:w="0" w14:cap="flat" w14:cmpd="sng" w14:algn="ctr">
                            <w14:noFill/>
                            <w14:prstDash w14:val="solid"/>
                            <w14:round/>
                          </w14:textOutline>
                        </w:rPr>
                      </w:pPr>
                      <w:r>
                        <w:rPr>
                          <w:rFonts w:ascii="Helvetica" w:hAnsi="Helvetica" w:hint="cs"/>
                          <w:b/>
                          <w:bCs/>
                          <w:color w:val="FFFFFF"/>
                          <w:sz w:val="96"/>
                          <w:szCs w:val="96"/>
                          <w:rtl/>
                          <w14:textOutline w14:w="0" w14:cap="flat" w14:cmpd="sng" w14:algn="ctr">
                            <w14:noFill/>
                            <w14:prstDash w14:val="solid"/>
                            <w14:round/>
                          </w14:textOutline>
                        </w:rPr>
                        <w:t>تقرير التدقيق</w:t>
                      </w:r>
                    </w:p>
                  </w:txbxContent>
                </v:textbox>
              </v:shape>
            </w:pict>
          </mc:Fallback>
        </mc:AlternateContent>
      </w:r>
    </w:p>
    <w:p w14:paraId="561FF245" w14:textId="3F41A7BA" w:rsidR="00AE7AB2" w:rsidRPr="0017699B" w:rsidRDefault="00AE7AB2" w:rsidP="00AE7AB2">
      <w:pPr>
        <w:rPr>
          <w:rFonts w:eastAsia="Aptos" w:cs="Calibri"/>
          <w:sz w:val="24"/>
          <w:szCs w:val="24"/>
        </w:rPr>
      </w:pPr>
    </w:p>
    <w:p w14:paraId="2A3DFCA1" w14:textId="034800A4" w:rsidR="00AE7AB2" w:rsidRPr="0017699B" w:rsidRDefault="00AE7AB2" w:rsidP="00AE7AB2">
      <w:pPr>
        <w:rPr>
          <w:rFonts w:eastAsia="Aptos" w:cs="Calibri"/>
          <w:sz w:val="24"/>
          <w:szCs w:val="24"/>
        </w:rPr>
      </w:pPr>
    </w:p>
    <w:p w14:paraId="665DF60E" w14:textId="07924EC5" w:rsidR="00AE7AB2" w:rsidRPr="0017699B" w:rsidRDefault="00DE5061" w:rsidP="00AE7AB2">
      <w:pPr>
        <w:bidi/>
        <w:rPr>
          <w:rFonts w:eastAsia="Aptos" w:cs="Calibri"/>
          <w:sz w:val="24"/>
          <w:szCs w:val="24"/>
          <w:rtl/>
        </w:rPr>
      </w:pPr>
      <w:r w:rsidRPr="0017699B">
        <w:rPr>
          <w:rFonts w:cs="Calibri" w:hint="cs"/>
          <w:noProof/>
          <w:sz w:val="24"/>
          <w:rtl/>
        </w:rPr>
        <mc:AlternateContent>
          <mc:Choice Requires="wpg">
            <w:drawing>
              <wp:anchor distT="0" distB="0" distL="114300" distR="114300" simplePos="0" relativeHeight="251658247" behindDoc="0" locked="0" layoutInCell="1" allowOverlap="1" wp14:anchorId="1E55E274" wp14:editId="522B9B86">
                <wp:simplePos x="0" y="0"/>
                <wp:positionH relativeFrom="page">
                  <wp:align>left</wp:align>
                </wp:positionH>
                <wp:positionV relativeFrom="paragraph">
                  <wp:posOffset>195718</wp:posOffset>
                </wp:positionV>
                <wp:extent cx="6765547" cy="3789405"/>
                <wp:effectExtent l="0" t="0" r="0" b="1905"/>
                <wp:wrapNone/>
                <wp:docPr id="850979624" name="Group 9"/>
                <wp:cNvGraphicFramePr/>
                <a:graphic xmlns:a="http://schemas.openxmlformats.org/drawingml/2006/main">
                  <a:graphicData uri="http://schemas.microsoft.com/office/word/2010/wordprocessingGroup">
                    <wpg:wgp>
                      <wpg:cNvGrpSpPr/>
                      <wpg:grpSpPr>
                        <a:xfrm>
                          <a:off x="0" y="0"/>
                          <a:ext cx="6765547" cy="3789405"/>
                          <a:chOff x="-133350" y="-254003"/>
                          <a:chExt cx="6366510" cy="3283649"/>
                        </a:xfrm>
                      </wpg:grpSpPr>
                      <wps:wsp>
                        <wps:cNvPr id="75652361" name="Rectangle 3"/>
                        <wps:cNvSpPr/>
                        <wps:spPr>
                          <a:xfrm>
                            <a:off x="-133350" y="-254003"/>
                            <a:ext cx="6366510" cy="2628265"/>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86788" name="Text Box 1"/>
                        <wps:cNvSpPr txBox="1"/>
                        <wps:spPr>
                          <a:xfrm>
                            <a:off x="939202" y="-113092"/>
                            <a:ext cx="4756150" cy="792480"/>
                          </a:xfrm>
                          <a:prstGeom prst="rect">
                            <a:avLst/>
                          </a:prstGeom>
                          <a:noFill/>
                          <a:ln>
                            <a:noFill/>
                          </a:ln>
                        </wps:spPr>
                        <wps:txbx>
                          <w:txbxContent>
                            <w:p w14:paraId="63F65260" w14:textId="77777777" w:rsidR="007F5BD5" w:rsidRPr="009B3879" w:rsidRDefault="007F5BD5" w:rsidP="009B3879">
                              <w:pPr>
                                <w:bidi/>
                                <w:rPr>
                                  <w:rFonts w:asciiTheme="minorHAnsi" w:hAnsiTheme="minorHAnsi" w:cstheme="minorHAnsi"/>
                                  <w:b/>
                                  <w:bCs/>
                                  <w:color w:val="FFFFFF"/>
                                  <w:sz w:val="96"/>
                                  <w:szCs w:val="96"/>
                                  <w:rtl/>
                                  <w14:textOutline w14:w="0" w14:cap="flat" w14:cmpd="sng" w14:algn="ctr">
                                    <w14:noFill/>
                                    <w14:prstDash w14:val="solid"/>
                                    <w14:round/>
                                  </w14:textOutline>
                                </w:rPr>
                              </w:pPr>
                              <w:r w:rsidRPr="009B3879">
                                <w:rPr>
                                  <w:rFonts w:asciiTheme="minorHAnsi" w:hAnsiTheme="minorHAnsi" w:cstheme="minorHAnsi"/>
                                  <w:b/>
                                  <w:bCs/>
                                  <w:color w:val="FFFFFF"/>
                                  <w:sz w:val="96"/>
                                  <w:szCs w:val="96"/>
                                  <w:rtl/>
                                  <w14:textOutline w14:w="0" w14:cap="flat" w14:cmpd="sng" w14:algn="ctr">
                                    <w14:noFill/>
                                    <w14:prstDash w14:val="solid"/>
                                    <w14:round/>
                                  </w14:textOutline>
                                </w:rPr>
                                <w:t>تقرير التدقيق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0127182" name="Text Box 1"/>
                        <wps:cNvSpPr txBox="1"/>
                        <wps:spPr>
                          <a:xfrm>
                            <a:off x="169748" y="632072"/>
                            <a:ext cx="5525606" cy="850911"/>
                          </a:xfrm>
                          <a:prstGeom prst="rect">
                            <a:avLst/>
                          </a:prstGeom>
                          <a:noFill/>
                          <a:ln>
                            <a:noFill/>
                          </a:ln>
                        </wps:spPr>
                        <wps:txbx>
                          <w:txbxContent>
                            <w:p w14:paraId="7BC31E17" w14:textId="0DA31F9B" w:rsidR="007F5BD5" w:rsidRPr="009B3879" w:rsidRDefault="007F5BD5" w:rsidP="00CD66EC">
                              <w:pPr>
                                <w:bidi/>
                                <w:rPr>
                                  <w:rFonts w:asciiTheme="minorHAnsi" w:hAnsiTheme="minorHAnsi" w:cstheme="minorHAnsi"/>
                                  <w:color w:val="FFFFFF"/>
                                  <w:sz w:val="56"/>
                                  <w:szCs w:val="56"/>
                                  <w:rtl/>
                                  <w14:textOutline w14:w="0" w14:cap="flat" w14:cmpd="sng" w14:algn="ctr">
                                    <w14:noFill/>
                                    <w14:prstDash w14:val="solid"/>
                                    <w14:round/>
                                  </w14:textOutline>
                                </w:rPr>
                              </w:pPr>
                              <w:r w:rsidRPr="009B3879">
                                <w:rPr>
                                  <w:rFonts w:asciiTheme="minorHAnsi" w:hAnsiTheme="minorHAnsi" w:cstheme="minorHAnsi"/>
                                  <w:color w:val="FFFFFF"/>
                                  <w:sz w:val="56"/>
                                  <w:szCs w:val="56"/>
                                  <w:rtl/>
                                  <w14:textOutline w14:w="0" w14:cap="flat" w14:cmpd="sng" w14:algn="ctr">
                                    <w14:noFill/>
                                    <w14:prstDash w14:val="solid"/>
                                    <w14:round/>
                                  </w14:textOutline>
                                </w:rPr>
                                <w:t>المنظمة العالمية للملكية الفكرية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350820" name="Text Box 1"/>
                        <wps:cNvSpPr txBox="1"/>
                        <wps:spPr>
                          <a:xfrm>
                            <a:off x="2667949" y="1515303"/>
                            <a:ext cx="2893695" cy="441960"/>
                          </a:xfrm>
                          <a:prstGeom prst="rect">
                            <a:avLst/>
                          </a:prstGeom>
                          <a:noFill/>
                          <a:ln>
                            <a:noFill/>
                          </a:ln>
                        </wps:spPr>
                        <wps:txbx>
                          <w:txbxContent>
                            <w:p w14:paraId="076643CE" w14:textId="77777777" w:rsidR="007F5BD5" w:rsidRPr="009B3879" w:rsidRDefault="007F5BD5" w:rsidP="00CD66EC">
                              <w:pPr>
                                <w:bidi/>
                                <w:rPr>
                                  <w:rFonts w:asciiTheme="minorHAnsi" w:hAnsiTheme="minorHAnsi" w:cstheme="minorHAnsi"/>
                                  <w:color w:val="FFFFFF"/>
                                  <w:sz w:val="48"/>
                                  <w:szCs w:val="48"/>
                                  <w:rtl/>
                                  <w14:textOutline w14:w="0" w14:cap="flat" w14:cmpd="sng" w14:algn="ctr">
                                    <w14:noFill/>
                                    <w14:prstDash w14:val="solid"/>
                                    <w14:round/>
                                  </w14:textOutline>
                                </w:rPr>
                              </w:pPr>
                              <w:r w:rsidRPr="009B3879">
                                <w:rPr>
                                  <w:rFonts w:asciiTheme="minorHAnsi" w:hAnsiTheme="minorHAnsi" w:cstheme="minorHAnsi"/>
                                  <w:color w:val="FFFFFF"/>
                                  <w:sz w:val="48"/>
                                  <w:szCs w:val="48"/>
                                  <w:rtl/>
                                  <w14:textOutline w14:w="0" w14:cap="flat" w14:cmpd="sng" w14:algn="ctr">
                                    <w14:noFill/>
                                    <w14:prstDash w14:val="solid"/>
                                    <w14:round/>
                                  </w14:textOutline>
                                </w:rPr>
                                <w:t>السنة المالية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0733887" name="Text Box 16"/>
                        <wps:cNvSpPr txBox="1"/>
                        <wps:spPr>
                          <a:xfrm>
                            <a:off x="739734" y="2675316"/>
                            <a:ext cx="3606948" cy="354330"/>
                          </a:xfrm>
                          <a:prstGeom prst="rect">
                            <a:avLst/>
                          </a:prstGeom>
                          <a:noFill/>
                          <a:ln>
                            <a:noFill/>
                          </a:ln>
                        </wps:spPr>
                        <wps:txbx>
                          <w:txbxContent>
                            <w:p w14:paraId="7943FB97" w14:textId="5E369A63" w:rsidR="007F5BD5" w:rsidRPr="009B3879" w:rsidRDefault="007F5BD5" w:rsidP="009B3879">
                              <w:pPr>
                                <w:bidi/>
                                <w:jc w:val="right"/>
                                <w:rPr>
                                  <w:rFonts w:asciiTheme="minorHAnsi" w:hAnsiTheme="minorHAnsi" w:cstheme="minorHAnsi"/>
                                  <w:color w:val="000000"/>
                                  <w:sz w:val="32"/>
                                  <w:szCs w:val="32"/>
                                  <w:rtl/>
                                  <w14:textOutline w14:w="0" w14:cap="flat" w14:cmpd="sng" w14:algn="ctr">
                                    <w14:noFill/>
                                    <w14:prstDash w14:val="solid"/>
                                    <w14:round/>
                                  </w14:textOutline>
                                </w:rPr>
                              </w:pPr>
                              <w:r w:rsidRPr="009B3879">
                                <w:rPr>
                                  <w:rFonts w:asciiTheme="minorHAnsi" w:hAnsiTheme="minorHAnsi" w:cstheme="minorHAnsi"/>
                                  <w:color w:val="000000"/>
                                  <w:sz w:val="32"/>
                                  <w:szCs w:val="32"/>
                                  <w:rtl/>
                                  <w14:textOutline w14:w="0" w14:cap="flat" w14:cmpd="sng" w14:algn="ctr">
                                    <w14:noFill/>
                                    <w14:prstDash w14:val="solid"/>
                                    <w14:round/>
                                  </w14:textOutline>
                                </w:rPr>
                                <w:t>مايو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5E274" id="Group 9" o:spid="_x0000_s1030" style="position:absolute;left:0;text-align:left;margin-left:0;margin-top:15.4pt;width:532.7pt;height:298.4pt;z-index:251658247;mso-position-horizontal:left;mso-position-horizontal-relative:page;mso-width-relative:margin;mso-height-relative:margin" coordorigin="-1333,-2540" coordsize="63665,3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">
                <v:rect id="Rectangle 3" o:spid="_x0000_s1031" style="position:absolute;left:-1333;top:-2540;width:63664;height:26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" fillcolor="#215f9a" stroked="f" strokeweight="1.5pt"/>
                <v:shape id="_x0000_s1032" type="#_x0000_t202" style="position:absolute;left:9392;top:-1130;width:47561;height:7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" filled="f" stroked="f">
                  <v:textbox>
                    <w:txbxContent>
                      <w:p w14:paraId="63F65260" w14:textId="77777777" w:rsidR="007F5BD5" w:rsidRPr="009B3879" w:rsidRDefault="007F5BD5" w:rsidP="009B3879">
                        <w:pPr>
                          <w:bidi/>
                          <w:rPr>
                            <w:rFonts w:asciiTheme="minorHAnsi" w:hAnsiTheme="minorHAnsi" w:cstheme="minorHAnsi"/>
                            <w:b/>
                            <w:bCs/>
                            <w:color w:val="FFFFFF"/>
                            <w:sz w:val="96"/>
                            <w:szCs w:val="96"/>
                            <w:rtl/>
                            <w14:textOutline w14:w="0" w14:cap="flat" w14:cmpd="sng" w14:algn="ctr">
                              <w14:noFill/>
                              <w14:prstDash w14:val="solid"/>
                              <w14:round/>
                            </w14:textOutline>
                          </w:rPr>
                        </w:pPr>
                        <w:r w:rsidRPr="009B3879">
                          <w:rPr>
                            <w:rFonts w:asciiTheme="minorHAnsi" w:hAnsiTheme="minorHAnsi" w:cstheme="minorHAnsi"/>
                            <w:b/>
                            <w:bCs/>
                            <w:color w:val="FFFFFF"/>
                            <w:sz w:val="96"/>
                            <w:szCs w:val="96"/>
                            <w:rtl/>
                            <w14:textOutline w14:w="0" w14:cap="flat" w14:cmpd="sng" w14:algn="ctr">
                              <w14:noFill/>
                              <w14:prstDash w14:val="solid"/>
                              <w14:round/>
                            </w14:textOutline>
                          </w:rPr>
                          <w:t>تقرير التدقيق</w:t>
                        </w:r>
                      </w:p>
                    </w:txbxContent>
                  </v:textbox>
                </v:shape>
                <v:shape id="_x0000_s1033" type="#_x0000_t202" style="position:absolute;left:1697;top:6320;width:55256;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" filled="f" stroked="f">
                  <v:textbox>
                    <w:txbxContent>
                      <w:p w14:paraId="7BC31E17" w14:textId="0DA31F9B" w:rsidR="007F5BD5" w:rsidRPr="009B3879" w:rsidRDefault="007F5BD5" w:rsidP="00CD66EC">
                        <w:pPr>
                          <w:bidi/>
                          <w:rPr>
                            <w:rFonts w:asciiTheme="minorHAnsi" w:hAnsiTheme="minorHAnsi" w:cstheme="minorHAnsi"/>
                            <w:color w:val="FFFFFF"/>
                            <w:sz w:val="56"/>
                            <w:szCs w:val="56"/>
                            <w:rtl/>
                            <w14:textOutline w14:w="0" w14:cap="flat" w14:cmpd="sng" w14:algn="ctr">
                              <w14:noFill/>
                              <w14:prstDash w14:val="solid"/>
                              <w14:round/>
                            </w14:textOutline>
                          </w:rPr>
                        </w:pPr>
                        <w:r w:rsidRPr="009B3879">
                          <w:rPr>
                            <w:rFonts w:asciiTheme="minorHAnsi" w:hAnsiTheme="minorHAnsi" w:cstheme="minorHAnsi"/>
                            <w:color w:val="FFFFFF"/>
                            <w:sz w:val="56"/>
                            <w:szCs w:val="56"/>
                            <w:rtl/>
                            <w14:textOutline w14:w="0" w14:cap="flat" w14:cmpd="sng" w14:algn="ctr">
                              <w14:noFill/>
                              <w14:prstDash w14:val="solid"/>
                              <w14:round/>
                            </w14:textOutline>
                          </w:rPr>
                          <w:t>المنظمة العالمية للملكية الفكرية</w:t>
                        </w:r>
                      </w:p>
                    </w:txbxContent>
                  </v:textbox>
                </v:shape>
                <v:shape id="_x0000_s1034" type="#_x0000_t202" style="position:absolute;left:26679;top:15153;width:28937;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" filled="f" stroked="f">
                  <v:textbox>
                    <w:txbxContent>
                      <w:p w14:paraId="076643CE" w14:textId="77777777" w:rsidR="007F5BD5" w:rsidRPr="009B3879" w:rsidRDefault="007F5BD5" w:rsidP="00CD66EC">
                        <w:pPr>
                          <w:bidi/>
                          <w:rPr>
                            <w:rFonts w:asciiTheme="minorHAnsi" w:hAnsiTheme="minorHAnsi" w:cstheme="minorHAnsi"/>
                            <w:color w:val="FFFFFF"/>
                            <w:sz w:val="48"/>
                            <w:szCs w:val="48"/>
                            <w:rtl/>
                            <w14:textOutline w14:w="0" w14:cap="flat" w14:cmpd="sng" w14:algn="ctr">
                              <w14:noFill/>
                              <w14:prstDash w14:val="solid"/>
                              <w14:round/>
                            </w14:textOutline>
                          </w:rPr>
                        </w:pPr>
                        <w:r w:rsidRPr="009B3879">
                          <w:rPr>
                            <w:rFonts w:asciiTheme="minorHAnsi" w:hAnsiTheme="minorHAnsi" w:cstheme="minorHAnsi"/>
                            <w:color w:val="FFFFFF"/>
                            <w:sz w:val="48"/>
                            <w:szCs w:val="48"/>
                            <w:rtl/>
                            <w14:textOutline w14:w="0" w14:cap="flat" w14:cmpd="sng" w14:algn="ctr">
                              <w14:noFill/>
                              <w14:prstDash w14:val="solid"/>
                              <w14:round/>
                            </w14:textOutline>
                          </w:rPr>
                          <w:t>السنة المالية 2025</w:t>
                        </w:r>
                      </w:p>
                    </w:txbxContent>
                  </v:textbox>
                </v:shape>
                <v:shape id="Text Box 16" o:spid="_x0000_s1035" type="#_x0000_t202" style="position:absolute;left:7397;top:26753;width:3606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" filled="f" stroked="f">
                  <v:textbox>
                    <w:txbxContent>
                      <w:p w14:paraId="7943FB97" w14:textId="5E369A63" w:rsidR="007F5BD5" w:rsidRPr="009B3879" w:rsidRDefault="007F5BD5" w:rsidP="009B3879">
                        <w:pPr>
                          <w:bidi/>
                          <w:jc w:val="right"/>
                          <w:rPr>
                            <w:rFonts w:asciiTheme="minorHAnsi" w:hAnsiTheme="minorHAnsi" w:cstheme="minorHAnsi"/>
                            <w:color w:val="000000"/>
                            <w:sz w:val="32"/>
                            <w:szCs w:val="32"/>
                            <w:rtl/>
                            <w14:textOutline w14:w="0" w14:cap="flat" w14:cmpd="sng" w14:algn="ctr">
                              <w14:noFill/>
                              <w14:prstDash w14:val="solid"/>
                              <w14:round/>
                            </w14:textOutline>
                          </w:rPr>
                        </w:pPr>
                        <w:r w:rsidRPr="009B3879">
                          <w:rPr>
                            <w:rFonts w:asciiTheme="minorHAnsi" w:hAnsiTheme="minorHAnsi" w:cstheme="minorHAnsi"/>
                            <w:color w:val="000000"/>
                            <w:sz w:val="32"/>
                            <w:szCs w:val="32"/>
                            <w:rtl/>
                            <w14:textOutline w14:w="0" w14:cap="flat" w14:cmpd="sng" w14:algn="ctr">
                              <w14:noFill/>
                              <w14:prstDash w14:val="solid"/>
                              <w14:round/>
                            </w14:textOutline>
                          </w:rPr>
                          <w:t>مايو 2026</w:t>
                        </w:r>
                      </w:p>
                    </w:txbxContent>
                  </v:textbox>
                </v:shape>
                <w10:wrap anchorx="page"/>
              </v:group>
            </w:pict>
          </mc:Fallback>
        </mc:AlternateContent>
      </w:r>
    </w:p>
    <w:p w14:paraId="74FECB71" w14:textId="64528FCD" w:rsidR="00AE7AB2" w:rsidRPr="0017699B" w:rsidRDefault="00AE7AB2" w:rsidP="00AE7AB2">
      <w:pPr>
        <w:rPr>
          <w:rFonts w:eastAsia="Aptos" w:cs="Calibri"/>
          <w:sz w:val="24"/>
          <w:szCs w:val="24"/>
        </w:rPr>
      </w:pPr>
    </w:p>
    <w:p w14:paraId="50B943AD" w14:textId="0B74C673" w:rsidR="00AE7AB2" w:rsidRPr="0017699B" w:rsidRDefault="00AE7AB2" w:rsidP="00AE7AB2">
      <w:pPr>
        <w:rPr>
          <w:rFonts w:eastAsia="Aptos" w:cs="Calibri"/>
          <w:sz w:val="24"/>
          <w:szCs w:val="24"/>
        </w:rPr>
      </w:pPr>
    </w:p>
    <w:p w14:paraId="5FE6AB17" w14:textId="4C6ED665" w:rsidR="00AE7AB2" w:rsidRPr="0017699B" w:rsidRDefault="00AE7AB2" w:rsidP="00AE7AB2">
      <w:pPr>
        <w:rPr>
          <w:rFonts w:eastAsia="Aptos" w:cs="Calibri"/>
          <w:sz w:val="24"/>
          <w:szCs w:val="24"/>
        </w:rPr>
      </w:pPr>
    </w:p>
    <w:p w14:paraId="0938A81D" w14:textId="77777777" w:rsidR="00AE7AB2" w:rsidRPr="0017699B" w:rsidRDefault="00AE7AB2" w:rsidP="00AE7AB2">
      <w:pPr>
        <w:rPr>
          <w:rFonts w:eastAsia="Aptos" w:cs="Calibri"/>
          <w:sz w:val="24"/>
          <w:szCs w:val="24"/>
        </w:rPr>
      </w:pPr>
    </w:p>
    <w:p w14:paraId="63DAAE1E" w14:textId="55751422" w:rsidR="00AE7AB2" w:rsidRPr="0017699B" w:rsidRDefault="00AE7AB2" w:rsidP="00AE7AB2">
      <w:pPr>
        <w:rPr>
          <w:rFonts w:eastAsia="Aptos" w:cs="Calibri"/>
          <w:sz w:val="24"/>
          <w:szCs w:val="24"/>
        </w:rPr>
      </w:pPr>
    </w:p>
    <w:p w14:paraId="339F816E" w14:textId="65D4CFD6" w:rsidR="00AE7AB2" w:rsidRPr="0017699B" w:rsidRDefault="00AE7AB2" w:rsidP="00AE7AB2">
      <w:pPr>
        <w:rPr>
          <w:rFonts w:eastAsia="Aptos" w:cs="Calibri"/>
          <w:sz w:val="24"/>
          <w:szCs w:val="24"/>
        </w:rPr>
      </w:pPr>
    </w:p>
    <w:p w14:paraId="57528682" w14:textId="77777777" w:rsidR="00AE7AB2" w:rsidRPr="0017699B" w:rsidRDefault="00AE7AB2" w:rsidP="00AE7AB2">
      <w:pPr>
        <w:rPr>
          <w:rFonts w:eastAsia="Aptos" w:cs="Calibri"/>
          <w:sz w:val="24"/>
          <w:szCs w:val="24"/>
        </w:rPr>
      </w:pPr>
    </w:p>
    <w:p w14:paraId="3A89E4D0" w14:textId="295CC74A" w:rsidR="00AE7AB2" w:rsidRPr="0017699B" w:rsidRDefault="00AE7AB2" w:rsidP="00AE7AB2">
      <w:pPr>
        <w:rPr>
          <w:rFonts w:eastAsia="Aptos" w:cs="Calibri"/>
          <w:sz w:val="24"/>
          <w:szCs w:val="24"/>
        </w:rPr>
      </w:pPr>
    </w:p>
    <w:p w14:paraId="60876C13" w14:textId="531B0DDF" w:rsidR="00AE7AB2" w:rsidRPr="0017699B" w:rsidRDefault="00AE7AB2" w:rsidP="00AE7AB2">
      <w:pPr>
        <w:rPr>
          <w:rFonts w:eastAsia="Aptos" w:cs="Calibri"/>
          <w:sz w:val="24"/>
          <w:szCs w:val="24"/>
        </w:rPr>
      </w:pPr>
    </w:p>
    <w:p w14:paraId="1EC8B025" w14:textId="27673BAC" w:rsidR="00AE7AB2" w:rsidRPr="0017699B" w:rsidRDefault="00AE7AB2" w:rsidP="00AE7AB2">
      <w:pPr>
        <w:rPr>
          <w:rFonts w:eastAsia="Aptos" w:cs="Calibri"/>
          <w:sz w:val="24"/>
          <w:szCs w:val="24"/>
        </w:rPr>
      </w:pPr>
    </w:p>
    <w:p w14:paraId="4CE56F44" w14:textId="4A79A29C" w:rsidR="00AE7AB2" w:rsidRPr="0017699B" w:rsidRDefault="00AE7AB2" w:rsidP="00AE7AB2">
      <w:pPr>
        <w:rPr>
          <w:rFonts w:eastAsia="Aptos" w:cs="Calibri"/>
          <w:sz w:val="24"/>
          <w:szCs w:val="24"/>
        </w:rPr>
      </w:pPr>
    </w:p>
    <w:p w14:paraId="7166F6ED" w14:textId="6BEF87C1" w:rsidR="00AE7AB2" w:rsidRPr="0017699B" w:rsidRDefault="00AE7AB2" w:rsidP="00AE7AB2">
      <w:pPr>
        <w:rPr>
          <w:rFonts w:eastAsia="Aptos" w:cs="Calibri"/>
          <w:sz w:val="24"/>
          <w:szCs w:val="24"/>
        </w:rPr>
      </w:pPr>
    </w:p>
    <w:p w14:paraId="4383DB39" w14:textId="77777777" w:rsidR="00AE7AB2" w:rsidRPr="0017699B" w:rsidRDefault="00AE7AB2" w:rsidP="00AE7AB2">
      <w:pPr>
        <w:rPr>
          <w:rFonts w:eastAsia="Aptos" w:cs="Calibri"/>
          <w:sz w:val="24"/>
          <w:szCs w:val="24"/>
        </w:rPr>
      </w:pPr>
    </w:p>
    <w:p w14:paraId="60CF5E31" w14:textId="77777777" w:rsidR="00AE7AB2" w:rsidRPr="0017699B" w:rsidRDefault="00AE7AB2" w:rsidP="00AE7AB2">
      <w:pPr>
        <w:rPr>
          <w:rFonts w:eastAsia="Aptos" w:cs="Calibri"/>
          <w:sz w:val="24"/>
          <w:szCs w:val="24"/>
        </w:rPr>
      </w:pPr>
    </w:p>
    <w:p w14:paraId="2F7C0ECB" w14:textId="77777777" w:rsidR="00AE7AB2" w:rsidRPr="0017699B" w:rsidRDefault="00AE7AB2" w:rsidP="00AE7AB2">
      <w:pPr>
        <w:rPr>
          <w:rFonts w:eastAsia="Aptos" w:cs="Calibri"/>
          <w:sz w:val="24"/>
          <w:szCs w:val="24"/>
        </w:rPr>
      </w:pPr>
    </w:p>
    <w:p w14:paraId="33E25D2E" w14:textId="59D75D2E" w:rsidR="00AE7AB2" w:rsidRPr="0017699B" w:rsidRDefault="00AE7AB2" w:rsidP="00AE7AB2">
      <w:pPr>
        <w:tabs>
          <w:tab w:val="left" w:pos="915"/>
        </w:tabs>
        <w:bidi/>
        <w:rPr>
          <w:rFonts w:eastAsia="Aptos" w:cs="Calibri"/>
          <w:kern w:val="2"/>
          <w:sz w:val="24"/>
          <w:szCs w:val="24"/>
          <w:rtl/>
          <w14:ligatures w14:val="standardContextual"/>
        </w:rPr>
      </w:pPr>
      <w:r w:rsidRPr="0017699B">
        <w:rPr>
          <w:rFonts w:cs="Calibri" w:hint="cs"/>
          <w:sz w:val="24"/>
          <w:szCs w:val="24"/>
          <w:rtl/>
        </w:rPr>
        <w:tab/>
      </w:r>
    </w:p>
    <w:p w14:paraId="4A214243" w14:textId="2EA998F9" w:rsidR="00AE7AB2" w:rsidRPr="0017699B" w:rsidRDefault="00A21A9C" w:rsidP="00AE7AB2">
      <w:pPr>
        <w:tabs>
          <w:tab w:val="left" w:pos="915"/>
        </w:tabs>
        <w:bidi/>
        <w:rPr>
          <w:rFonts w:eastAsia="Aptos" w:cs="Calibri"/>
          <w:sz w:val="24"/>
          <w:szCs w:val="24"/>
          <w:rtl/>
        </w:rPr>
        <w:sectPr w:rsidR="00AE7AB2" w:rsidRPr="0017699B" w:rsidSect="00B65CF6">
          <w:headerReference w:type="default" r:id="rId18"/>
          <w:footerReference w:type="even" r:id="rId19"/>
          <w:footerReference w:type="default" r:id="rId20"/>
          <w:footerReference w:type="first" r:id="rId21"/>
          <w:pgSz w:w="11906" w:h="16838" w:code="9"/>
          <w:pgMar w:top="450" w:right="1701" w:bottom="1701" w:left="1530" w:header="709" w:footer="289" w:gutter="0"/>
          <w:cols w:space="708"/>
          <w:titlePg/>
          <w:docGrid w:linePitch="360"/>
        </w:sectPr>
      </w:pPr>
      <w:r w:rsidRPr="0017699B">
        <w:rPr>
          <w:rFonts w:cs="Calibri" w:hint="cs"/>
          <w:noProof/>
          <w:sz w:val="24"/>
          <w:rtl/>
        </w:rPr>
        <mc:AlternateContent>
          <mc:Choice Requires="wps">
            <w:drawing>
              <wp:anchor distT="0" distB="0" distL="114300" distR="114300" simplePos="0" relativeHeight="251658245" behindDoc="0" locked="0" layoutInCell="1" allowOverlap="1" wp14:anchorId="1D9C789C" wp14:editId="7168A064">
                <wp:simplePos x="0" y="0"/>
                <wp:positionH relativeFrom="page">
                  <wp:posOffset>2540</wp:posOffset>
                </wp:positionH>
                <wp:positionV relativeFrom="paragraph">
                  <wp:posOffset>5526405</wp:posOffset>
                </wp:positionV>
                <wp:extent cx="7884795" cy="254000"/>
                <wp:effectExtent l="0" t="0" r="1905" b="0"/>
                <wp:wrapNone/>
                <wp:docPr id="675108989" name="Rectangle 14"/>
                <wp:cNvGraphicFramePr/>
                <a:graphic xmlns:a="http://schemas.openxmlformats.org/drawingml/2006/main">
                  <a:graphicData uri="http://schemas.microsoft.com/office/word/2010/wordprocessingShape">
                    <wps:wsp>
                      <wps:cNvSpPr/>
                      <wps:spPr>
                        <a:xfrm>
                          <a:off x="0" y="0"/>
                          <a:ext cx="7884795" cy="254000"/>
                        </a:xfrm>
                        <a:prstGeom prst="rect">
                          <a:avLst/>
                        </a:prstGeom>
                        <a:solidFill>
                          <a:srgbClr val="0E2841">
                            <a:lumMod val="75000"/>
                            <a:lumOff val="25000"/>
                          </a:srgbClr>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E6784" id="Rectangle 14" o:spid="_x0000_s1026" style="position:absolute;margin-left:.2pt;margin-top:435.15pt;width:620.85pt;height:20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" fillcolor="#215f9a" stroked="f" strokeweight="1.5pt">
                <w10:wrap anchorx="page"/>
              </v:rect>
            </w:pict>
          </mc:Fallback>
        </mc:AlternateContent>
      </w:r>
      <w:r w:rsidRPr="0017699B">
        <w:rPr>
          <w:rFonts w:cs="Calibri" w:hint="cs"/>
          <w:sz w:val="24"/>
          <w:szCs w:val="24"/>
          <w:rtl/>
        </w:rPr>
        <w:tab/>
      </w:r>
    </w:p>
    <w:p w14:paraId="7CF7AF4F" w14:textId="77777777" w:rsidR="0054372B" w:rsidRPr="0017699B" w:rsidRDefault="0054372B" w:rsidP="0054372B">
      <w:pPr>
        <w:bidi/>
        <w:rPr>
          <w:rFonts w:cs="Calibri"/>
          <w:rtl/>
        </w:rPr>
      </w:pPr>
      <w:bookmarkStart w:id="6" w:name="_Toc223005490"/>
      <w:bookmarkStart w:id="7" w:name="_Toc223100604"/>
      <w:bookmarkStart w:id="8" w:name="_Toc223111020"/>
      <w:bookmarkStart w:id="9" w:name="_Toc223585232"/>
      <w:bookmarkStart w:id="10" w:name="_Hlk223004743"/>
      <w:bookmarkEnd w:id="0"/>
    </w:p>
    <w:p w14:paraId="1E7BF0D0" w14:textId="77777777" w:rsidR="0054372B" w:rsidRPr="0017699B" w:rsidRDefault="0054372B" w:rsidP="0054372B">
      <w:pPr>
        <w:rPr>
          <w:rFonts w:cs="Calibri"/>
        </w:rPr>
      </w:pPr>
    </w:p>
    <w:p w14:paraId="0A29B772" w14:textId="77777777" w:rsidR="00597971" w:rsidRPr="0017699B" w:rsidRDefault="00597971" w:rsidP="00524A8C">
      <w:pPr>
        <w:pStyle w:val="Heading1"/>
        <w:bidi/>
        <w:jc w:val="center"/>
        <w:rPr>
          <w:rFonts w:ascii="Arial" w:hAnsi="Arial" w:cs="Calibri"/>
          <w:color w:val="auto"/>
          <w:sz w:val="22"/>
          <w:szCs w:val="22"/>
          <w:rtl/>
        </w:rPr>
      </w:pPr>
    </w:p>
    <w:p w14:paraId="32B15ACD" w14:textId="77777777" w:rsidR="00597971" w:rsidRPr="0017699B" w:rsidRDefault="00597971" w:rsidP="00524A8C">
      <w:pPr>
        <w:pStyle w:val="Heading1"/>
        <w:jc w:val="center"/>
        <w:rPr>
          <w:rFonts w:ascii="Arial" w:hAnsi="Arial" w:cs="Calibri"/>
          <w:color w:val="auto"/>
          <w:sz w:val="22"/>
          <w:szCs w:val="22"/>
        </w:rPr>
      </w:pPr>
    </w:p>
    <w:p w14:paraId="382A61DE" w14:textId="25AD1B29" w:rsidR="00524A8C" w:rsidRPr="009B3879" w:rsidRDefault="00524A8C" w:rsidP="00524A8C">
      <w:pPr>
        <w:pStyle w:val="Heading1"/>
        <w:bidi/>
        <w:jc w:val="center"/>
        <w:rPr>
          <w:rFonts w:ascii="Arial" w:hAnsi="Arial" w:cs="Calibri"/>
          <w:sz w:val="28"/>
          <w:szCs w:val="28"/>
          <w:rtl/>
        </w:rPr>
      </w:pPr>
      <w:bookmarkStart w:id="11" w:name="_Toc230784708"/>
      <w:r w:rsidRPr="009B3879">
        <w:rPr>
          <w:rFonts w:ascii="Arial" w:hAnsi="Arial" w:cs="Calibri" w:hint="cs"/>
          <w:color w:val="auto"/>
          <w:sz w:val="28"/>
          <w:szCs w:val="28"/>
          <w:rtl/>
        </w:rPr>
        <w:t>خطاب الإحالة</w:t>
      </w:r>
      <w:bookmarkEnd w:id="11"/>
    </w:p>
    <w:p w14:paraId="4CF95F02" w14:textId="77777777" w:rsidR="00524A8C" w:rsidRPr="0017699B" w:rsidRDefault="00524A8C" w:rsidP="00524A8C">
      <w:pPr>
        <w:tabs>
          <w:tab w:val="center" w:pos="4680"/>
        </w:tabs>
        <w:jc w:val="center"/>
        <w:rPr>
          <w:rFonts w:cs="Calibri"/>
          <w:b/>
          <w:bCs/>
        </w:rPr>
      </w:pPr>
    </w:p>
    <w:p w14:paraId="15BEB602" w14:textId="77777777" w:rsidR="00524A8C" w:rsidRPr="0017699B" w:rsidRDefault="00524A8C" w:rsidP="00524A8C">
      <w:pPr>
        <w:tabs>
          <w:tab w:val="center" w:pos="4680"/>
        </w:tabs>
        <w:rPr>
          <w:rFonts w:cs="Calibri"/>
        </w:rPr>
      </w:pPr>
    </w:p>
    <w:p w14:paraId="50591BE1" w14:textId="5BCADD6B" w:rsidR="00524A8C" w:rsidRPr="0017699B" w:rsidRDefault="00524A8C" w:rsidP="00524A8C">
      <w:pPr>
        <w:tabs>
          <w:tab w:val="center" w:pos="4680"/>
        </w:tabs>
        <w:bidi/>
        <w:rPr>
          <w:rFonts w:cs="Calibri"/>
          <w:rtl/>
        </w:rPr>
      </w:pPr>
      <w:r w:rsidRPr="0017699B">
        <w:rPr>
          <w:rFonts w:cs="Calibri" w:hint="cs"/>
          <w:rtl/>
        </w:rPr>
        <w:t xml:space="preserve">الرقم:          </w:t>
      </w:r>
      <w:r w:rsidRPr="0017699B">
        <w:rPr>
          <w:rFonts w:cs="Calibri"/>
        </w:rPr>
        <w:t>B/S/KETUA/POI.01/05/2026</w:t>
      </w:r>
      <w:r w:rsidRPr="0017699B">
        <w:rPr>
          <w:rFonts w:cs="Calibri" w:hint="cs"/>
          <w:rtl/>
        </w:rPr>
        <w:tab/>
        <w:t xml:space="preserve"> </w:t>
      </w:r>
    </w:p>
    <w:p w14:paraId="058F6693" w14:textId="77777777" w:rsidR="00524A8C" w:rsidRPr="0017699B" w:rsidRDefault="00524A8C" w:rsidP="00524A8C">
      <w:pPr>
        <w:bidi/>
        <w:rPr>
          <w:rFonts w:eastAsia="Calibri" w:cs="Calibri"/>
          <w:rtl/>
        </w:rPr>
      </w:pPr>
      <w:r w:rsidRPr="0017699B">
        <w:rPr>
          <w:rFonts w:cs="Calibri" w:hint="cs"/>
          <w:rtl/>
        </w:rPr>
        <w:t>رئيس الجمعية العامة</w:t>
      </w:r>
    </w:p>
    <w:p w14:paraId="695ED517" w14:textId="77777777" w:rsidR="00524A8C" w:rsidRPr="0017699B" w:rsidRDefault="00524A8C" w:rsidP="00524A8C">
      <w:pPr>
        <w:bidi/>
        <w:rPr>
          <w:rFonts w:eastAsia="Calibri" w:cs="Calibri"/>
          <w:rtl/>
        </w:rPr>
      </w:pPr>
      <w:r w:rsidRPr="0017699B">
        <w:rPr>
          <w:rFonts w:cs="Calibri" w:hint="cs"/>
          <w:rtl/>
        </w:rPr>
        <w:t>المنظمة العالمية للملكية الفكرية</w:t>
      </w:r>
    </w:p>
    <w:p w14:paraId="7621BC54" w14:textId="77777777" w:rsidR="00524A8C" w:rsidRPr="0017699B" w:rsidRDefault="00524A8C" w:rsidP="00524A8C">
      <w:pPr>
        <w:bidi/>
        <w:rPr>
          <w:rFonts w:eastAsia="Calibri" w:cs="Calibri"/>
          <w:rtl/>
        </w:rPr>
      </w:pPr>
      <w:r w:rsidRPr="0017699B">
        <w:rPr>
          <w:rFonts w:cs="Calibri"/>
        </w:rPr>
        <w:t xml:space="preserve">‎34, chemin des </w:t>
      </w:r>
      <w:proofErr w:type="spellStart"/>
      <w:r w:rsidRPr="0017699B">
        <w:rPr>
          <w:rFonts w:cs="Calibri"/>
        </w:rPr>
        <w:t>Colombettes</w:t>
      </w:r>
      <w:proofErr w:type="spellEnd"/>
    </w:p>
    <w:p w14:paraId="0742CEB7" w14:textId="77777777" w:rsidR="00524A8C" w:rsidRPr="0017699B" w:rsidRDefault="00524A8C" w:rsidP="00524A8C">
      <w:pPr>
        <w:bidi/>
        <w:rPr>
          <w:rFonts w:eastAsia="Calibri" w:cs="Calibri"/>
          <w:rtl/>
        </w:rPr>
      </w:pPr>
      <w:r w:rsidRPr="0017699B">
        <w:rPr>
          <w:rFonts w:cs="Calibri"/>
        </w:rPr>
        <w:t>CH-1211 Geneva 20</w:t>
      </w:r>
    </w:p>
    <w:p w14:paraId="2901010C" w14:textId="77777777" w:rsidR="00524A8C" w:rsidRPr="0017699B" w:rsidRDefault="00524A8C" w:rsidP="00524A8C">
      <w:pPr>
        <w:bidi/>
        <w:rPr>
          <w:rFonts w:cs="Calibri"/>
          <w:shd w:val="clear" w:color="auto" w:fill="FFFFFF"/>
          <w:rtl/>
        </w:rPr>
      </w:pPr>
      <w:r w:rsidRPr="0017699B">
        <w:rPr>
          <w:rFonts w:cs="Calibri" w:hint="cs"/>
          <w:rtl/>
        </w:rPr>
        <w:t>سويسرا</w:t>
      </w:r>
    </w:p>
    <w:p w14:paraId="2691F68A" w14:textId="77777777" w:rsidR="00524A8C" w:rsidRPr="0017699B" w:rsidRDefault="00524A8C" w:rsidP="00524A8C">
      <w:pPr>
        <w:rPr>
          <w:rFonts w:cs="Calibri"/>
          <w:shd w:val="clear" w:color="auto" w:fill="FFFFFF"/>
        </w:rPr>
      </w:pPr>
    </w:p>
    <w:p w14:paraId="48ABC30E" w14:textId="77777777" w:rsidR="00524A8C" w:rsidRPr="0017699B" w:rsidRDefault="00524A8C" w:rsidP="00524A8C">
      <w:pPr>
        <w:rPr>
          <w:rFonts w:cs="Calibri"/>
          <w:shd w:val="clear" w:color="auto" w:fill="FFFFFF"/>
        </w:rPr>
      </w:pPr>
    </w:p>
    <w:p w14:paraId="0066CF66" w14:textId="77777777" w:rsidR="00524A8C" w:rsidRPr="0017699B" w:rsidRDefault="00524A8C" w:rsidP="00524A8C">
      <w:pPr>
        <w:bidi/>
        <w:rPr>
          <w:rFonts w:cs="Calibri"/>
          <w:shd w:val="clear" w:color="auto" w:fill="FFFFFF"/>
          <w:rtl/>
        </w:rPr>
      </w:pPr>
      <w:r w:rsidRPr="0017699B">
        <w:rPr>
          <w:rFonts w:cs="Calibri" w:hint="cs"/>
          <w:shd w:val="clear" w:color="auto" w:fill="FFFFFF"/>
          <w:rtl/>
        </w:rPr>
        <w:t>عزيزي الرئيس،</w:t>
      </w:r>
    </w:p>
    <w:p w14:paraId="032F3155" w14:textId="77777777" w:rsidR="00524A8C" w:rsidRPr="0017699B" w:rsidRDefault="00524A8C" w:rsidP="00524A8C">
      <w:pPr>
        <w:jc w:val="both"/>
        <w:rPr>
          <w:rFonts w:cs="Calibri"/>
          <w:shd w:val="clear" w:color="auto" w:fill="FFFFFF"/>
        </w:rPr>
      </w:pPr>
    </w:p>
    <w:p w14:paraId="448442FA" w14:textId="38919644" w:rsidR="00524A8C" w:rsidRPr="0017699B" w:rsidRDefault="00524A8C" w:rsidP="00524A8C">
      <w:pPr>
        <w:bidi/>
        <w:spacing w:line="360" w:lineRule="auto"/>
        <w:jc w:val="both"/>
        <w:rPr>
          <w:rFonts w:eastAsia="Calibri" w:cs="Calibri"/>
          <w:shd w:val="clear" w:color="auto" w:fill="FFFFFF"/>
          <w:rtl/>
        </w:rPr>
      </w:pPr>
      <w:r w:rsidRPr="0017699B">
        <w:rPr>
          <w:rFonts w:cs="Calibri" w:hint="cs"/>
          <w:shd w:val="clear" w:color="auto" w:fill="FFFFFF"/>
          <w:rtl/>
        </w:rPr>
        <w:t xml:space="preserve">وفقاً للبند 6-11 من اللائحة 6-11 من النظام المالي والقواعد المالية للمنظمة العالمية للملكية الفكرية (المنظمة)، أتشرف بتقديم تقرير مراجعة حسابات مجلس مراجعة الحسابات في جمهورية إندونيسيا أو </w:t>
      </w:r>
      <w:r w:rsidRPr="0017699B">
        <w:rPr>
          <w:rFonts w:cs="Calibri"/>
          <w:shd w:val="clear" w:color="auto" w:fill="FFFFFF"/>
        </w:rPr>
        <w:t xml:space="preserve">Badan </w:t>
      </w:r>
      <w:proofErr w:type="spellStart"/>
      <w:r w:rsidRPr="0017699B">
        <w:rPr>
          <w:rFonts w:cs="Calibri"/>
          <w:shd w:val="clear" w:color="auto" w:fill="FFFFFF"/>
        </w:rPr>
        <w:t>Pemeriksa</w:t>
      </w:r>
      <w:proofErr w:type="spellEnd"/>
      <w:r w:rsidRPr="0017699B">
        <w:rPr>
          <w:rFonts w:cs="Calibri"/>
          <w:shd w:val="clear" w:color="auto" w:fill="FFFFFF"/>
        </w:rPr>
        <w:t xml:space="preserve"> Keuangan (BPK)</w:t>
      </w:r>
      <w:r w:rsidRPr="0017699B">
        <w:rPr>
          <w:rFonts w:cs="Calibri" w:hint="cs"/>
          <w:shd w:val="clear" w:color="auto" w:fill="FFFFFF"/>
          <w:rtl/>
        </w:rPr>
        <w:t>.</w:t>
      </w:r>
    </w:p>
    <w:p w14:paraId="210A4268" w14:textId="77777777" w:rsidR="00524A8C" w:rsidRPr="0017699B" w:rsidRDefault="00524A8C" w:rsidP="00524A8C">
      <w:pPr>
        <w:bidi/>
        <w:spacing w:after="120" w:line="360" w:lineRule="auto"/>
        <w:jc w:val="both"/>
        <w:rPr>
          <w:rFonts w:cs="Calibri"/>
          <w:shd w:val="clear" w:color="auto" w:fill="FFFFFF"/>
          <w:rtl/>
        </w:rPr>
      </w:pPr>
      <w:r w:rsidRPr="0017699B">
        <w:rPr>
          <w:rFonts w:cs="Calibri" w:hint="cs"/>
          <w:shd w:val="clear" w:color="auto" w:fill="FFFFFF"/>
          <w:rtl/>
        </w:rPr>
        <w:t>يتضمن هذا التقرير رأي المدقق الخارجي وتقرير المدقق الخارجي المطوّل عن البيانات المالية المُدققة للمنظمة للسنة المنتهية في 31 ديسمبر 2025، والذي أعدته المنظمة.</w:t>
      </w:r>
    </w:p>
    <w:p w14:paraId="21A26248" w14:textId="77777777" w:rsidR="00524A8C" w:rsidRPr="0017699B" w:rsidRDefault="00524A8C" w:rsidP="00524A8C">
      <w:pPr>
        <w:spacing w:after="120" w:line="360" w:lineRule="auto"/>
        <w:rPr>
          <w:rFonts w:cs="Calibri"/>
          <w:shd w:val="clear" w:color="auto" w:fill="FFFFFF"/>
        </w:rPr>
      </w:pPr>
    </w:p>
    <w:p w14:paraId="6DA1171B" w14:textId="77777777" w:rsidR="00524A8C" w:rsidRPr="0017699B" w:rsidRDefault="00524A8C" w:rsidP="00524A8C">
      <w:pPr>
        <w:bidi/>
        <w:spacing w:after="120" w:line="360" w:lineRule="auto"/>
        <w:rPr>
          <w:rFonts w:cs="Calibri"/>
          <w:shd w:val="clear" w:color="auto" w:fill="FFFFFF"/>
          <w:rtl/>
        </w:rPr>
      </w:pPr>
      <w:r w:rsidRPr="0017699B">
        <w:rPr>
          <w:rFonts w:cs="Calibri" w:hint="cs"/>
          <w:shd w:val="clear" w:color="auto" w:fill="FFFFFF"/>
          <w:rtl/>
        </w:rPr>
        <w:t>مع أطيب التحيات،</w:t>
      </w:r>
      <w:r w:rsidRPr="0017699B">
        <w:rPr>
          <w:rFonts w:cs="Calibri" w:hint="cs"/>
          <w:rtl/>
        </w:rPr>
        <w:t xml:space="preserve"> </w:t>
      </w:r>
    </w:p>
    <w:p w14:paraId="5800546D" w14:textId="77777777" w:rsidR="00524A8C" w:rsidRPr="0017699B" w:rsidRDefault="00524A8C" w:rsidP="00524A8C">
      <w:pPr>
        <w:rPr>
          <w:rFonts w:cs="Calibri"/>
          <w:shd w:val="clear" w:color="auto" w:fill="FFFFFF"/>
        </w:rPr>
      </w:pPr>
    </w:p>
    <w:p w14:paraId="1FB3CFE9" w14:textId="77777777" w:rsidR="00524A8C" w:rsidRPr="0017699B" w:rsidRDefault="00524A8C" w:rsidP="00524A8C">
      <w:pPr>
        <w:autoSpaceDE w:val="0"/>
        <w:autoSpaceDN w:val="0"/>
        <w:adjustRightInd w:val="0"/>
        <w:rPr>
          <w:rFonts w:cs="Calibri"/>
          <w:b/>
          <w:bCs/>
          <w:color w:val="000000"/>
        </w:rPr>
      </w:pPr>
    </w:p>
    <w:p w14:paraId="503BF037" w14:textId="77777777" w:rsidR="00524A8C" w:rsidRPr="0017699B" w:rsidRDefault="00524A8C" w:rsidP="00524A8C">
      <w:pPr>
        <w:autoSpaceDE w:val="0"/>
        <w:autoSpaceDN w:val="0"/>
        <w:adjustRightInd w:val="0"/>
        <w:rPr>
          <w:rFonts w:cs="Calibri"/>
          <w:b/>
          <w:bCs/>
          <w:color w:val="000000"/>
        </w:rPr>
      </w:pPr>
    </w:p>
    <w:p w14:paraId="267B4E44" w14:textId="77777777" w:rsidR="00524A8C" w:rsidRPr="0017699B" w:rsidRDefault="00524A8C" w:rsidP="00524A8C">
      <w:pPr>
        <w:autoSpaceDE w:val="0"/>
        <w:autoSpaceDN w:val="0"/>
        <w:bidi/>
        <w:adjustRightInd w:val="0"/>
        <w:rPr>
          <w:rFonts w:cs="Calibri"/>
          <w:b/>
          <w:bCs/>
          <w:color w:val="000000"/>
          <w:rtl/>
        </w:rPr>
      </w:pPr>
      <w:r w:rsidRPr="0017699B">
        <w:rPr>
          <w:rFonts w:cs="Calibri" w:hint="cs"/>
          <w:b/>
          <w:bCs/>
          <w:rtl/>
        </w:rPr>
        <w:t xml:space="preserve">د. إسما ياتون، </w:t>
      </w:r>
      <w:r w:rsidRPr="0017699B">
        <w:rPr>
          <w:rFonts w:cs="Calibri"/>
          <w:b/>
          <w:bCs/>
        </w:rPr>
        <w:t>CSFA، CFRA</w:t>
      </w:r>
      <w:r w:rsidRPr="0017699B">
        <w:rPr>
          <w:rFonts w:cs="Calibri" w:hint="cs"/>
          <w:rtl/>
        </w:rPr>
        <w:t xml:space="preserve"> </w:t>
      </w:r>
    </w:p>
    <w:p w14:paraId="637649D6" w14:textId="77777777" w:rsidR="00524A8C" w:rsidRPr="0017699B" w:rsidRDefault="00524A8C" w:rsidP="00524A8C">
      <w:pPr>
        <w:autoSpaceDE w:val="0"/>
        <w:autoSpaceDN w:val="0"/>
        <w:bidi/>
        <w:adjustRightInd w:val="0"/>
        <w:rPr>
          <w:rFonts w:cs="Calibri"/>
          <w:b/>
          <w:bCs/>
          <w:color w:val="000000"/>
          <w:rtl/>
        </w:rPr>
      </w:pPr>
      <w:r w:rsidRPr="0017699B">
        <w:rPr>
          <w:rFonts w:cs="Calibri" w:hint="cs"/>
          <w:b/>
          <w:bCs/>
          <w:rtl/>
        </w:rPr>
        <w:t>رئيس مجلس التدقيق في جمهورية إندونيسيا</w:t>
      </w:r>
    </w:p>
    <w:p w14:paraId="4BFB8D5A" w14:textId="77777777" w:rsidR="00524A8C" w:rsidRPr="0017699B" w:rsidRDefault="00524A8C" w:rsidP="00524A8C">
      <w:pPr>
        <w:bidi/>
        <w:rPr>
          <w:rFonts w:cs="Calibri"/>
          <w:b/>
          <w:bCs/>
          <w:color w:val="000000"/>
          <w:rtl/>
        </w:rPr>
      </w:pPr>
      <w:r w:rsidRPr="0017699B">
        <w:rPr>
          <w:rFonts w:cs="Calibri" w:hint="cs"/>
          <w:b/>
          <w:bCs/>
          <w:rtl/>
        </w:rPr>
        <w:t>المدقق الخارجي</w:t>
      </w:r>
    </w:p>
    <w:p w14:paraId="0C6AA425" w14:textId="77777777" w:rsidR="00524A8C" w:rsidRPr="0017699B" w:rsidRDefault="00524A8C" w:rsidP="00524A8C">
      <w:pPr>
        <w:rPr>
          <w:rFonts w:cs="Calibri"/>
          <w:shd w:val="clear" w:color="auto" w:fill="FFFFFF"/>
          <w:lang w:val="pt-BR"/>
        </w:rPr>
      </w:pPr>
    </w:p>
    <w:p w14:paraId="7227C8E0" w14:textId="77777777" w:rsidR="00524A8C" w:rsidRPr="0017699B" w:rsidRDefault="00524A8C" w:rsidP="00524A8C">
      <w:pPr>
        <w:bidi/>
        <w:rPr>
          <w:rFonts w:cs="Calibri"/>
          <w:b/>
          <w:bCs/>
          <w:color w:val="000000"/>
          <w:rtl/>
        </w:rPr>
      </w:pPr>
      <w:r w:rsidRPr="0017699B">
        <w:rPr>
          <w:rFonts w:cs="Calibri" w:hint="cs"/>
          <w:b/>
          <w:bCs/>
          <w:rtl/>
        </w:rPr>
        <w:t>جاكارتا، إندونيسيا</w:t>
      </w:r>
    </w:p>
    <w:p w14:paraId="7B52245F" w14:textId="77777777" w:rsidR="00524A8C" w:rsidRPr="0017699B" w:rsidRDefault="00524A8C" w:rsidP="00524A8C">
      <w:pPr>
        <w:bidi/>
        <w:rPr>
          <w:rFonts w:cs="Calibri"/>
          <w:b/>
          <w:bCs/>
          <w:color w:val="000000"/>
          <w:rtl/>
        </w:rPr>
      </w:pPr>
      <w:r w:rsidRPr="0017699B">
        <w:rPr>
          <w:rFonts w:cs="Calibri" w:hint="cs"/>
          <w:b/>
          <w:bCs/>
          <w:rtl/>
        </w:rPr>
        <w:t>11 مايو 2026</w:t>
      </w:r>
    </w:p>
    <w:p w14:paraId="194A390A" w14:textId="77777777" w:rsidR="00524A8C" w:rsidRPr="0017699B" w:rsidRDefault="00524A8C" w:rsidP="00524A8C">
      <w:pPr>
        <w:rPr>
          <w:rFonts w:cs="Calibri"/>
          <w:b/>
          <w:bCs/>
          <w:color w:val="000000"/>
          <w:lang w:val="pt-BR"/>
        </w:rPr>
      </w:pPr>
    </w:p>
    <w:p w14:paraId="16FF5A32" w14:textId="77777777" w:rsidR="003E20D1" w:rsidRPr="0017699B" w:rsidRDefault="003E20D1" w:rsidP="00524A8C">
      <w:pPr>
        <w:rPr>
          <w:rFonts w:cs="Calibri"/>
          <w:b/>
          <w:bCs/>
          <w:color w:val="000000"/>
          <w:lang w:val="pt-BR"/>
        </w:rPr>
        <w:sectPr w:rsidR="003E20D1" w:rsidRPr="0017699B" w:rsidSect="008368CE">
          <w:headerReference w:type="default" r:id="rId22"/>
          <w:footerReference w:type="default" r:id="rId23"/>
          <w:pgSz w:w="11906" w:h="16838" w:code="9"/>
          <w:pgMar w:top="1440" w:right="1440" w:bottom="1304" w:left="1418" w:header="709" w:footer="709" w:gutter="0"/>
          <w:pgNumType w:fmt="lowerRoman" w:start="1"/>
          <w:cols w:space="708"/>
          <w:titlePg/>
          <w:docGrid w:linePitch="360"/>
        </w:sectPr>
      </w:pPr>
    </w:p>
    <w:p w14:paraId="7DC66319" w14:textId="0609B54E" w:rsidR="00840150" w:rsidRPr="0017699B" w:rsidRDefault="00CD7EDF" w:rsidP="00092655">
      <w:pPr>
        <w:pStyle w:val="Heading1"/>
        <w:bidi/>
        <w:spacing w:after="120" w:line="280" w:lineRule="exact"/>
        <w:jc w:val="center"/>
        <w:rPr>
          <w:rFonts w:ascii="Arial" w:hAnsi="Arial" w:cs="Calibri"/>
          <w:color w:val="auto"/>
          <w:sz w:val="32"/>
          <w:szCs w:val="32"/>
          <w:rtl/>
        </w:rPr>
      </w:pPr>
      <w:bookmarkStart w:id="12" w:name="_Toc230784709"/>
      <w:r w:rsidRPr="0017699B">
        <w:rPr>
          <w:rFonts w:ascii="Arial" w:hAnsi="Arial" w:cs="Calibri" w:hint="cs"/>
          <w:color w:val="auto"/>
          <w:sz w:val="32"/>
          <w:szCs w:val="32"/>
          <w:rtl/>
        </w:rPr>
        <w:t>قائمة المحتويات</w:t>
      </w:r>
      <w:bookmarkEnd w:id="12"/>
    </w:p>
    <w:bookmarkEnd w:id="6"/>
    <w:bookmarkEnd w:id="7"/>
    <w:bookmarkEnd w:id="8"/>
    <w:bookmarkEnd w:id="9"/>
    <w:bookmarkEnd w:id="10"/>
    <w:p w14:paraId="5440D56F" w14:textId="77777777" w:rsidR="00A4185A" w:rsidRPr="0017699B" w:rsidRDefault="00A4185A" w:rsidP="00FB15EA">
      <w:pPr>
        <w:pStyle w:val="TOC1"/>
        <w:tabs>
          <w:tab w:val="right" w:leader="dot" w:pos="9048"/>
        </w:tabs>
        <w:spacing w:line="240" w:lineRule="auto"/>
        <w:contextualSpacing/>
        <w:rPr>
          <w:rFonts w:ascii="Arial" w:hAnsi="Arial" w:cs="Calibri"/>
          <w:b w:val="0"/>
          <w:bCs w:val="0"/>
        </w:rPr>
      </w:pPr>
    </w:p>
    <w:bookmarkStart w:id="13" w:name="_Hlt228878060"/>
    <w:bookmarkStart w:id="14" w:name="_Hlt228878061"/>
    <w:p w14:paraId="5120E885" w14:textId="7D287E26" w:rsidR="004058E1" w:rsidRDefault="008C5D66" w:rsidP="004058E1">
      <w:pPr>
        <w:pStyle w:val="TOC1"/>
        <w:tabs>
          <w:tab w:val="right" w:pos="9401"/>
        </w:tabs>
        <w:bidi/>
        <w:rPr>
          <w:rFonts w:asciiTheme="minorHAnsi" w:eastAsiaTheme="minorEastAsia" w:hAnsiTheme="minorHAnsi" w:cstheme="minorBidi"/>
          <w:b w:val="0"/>
          <w:bCs w:val="0"/>
          <w:noProof/>
          <w:color w:val="auto"/>
          <w:kern w:val="2"/>
          <w:sz w:val="24"/>
          <w:szCs w:val="24"/>
          <w:lang w:val="en-US"/>
          <w14:ligatures w14:val="standardContextual"/>
        </w:rPr>
      </w:pPr>
      <w:r w:rsidRPr="0017699B">
        <w:rPr>
          <w:rFonts w:ascii="Arial" w:hAnsi="Arial" w:cs="Calibri" w:hint="cs"/>
          <w:b w:val="0"/>
          <w:rtl/>
        </w:rPr>
        <w:fldChar w:fldCharType="begin"/>
      </w:r>
      <w:bookmarkEnd w:id="13"/>
      <w:bookmarkEnd w:id="14"/>
      <w:r w:rsidRPr="0017699B">
        <w:rPr>
          <w:rFonts w:ascii="Arial" w:hAnsi="Arial" w:cs="Calibri"/>
          <w:rtl/>
        </w:rPr>
        <w:instrText xml:space="preserve"> </w:instrText>
      </w:r>
      <w:r w:rsidRPr="0017699B">
        <w:rPr>
          <w:rFonts w:ascii="Arial" w:hAnsi="Arial" w:cs="Calibri"/>
        </w:rPr>
        <w:instrText xml:space="preserve">TOC \o "1-6" \h \z \u </w:instrText>
      </w:r>
      <w:r w:rsidRPr="0017699B">
        <w:rPr>
          <w:rFonts w:ascii="Arial" w:hAnsi="Arial" w:cs="Calibri" w:hint="cs"/>
          <w:b w:val="0"/>
          <w:rtl/>
        </w:rPr>
        <w:fldChar w:fldCharType="separate"/>
      </w:r>
      <w:hyperlink w:anchor="_Toc230784708" w:history="1">
        <w:r w:rsidR="004058E1" w:rsidRPr="00597462">
          <w:rPr>
            <w:rStyle w:val="Hyperlink"/>
            <w:rFonts w:ascii="Arial" w:hAnsi="Arial" w:cs="Calibri"/>
            <w:noProof/>
            <w:rtl/>
          </w:rPr>
          <w:t>خطاب الإحالة</w:t>
        </w:r>
        <w:r w:rsidR="004058E1">
          <w:rPr>
            <w:noProof/>
            <w:webHidden/>
          </w:rPr>
          <w:tab/>
        </w:r>
        <w:r w:rsidR="004058E1">
          <w:rPr>
            <w:noProof/>
            <w:webHidden/>
          </w:rPr>
          <w:fldChar w:fldCharType="begin"/>
        </w:r>
        <w:r w:rsidR="004058E1">
          <w:rPr>
            <w:noProof/>
            <w:webHidden/>
          </w:rPr>
          <w:instrText xml:space="preserve"> PAGEREF _Toc230784708 \h </w:instrText>
        </w:r>
        <w:r w:rsidR="004058E1">
          <w:rPr>
            <w:noProof/>
            <w:webHidden/>
          </w:rPr>
        </w:r>
        <w:r w:rsidR="004058E1">
          <w:rPr>
            <w:noProof/>
            <w:webHidden/>
          </w:rPr>
          <w:fldChar w:fldCharType="separate"/>
        </w:r>
        <w:r w:rsidR="004058E1">
          <w:rPr>
            <w:noProof/>
            <w:webHidden/>
          </w:rPr>
          <w:t>i</w:t>
        </w:r>
        <w:r w:rsidR="004058E1">
          <w:rPr>
            <w:noProof/>
            <w:webHidden/>
          </w:rPr>
          <w:fldChar w:fldCharType="end"/>
        </w:r>
      </w:hyperlink>
    </w:p>
    <w:p w14:paraId="76850643" w14:textId="63CCAE32" w:rsidR="004058E1" w:rsidRDefault="004058E1" w:rsidP="004058E1">
      <w:pPr>
        <w:pStyle w:val="TOC1"/>
        <w:tabs>
          <w:tab w:val="right" w:pos="9401"/>
        </w:tabs>
        <w:bidi/>
        <w:rPr>
          <w:rFonts w:asciiTheme="minorHAnsi" w:eastAsiaTheme="minorEastAsia" w:hAnsiTheme="minorHAnsi" w:cstheme="minorBidi"/>
          <w:b w:val="0"/>
          <w:bCs w:val="0"/>
          <w:noProof/>
          <w:color w:val="auto"/>
          <w:kern w:val="2"/>
          <w:sz w:val="24"/>
          <w:szCs w:val="24"/>
          <w:lang w:val="en-US"/>
          <w14:ligatures w14:val="standardContextual"/>
        </w:rPr>
      </w:pPr>
      <w:hyperlink w:anchor="_Toc230784709" w:history="1">
        <w:r w:rsidRPr="00597462">
          <w:rPr>
            <w:rStyle w:val="Hyperlink"/>
            <w:rFonts w:ascii="Arial" w:hAnsi="Arial" w:cs="Calibri"/>
            <w:noProof/>
            <w:rtl/>
          </w:rPr>
          <w:t>قائمة المحتويات</w:t>
        </w:r>
        <w:r>
          <w:rPr>
            <w:noProof/>
            <w:webHidden/>
          </w:rPr>
          <w:tab/>
        </w:r>
        <w:r>
          <w:rPr>
            <w:noProof/>
            <w:webHidden/>
          </w:rPr>
          <w:fldChar w:fldCharType="begin"/>
        </w:r>
        <w:r>
          <w:rPr>
            <w:noProof/>
            <w:webHidden/>
          </w:rPr>
          <w:instrText xml:space="preserve"> PAGEREF _Toc230784709 \h </w:instrText>
        </w:r>
        <w:r>
          <w:rPr>
            <w:noProof/>
            <w:webHidden/>
          </w:rPr>
        </w:r>
        <w:r>
          <w:rPr>
            <w:noProof/>
            <w:webHidden/>
          </w:rPr>
          <w:fldChar w:fldCharType="separate"/>
        </w:r>
        <w:r>
          <w:rPr>
            <w:noProof/>
            <w:webHidden/>
            <w:rtl/>
          </w:rPr>
          <w:t>4</w:t>
        </w:r>
        <w:r>
          <w:rPr>
            <w:noProof/>
            <w:webHidden/>
          </w:rPr>
          <w:fldChar w:fldCharType="end"/>
        </w:r>
      </w:hyperlink>
    </w:p>
    <w:p w14:paraId="684E3146" w14:textId="425D9A82" w:rsidR="004058E1" w:rsidRDefault="004058E1" w:rsidP="004058E1">
      <w:pPr>
        <w:pStyle w:val="TOC1"/>
        <w:tabs>
          <w:tab w:val="right" w:pos="9401"/>
        </w:tabs>
        <w:bidi/>
        <w:rPr>
          <w:rFonts w:asciiTheme="minorHAnsi" w:eastAsiaTheme="minorEastAsia" w:hAnsiTheme="minorHAnsi" w:cstheme="minorBidi"/>
          <w:b w:val="0"/>
          <w:bCs w:val="0"/>
          <w:noProof/>
          <w:color w:val="auto"/>
          <w:kern w:val="2"/>
          <w:sz w:val="24"/>
          <w:szCs w:val="24"/>
          <w:lang w:val="en-US"/>
          <w14:ligatures w14:val="standardContextual"/>
        </w:rPr>
      </w:pPr>
      <w:hyperlink w:anchor="_Toc230784710" w:history="1">
        <w:r w:rsidRPr="00597462">
          <w:rPr>
            <w:rStyle w:val="Hyperlink"/>
            <w:rFonts w:ascii="Arial" w:hAnsi="Arial" w:cs="Calibri"/>
            <w:noProof/>
            <w:rtl/>
          </w:rPr>
          <w:t>قائمة الجداول</w:t>
        </w:r>
        <w:r>
          <w:rPr>
            <w:noProof/>
            <w:webHidden/>
          </w:rPr>
          <w:tab/>
        </w:r>
        <w:r>
          <w:rPr>
            <w:noProof/>
            <w:webHidden/>
          </w:rPr>
          <w:fldChar w:fldCharType="begin"/>
        </w:r>
        <w:r>
          <w:rPr>
            <w:noProof/>
            <w:webHidden/>
          </w:rPr>
          <w:instrText xml:space="preserve"> PAGEREF _Toc230784710 \h </w:instrText>
        </w:r>
        <w:r>
          <w:rPr>
            <w:noProof/>
            <w:webHidden/>
          </w:rPr>
        </w:r>
        <w:r>
          <w:rPr>
            <w:noProof/>
            <w:webHidden/>
          </w:rPr>
          <w:fldChar w:fldCharType="separate"/>
        </w:r>
        <w:r>
          <w:rPr>
            <w:noProof/>
            <w:webHidden/>
            <w:rtl/>
          </w:rPr>
          <w:t>5</w:t>
        </w:r>
        <w:r>
          <w:rPr>
            <w:noProof/>
            <w:webHidden/>
          </w:rPr>
          <w:fldChar w:fldCharType="end"/>
        </w:r>
      </w:hyperlink>
    </w:p>
    <w:p w14:paraId="1AC52ADD" w14:textId="5D46183C" w:rsidR="004058E1" w:rsidRDefault="004058E1" w:rsidP="004058E1">
      <w:pPr>
        <w:pStyle w:val="TOC2"/>
        <w:tabs>
          <w:tab w:val="left" w:pos="4584"/>
        </w:tabs>
        <w:bidi/>
        <w:rPr>
          <w:rFonts w:asciiTheme="minorHAnsi" w:eastAsiaTheme="minorEastAsia" w:hAnsiTheme="minorHAnsi" w:cstheme="minorBidi"/>
          <w:b w:val="0"/>
          <w:bCs w:val="0"/>
          <w:noProof/>
          <w:color w:val="auto"/>
          <w:kern w:val="2"/>
          <w:sz w:val="24"/>
          <w:szCs w:val="24"/>
          <w:lang w:val="en-US"/>
          <w14:ligatures w14:val="standardContextual"/>
        </w:rPr>
      </w:pPr>
      <w:hyperlink w:anchor="_Toc230784711" w:history="1">
        <w:r w:rsidRPr="00597462">
          <w:rPr>
            <w:rStyle w:val="Hyperlink"/>
            <w:rFonts w:ascii="Arial" w:hAnsi="Arial" w:cs="Calibri"/>
            <w:noProof/>
            <w:rtl/>
          </w:rPr>
          <w:t>1.</w:t>
        </w:r>
        <w:r>
          <w:rPr>
            <w:rFonts w:asciiTheme="minorHAnsi" w:eastAsiaTheme="minorEastAsia" w:hAnsiTheme="minorHAnsi" w:cstheme="minorBidi"/>
            <w:b w:val="0"/>
            <w:bCs w:val="0"/>
            <w:noProof/>
            <w:color w:val="auto"/>
            <w:kern w:val="2"/>
            <w:sz w:val="24"/>
            <w:szCs w:val="24"/>
            <w:lang w:val="en-US"/>
            <w14:ligatures w14:val="standardContextual"/>
          </w:rPr>
          <w:tab/>
        </w:r>
        <w:r w:rsidRPr="00597462">
          <w:rPr>
            <w:rStyle w:val="Hyperlink"/>
            <w:rFonts w:ascii="Arial" w:hAnsi="Arial" w:cs="Calibri"/>
            <w:noProof/>
            <w:rtl/>
          </w:rPr>
          <w:t>تقرير المدقق الخارجي بشأن البيانات المالية: رأي المدقق</w:t>
        </w:r>
        <w:r>
          <w:rPr>
            <w:noProof/>
            <w:webHidden/>
          </w:rPr>
          <w:tab/>
        </w:r>
        <w:r>
          <w:rPr>
            <w:noProof/>
            <w:webHidden/>
          </w:rPr>
          <w:fldChar w:fldCharType="begin"/>
        </w:r>
        <w:r>
          <w:rPr>
            <w:noProof/>
            <w:webHidden/>
          </w:rPr>
          <w:instrText xml:space="preserve"> PAGEREF _Toc230784711 \h </w:instrText>
        </w:r>
        <w:r>
          <w:rPr>
            <w:noProof/>
            <w:webHidden/>
          </w:rPr>
        </w:r>
        <w:r>
          <w:rPr>
            <w:noProof/>
            <w:webHidden/>
          </w:rPr>
          <w:fldChar w:fldCharType="separate"/>
        </w:r>
        <w:r>
          <w:rPr>
            <w:noProof/>
            <w:webHidden/>
            <w:rtl/>
          </w:rPr>
          <w:t>6</w:t>
        </w:r>
        <w:r>
          <w:rPr>
            <w:noProof/>
            <w:webHidden/>
          </w:rPr>
          <w:fldChar w:fldCharType="end"/>
        </w:r>
      </w:hyperlink>
    </w:p>
    <w:p w14:paraId="190A315C" w14:textId="182E9ECE" w:rsidR="004058E1" w:rsidRDefault="004058E1" w:rsidP="004058E1">
      <w:pPr>
        <w:pStyle w:val="TOC2"/>
        <w:bidi/>
        <w:rPr>
          <w:rFonts w:asciiTheme="minorHAnsi" w:eastAsiaTheme="minorEastAsia" w:hAnsiTheme="minorHAnsi" w:cstheme="minorBidi"/>
          <w:b w:val="0"/>
          <w:bCs w:val="0"/>
          <w:noProof/>
          <w:color w:val="auto"/>
          <w:kern w:val="2"/>
          <w:sz w:val="24"/>
          <w:szCs w:val="24"/>
          <w:lang w:val="en-US"/>
          <w14:ligatures w14:val="standardContextual"/>
        </w:rPr>
      </w:pPr>
      <w:hyperlink w:anchor="_Toc230784712" w:history="1">
        <w:r w:rsidRPr="00597462">
          <w:rPr>
            <w:rStyle w:val="Hyperlink"/>
            <w:rFonts w:ascii="Arial" w:hAnsi="Arial" w:cs="Calibri"/>
            <w:noProof/>
            <w:rtl/>
          </w:rPr>
          <w:t>التقرير المطول للمدقق الخارجي</w:t>
        </w:r>
        <w:r>
          <w:rPr>
            <w:noProof/>
            <w:webHidden/>
          </w:rPr>
          <w:tab/>
        </w:r>
        <w:r>
          <w:rPr>
            <w:noProof/>
            <w:webHidden/>
          </w:rPr>
          <w:fldChar w:fldCharType="begin"/>
        </w:r>
        <w:r>
          <w:rPr>
            <w:noProof/>
            <w:webHidden/>
          </w:rPr>
          <w:instrText xml:space="preserve"> PAGEREF _Toc230784712 \h </w:instrText>
        </w:r>
        <w:r>
          <w:rPr>
            <w:noProof/>
            <w:webHidden/>
          </w:rPr>
        </w:r>
        <w:r>
          <w:rPr>
            <w:noProof/>
            <w:webHidden/>
          </w:rPr>
          <w:fldChar w:fldCharType="separate"/>
        </w:r>
        <w:r>
          <w:rPr>
            <w:noProof/>
            <w:webHidden/>
            <w:rtl/>
          </w:rPr>
          <w:t>9</w:t>
        </w:r>
        <w:r>
          <w:rPr>
            <w:noProof/>
            <w:webHidden/>
          </w:rPr>
          <w:fldChar w:fldCharType="end"/>
        </w:r>
      </w:hyperlink>
    </w:p>
    <w:p w14:paraId="37145E6E" w14:textId="3E0C21E0" w:rsidR="004058E1" w:rsidRDefault="004058E1" w:rsidP="004058E1">
      <w:pPr>
        <w:pStyle w:val="TOC2"/>
        <w:bidi/>
        <w:rPr>
          <w:rFonts w:asciiTheme="minorHAnsi" w:eastAsiaTheme="minorEastAsia" w:hAnsiTheme="minorHAnsi" w:cstheme="minorBidi"/>
          <w:b w:val="0"/>
          <w:bCs w:val="0"/>
          <w:noProof/>
          <w:color w:val="auto"/>
          <w:kern w:val="2"/>
          <w:sz w:val="24"/>
          <w:szCs w:val="24"/>
          <w:lang w:val="en-US"/>
          <w14:ligatures w14:val="standardContextual"/>
        </w:rPr>
      </w:pPr>
      <w:hyperlink w:anchor="_Toc230784713" w:history="1">
        <w:r w:rsidRPr="00597462">
          <w:rPr>
            <w:rStyle w:val="Hyperlink"/>
            <w:rFonts w:ascii="Arial" w:hAnsi="Arial" w:cs="Calibri"/>
            <w:noProof/>
            <w:rtl/>
          </w:rPr>
          <w:t>ملخص</w:t>
        </w:r>
        <w:r>
          <w:rPr>
            <w:noProof/>
            <w:webHidden/>
          </w:rPr>
          <w:tab/>
        </w:r>
        <w:r>
          <w:rPr>
            <w:noProof/>
            <w:webHidden/>
          </w:rPr>
          <w:fldChar w:fldCharType="begin"/>
        </w:r>
        <w:r>
          <w:rPr>
            <w:noProof/>
            <w:webHidden/>
          </w:rPr>
          <w:instrText xml:space="preserve"> PAGEREF _Toc230784713 \h </w:instrText>
        </w:r>
        <w:r>
          <w:rPr>
            <w:noProof/>
            <w:webHidden/>
          </w:rPr>
        </w:r>
        <w:r>
          <w:rPr>
            <w:noProof/>
            <w:webHidden/>
          </w:rPr>
          <w:fldChar w:fldCharType="separate"/>
        </w:r>
        <w:r>
          <w:rPr>
            <w:noProof/>
            <w:webHidden/>
            <w:rtl/>
          </w:rPr>
          <w:t>9</w:t>
        </w:r>
        <w:r>
          <w:rPr>
            <w:noProof/>
            <w:webHidden/>
          </w:rPr>
          <w:fldChar w:fldCharType="end"/>
        </w:r>
      </w:hyperlink>
    </w:p>
    <w:p w14:paraId="23776ACB" w14:textId="2BDBDEF4" w:rsidR="004058E1" w:rsidRDefault="004058E1" w:rsidP="004058E1">
      <w:pPr>
        <w:pStyle w:val="TOC3"/>
        <w:tabs>
          <w:tab w:val="left" w:pos="1047"/>
        </w:tabs>
        <w:bidi/>
        <w:rPr>
          <w:rFonts w:asciiTheme="minorHAnsi" w:eastAsiaTheme="minorEastAsia" w:hAnsiTheme="minorHAnsi" w:cstheme="minorBidi"/>
          <w:noProof/>
          <w:color w:val="auto"/>
          <w:kern w:val="2"/>
          <w:sz w:val="24"/>
          <w:szCs w:val="24"/>
          <w:lang w:val="en-US"/>
          <w14:ligatures w14:val="standardContextual"/>
        </w:rPr>
      </w:pPr>
      <w:hyperlink w:anchor="_Toc230784714" w:history="1">
        <w:r w:rsidRPr="00597462">
          <w:rPr>
            <w:rStyle w:val="Hyperlink"/>
            <w:rFonts w:ascii="Arial" w:eastAsia="Arial" w:hAnsi="Arial"/>
            <w:noProof/>
            <w:spacing w:val="-1"/>
            <w:rtl/>
          </w:rPr>
          <w:t>‌أ.</w:t>
        </w:r>
        <w:r>
          <w:rPr>
            <w:rFonts w:asciiTheme="minorHAnsi" w:eastAsiaTheme="minorEastAsia" w:hAnsiTheme="minorHAnsi" w:cstheme="minorBidi"/>
            <w:noProof/>
            <w:color w:val="auto"/>
            <w:kern w:val="2"/>
            <w:sz w:val="24"/>
            <w:szCs w:val="24"/>
            <w:lang w:val="en-US"/>
            <w14:ligatures w14:val="standardContextual"/>
          </w:rPr>
          <w:tab/>
        </w:r>
        <w:r w:rsidRPr="00597462">
          <w:rPr>
            <w:rStyle w:val="Hyperlink"/>
            <w:rFonts w:ascii="Arial" w:hAnsi="Arial" w:cs="Calibri"/>
            <w:noProof/>
            <w:rtl/>
          </w:rPr>
          <w:t>الأهداف والنطاق والمنهجية</w:t>
        </w:r>
        <w:r>
          <w:rPr>
            <w:noProof/>
            <w:webHidden/>
          </w:rPr>
          <w:tab/>
        </w:r>
        <w:r>
          <w:rPr>
            <w:noProof/>
            <w:webHidden/>
          </w:rPr>
          <w:fldChar w:fldCharType="begin"/>
        </w:r>
        <w:r>
          <w:rPr>
            <w:noProof/>
            <w:webHidden/>
          </w:rPr>
          <w:instrText xml:space="preserve"> PAGEREF _Toc230784714 \h </w:instrText>
        </w:r>
        <w:r>
          <w:rPr>
            <w:noProof/>
            <w:webHidden/>
          </w:rPr>
        </w:r>
        <w:r>
          <w:rPr>
            <w:noProof/>
            <w:webHidden/>
          </w:rPr>
          <w:fldChar w:fldCharType="separate"/>
        </w:r>
        <w:r>
          <w:rPr>
            <w:noProof/>
            <w:webHidden/>
            <w:rtl/>
          </w:rPr>
          <w:t>11</w:t>
        </w:r>
        <w:r>
          <w:rPr>
            <w:noProof/>
            <w:webHidden/>
          </w:rPr>
          <w:fldChar w:fldCharType="end"/>
        </w:r>
      </w:hyperlink>
    </w:p>
    <w:p w14:paraId="3748B681" w14:textId="334DF346" w:rsidR="004058E1" w:rsidRDefault="004058E1" w:rsidP="004058E1">
      <w:pPr>
        <w:pStyle w:val="TOC3"/>
        <w:tabs>
          <w:tab w:val="left" w:pos="1047"/>
        </w:tabs>
        <w:bidi/>
        <w:rPr>
          <w:rFonts w:asciiTheme="minorHAnsi" w:eastAsiaTheme="minorEastAsia" w:hAnsiTheme="minorHAnsi" w:cstheme="minorBidi"/>
          <w:noProof/>
          <w:color w:val="auto"/>
          <w:kern w:val="2"/>
          <w:sz w:val="24"/>
          <w:szCs w:val="24"/>
          <w:lang w:val="en-US"/>
          <w14:ligatures w14:val="standardContextual"/>
        </w:rPr>
      </w:pPr>
      <w:hyperlink w:anchor="_Toc230784715" w:history="1">
        <w:r w:rsidRPr="00597462">
          <w:rPr>
            <w:rStyle w:val="Hyperlink"/>
            <w:rFonts w:ascii="Arial" w:eastAsia="Arial" w:hAnsi="Arial"/>
            <w:noProof/>
            <w:spacing w:val="-1"/>
            <w:rtl/>
          </w:rPr>
          <w:t>‌ب.</w:t>
        </w:r>
        <w:r>
          <w:rPr>
            <w:rFonts w:asciiTheme="minorHAnsi" w:eastAsiaTheme="minorEastAsia" w:hAnsiTheme="minorHAnsi" w:cstheme="minorBidi"/>
            <w:noProof/>
            <w:color w:val="auto"/>
            <w:kern w:val="2"/>
            <w:sz w:val="24"/>
            <w:szCs w:val="24"/>
            <w:lang w:val="en-US"/>
            <w14:ligatures w14:val="standardContextual"/>
          </w:rPr>
          <w:tab/>
        </w:r>
        <w:r w:rsidRPr="00597462">
          <w:rPr>
            <w:rStyle w:val="Hyperlink"/>
            <w:rFonts w:ascii="Arial" w:hAnsi="Arial" w:cs="Calibri"/>
            <w:noProof/>
            <w:rtl/>
          </w:rPr>
          <w:t>لمحة عامة عن الأحوال المالية</w:t>
        </w:r>
        <w:r>
          <w:rPr>
            <w:noProof/>
            <w:webHidden/>
          </w:rPr>
          <w:tab/>
        </w:r>
        <w:r>
          <w:rPr>
            <w:noProof/>
            <w:webHidden/>
          </w:rPr>
          <w:fldChar w:fldCharType="begin"/>
        </w:r>
        <w:r>
          <w:rPr>
            <w:noProof/>
            <w:webHidden/>
          </w:rPr>
          <w:instrText xml:space="preserve"> PAGEREF _Toc230784715 \h </w:instrText>
        </w:r>
        <w:r>
          <w:rPr>
            <w:noProof/>
            <w:webHidden/>
          </w:rPr>
        </w:r>
        <w:r>
          <w:rPr>
            <w:noProof/>
            <w:webHidden/>
          </w:rPr>
          <w:fldChar w:fldCharType="separate"/>
        </w:r>
        <w:r>
          <w:rPr>
            <w:noProof/>
            <w:webHidden/>
            <w:rtl/>
          </w:rPr>
          <w:t>12</w:t>
        </w:r>
        <w:r>
          <w:rPr>
            <w:noProof/>
            <w:webHidden/>
          </w:rPr>
          <w:fldChar w:fldCharType="end"/>
        </w:r>
      </w:hyperlink>
    </w:p>
    <w:p w14:paraId="7B8E34A6" w14:textId="0B0B0F42" w:rsidR="004058E1" w:rsidRDefault="004058E1" w:rsidP="004058E1">
      <w:pPr>
        <w:pStyle w:val="TOC3"/>
        <w:tabs>
          <w:tab w:val="left" w:pos="1047"/>
          <w:tab w:val="left" w:pos="2538"/>
        </w:tabs>
        <w:bidi/>
        <w:rPr>
          <w:rFonts w:asciiTheme="minorHAnsi" w:eastAsiaTheme="minorEastAsia" w:hAnsiTheme="minorHAnsi" w:cstheme="minorBidi"/>
          <w:noProof/>
          <w:color w:val="auto"/>
          <w:kern w:val="2"/>
          <w:sz w:val="24"/>
          <w:szCs w:val="24"/>
          <w:lang w:val="en-US"/>
          <w14:ligatures w14:val="standardContextual"/>
        </w:rPr>
      </w:pPr>
      <w:hyperlink w:anchor="_Toc230784716" w:history="1">
        <w:r w:rsidRPr="00597462">
          <w:rPr>
            <w:rStyle w:val="Hyperlink"/>
            <w:rFonts w:ascii="Arial" w:eastAsia="Arial" w:hAnsi="Arial"/>
            <w:noProof/>
            <w:spacing w:val="-1"/>
            <w:rtl/>
          </w:rPr>
          <w:t>‌ج.</w:t>
        </w:r>
        <w:r>
          <w:rPr>
            <w:rFonts w:asciiTheme="minorHAnsi" w:eastAsiaTheme="minorEastAsia" w:hAnsiTheme="minorHAnsi" w:cstheme="minorBidi"/>
            <w:noProof/>
            <w:color w:val="auto"/>
            <w:kern w:val="2"/>
            <w:sz w:val="24"/>
            <w:szCs w:val="24"/>
            <w:lang w:val="en-US"/>
            <w14:ligatures w14:val="standardContextual"/>
          </w:rPr>
          <w:tab/>
        </w:r>
        <w:r w:rsidRPr="00597462">
          <w:rPr>
            <w:rStyle w:val="Hyperlink"/>
            <w:rFonts w:ascii="Arial" w:hAnsi="Arial" w:cs="Calibri"/>
            <w:noProof/>
            <w:rtl/>
          </w:rPr>
          <w:t>متابعة التوصيات السابقة</w:t>
        </w:r>
        <w:r>
          <w:rPr>
            <w:noProof/>
            <w:webHidden/>
          </w:rPr>
          <w:tab/>
        </w:r>
        <w:r>
          <w:rPr>
            <w:noProof/>
            <w:webHidden/>
          </w:rPr>
          <w:fldChar w:fldCharType="begin"/>
        </w:r>
        <w:r>
          <w:rPr>
            <w:noProof/>
            <w:webHidden/>
          </w:rPr>
          <w:instrText xml:space="preserve"> PAGEREF _Toc230784716 \h </w:instrText>
        </w:r>
        <w:r>
          <w:rPr>
            <w:noProof/>
            <w:webHidden/>
          </w:rPr>
        </w:r>
        <w:r>
          <w:rPr>
            <w:noProof/>
            <w:webHidden/>
          </w:rPr>
          <w:fldChar w:fldCharType="separate"/>
        </w:r>
        <w:r>
          <w:rPr>
            <w:noProof/>
            <w:webHidden/>
            <w:rtl/>
          </w:rPr>
          <w:t>14</w:t>
        </w:r>
        <w:r>
          <w:rPr>
            <w:noProof/>
            <w:webHidden/>
          </w:rPr>
          <w:fldChar w:fldCharType="end"/>
        </w:r>
      </w:hyperlink>
    </w:p>
    <w:p w14:paraId="1986B094" w14:textId="55E5FA23" w:rsidR="004058E1" w:rsidRDefault="004058E1" w:rsidP="004058E1">
      <w:pPr>
        <w:pStyle w:val="TOC3"/>
        <w:tabs>
          <w:tab w:val="left" w:pos="1047"/>
          <w:tab w:val="left" w:pos="4093"/>
        </w:tabs>
        <w:bidi/>
        <w:rPr>
          <w:rFonts w:asciiTheme="minorHAnsi" w:eastAsiaTheme="minorEastAsia" w:hAnsiTheme="minorHAnsi" w:cstheme="minorBidi"/>
          <w:noProof/>
          <w:color w:val="auto"/>
          <w:kern w:val="2"/>
          <w:sz w:val="24"/>
          <w:szCs w:val="24"/>
          <w:lang w:val="en-US"/>
          <w14:ligatures w14:val="standardContextual"/>
        </w:rPr>
      </w:pPr>
      <w:hyperlink w:anchor="_Toc230784717" w:history="1">
        <w:r w:rsidRPr="00597462">
          <w:rPr>
            <w:rStyle w:val="Hyperlink"/>
            <w:rFonts w:ascii="Arial" w:eastAsia="Arial" w:hAnsi="Arial"/>
            <w:noProof/>
            <w:spacing w:val="-1"/>
            <w:rtl/>
          </w:rPr>
          <w:t>‌د.</w:t>
        </w:r>
        <w:r>
          <w:rPr>
            <w:rFonts w:asciiTheme="minorHAnsi" w:eastAsiaTheme="minorEastAsia" w:hAnsiTheme="minorHAnsi" w:cstheme="minorBidi"/>
            <w:noProof/>
            <w:color w:val="auto"/>
            <w:kern w:val="2"/>
            <w:sz w:val="24"/>
            <w:szCs w:val="24"/>
            <w:lang w:val="en-US"/>
            <w14:ligatures w14:val="standardContextual"/>
          </w:rPr>
          <w:tab/>
        </w:r>
        <w:r w:rsidRPr="00597462">
          <w:rPr>
            <w:rStyle w:val="Hyperlink"/>
            <w:rFonts w:ascii="Arial" w:hAnsi="Arial" w:cs="Calibri"/>
            <w:noProof/>
            <w:rtl/>
          </w:rPr>
          <w:t>استنتاجات ونتائج وتوصيات مراجعة الحسابات</w:t>
        </w:r>
        <w:r>
          <w:rPr>
            <w:noProof/>
            <w:webHidden/>
          </w:rPr>
          <w:tab/>
        </w:r>
        <w:r>
          <w:rPr>
            <w:noProof/>
            <w:webHidden/>
          </w:rPr>
          <w:fldChar w:fldCharType="begin"/>
        </w:r>
        <w:r>
          <w:rPr>
            <w:noProof/>
            <w:webHidden/>
          </w:rPr>
          <w:instrText xml:space="preserve"> PAGEREF _Toc230784717 \h </w:instrText>
        </w:r>
        <w:r>
          <w:rPr>
            <w:noProof/>
            <w:webHidden/>
          </w:rPr>
        </w:r>
        <w:r>
          <w:rPr>
            <w:noProof/>
            <w:webHidden/>
          </w:rPr>
          <w:fldChar w:fldCharType="separate"/>
        </w:r>
        <w:r>
          <w:rPr>
            <w:noProof/>
            <w:webHidden/>
            <w:rtl/>
          </w:rPr>
          <w:t>15</w:t>
        </w:r>
        <w:r>
          <w:rPr>
            <w:noProof/>
            <w:webHidden/>
          </w:rPr>
          <w:fldChar w:fldCharType="end"/>
        </w:r>
      </w:hyperlink>
    </w:p>
    <w:p w14:paraId="5F30E35F" w14:textId="61681B42" w:rsidR="004058E1" w:rsidRDefault="004058E1" w:rsidP="000E40AA">
      <w:pPr>
        <w:pStyle w:val="TOC4"/>
        <w:tabs>
          <w:tab w:val="left" w:pos="1189"/>
          <w:tab w:val="right" w:leader="dot" w:pos="9401"/>
        </w:tabs>
        <w:bidi/>
        <w:ind w:left="658"/>
        <w:rPr>
          <w:rFonts w:asciiTheme="minorHAnsi" w:eastAsiaTheme="minorEastAsia" w:hAnsiTheme="minorHAnsi" w:cstheme="minorBidi"/>
          <w:noProof/>
          <w:color w:val="auto"/>
          <w:kern w:val="2"/>
          <w:sz w:val="24"/>
          <w:szCs w:val="24"/>
          <w14:ligatures w14:val="standardContextual"/>
        </w:rPr>
      </w:pPr>
      <w:hyperlink w:anchor="_Toc230784718" w:history="1">
        <w:r w:rsidRPr="00597462">
          <w:rPr>
            <w:rStyle w:val="Hyperlink"/>
            <w:rFonts w:ascii="Arial" w:hAnsi="Arial" w:cs="Calibri"/>
            <w:noProof/>
            <w:rtl/>
          </w:rPr>
          <w:t>1.</w:t>
        </w:r>
        <w:r>
          <w:rPr>
            <w:rFonts w:asciiTheme="minorHAnsi" w:eastAsiaTheme="minorEastAsia" w:hAnsiTheme="minorHAnsi" w:cstheme="minorBidi"/>
            <w:noProof/>
            <w:color w:val="auto"/>
            <w:kern w:val="2"/>
            <w:sz w:val="24"/>
            <w:szCs w:val="24"/>
            <w14:ligatures w14:val="standardContextual"/>
          </w:rPr>
          <w:tab/>
        </w:r>
        <w:r w:rsidRPr="00597462">
          <w:rPr>
            <w:rStyle w:val="Hyperlink"/>
            <w:rFonts w:ascii="Arial" w:hAnsi="Arial" w:cs="Calibri"/>
            <w:noProof/>
            <w:rtl/>
          </w:rPr>
          <w:t>التدقيق المالي</w:t>
        </w:r>
        <w:r>
          <w:rPr>
            <w:noProof/>
            <w:webHidden/>
          </w:rPr>
          <w:tab/>
        </w:r>
        <w:r>
          <w:rPr>
            <w:noProof/>
            <w:webHidden/>
          </w:rPr>
          <w:fldChar w:fldCharType="begin"/>
        </w:r>
        <w:r>
          <w:rPr>
            <w:noProof/>
            <w:webHidden/>
          </w:rPr>
          <w:instrText xml:space="preserve"> PAGEREF _Toc230784718 \h </w:instrText>
        </w:r>
        <w:r>
          <w:rPr>
            <w:noProof/>
            <w:webHidden/>
          </w:rPr>
        </w:r>
        <w:r>
          <w:rPr>
            <w:noProof/>
            <w:webHidden/>
          </w:rPr>
          <w:fldChar w:fldCharType="separate"/>
        </w:r>
        <w:r>
          <w:rPr>
            <w:noProof/>
            <w:webHidden/>
            <w:rtl/>
          </w:rPr>
          <w:t>15</w:t>
        </w:r>
        <w:r>
          <w:rPr>
            <w:noProof/>
            <w:webHidden/>
          </w:rPr>
          <w:fldChar w:fldCharType="end"/>
        </w:r>
      </w:hyperlink>
    </w:p>
    <w:p w14:paraId="718FA9E5" w14:textId="4E1D801D"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19" w:history="1">
        <w:r w:rsidRPr="00597462">
          <w:rPr>
            <w:rStyle w:val="Hyperlink"/>
            <w:rFonts w:ascii="Arial" w:hAnsi="Arial" w:cs="Calibri"/>
            <w:noProof/>
            <w:rtl/>
          </w:rPr>
          <w:t>خاتمة التدقيق</w:t>
        </w:r>
        <w:r>
          <w:rPr>
            <w:noProof/>
            <w:webHidden/>
          </w:rPr>
          <w:tab/>
        </w:r>
        <w:r>
          <w:rPr>
            <w:noProof/>
            <w:webHidden/>
          </w:rPr>
          <w:fldChar w:fldCharType="begin"/>
        </w:r>
        <w:r>
          <w:rPr>
            <w:noProof/>
            <w:webHidden/>
          </w:rPr>
          <w:instrText xml:space="preserve"> PAGEREF _Toc230784719 \h </w:instrText>
        </w:r>
        <w:r>
          <w:rPr>
            <w:noProof/>
            <w:webHidden/>
          </w:rPr>
        </w:r>
        <w:r>
          <w:rPr>
            <w:noProof/>
            <w:webHidden/>
          </w:rPr>
          <w:fldChar w:fldCharType="separate"/>
        </w:r>
        <w:r>
          <w:rPr>
            <w:noProof/>
            <w:webHidden/>
            <w:rtl/>
          </w:rPr>
          <w:t>15</w:t>
        </w:r>
        <w:r>
          <w:rPr>
            <w:noProof/>
            <w:webHidden/>
          </w:rPr>
          <w:fldChar w:fldCharType="end"/>
        </w:r>
      </w:hyperlink>
    </w:p>
    <w:p w14:paraId="2F75B618" w14:textId="1CDCC29D"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0" w:history="1">
        <w:r w:rsidRPr="00597462">
          <w:rPr>
            <w:rStyle w:val="Hyperlink"/>
            <w:rFonts w:ascii="Arial" w:hAnsi="Arial" w:cs="Calibri"/>
            <w:noProof/>
            <w:rtl/>
          </w:rPr>
          <w:t>الاستنتاجات والتوصيات</w:t>
        </w:r>
        <w:r>
          <w:rPr>
            <w:noProof/>
            <w:webHidden/>
          </w:rPr>
          <w:tab/>
        </w:r>
        <w:r>
          <w:rPr>
            <w:noProof/>
            <w:webHidden/>
          </w:rPr>
          <w:fldChar w:fldCharType="begin"/>
        </w:r>
        <w:r>
          <w:rPr>
            <w:noProof/>
            <w:webHidden/>
          </w:rPr>
          <w:instrText xml:space="preserve"> PAGEREF _Toc230784720 \h </w:instrText>
        </w:r>
        <w:r>
          <w:rPr>
            <w:noProof/>
            <w:webHidden/>
          </w:rPr>
        </w:r>
        <w:r>
          <w:rPr>
            <w:noProof/>
            <w:webHidden/>
          </w:rPr>
          <w:fldChar w:fldCharType="separate"/>
        </w:r>
        <w:r>
          <w:rPr>
            <w:noProof/>
            <w:webHidden/>
            <w:rtl/>
          </w:rPr>
          <w:t>15</w:t>
        </w:r>
        <w:r>
          <w:rPr>
            <w:noProof/>
            <w:webHidden/>
          </w:rPr>
          <w:fldChar w:fldCharType="end"/>
        </w:r>
      </w:hyperlink>
    </w:p>
    <w:p w14:paraId="51D792F4" w14:textId="3EF76346"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1" w:history="1">
        <w:r w:rsidRPr="00597462">
          <w:rPr>
            <w:rStyle w:val="Hyperlink"/>
            <w:rFonts w:ascii="Arial" w:hAnsi="Arial" w:cs="Calibri"/>
            <w:noProof/>
            <w:rtl/>
          </w:rPr>
          <w:t>الحوكمة</w:t>
        </w:r>
        <w:r>
          <w:rPr>
            <w:noProof/>
            <w:webHidden/>
          </w:rPr>
          <w:tab/>
        </w:r>
        <w:r>
          <w:rPr>
            <w:noProof/>
            <w:webHidden/>
          </w:rPr>
          <w:fldChar w:fldCharType="begin"/>
        </w:r>
        <w:r>
          <w:rPr>
            <w:noProof/>
            <w:webHidden/>
          </w:rPr>
          <w:instrText xml:space="preserve"> PAGEREF _Toc230784721 \h </w:instrText>
        </w:r>
        <w:r>
          <w:rPr>
            <w:noProof/>
            <w:webHidden/>
          </w:rPr>
        </w:r>
        <w:r>
          <w:rPr>
            <w:noProof/>
            <w:webHidden/>
          </w:rPr>
          <w:fldChar w:fldCharType="separate"/>
        </w:r>
        <w:r>
          <w:rPr>
            <w:noProof/>
            <w:webHidden/>
            <w:rtl/>
          </w:rPr>
          <w:t>15</w:t>
        </w:r>
        <w:r>
          <w:rPr>
            <w:noProof/>
            <w:webHidden/>
          </w:rPr>
          <w:fldChar w:fldCharType="end"/>
        </w:r>
      </w:hyperlink>
    </w:p>
    <w:p w14:paraId="562D8B7B" w14:textId="59B00BAB"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2" w:history="1">
        <w:r w:rsidRPr="00597462">
          <w:rPr>
            <w:rStyle w:val="Hyperlink"/>
            <w:rFonts w:ascii="Arial" w:hAnsi="Arial" w:cs="Calibri"/>
            <w:noProof/>
            <w:rtl/>
          </w:rPr>
          <w:t>تحديث الإطار التنظيمي للاستثمار</w:t>
        </w:r>
        <w:r>
          <w:rPr>
            <w:noProof/>
            <w:webHidden/>
          </w:rPr>
          <w:tab/>
        </w:r>
        <w:r>
          <w:rPr>
            <w:noProof/>
            <w:webHidden/>
          </w:rPr>
          <w:fldChar w:fldCharType="begin"/>
        </w:r>
        <w:r>
          <w:rPr>
            <w:noProof/>
            <w:webHidden/>
          </w:rPr>
          <w:instrText xml:space="preserve"> PAGEREF _Toc230784722 \h </w:instrText>
        </w:r>
        <w:r>
          <w:rPr>
            <w:noProof/>
            <w:webHidden/>
          </w:rPr>
        </w:r>
        <w:r>
          <w:rPr>
            <w:noProof/>
            <w:webHidden/>
          </w:rPr>
          <w:fldChar w:fldCharType="separate"/>
        </w:r>
        <w:r>
          <w:rPr>
            <w:noProof/>
            <w:webHidden/>
            <w:rtl/>
          </w:rPr>
          <w:t>16</w:t>
        </w:r>
        <w:r>
          <w:rPr>
            <w:noProof/>
            <w:webHidden/>
          </w:rPr>
          <w:fldChar w:fldCharType="end"/>
        </w:r>
      </w:hyperlink>
    </w:p>
    <w:p w14:paraId="2C4CDCA7" w14:textId="4AAC56AC"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3" w:history="1">
        <w:r w:rsidRPr="00597462">
          <w:rPr>
            <w:rStyle w:val="Hyperlink"/>
            <w:rFonts w:ascii="Arial" w:hAnsi="Arial" w:cs="Calibri"/>
            <w:i/>
            <w:iCs/>
            <w:noProof/>
            <w:rtl/>
          </w:rPr>
          <w:t>الوضوح في مشاركة مديري الصناديق الخارجية</w:t>
        </w:r>
        <w:r>
          <w:rPr>
            <w:noProof/>
            <w:webHidden/>
          </w:rPr>
          <w:tab/>
        </w:r>
        <w:r>
          <w:rPr>
            <w:noProof/>
            <w:webHidden/>
          </w:rPr>
          <w:fldChar w:fldCharType="begin"/>
        </w:r>
        <w:r>
          <w:rPr>
            <w:noProof/>
            <w:webHidden/>
          </w:rPr>
          <w:instrText xml:space="preserve"> PAGEREF _Toc230784723 \h </w:instrText>
        </w:r>
        <w:r>
          <w:rPr>
            <w:noProof/>
            <w:webHidden/>
          </w:rPr>
        </w:r>
        <w:r>
          <w:rPr>
            <w:noProof/>
            <w:webHidden/>
          </w:rPr>
          <w:fldChar w:fldCharType="separate"/>
        </w:r>
        <w:r>
          <w:rPr>
            <w:noProof/>
            <w:webHidden/>
            <w:rtl/>
          </w:rPr>
          <w:t>16</w:t>
        </w:r>
        <w:r>
          <w:rPr>
            <w:noProof/>
            <w:webHidden/>
          </w:rPr>
          <w:fldChar w:fldCharType="end"/>
        </w:r>
      </w:hyperlink>
    </w:p>
    <w:p w14:paraId="1BB9CCE2" w14:textId="399AF43D"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4" w:history="1">
        <w:r w:rsidRPr="00597462">
          <w:rPr>
            <w:rStyle w:val="Hyperlink"/>
            <w:rFonts w:ascii="Arial" w:hAnsi="Arial" w:cs="Calibri"/>
            <w:i/>
            <w:iCs/>
            <w:noProof/>
            <w:rtl/>
          </w:rPr>
          <w:t>آلية الشراء للسندات أو السندات أو غيرها من الالتزامات ومنتجات الدخل الثابت الأخرى التي يتم الحصول عليها كأسهم في اختيار الصناديق المجمعة المتداولة في السوق</w:t>
        </w:r>
        <w:r>
          <w:rPr>
            <w:noProof/>
            <w:webHidden/>
          </w:rPr>
          <w:tab/>
        </w:r>
        <w:r>
          <w:rPr>
            <w:noProof/>
            <w:webHidden/>
          </w:rPr>
          <w:fldChar w:fldCharType="begin"/>
        </w:r>
        <w:r>
          <w:rPr>
            <w:noProof/>
            <w:webHidden/>
          </w:rPr>
          <w:instrText xml:space="preserve"> PAGEREF _Toc230784724 \h </w:instrText>
        </w:r>
        <w:r>
          <w:rPr>
            <w:noProof/>
            <w:webHidden/>
          </w:rPr>
        </w:r>
        <w:r>
          <w:rPr>
            <w:noProof/>
            <w:webHidden/>
          </w:rPr>
          <w:fldChar w:fldCharType="separate"/>
        </w:r>
        <w:r>
          <w:rPr>
            <w:noProof/>
            <w:webHidden/>
            <w:rtl/>
          </w:rPr>
          <w:t>16</w:t>
        </w:r>
        <w:r>
          <w:rPr>
            <w:noProof/>
            <w:webHidden/>
          </w:rPr>
          <w:fldChar w:fldCharType="end"/>
        </w:r>
      </w:hyperlink>
    </w:p>
    <w:p w14:paraId="41F5C841" w14:textId="644657C1"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5" w:history="1">
        <w:r w:rsidRPr="00597462">
          <w:rPr>
            <w:rStyle w:val="Hyperlink"/>
            <w:rFonts w:ascii="Arial" w:hAnsi="Arial" w:cs="Calibri"/>
            <w:noProof/>
            <w:rtl/>
          </w:rPr>
          <w:t>تحسين سجلات حفظ الأصول غير الملموسة في نظام إدارة معلومات الأصول غير الملموسة</w:t>
        </w:r>
        <w:r>
          <w:rPr>
            <w:noProof/>
            <w:webHidden/>
          </w:rPr>
          <w:tab/>
        </w:r>
        <w:r>
          <w:rPr>
            <w:noProof/>
            <w:webHidden/>
          </w:rPr>
          <w:fldChar w:fldCharType="begin"/>
        </w:r>
        <w:r>
          <w:rPr>
            <w:noProof/>
            <w:webHidden/>
          </w:rPr>
          <w:instrText xml:space="preserve"> PAGEREF _Toc230784725 \h </w:instrText>
        </w:r>
        <w:r>
          <w:rPr>
            <w:noProof/>
            <w:webHidden/>
          </w:rPr>
        </w:r>
        <w:r>
          <w:rPr>
            <w:noProof/>
            <w:webHidden/>
          </w:rPr>
          <w:fldChar w:fldCharType="separate"/>
        </w:r>
        <w:r>
          <w:rPr>
            <w:noProof/>
            <w:webHidden/>
            <w:rtl/>
          </w:rPr>
          <w:t>17</w:t>
        </w:r>
        <w:r>
          <w:rPr>
            <w:noProof/>
            <w:webHidden/>
          </w:rPr>
          <w:fldChar w:fldCharType="end"/>
        </w:r>
      </w:hyperlink>
    </w:p>
    <w:p w14:paraId="0D102A67" w14:textId="41A0A4D4"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6" w:history="1">
        <w:r w:rsidRPr="00597462">
          <w:rPr>
            <w:rStyle w:val="Hyperlink"/>
            <w:rFonts w:ascii="Arial" w:hAnsi="Arial" w:cs="Calibri"/>
            <w:noProof/>
            <w:rtl/>
          </w:rPr>
          <w:t>تحسين الإطار التنظيمي للمباني والمنشآت التقنية التي تشكل جزءًا من البنية التحتية للمباني</w:t>
        </w:r>
        <w:r>
          <w:rPr>
            <w:noProof/>
            <w:webHidden/>
          </w:rPr>
          <w:tab/>
        </w:r>
        <w:r>
          <w:rPr>
            <w:noProof/>
            <w:webHidden/>
          </w:rPr>
          <w:fldChar w:fldCharType="begin"/>
        </w:r>
        <w:r>
          <w:rPr>
            <w:noProof/>
            <w:webHidden/>
          </w:rPr>
          <w:instrText xml:space="preserve"> PAGEREF _Toc230784726 \h </w:instrText>
        </w:r>
        <w:r>
          <w:rPr>
            <w:noProof/>
            <w:webHidden/>
          </w:rPr>
        </w:r>
        <w:r>
          <w:rPr>
            <w:noProof/>
            <w:webHidden/>
          </w:rPr>
          <w:fldChar w:fldCharType="separate"/>
        </w:r>
        <w:r>
          <w:rPr>
            <w:noProof/>
            <w:webHidden/>
            <w:rtl/>
          </w:rPr>
          <w:t>17</w:t>
        </w:r>
        <w:r>
          <w:rPr>
            <w:noProof/>
            <w:webHidden/>
          </w:rPr>
          <w:fldChar w:fldCharType="end"/>
        </w:r>
      </w:hyperlink>
    </w:p>
    <w:p w14:paraId="40375B27" w14:textId="132BEE57"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7" w:history="1">
        <w:r w:rsidRPr="00597462">
          <w:rPr>
            <w:rStyle w:val="Hyperlink"/>
            <w:rFonts w:ascii="Arial" w:hAnsi="Arial" w:cs="Calibri"/>
            <w:noProof/>
            <w:rtl/>
          </w:rPr>
          <w:t>إدارة المشتريات</w:t>
        </w:r>
        <w:r>
          <w:rPr>
            <w:noProof/>
            <w:webHidden/>
          </w:rPr>
          <w:tab/>
        </w:r>
        <w:r>
          <w:rPr>
            <w:noProof/>
            <w:webHidden/>
          </w:rPr>
          <w:fldChar w:fldCharType="begin"/>
        </w:r>
        <w:r>
          <w:rPr>
            <w:noProof/>
            <w:webHidden/>
          </w:rPr>
          <w:instrText xml:space="preserve"> PAGEREF _Toc230784727 \h </w:instrText>
        </w:r>
        <w:r>
          <w:rPr>
            <w:noProof/>
            <w:webHidden/>
          </w:rPr>
        </w:r>
        <w:r>
          <w:rPr>
            <w:noProof/>
            <w:webHidden/>
          </w:rPr>
          <w:fldChar w:fldCharType="separate"/>
        </w:r>
        <w:r>
          <w:rPr>
            <w:noProof/>
            <w:webHidden/>
            <w:rtl/>
          </w:rPr>
          <w:t>18</w:t>
        </w:r>
        <w:r>
          <w:rPr>
            <w:noProof/>
            <w:webHidden/>
          </w:rPr>
          <w:fldChar w:fldCharType="end"/>
        </w:r>
      </w:hyperlink>
    </w:p>
    <w:p w14:paraId="26B0C7AD" w14:textId="567A1DF8"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8" w:history="1">
        <w:r w:rsidRPr="00597462">
          <w:rPr>
            <w:rStyle w:val="Hyperlink"/>
            <w:rFonts w:ascii="Arial" w:hAnsi="Arial" w:cs="Calibri"/>
            <w:noProof/>
            <w:rtl/>
          </w:rPr>
          <w:t>تحسين التوثيق المتعلق بتقييم أداء المقاول</w:t>
        </w:r>
        <w:r>
          <w:rPr>
            <w:noProof/>
            <w:webHidden/>
          </w:rPr>
          <w:tab/>
        </w:r>
        <w:r>
          <w:rPr>
            <w:noProof/>
            <w:webHidden/>
          </w:rPr>
          <w:fldChar w:fldCharType="begin"/>
        </w:r>
        <w:r>
          <w:rPr>
            <w:noProof/>
            <w:webHidden/>
          </w:rPr>
          <w:instrText xml:space="preserve"> PAGEREF _Toc230784728 \h </w:instrText>
        </w:r>
        <w:r>
          <w:rPr>
            <w:noProof/>
            <w:webHidden/>
          </w:rPr>
        </w:r>
        <w:r>
          <w:rPr>
            <w:noProof/>
            <w:webHidden/>
          </w:rPr>
          <w:fldChar w:fldCharType="separate"/>
        </w:r>
        <w:r>
          <w:rPr>
            <w:noProof/>
            <w:webHidden/>
            <w:rtl/>
          </w:rPr>
          <w:t>18</w:t>
        </w:r>
        <w:r>
          <w:rPr>
            <w:noProof/>
            <w:webHidden/>
          </w:rPr>
          <w:fldChar w:fldCharType="end"/>
        </w:r>
      </w:hyperlink>
    </w:p>
    <w:p w14:paraId="66E90FE3" w14:textId="19DAF5B4"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29" w:history="1">
        <w:r w:rsidRPr="00597462">
          <w:rPr>
            <w:rStyle w:val="Hyperlink"/>
            <w:rFonts w:ascii="Arial" w:hAnsi="Arial" w:cs="Calibri"/>
            <w:noProof/>
            <w:rtl/>
          </w:rPr>
          <w:t>تكنولوجيا المعلومات لإعداد التقارير المالية</w:t>
        </w:r>
        <w:r>
          <w:rPr>
            <w:noProof/>
            <w:webHidden/>
          </w:rPr>
          <w:tab/>
        </w:r>
        <w:r>
          <w:rPr>
            <w:noProof/>
            <w:webHidden/>
          </w:rPr>
          <w:fldChar w:fldCharType="begin"/>
        </w:r>
        <w:r>
          <w:rPr>
            <w:noProof/>
            <w:webHidden/>
          </w:rPr>
          <w:instrText xml:space="preserve"> PAGEREF _Toc230784729 \h </w:instrText>
        </w:r>
        <w:r>
          <w:rPr>
            <w:noProof/>
            <w:webHidden/>
          </w:rPr>
        </w:r>
        <w:r>
          <w:rPr>
            <w:noProof/>
            <w:webHidden/>
          </w:rPr>
          <w:fldChar w:fldCharType="separate"/>
        </w:r>
        <w:r>
          <w:rPr>
            <w:noProof/>
            <w:webHidden/>
            <w:rtl/>
          </w:rPr>
          <w:t>20</w:t>
        </w:r>
        <w:r>
          <w:rPr>
            <w:noProof/>
            <w:webHidden/>
          </w:rPr>
          <w:fldChar w:fldCharType="end"/>
        </w:r>
      </w:hyperlink>
    </w:p>
    <w:p w14:paraId="161361B7" w14:textId="1ED9020F"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0" w:history="1">
        <w:r w:rsidRPr="00597462">
          <w:rPr>
            <w:rStyle w:val="Hyperlink"/>
            <w:rFonts w:ascii="Arial" w:hAnsi="Arial" w:cs="Calibri"/>
            <w:noProof/>
            <w:rtl/>
          </w:rPr>
          <w:t>تحسين عملية تبادل البيانات لنظام معاهدة التعاون بشأن البراءات ونظام إدارة المعلومات الإدارية المتكامل</w:t>
        </w:r>
        <w:r>
          <w:rPr>
            <w:noProof/>
            <w:webHidden/>
          </w:rPr>
          <w:tab/>
        </w:r>
        <w:r>
          <w:rPr>
            <w:noProof/>
            <w:webHidden/>
          </w:rPr>
          <w:fldChar w:fldCharType="begin"/>
        </w:r>
        <w:r>
          <w:rPr>
            <w:noProof/>
            <w:webHidden/>
          </w:rPr>
          <w:instrText xml:space="preserve"> PAGEREF _Toc230784730 \h </w:instrText>
        </w:r>
        <w:r>
          <w:rPr>
            <w:noProof/>
            <w:webHidden/>
          </w:rPr>
        </w:r>
        <w:r>
          <w:rPr>
            <w:noProof/>
            <w:webHidden/>
          </w:rPr>
          <w:fldChar w:fldCharType="separate"/>
        </w:r>
        <w:r>
          <w:rPr>
            <w:noProof/>
            <w:webHidden/>
            <w:rtl/>
          </w:rPr>
          <w:t>20</w:t>
        </w:r>
        <w:r>
          <w:rPr>
            <w:noProof/>
            <w:webHidden/>
          </w:rPr>
          <w:fldChar w:fldCharType="end"/>
        </w:r>
      </w:hyperlink>
    </w:p>
    <w:p w14:paraId="009872B1" w14:textId="16A5C58B" w:rsidR="004058E1" w:rsidRDefault="004058E1" w:rsidP="000E40AA">
      <w:pPr>
        <w:pStyle w:val="TOC4"/>
        <w:tabs>
          <w:tab w:val="left" w:pos="1189"/>
          <w:tab w:val="left" w:pos="1830"/>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1" w:history="1">
        <w:r w:rsidRPr="00597462">
          <w:rPr>
            <w:rStyle w:val="Hyperlink"/>
            <w:rFonts w:ascii="Arial" w:hAnsi="Arial" w:cs="Calibri"/>
            <w:noProof/>
            <w:rtl/>
          </w:rPr>
          <w:t>2.</w:t>
        </w:r>
        <w:r>
          <w:rPr>
            <w:rFonts w:asciiTheme="minorHAnsi" w:eastAsiaTheme="minorEastAsia" w:hAnsiTheme="minorHAnsi" w:cstheme="minorBidi"/>
            <w:noProof/>
            <w:color w:val="auto"/>
            <w:kern w:val="2"/>
            <w:sz w:val="24"/>
            <w:szCs w:val="24"/>
            <w14:ligatures w14:val="standardContextual"/>
          </w:rPr>
          <w:tab/>
        </w:r>
        <w:r w:rsidRPr="00597462">
          <w:rPr>
            <w:rStyle w:val="Hyperlink"/>
            <w:rFonts w:ascii="Arial" w:hAnsi="Arial" w:cs="Calibri"/>
            <w:noProof/>
            <w:rtl/>
          </w:rPr>
          <w:t>مراجعة الأداء</w:t>
        </w:r>
        <w:r>
          <w:rPr>
            <w:noProof/>
            <w:webHidden/>
          </w:rPr>
          <w:tab/>
        </w:r>
        <w:r>
          <w:rPr>
            <w:noProof/>
            <w:webHidden/>
          </w:rPr>
          <w:fldChar w:fldCharType="begin"/>
        </w:r>
        <w:r>
          <w:rPr>
            <w:noProof/>
            <w:webHidden/>
          </w:rPr>
          <w:instrText xml:space="preserve"> PAGEREF _Toc230784731 \h </w:instrText>
        </w:r>
        <w:r>
          <w:rPr>
            <w:noProof/>
            <w:webHidden/>
          </w:rPr>
        </w:r>
        <w:r>
          <w:rPr>
            <w:noProof/>
            <w:webHidden/>
          </w:rPr>
          <w:fldChar w:fldCharType="separate"/>
        </w:r>
        <w:r>
          <w:rPr>
            <w:noProof/>
            <w:webHidden/>
            <w:rtl/>
          </w:rPr>
          <w:t>21</w:t>
        </w:r>
        <w:r>
          <w:rPr>
            <w:noProof/>
            <w:webHidden/>
          </w:rPr>
          <w:fldChar w:fldCharType="end"/>
        </w:r>
      </w:hyperlink>
    </w:p>
    <w:p w14:paraId="73748F2B" w14:textId="193EB4E3"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2" w:history="1">
        <w:r w:rsidRPr="00597462">
          <w:rPr>
            <w:rStyle w:val="Hyperlink"/>
            <w:rFonts w:ascii="Arial" w:hAnsi="Arial" w:cs="Calibri"/>
            <w:noProof/>
            <w:rtl/>
          </w:rPr>
          <w:t>خاتمة التدقيق</w:t>
        </w:r>
        <w:r>
          <w:rPr>
            <w:noProof/>
            <w:webHidden/>
          </w:rPr>
          <w:tab/>
        </w:r>
        <w:r>
          <w:rPr>
            <w:noProof/>
            <w:webHidden/>
          </w:rPr>
          <w:fldChar w:fldCharType="begin"/>
        </w:r>
        <w:r>
          <w:rPr>
            <w:noProof/>
            <w:webHidden/>
          </w:rPr>
          <w:instrText xml:space="preserve"> PAGEREF _Toc230784732 \h </w:instrText>
        </w:r>
        <w:r>
          <w:rPr>
            <w:noProof/>
            <w:webHidden/>
          </w:rPr>
        </w:r>
        <w:r>
          <w:rPr>
            <w:noProof/>
            <w:webHidden/>
          </w:rPr>
          <w:fldChar w:fldCharType="separate"/>
        </w:r>
        <w:r>
          <w:rPr>
            <w:noProof/>
            <w:webHidden/>
            <w:rtl/>
          </w:rPr>
          <w:t>21</w:t>
        </w:r>
        <w:r>
          <w:rPr>
            <w:noProof/>
            <w:webHidden/>
          </w:rPr>
          <w:fldChar w:fldCharType="end"/>
        </w:r>
      </w:hyperlink>
    </w:p>
    <w:p w14:paraId="59A55E88" w14:textId="53C33A9A"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3" w:history="1">
        <w:r w:rsidRPr="00597462">
          <w:rPr>
            <w:rStyle w:val="Hyperlink"/>
            <w:rFonts w:ascii="Arial" w:hAnsi="Arial" w:cs="Calibri"/>
            <w:noProof/>
            <w:rtl/>
          </w:rPr>
          <w:t>الاستنتاجات والتوصيات</w:t>
        </w:r>
        <w:r>
          <w:rPr>
            <w:noProof/>
            <w:webHidden/>
          </w:rPr>
          <w:tab/>
        </w:r>
        <w:r>
          <w:rPr>
            <w:noProof/>
            <w:webHidden/>
          </w:rPr>
          <w:fldChar w:fldCharType="begin"/>
        </w:r>
        <w:r>
          <w:rPr>
            <w:noProof/>
            <w:webHidden/>
          </w:rPr>
          <w:instrText xml:space="preserve"> PAGEREF _Toc230784733 \h </w:instrText>
        </w:r>
        <w:r>
          <w:rPr>
            <w:noProof/>
            <w:webHidden/>
          </w:rPr>
        </w:r>
        <w:r>
          <w:rPr>
            <w:noProof/>
            <w:webHidden/>
          </w:rPr>
          <w:fldChar w:fldCharType="separate"/>
        </w:r>
        <w:r>
          <w:rPr>
            <w:noProof/>
            <w:webHidden/>
            <w:rtl/>
          </w:rPr>
          <w:t>21</w:t>
        </w:r>
        <w:r>
          <w:rPr>
            <w:noProof/>
            <w:webHidden/>
          </w:rPr>
          <w:fldChar w:fldCharType="end"/>
        </w:r>
      </w:hyperlink>
    </w:p>
    <w:p w14:paraId="38285ACD" w14:textId="7863D4FB"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4" w:history="1">
        <w:r w:rsidRPr="00597462">
          <w:rPr>
            <w:rStyle w:val="Hyperlink"/>
            <w:rFonts w:ascii="Arial" w:hAnsi="Arial" w:cs="Calibri"/>
            <w:noProof/>
            <w:rtl/>
          </w:rPr>
          <w:t>سجل مدريد</w:t>
        </w:r>
        <w:r>
          <w:rPr>
            <w:noProof/>
            <w:webHidden/>
          </w:rPr>
          <w:tab/>
        </w:r>
        <w:r>
          <w:rPr>
            <w:noProof/>
            <w:webHidden/>
          </w:rPr>
          <w:fldChar w:fldCharType="begin"/>
        </w:r>
        <w:r>
          <w:rPr>
            <w:noProof/>
            <w:webHidden/>
          </w:rPr>
          <w:instrText xml:space="preserve"> PAGEREF _Toc230784734 \h </w:instrText>
        </w:r>
        <w:r>
          <w:rPr>
            <w:noProof/>
            <w:webHidden/>
          </w:rPr>
        </w:r>
        <w:r>
          <w:rPr>
            <w:noProof/>
            <w:webHidden/>
          </w:rPr>
          <w:fldChar w:fldCharType="separate"/>
        </w:r>
        <w:r>
          <w:rPr>
            <w:noProof/>
            <w:webHidden/>
            <w:rtl/>
          </w:rPr>
          <w:t>21</w:t>
        </w:r>
        <w:r>
          <w:rPr>
            <w:noProof/>
            <w:webHidden/>
          </w:rPr>
          <w:fldChar w:fldCharType="end"/>
        </w:r>
      </w:hyperlink>
    </w:p>
    <w:p w14:paraId="7F304AAD" w14:textId="660E2092"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5" w:history="1">
        <w:r w:rsidRPr="00597462">
          <w:rPr>
            <w:rStyle w:val="Hyperlink"/>
            <w:rFonts w:ascii="Arial" w:hAnsi="Arial" w:cs="Calibri"/>
            <w:noProof/>
            <w:rtl/>
          </w:rPr>
          <w:t>ضمان التكامل بين نظام السجل في مدريد ونظام شعبة الشؤون المالية</w:t>
        </w:r>
        <w:r>
          <w:rPr>
            <w:noProof/>
            <w:webHidden/>
          </w:rPr>
          <w:tab/>
        </w:r>
        <w:r>
          <w:rPr>
            <w:noProof/>
            <w:webHidden/>
          </w:rPr>
          <w:fldChar w:fldCharType="begin"/>
        </w:r>
        <w:r>
          <w:rPr>
            <w:noProof/>
            <w:webHidden/>
          </w:rPr>
          <w:instrText xml:space="preserve"> PAGEREF _Toc230784735 \h </w:instrText>
        </w:r>
        <w:r>
          <w:rPr>
            <w:noProof/>
            <w:webHidden/>
          </w:rPr>
        </w:r>
        <w:r>
          <w:rPr>
            <w:noProof/>
            <w:webHidden/>
          </w:rPr>
          <w:fldChar w:fldCharType="separate"/>
        </w:r>
        <w:r>
          <w:rPr>
            <w:noProof/>
            <w:webHidden/>
            <w:rtl/>
          </w:rPr>
          <w:t>22</w:t>
        </w:r>
        <w:r>
          <w:rPr>
            <w:noProof/>
            <w:webHidden/>
          </w:rPr>
          <w:fldChar w:fldCharType="end"/>
        </w:r>
      </w:hyperlink>
    </w:p>
    <w:p w14:paraId="7AADD7BD" w14:textId="11552AEB"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6" w:history="1">
        <w:r w:rsidRPr="00597462">
          <w:rPr>
            <w:rStyle w:val="Hyperlink"/>
            <w:rFonts w:ascii="Arial" w:hAnsi="Arial" w:cs="Calibri"/>
            <w:noProof/>
            <w:rtl/>
          </w:rPr>
          <w:t>تعزيز مؤشرات الأداء الرئيسية لسجل مدريد</w:t>
        </w:r>
        <w:r>
          <w:rPr>
            <w:noProof/>
            <w:webHidden/>
          </w:rPr>
          <w:tab/>
        </w:r>
        <w:r>
          <w:rPr>
            <w:noProof/>
            <w:webHidden/>
          </w:rPr>
          <w:fldChar w:fldCharType="begin"/>
        </w:r>
        <w:r>
          <w:rPr>
            <w:noProof/>
            <w:webHidden/>
          </w:rPr>
          <w:instrText xml:space="preserve"> PAGEREF _Toc230784736 \h </w:instrText>
        </w:r>
        <w:r>
          <w:rPr>
            <w:noProof/>
            <w:webHidden/>
          </w:rPr>
        </w:r>
        <w:r>
          <w:rPr>
            <w:noProof/>
            <w:webHidden/>
          </w:rPr>
          <w:fldChar w:fldCharType="separate"/>
        </w:r>
        <w:r>
          <w:rPr>
            <w:noProof/>
            <w:webHidden/>
            <w:rtl/>
          </w:rPr>
          <w:t>23</w:t>
        </w:r>
        <w:r>
          <w:rPr>
            <w:noProof/>
            <w:webHidden/>
          </w:rPr>
          <w:fldChar w:fldCharType="end"/>
        </w:r>
      </w:hyperlink>
    </w:p>
    <w:p w14:paraId="7A3A6877" w14:textId="687F4608"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7" w:history="1">
        <w:r w:rsidRPr="00597462">
          <w:rPr>
            <w:rStyle w:val="Hyperlink"/>
            <w:rFonts w:ascii="Arial" w:hAnsi="Arial" w:cs="Calibri"/>
            <w:noProof/>
            <w:rtl/>
          </w:rPr>
          <w:t>تحسين إعداد التقارير الداخلية في سجل مدريد</w:t>
        </w:r>
        <w:r>
          <w:rPr>
            <w:noProof/>
            <w:webHidden/>
          </w:rPr>
          <w:tab/>
        </w:r>
        <w:r>
          <w:rPr>
            <w:noProof/>
            <w:webHidden/>
          </w:rPr>
          <w:fldChar w:fldCharType="begin"/>
        </w:r>
        <w:r>
          <w:rPr>
            <w:noProof/>
            <w:webHidden/>
          </w:rPr>
          <w:instrText xml:space="preserve"> PAGEREF _Toc230784737 \h </w:instrText>
        </w:r>
        <w:r>
          <w:rPr>
            <w:noProof/>
            <w:webHidden/>
          </w:rPr>
        </w:r>
        <w:r>
          <w:rPr>
            <w:noProof/>
            <w:webHidden/>
          </w:rPr>
          <w:fldChar w:fldCharType="separate"/>
        </w:r>
        <w:r>
          <w:rPr>
            <w:noProof/>
            <w:webHidden/>
            <w:rtl/>
          </w:rPr>
          <w:t>25</w:t>
        </w:r>
        <w:r>
          <w:rPr>
            <w:noProof/>
            <w:webHidden/>
          </w:rPr>
          <w:fldChar w:fldCharType="end"/>
        </w:r>
      </w:hyperlink>
    </w:p>
    <w:p w14:paraId="2DC69258" w14:textId="42DB5539" w:rsidR="004058E1" w:rsidRDefault="004058E1" w:rsidP="000E40AA">
      <w:pPr>
        <w:pStyle w:val="TOC5"/>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8" w:history="1">
        <w:r w:rsidRPr="00597462">
          <w:rPr>
            <w:rStyle w:val="Hyperlink"/>
            <w:rFonts w:ascii="Arial" w:hAnsi="Arial" w:cs="Calibri"/>
            <w:noProof/>
            <w:rtl/>
          </w:rPr>
          <w:t>قواعد البيانات العالمية</w:t>
        </w:r>
        <w:r>
          <w:rPr>
            <w:noProof/>
            <w:webHidden/>
          </w:rPr>
          <w:tab/>
        </w:r>
        <w:r>
          <w:rPr>
            <w:noProof/>
            <w:webHidden/>
          </w:rPr>
          <w:fldChar w:fldCharType="begin"/>
        </w:r>
        <w:r>
          <w:rPr>
            <w:noProof/>
            <w:webHidden/>
          </w:rPr>
          <w:instrText xml:space="preserve"> PAGEREF _Toc230784738 \h </w:instrText>
        </w:r>
        <w:r>
          <w:rPr>
            <w:noProof/>
            <w:webHidden/>
          </w:rPr>
        </w:r>
        <w:r>
          <w:rPr>
            <w:noProof/>
            <w:webHidden/>
          </w:rPr>
          <w:fldChar w:fldCharType="separate"/>
        </w:r>
        <w:r>
          <w:rPr>
            <w:noProof/>
            <w:webHidden/>
            <w:rtl/>
          </w:rPr>
          <w:t>26</w:t>
        </w:r>
        <w:r>
          <w:rPr>
            <w:noProof/>
            <w:webHidden/>
          </w:rPr>
          <w:fldChar w:fldCharType="end"/>
        </w:r>
      </w:hyperlink>
    </w:p>
    <w:p w14:paraId="35E91036" w14:textId="72D03EE5"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39" w:history="1">
        <w:r w:rsidRPr="00597462">
          <w:rPr>
            <w:rStyle w:val="Hyperlink"/>
            <w:rFonts w:ascii="Arial" w:hAnsi="Arial" w:cs="Calibri"/>
            <w:noProof/>
            <w:rtl/>
          </w:rPr>
          <w:t>مواءمة ترتيبات الويبو لتبادل البيانات مع مكاتب الملكية الفكرية</w:t>
        </w:r>
        <w:r>
          <w:rPr>
            <w:noProof/>
            <w:webHidden/>
          </w:rPr>
          <w:tab/>
        </w:r>
        <w:r>
          <w:rPr>
            <w:noProof/>
            <w:webHidden/>
          </w:rPr>
          <w:fldChar w:fldCharType="begin"/>
        </w:r>
        <w:r>
          <w:rPr>
            <w:noProof/>
            <w:webHidden/>
          </w:rPr>
          <w:instrText xml:space="preserve"> PAGEREF _Toc230784739 \h </w:instrText>
        </w:r>
        <w:r>
          <w:rPr>
            <w:noProof/>
            <w:webHidden/>
          </w:rPr>
        </w:r>
        <w:r>
          <w:rPr>
            <w:noProof/>
            <w:webHidden/>
          </w:rPr>
          <w:fldChar w:fldCharType="separate"/>
        </w:r>
        <w:r>
          <w:rPr>
            <w:noProof/>
            <w:webHidden/>
            <w:rtl/>
          </w:rPr>
          <w:t>26</w:t>
        </w:r>
        <w:r>
          <w:rPr>
            <w:noProof/>
            <w:webHidden/>
          </w:rPr>
          <w:fldChar w:fldCharType="end"/>
        </w:r>
      </w:hyperlink>
    </w:p>
    <w:p w14:paraId="491FC414" w14:textId="24E42319"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40" w:history="1">
        <w:r w:rsidRPr="00597462">
          <w:rPr>
            <w:rStyle w:val="Hyperlink"/>
            <w:rFonts w:ascii="Arial" w:hAnsi="Arial" w:cs="Calibri"/>
            <w:noProof/>
            <w:rtl/>
          </w:rPr>
          <w:t>تعزيز تغطية البيانات لقواعد البيانات العالمية للويبو</w:t>
        </w:r>
        <w:r>
          <w:rPr>
            <w:noProof/>
            <w:webHidden/>
          </w:rPr>
          <w:tab/>
        </w:r>
        <w:r>
          <w:rPr>
            <w:noProof/>
            <w:webHidden/>
          </w:rPr>
          <w:fldChar w:fldCharType="begin"/>
        </w:r>
        <w:r>
          <w:rPr>
            <w:noProof/>
            <w:webHidden/>
          </w:rPr>
          <w:instrText xml:space="preserve"> PAGEREF _Toc230784740 \h </w:instrText>
        </w:r>
        <w:r>
          <w:rPr>
            <w:noProof/>
            <w:webHidden/>
          </w:rPr>
        </w:r>
        <w:r>
          <w:rPr>
            <w:noProof/>
            <w:webHidden/>
          </w:rPr>
          <w:fldChar w:fldCharType="separate"/>
        </w:r>
        <w:r>
          <w:rPr>
            <w:noProof/>
            <w:webHidden/>
            <w:rtl/>
          </w:rPr>
          <w:t>27</w:t>
        </w:r>
        <w:r>
          <w:rPr>
            <w:noProof/>
            <w:webHidden/>
          </w:rPr>
          <w:fldChar w:fldCharType="end"/>
        </w:r>
      </w:hyperlink>
    </w:p>
    <w:p w14:paraId="62B212A6" w14:textId="65DB23A4" w:rsidR="004058E1" w:rsidRDefault="004058E1" w:rsidP="004058E1">
      <w:pPr>
        <w:pStyle w:val="TOC3"/>
        <w:bidi/>
        <w:rPr>
          <w:rFonts w:asciiTheme="minorHAnsi" w:eastAsiaTheme="minorEastAsia" w:hAnsiTheme="minorHAnsi" w:cstheme="minorBidi"/>
          <w:noProof/>
          <w:color w:val="auto"/>
          <w:kern w:val="2"/>
          <w:sz w:val="24"/>
          <w:szCs w:val="24"/>
          <w:lang w:val="en-US"/>
          <w14:ligatures w14:val="standardContextual"/>
        </w:rPr>
      </w:pPr>
      <w:hyperlink w:anchor="_Toc230784741" w:history="1">
        <w:r w:rsidRPr="00597462">
          <w:rPr>
            <w:rStyle w:val="Hyperlink"/>
            <w:rFonts w:ascii="Arial" w:hAnsi="Arial" w:cs="Calibri"/>
            <w:noProof/>
            <w:rtl/>
          </w:rPr>
          <w:t>نقل المعلومات من قبل الإدارة</w:t>
        </w:r>
        <w:r>
          <w:rPr>
            <w:noProof/>
            <w:webHidden/>
          </w:rPr>
          <w:tab/>
        </w:r>
        <w:r>
          <w:rPr>
            <w:noProof/>
            <w:webHidden/>
          </w:rPr>
          <w:fldChar w:fldCharType="begin"/>
        </w:r>
        <w:r>
          <w:rPr>
            <w:noProof/>
            <w:webHidden/>
          </w:rPr>
          <w:instrText xml:space="preserve"> PAGEREF _Toc230784741 \h </w:instrText>
        </w:r>
        <w:r>
          <w:rPr>
            <w:noProof/>
            <w:webHidden/>
          </w:rPr>
        </w:r>
        <w:r>
          <w:rPr>
            <w:noProof/>
            <w:webHidden/>
          </w:rPr>
          <w:fldChar w:fldCharType="separate"/>
        </w:r>
        <w:r>
          <w:rPr>
            <w:noProof/>
            <w:webHidden/>
            <w:rtl/>
          </w:rPr>
          <w:t>32</w:t>
        </w:r>
        <w:r>
          <w:rPr>
            <w:noProof/>
            <w:webHidden/>
          </w:rPr>
          <w:fldChar w:fldCharType="end"/>
        </w:r>
      </w:hyperlink>
    </w:p>
    <w:p w14:paraId="64824CE9" w14:textId="6835A719" w:rsidR="004058E1" w:rsidRDefault="004058E1" w:rsidP="000E40AA">
      <w:pPr>
        <w:pStyle w:val="TOC4"/>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42" w:history="1">
        <w:r w:rsidRPr="00597462">
          <w:rPr>
            <w:rStyle w:val="Hyperlink"/>
            <w:rFonts w:ascii="Arial" w:hAnsi="Arial" w:cs="Calibri"/>
            <w:noProof/>
            <w:rtl/>
          </w:rPr>
          <w:t>1.</w:t>
        </w:r>
        <w:r>
          <w:rPr>
            <w:rFonts w:asciiTheme="minorHAnsi" w:eastAsiaTheme="minorEastAsia" w:hAnsiTheme="minorHAnsi" w:cstheme="minorBidi"/>
            <w:noProof/>
            <w:color w:val="auto"/>
            <w:kern w:val="2"/>
            <w:sz w:val="24"/>
            <w:szCs w:val="24"/>
            <w14:ligatures w14:val="standardContextual"/>
          </w:rPr>
          <w:tab/>
        </w:r>
        <w:r w:rsidRPr="00597462">
          <w:rPr>
            <w:rStyle w:val="Hyperlink"/>
            <w:rFonts w:ascii="Arial" w:hAnsi="Arial" w:cs="Calibri"/>
            <w:noProof/>
            <w:rtl/>
          </w:rPr>
          <w:t>شطب وخسائر النقد والأصول الأخرى</w:t>
        </w:r>
        <w:r>
          <w:rPr>
            <w:noProof/>
            <w:webHidden/>
          </w:rPr>
          <w:tab/>
        </w:r>
        <w:r>
          <w:rPr>
            <w:noProof/>
            <w:webHidden/>
          </w:rPr>
          <w:fldChar w:fldCharType="begin"/>
        </w:r>
        <w:r>
          <w:rPr>
            <w:noProof/>
            <w:webHidden/>
          </w:rPr>
          <w:instrText xml:space="preserve"> PAGEREF _Toc230784742 \h </w:instrText>
        </w:r>
        <w:r>
          <w:rPr>
            <w:noProof/>
            <w:webHidden/>
          </w:rPr>
        </w:r>
        <w:r>
          <w:rPr>
            <w:noProof/>
            <w:webHidden/>
          </w:rPr>
          <w:fldChar w:fldCharType="separate"/>
        </w:r>
        <w:r>
          <w:rPr>
            <w:noProof/>
            <w:webHidden/>
            <w:rtl/>
          </w:rPr>
          <w:t>32</w:t>
        </w:r>
        <w:r>
          <w:rPr>
            <w:noProof/>
            <w:webHidden/>
          </w:rPr>
          <w:fldChar w:fldCharType="end"/>
        </w:r>
      </w:hyperlink>
    </w:p>
    <w:p w14:paraId="75CD61FB" w14:textId="6F7D1788" w:rsidR="004058E1" w:rsidRDefault="004058E1" w:rsidP="000E40AA">
      <w:pPr>
        <w:pStyle w:val="TOC4"/>
        <w:tabs>
          <w:tab w:val="left" w:pos="1189"/>
          <w:tab w:val="left" w:pos="1967"/>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43" w:history="1">
        <w:r w:rsidRPr="00597462">
          <w:rPr>
            <w:rStyle w:val="Hyperlink"/>
            <w:rFonts w:ascii="Arial" w:hAnsi="Arial" w:cs="Calibri"/>
            <w:noProof/>
            <w:rtl/>
          </w:rPr>
          <w:t>2.</w:t>
        </w:r>
        <w:r>
          <w:rPr>
            <w:rFonts w:asciiTheme="minorHAnsi" w:eastAsiaTheme="minorEastAsia" w:hAnsiTheme="minorHAnsi" w:cstheme="minorBidi"/>
            <w:noProof/>
            <w:color w:val="auto"/>
            <w:kern w:val="2"/>
            <w:sz w:val="24"/>
            <w:szCs w:val="24"/>
            <w14:ligatures w14:val="standardContextual"/>
          </w:rPr>
          <w:tab/>
        </w:r>
        <w:r w:rsidRPr="00597462">
          <w:rPr>
            <w:rStyle w:val="Hyperlink"/>
            <w:rFonts w:ascii="Arial" w:hAnsi="Arial" w:cs="Calibri"/>
            <w:noProof/>
            <w:rtl/>
          </w:rPr>
          <w:t>دفع الإكراميات</w:t>
        </w:r>
        <w:r>
          <w:rPr>
            <w:noProof/>
            <w:webHidden/>
          </w:rPr>
          <w:tab/>
        </w:r>
        <w:r>
          <w:rPr>
            <w:noProof/>
            <w:webHidden/>
          </w:rPr>
          <w:fldChar w:fldCharType="begin"/>
        </w:r>
        <w:r>
          <w:rPr>
            <w:noProof/>
            <w:webHidden/>
          </w:rPr>
          <w:instrText xml:space="preserve"> PAGEREF _Toc230784743 \h </w:instrText>
        </w:r>
        <w:r>
          <w:rPr>
            <w:noProof/>
            <w:webHidden/>
          </w:rPr>
        </w:r>
        <w:r>
          <w:rPr>
            <w:noProof/>
            <w:webHidden/>
          </w:rPr>
          <w:fldChar w:fldCharType="separate"/>
        </w:r>
        <w:r>
          <w:rPr>
            <w:noProof/>
            <w:webHidden/>
            <w:rtl/>
          </w:rPr>
          <w:t>32</w:t>
        </w:r>
        <w:r>
          <w:rPr>
            <w:noProof/>
            <w:webHidden/>
          </w:rPr>
          <w:fldChar w:fldCharType="end"/>
        </w:r>
      </w:hyperlink>
    </w:p>
    <w:p w14:paraId="6334C421" w14:textId="74C5D678" w:rsidR="004058E1" w:rsidRDefault="004058E1" w:rsidP="000E40AA">
      <w:pPr>
        <w:pStyle w:val="TOC4"/>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44" w:history="1">
        <w:r w:rsidRPr="00597462">
          <w:rPr>
            <w:rStyle w:val="Hyperlink"/>
            <w:rFonts w:ascii="Arial" w:hAnsi="Arial" w:cs="Calibri"/>
            <w:noProof/>
            <w:rtl/>
          </w:rPr>
          <w:t>3.</w:t>
        </w:r>
        <w:r>
          <w:rPr>
            <w:rFonts w:asciiTheme="minorHAnsi" w:eastAsiaTheme="minorEastAsia" w:hAnsiTheme="minorHAnsi" w:cstheme="minorBidi"/>
            <w:noProof/>
            <w:color w:val="auto"/>
            <w:kern w:val="2"/>
            <w:sz w:val="24"/>
            <w:szCs w:val="24"/>
            <w14:ligatures w14:val="standardContextual"/>
          </w:rPr>
          <w:tab/>
        </w:r>
        <w:r w:rsidRPr="00597462">
          <w:rPr>
            <w:rStyle w:val="Hyperlink"/>
            <w:rFonts w:ascii="Arial" w:hAnsi="Arial" w:cs="Calibri"/>
            <w:noProof/>
            <w:rtl/>
          </w:rPr>
          <w:t>حالات الغش الفعلي والغش الافتراضي</w:t>
        </w:r>
        <w:r>
          <w:rPr>
            <w:noProof/>
            <w:webHidden/>
          </w:rPr>
          <w:tab/>
        </w:r>
        <w:r>
          <w:rPr>
            <w:noProof/>
            <w:webHidden/>
          </w:rPr>
          <w:fldChar w:fldCharType="begin"/>
        </w:r>
        <w:r>
          <w:rPr>
            <w:noProof/>
            <w:webHidden/>
          </w:rPr>
          <w:instrText xml:space="preserve"> PAGEREF _Toc230784744 \h </w:instrText>
        </w:r>
        <w:r>
          <w:rPr>
            <w:noProof/>
            <w:webHidden/>
          </w:rPr>
        </w:r>
        <w:r>
          <w:rPr>
            <w:noProof/>
            <w:webHidden/>
          </w:rPr>
          <w:fldChar w:fldCharType="separate"/>
        </w:r>
        <w:r>
          <w:rPr>
            <w:noProof/>
            <w:webHidden/>
            <w:rtl/>
          </w:rPr>
          <w:t>32</w:t>
        </w:r>
        <w:r>
          <w:rPr>
            <w:noProof/>
            <w:webHidden/>
          </w:rPr>
          <w:fldChar w:fldCharType="end"/>
        </w:r>
      </w:hyperlink>
    </w:p>
    <w:p w14:paraId="7A552031" w14:textId="77DEEED2" w:rsidR="004058E1" w:rsidRDefault="004058E1" w:rsidP="004058E1">
      <w:pPr>
        <w:pStyle w:val="TOC3"/>
        <w:bidi/>
        <w:rPr>
          <w:rFonts w:asciiTheme="minorHAnsi" w:eastAsiaTheme="minorEastAsia" w:hAnsiTheme="minorHAnsi" w:cstheme="minorBidi"/>
          <w:noProof/>
          <w:color w:val="auto"/>
          <w:kern w:val="2"/>
          <w:sz w:val="24"/>
          <w:szCs w:val="24"/>
          <w:lang w:val="en-US"/>
          <w14:ligatures w14:val="standardContextual"/>
        </w:rPr>
      </w:pPr>
      <w:hyperlink w:anchor="_Toc230784745" w:history="1">
        <w:r w:rsidRPr="00597462">
          <w:rPr>
            <w:rStyle w:val="Hyperlink"/>
            <w:rFonts w:ascii="Arial" w:hAnsi="Arial" w:cs="Calibri"/>
            <w:noProof/>
            <w:rtl/>
          </w:rPr>
          <w:t>شكر وتقدير</w:t>
        </w:r>
        <w:r>
          <w:rPr>
            <w:noProof/>
            <w:webHidden/>
          </w:rPr>
          <w:tab/>
        </w:r>
        <w:r>
          <w:rPr>
            <w:noProof/>
            <w:webHidden/>
          </w:rPr>
          <w:fldChar w:fldCharType="begin"/>
        </w:r>
        <w:r>
          <w:rPr>
            <w:noProof/>
            <w:webHidden/>
          </w:rPr>
          <w:instrText xml:space="preserve"> PAGEREF _Toc230784745 \h </w:instrText>
        </w:r>
        <w:r>
          <w:rPr>
            <w:noProof/>
            <w:webHidden/>
          </w:rPr>
        </w:r>
        <w:r>
          <w:rPr>
            <w:noProof/>
            <w:webHidden/>
          </w:rPr>
          <w:fldChar w:fldCharType="separate"/>
        </w:r>
        <w:r>
          <w:rPr>
            <w:noProof/>
            <w:webHidden/>
            <w:rtl/>
          </w:rPr>
          <w:t>32</w:t>
        </w:r>
        <w:r>
          <w:rPr>
            <w:noProof/>
            <w:webHidden/>
          </w:rPr>
          <w:fldChar w:fldCharType="end"/>
        </w:r>
      </w:hyperlink>
    </w:p>
    <w:p w14:paraId="2EC101D2" w14:textId="58355C59"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46" w:history="1">
        <w:r w:rsidRPr="00597462">
          <w:rPr>
            <w:rStyle w:val="Hyperlink"/>
            <w:rFonts w:ascii="Arial" w:hAnsi="Arial" w:cs="Calibri"/>
            <w:noProof/>
            <w:rtl/>
          </w:rPr>
          <w:t>المرفق 1. حالة تنفيذ التوصيات حتى السنة المالية المنتهية في 31 ديسمبر 2025</w:t>
        </w:r>
        <w:r>
          <w:rPr>
            <w:noProof/>
            <w:webHidden/>
          </w:rPr>
          <w:tab/>
        </w:r>
        <w:r>
          <w:rPr>
            <w:noProof/>
            <w:webHidden/>
          </w:rPr>
          <w:fldChar w:fldCharType="begin"/>
        </w:r>
        <w:r>
          <w:rPr>
            <w:noProof/>
            <w:webHidden/>
          </w:rPr>
          <w:instrText xml:space="preserve"> PAGEREF _Toc230784746 \h </w:instrText>
        </w:r>
        <w:r>
          <w:rPr>
            <w:noProof/>
            <w:webHidden/>
          </w:rPr>
        </w:r>
        <w:r>
          <w:rPr>
            <w:noProof/>
            <w:webHidden/>
          </w:rPr>
          <w:fldChar w:fldCharType="separate"/>
        </w:r>
        <w:r>
          <w:rPr>
            <w:noProof/>
            <w:webHidden/>
            <w:rtl/>
          </w:rPr>
          <w:t>1</w:t>
        </w:r>
        <w:r>
          <w:rPr>
            <w:noProof/>
            <w:webHidden/>
          </w:rPr>
          <w:fldChar w:fldCharType="end"/>
        </w:r>
      </w:hyperlink>
    </w:p>
    <w:p w14:paraId="3D6F9F3E" w14:textId="211DBA72" w:rsidR="004058E1" w:rsidRDefault="004058E1" w:rsidP="000E40AA">
      <w:pPr>
        <w:pStyle w:val="TOC6"/>
        <w:tabs>
          <w:tab w:val="left" w:pos="1189"/>
          <w:tab w:val="right" w:leader="dot" w:pos="9401"/>
        </w:tabs>
        <w:bidi/>
        <w:rPr>
          <w:rFonts w:asciiTheme="minorHAnsi" w:eastAsiaTheme="minorEastAsia" w:hAnsiTheme="minorHAnsi" w:cstheme="minorBidi"/>
          <w:noProof/>
          <w:color w:val="auto"/>
          <w:kern w:val="2"/>
          <w:sz w:val="24"/>
          <w:szCs w:val="24"/>
          <w14:ligatures w14:val="standardContextual"/>
        </w:rPr>
      </w:pPr>
      <w:hyperlink w:anchor="_Toc230784747" w:history="1">
        <w:r w:rsidRPr="00597462">
          <w:rPr>
            <w:rStyle w:val="Hyperlink"/>
            <w:rFonts w:ascii="Arial" w:hAnsi="Arial" w:cs="Calibri"/>
            <w:noProof/>
            <w:rtl/>
          </w:rPr>
          <w:t>المرفق 2. قائمة المختصرات الواردة في النسخة الإنكليزية</w:t>
        </w:r>
        <w:r>
          <w:rPr>
            <w:noProof/>
            <w:webHidden/>
          </w:rPr>
          <w:tab/>
        </w:r>
        <w:r>
          <w:rPr>
            <w:noProof/>
            <w:webHidden/>
          </w:rPr>
          <w:fldChar w:fldCharType="begin"/>
        </w:r>
        <w:r>
          <w:rPr>
            <w:noProof/>
            <w:webHidden/>
          </w:rPr>
          <w:instrText xml:space="preserve"> PAGEREF _Toc230784747 \h </w:instrText>
        </w:r>
        <w:r>
          <w:rPr>
            <w:noProof/>
            <w:webHidden/>
          </w:rPr>
        </w:r>
        <w:r>
          <w:rPr>
            <w:noProof/>
            <w:webHidden/>
          </w:rPr>
          <w:fldChar w:fldCharType="separate"/>
        </w:r>
        <w:r>
          <w:rPr>
            <w:noProof/>
            <w:webHidden/>
            <w:rtl/>
          </w:rPr>
          <w:t>8</w:t>
        </w:r>
        <w:r>
          <w:rPr>
            <w:noProof/>
            <w:webHidden/>
          </w:rPr>
          <w:fldChar w:fldCharType="end"/>
        </w:r>
      </w:hyperlink>
    </w:p>
    <w:p w14:paraId="3F61E166" w14:textId="7E3CF213" w:rsidR="00A4185A" w:rsidRPr="0017699B" w:rsidRDefault="008C5D66" w:rsidP="004058E1">
      <w:pPr>
        <w:pStyle w:val="TOCHeading"/>
        <w:tabs>
          <w:tab w:val="right" w:leader="dot" w:pos="9184"/>
          <w:tab w:val="left" w:pos="9411"/>
        </w:tabs>
        <w:bidi/>
        <w:ind w:left="360" w:right="480"/>
        <w:contextualSpacing/>
        <w:rPr>
          <w:rFonts w:ascii="Arial" w:hAnsi="Arial" w:cs="Calibri"/>
          <w:sz w:val="22"/>
          <w:rtl/>
        </w:rPr>
        <w:sectPr w:rsidR="00A4185A" w:rsidRPr="0017699B" w:rsidSect="009F428A">
          <w:headerReference w:type="first" r:id="rId24"/>
          <w:footerReference w:type="first" r:id="rId25"/>
          <w:pgSz w:w="11906" w:h="16838" w:code="9"/>
          <w:pgMar w:top="1440" w:right="1134" w:bottom="1304" w:left="1361" w:header="709" w:footer="709" w:gutter="0"/>
          <w:pgNumType w:start="4"/>
          <w:cols w:space="708"/>
          <w:titlePg/>
          <w:docGrid w:linePitch="360"/>
        </w:sectPr>
      </w:pPr>
      <w:r w:rsidRPr="0017699B">
        <w:rPr>
          <w:rFonts w:ascii="Arial" w:hAnsi="Arial" w:cs="Calibri" w:hint="cs"/>
          <w:sz w:val="22"/>
          <w:rtl/>
        </w:rPr>
        <w:fldChar w:fldCharType="end"/>
      </w:r>
    </w:p>
    <w:p w14:paraId="22BEC35D" w14:textId="0F9E1DB5" w:rsidR="00CC1CF6" w:rsidRPr="0017699B" w:rsidRDefault="00944AEB" w:rsidP="00BA5876">
      <w:pPr>
        <w:pStyle w:val="Heading1"/>
        <w:bidi/>
        <w:jc w:val="center"/>
        <w:rPr>
          <w:rFonts w:ascii="Arial" w:hAnsi="Arial" w:cs="Calibri"/>
          <w:color w:val="auto"/>
          <w:sz w:val="32"/>
          <w:szCs w:val="32"/>
          <w:rtl/>
        </w:rPr>
      </w:pPr>
      <w:bookmarkStart w:id="15" w:name="_Toc223004769"/>
      <w:bookmarkStart w:id="16" w:name="_Toc223005491"/>
      <w:bookmarkStart w:id="17" w:name="_Toc223100605"/>
      <w:bookmarkStart w:id="18" w:name="_Toc223111021"/>
      <w:bookmarkStart w:id="19" w:name="_Toc223585233"/>
      <w:bookmarkStart w:id="20" w:name="_Toc230784710"/>
      <w:r w:rsidRPr="0017699B">
        <w:rPr>
          <w:rFonts w:ascii="Arial" w:hAnsi="Arial" w:cs="Calibri" w:hint="cs"/>
          <w:color w:val="auto"/>
          <w:sz w:val="32"/>
          <w:szCs w:val="32"/>
          <w:rtl/>
        </w:rPr>
        <w:t>قائمة الجداول</w:t>
      </w:r>
      <w:bookmarkEnd w:id="15"/>
      <w:bookmarkEnd w:id="16"/>
      <w:bookmarkEnd w:id="17"/>
      <w:bookmarkEnd w:id="18"/>
      <w:bookmarkEnd w:id="19"/>
      <w:bookmarkEnd w:id="20"/>
    </w:p>
    <w:p w14:paraId="010FD810" w14:textId="6F131D49" w:rsidR="00BA5876" w:rsidRPr="0017699B" w:rsidRDefault="00D80A02" w:rsidP="00944AEB">
      <w:pPr>
        <w:pStyle w:val="TableofFigures"/>
        <w:tabs>
          <w:tab w:val="left" w:pos="2095"/>
          <w:tab w:val="right" w:leader="dot" w:pos="9038"/>
        </w:tabs>
        <w:bidi/>
        <w:ind w:left="851" w:hanging="851"/>
        <w:rPr>
          <w:rFonts w:ascii="Arial" w:eastAsiaTheme="minorEastAsia" w:hAnsi="Arial" w:cs="Calibri"/>
          <w:noProof/>
          <w:kern w:val="2"/>
          <w:sz w:val="24"/>
          <w:szCs w:val="24"/>
          <w:rtl/>
          <w14:ligatures w14:val="standardContextual"/>
        </w:rPr>
      </w:pPr>
      <w:r w:rsidRPr="0017699B">
        <w:rPr>
          <w:rStyle w:val="Hyperlink"/>
          <w:rFonts w:ascii="Arial" w:hAnsi="Arial" w:cs="Calibri" w:hint="cs"/>
          <w:b/>
          <w:color w:val="auto"/>
          <w:u w:val="none"/>
          <w:rtl/>
        </w:rPr>
        <w:fldChar w:fldCharType="begin"/>
      </w:r>
      <w:r w:rsidRPr="0017699B">
        <w:rPr>
          <w:rFonts w:ascii="Arial" w:hAnsi="Arial" w:cs="Calibri"/>
          <w:rtl/>
        </w:rPr>
        <w:instrText xml:space="preserve"> </w:instrText>
      </w:r>
      <w:r w:rsidRPr="0017699B">
        <w:rPr>
          <w:rStyle w:val="Hyperlink"/>
          <w:rFonts w:ascii="Arial" w:hAnsi="Arial" w:cs="Calibri" w:hint="cs"/>
          <w:b/>
          <w:color w:val="auto"/>
          <w:u w:val="none"/>
        </w:rPr>
        <w:instrText xml:space="preserve">TOC \h \z \c "Table" </w:instrText>
      </w:r>
      <w:r w:rsidRPr="0017699B">
        <w:rPr>
          <w:rStyle w:val="Hyperlink"/>
          <w:rFonts w:ascii="Arial" w:hAnsi="Arial" w:cs="Calibri" w:hint="cs"/>
          <w:b/>
          <w:color w:val="auto"/>
          <w:u w:val="none"/>
          <w:rtl/>
        </w:rPr>
        <w:fldChar w:fldCharType="separate"/>
      </w:r>
      <w:hyperlink w:anchor="_Toc228101641" w:history="1">
        <w:r w:rsidR="004058E1" w:rsidRPr="004058E1">
          <w:rPr>
            <w:rStyle w:val="Hyperlink"/>
            <w:rFonts w:ascii="Arial" w:hAnsi="Arial" w:cs="Calibri"/>
            <w:rtl/>
          </w:rPr>
          <w:t>الجدول 1.</w:t>
        </w:r>
        <w:r w:rsidR="004058E1" w:rsidRPr="004058E1">
          <w:rPr>
            <w:rStyle w:val="Hyperlink"/>
            <w:rFonts w:ascii="Arial" w:hAnsi="Arial" w:cs="Calibri"/>
            <w:rtl/>
          </w:rPr>
          <w:tab/>
          <w:t>النسبة المالية للويبو</w:t>
        </w:r>
        <w:r w:rsidR="00BA5876" w:rsidRPr="0017699B">
          <w:rPr>
            <w:rFonts w:ascii="Arial" w:hAnsi="Arial" w:cs="Calibri" w:hint="cs"/>
            <w:webHidden/>
            <w:rtl/>
          </w:rPr>
          <w:tab/>
        </w:r>
        <w:r w:rsidR="00BA5876" w:rsidRPr="0017699B">
          <w:rPr>
            <w:rFonts w:ascii="Arial" w:hAnsi="Arial" w:cs="Calibri" w:hint="cs"/>
            <w:webHidden/>
            <w:rtl/>
          </w:rPr>
          <w:fldChar w:fldCharType="begin"/>
        </w:r>
        <w:r w:rsidRPr="0017699B">
          <w:rPr>
            <w:rFonts w:ascii="Arial" w:hAnsi="Arial" w:cs="Calibri"/>
            <w:rtl/>
          </w:rPr>
          <w:instrText xml:space="preserve"> </w:instrText>
        </w:r>
        <w:r w:rsidR="00BA5876" w:rsidRPr="0017699B">
          <w:rPr>
            <w:rFonts w:ascii="Arial" w:hAnsi="Arial" w:cs="Calibri" w:hint="cs"/>
            <w:webHidden/>
          </w:rPr>
          <w:instrText xml:space="preserve">PAGEREF _Toc228101641 \h </w:instrText>
        </w:r>
        <w:r w:rsidR="00BA5876" w:rsidRPr="0017699B">
          <w:rPr>
            <w:rFonts w:ascii="Arial" w:hAnsi="Arial" w:cs="Calibri" w:hint="cs"/>
            <w:webHidden/>
            <w:rtl/>
          </w:rPr>
        </w:r>
        <w:r w:rsidR="00BA5876" w:rsidRPr="0017699B">
          <w:rPr>
            <w:rFonts w:ascii="Arial" w:hAnsi="Arial" w:cs="Calibri" w:hint="cs"/>
            <w:webHidden/>
            <w:rtl/>
          </w:rPr>
          <w:fldChar w:fldCharType="separate"/>
        </w:r>
        <w:r w:rsidR="009258BE" w:rsidRPr="0017699B">
          <w:rPr>
            <w:rFonts w:ascii="Arial" w:hAnsi="Arial" w:cs="Calibri" w:hint="cs"/>
            <w:webHidden/>
            <w:rtl/>
          </w:rPr>
          <w:t>14</w:t>
        </w:r>
        <w:r w:rsidR="00BA5876" w:rsidRPr="0017699B">
          <w:rPr>
            <w:rFonts w:ascii="Arial" w:hAnsi="Arial" w:cs="Calibri" w:hint="cs"/>
            <w:webHidden/>
            <w:rtl/>
          </w:rPr>
          <w:fldChar w:fldCharType="end"/>
        </w:r>
      </w:hyperlink>
    </w:p>
    <w:p w14:paraId="57E098EE" w14:textId="27E4E823" w:rsidR="00BA5876" w:rsidRPr="0017699B" w:rsidRDefault="004058E1" w:rsidP="004058E1">
      <w:pPr>
        <w:pStyle w:val="TableofFigures"/>
        <w:tabs>
          <w:tab w:val="left" w:pos="2095"/>
          <w:tab w:val="right" w:leader="dot" w:pos="9038"/>
        </w:tabs>
        <w:bidi/>
        <w:ind w:left="851" w:hanging="851"/>
        <w:rPr>
          <w:rFonts w:ascii="Arial" w:eastAsiaTheme="minorEastAsia" w:hAnsi="Arial" w:cs="Calibri"/>
          <w:sz w:val="24"/>
          <w:rtl/>
        </w:rPr>
      </w:pPr>
      <w:hyperlink w:anchor="_Toc228101642" w:history="1">
        <w:r w:rsidRPr="004058E1">
          <w:rPr>
            <w:rStyle w:val="Hyperlink"/>
            <w:rFonts w:ascii="Arial" w:hAnsi="Arial" w:cs="Calibri"/>
            <w:rtl/>
          </w:rPr>
          <w:t>الجدول 2. ملخص حالة تنفيذ توصيات المدقق الخارجي من السنوات السابقة</w:t>
        </w:r>
        <w:r w:rsidR="00BA5876" w:rsidRPr="0017699B">
          <w:rPr>
            <w:rFonts w:ascii="Arial" w:hAnsi="Arial" w:cs="Calibri" w:hint="cs"/>
            <w:webHidden/>
            <w:rtl/>
          </w:rPr>
          <w:tab/>
        </w:r>
        <w:r w:rsidR="00BA5876" w:rsidRPr="0017699B">
          <w:rPr>
            <w:rFonts w:ascii="Arial" w:hAnsi="Arial" w:cs="Calibri" w:hint="cs"/>
            <w:webHidden/>
            <w:rtl/>
          </w:rPr>
          <w:fldChar w:fldCharType="begin"/>
        </w:r>
        <w:r w:rsidR="00BA5876" w:rsidRPr="0017699B">
          <w:rPr>
            <w:rFonts w:ascii="Arial" w:hAnsi="Arial" w:cs="Calibri"/>
            <w:rtl/>
          </w:rPr>
          <w:instrText xml:space="preserve"> </w:instrText>
        </w:r>
        <w:r w:rsidR="00BA5876" w:rsidRPr="0017699B">
          <w:rPr>
            <w:rFonts w:ascii="Arial" w:hAnsi="Arial" w:cs="Calibri" w:hint="cs"/>
            <w:webHidden/>
          </w:rPr>
          <w:instrText xml:space="preserve">PAGEREF _Toc228101642 \h </w:instrText>
        </w:r>
        <w:r w:rsidR="00BA5876" w:rsidRPr="0017699B">
          <w:rPr>
            <w:rFonts w:ascii="Arial" w:hAnsi="Arial" w:cs="Calibri" w:hint="cs"/>
            <w:webHidden/>
            <w:rtl/>
          </w:rPr>
        </w:r>
        <w:r w:rsidR="00BA5876" w:rsidRPr="0017699B">
          <w:rPr>
            <w:rFonts w:ascii="Arial" w:hAnsi="Arial" w:cs="Calibri" w:hint="cs"/>
            <w:webHidden/>
            <w:rtl/>
          </w:rPr>
          <w:fldChar w:fldCharType="separate"/>
        </w:r>
        <w:r w:rsidR="009258BE" w:rsidRPr="0017699B">
          <w:rPr>
            <w:rFonts w:ascii="Arial" w:hAnsi="Arial" w:cs="Calibri" w:hint="cs"/>
            <w:webHidden/>
            <w:rtl/>
          </w:rPr>
          <w:t>15</w:t>
        </w:r>
        <w:r w:rsidR="00BA5876" w:rsidRPr="0017699B">
          <w:rPr>
            <w:rFonts w:ascii="Arial" w:hAnsi="Arial" w:cs="Calibri" w:hint="cs"/>
            <w:webHidden/>
            <w:rtl/>
          </w:rPr>
          <w:fldChar w:fldCharType="end"/>
        </w:r>
      </w:hyperlink>
    </w:p>
    <w:p w14:paraId="5E57C85D" w14:textId="66E2EF1A" w:rsidR="00BA5876" w:rsidRPr="0017699B" w:rsidRDefault="004058E1" w:rsidP="00944AEB">
      <w:pPr>
        <w:pStyle w:val="TableofFigures"/>
        <w:tabs>
          <w:tab w:val="left" w:pos="2095"/>
          <w:tab w:val="right" w:leader="dot" w:pos="9038"/>
        </w:tabs>
        <w:bidi/>
        <w:ind w:left="851" w:hanging="851"/>
        <w:rPr>
          <w:rFonts w:ascii="Arial" w:eastAsiaTheme="minorEastAsia" w:hAnsi="Arial" w:cs="Calibri"/>
          <w:sz w:val="24"/>
          <w:rtl/>
        </w:rPr>
      </w:pPr>
      <w:hyperlink w:anchor="_Toc228101643" w:history="1">
        <w:r w:rsidRPr="004058E1">
          <w:rPr>
            <w:rStyle w:val="Hyperlink"/>
            <w:rFonts w:ascii="Arial" w:hAnsi="Arial" w:cs="Calibri"/>
            <w:rtl/>
          </w:rPr>
          <w:t>الجدول 3.</w:t>
        </w:r>
        <w:r w:rsidRPr="004058E1">
          <w:rPr>
            <w:rStyle w:val="Hyperlink"/>
            <w:rFonts w:ascii="Arial" w:hAnsi="Arial" w:cs="Calibri"/>
            <w:rtl/>
          </w:rPr>
          <w:tab/>
          <w:t>مجموعات مكاتب الملكية الفكرية مع تحديثات غير منتظمة</w:t>
        </w:r>
        <w:r w:rsidR="00BA5876" w:rsidRPr="0017699B">
          <w:rPr>
            <w:rFonts w:ascii="Arial" w:hAnsi="Arial" w:cs="Calibri" w:hint="cs"/>
            <w:webHidden/>
            <w:rtl/>
          </w:rPr>
          <w:tab/>
        </w:r>
        <w:r w:rsidR="00BA5876" w:rsidRPr="0017699B">
          <w:rPr>
            <w:rFonts w:ascii="Arial" w:hAnsi="Arial" w:cs="Calibri" w:hint="cs"/>
            <w:webHidden/>
            <w:rtl/>
          </w:rPr>
          <w:fldChar w:fldCharType="begin"/>
        </w:r>
        <w:r w:rsidR="00BA5876" w:rsidRPr="0017699B">
          <w:rPr>
            <w:rFonts w:ascii="Arial" w:hAnsi="Arial" w:cs="Calibri"/>
            <w:rtl/>
          </w:rPr>
          <w:instrText xml:space="preserve"> </w:instrText>
        </w:r>
        <w:r w:rsidR="00BA5876" w:rsidRPr="0017699B">
          <w:rPr>
            <w:rFonts w:ascii="Arial" w:hAnsi="Arial" w:cs="Calibri" w:hint="cs"/>
            <w:webHidden/>
          </w:rPr>
          <w:instrText xml:space="preserve">PAGEREF _Toc228101643 \h </w:instrText>
        </w:r>
        <w:r w:rsidR="00BA5876" w:rsidRPr="0017699B">
          <w:rPr>
            <w:rFonts w:ascii="Arial" w:hAnsi="Arial" w:cs="Calibri" w:hint="cs"/>
            <w:webHidden/>
            <w:rtl/>
          </w:rPr>
        </w:r>
        <w:r w:rsidR="00BA5876" w:rsidRPr="0017699B">
          <w:rPr>
            <w:rFonts w:ascii="Arial" w:hAnsi="Arial" w:cs="Calibri" w:hint="cs"/>
            <w:webHidden/>
            <w:rtl/>
          </w:rPr>
          <w:fldChar w:fldCharType="separate"/>
        </w:r>
        <w:r w:rsidR="009258BE" w:rsidRPr="0017699B">
          <w:rPr>
            <w:rFonts w:ascii="Arial" w:hAnsi="Arial" w:cs="Calibri" w:hint="cs"/>
            <w:webHidden/>
            <w:rtl/>
          </w:rPr>
          <w:t>30</w:t>
        </w:r>
        <w:r w:rsidR="00BA5876" w:rsidRPr="0017699B">
          <w:rPr>
            <w:rFonts w:ascii="Arial" w:hAnsi="Arial" w:cs="Calibri" w:hint="cs"/>
            <w:webHidden/>
            <w:rtl/>
          </w:rPr>
          <w:fldChar w:fldCharType="end"/>
        </w:r>
      </w:hyperlink>
    </w:p>
    <w:p w14:paraId="68AE7E49" w14:textId="78B309B7" w:rsidR="00BA5876" w:rsidRPr="0017699B" w:rsidRDefault="004058E1" w:rsidP="00944AEB">
      <w:pPr>
        <w:pStyle w:val="TableofFigures"/>
        <w:tabs>
          <w:tab w:val="left" w:pos="2095"/>
          <w:tab w:val="right" w:leader="dot" w:pos="9038"/>
        </w:tabs>
        <w:bidi/>
        <w:ind w:left="851" w:hanging="851"/>
        <w:rPr>
          <w:rFonts w:ascii="Arial" w:eastAsiaTheme="minorEastAsia" w:hAnsi="Arial" w:cs="Calibri"/>
          <w:sz w:val="24"/>
          <w:rtl/>
        </w:rPr>
      </w:pPr>
      <w:hyperlink w:anchor="_Toc228101644" w:history="1">
        <w:r w:rsidRPr="004058E1">
          <w:rPr>
            <w:rStyle w:val="Hyperlink"/>
            <w:rFonts w:ascii="Arial" w:hAnsi="Arial" w:cs="Calibri"/>
            <w:rtl/>
          </w:rPr>
          <w:t>الجدول 4.</w:t>
        </w:r>
        <w:r w:rsidRPr="004058E1">
          <w:rPr>
            <w:rStyle w:val="Hyperlink"/>
            <w:rFonts w:ascii="Arial" w:hAnsi="Arial" w:cs="Calibri"/>
            <w:rtl/>
          </w:rPr>
          <w:tab/>
          <w:t>مقارنة التغطية بين مكاتب رابطة أمم جنوب شرق آسيا وقواعد البيانات العالمية للويبو</w:t>
        </w:r>
        <w:r w:rsidR="00BA5876" w:rsidRPr="0017699B">
          <w:rPr>
            <w:rFonts w:ascii="Arial" w:hAnsi="Arial" w:cs="Calibri" w:hint="cs"/>
            <w:webHidden/>
            <w:rtl/>
          </w:rPr>
          <w:tab/>
        </w:r>
        <w:r w:rsidR="00BA5876" w:rsidRPr="0017699B">
          <w:rPr>
            <w:rFonts w:ascii="Arial" w:hAnsi="Arial" w:cs="Calibri" w:hint="cs"/>
            <w:webHidden/>
            <w:rtl/>
          </w:rPr>
          <w:fldChar w:fldCharType="begin"/>
        </w:r>
        <w:r w:rsidR="00BA5876" w:rsidRPr="0017699B">
          <w:rPr>
            <w:rFonts w:ascii="Arial" w:hAnsi="Arial" w:cs="Calibri"/>
            <w:rtl/>
          </w:rPr>
          <w:instrText xml:space="preserve"> </w:instrText>
        </w:r>
        <w:r w:rsidR="00BA5876" w:rsidRPr="0017699B">
          <w:rPr>
            <w:rFonts w:ascii="Arial" w:hAnsi="Arial" w:cs="Calibri" w:hint="cs"/>
            <w:webHidden/>
          </w:rPr>
          <w:instrText xml:space="preserve">PAGEREF _Toc228101644 \h </w:instrText>
        </w:r>
        <w:r w:rsidR="00BA5876" w:rsidRPr="0017699B">
          <w:rPr>
            <w:rFonts w:ascii="Arial" w:hAnsi="Arial" w:cs="Calibri" w:hint="cs"/>
            <w:webHidden/>
            <w:rtl/>
          </w:rPr>
        </w:r>
        <w:r w:rsidR="00BA5876" w:rsidRPr="0017699B">
          <w:rPr>
            <w:rFonts w:ascii="Arial" w:hAnsi="Arial" w:cs="Calibri" w:hint="cs"/>
            <w:webHidden/>
            <w:rtl/>
          </w:rPr>
          <w:fldChar w:fldCharType="separate"/>
        </w:r>
        <w:r w:rsidR="009258BE" w:rsidRPr="0017699B">
          <w:rPr>
            <w:rFonts w:ascii="Arial" w:hAnsi="Arial" w:cs="Calibri" w:hint="cs"/>
            <w:webHidden/>
            <w:rtl/>
          </w:rPr>
          <w:t>31</w:t>
        </w:r>
        <w:r w:rsidR="00BA5876" w:rsidRPr="0017699B">
          <w:rPr>
            <w:rFonts w:ascii="Arial" w:hAnsi="Arial" w:cs="Calibri" w:hint="cs"/>
            <w:webHidden/>
            <w:rtl/>
          </w:rPr>
          <w:fldChar w:fldCharType="end"/>
        </w:r>
      </w:hyperlink>
    </w:p>
    <w:p w14:paraId="407E14F8" w14:textId="1C4F787A" w:rsidR="008368CE" w:rsidRPr="0017699B" w:rsidRDefault="00D80A02" w:rsidP="00446AE8">
      <w:pPr>
        <w:pStyle w:val="TOC1"/>
        <w:bidi/>
        <w:rPr>
          <w:rFonts w:ascii="Arial" w:hAnsi="Arial" w:cs="Calibri"/>
          <w:rtl/>
        </w:rPr>
        <w:sectPr w:rsidR="008368CE" w:rsidRPr="0017699B" w:rsidSect="009F428A">
          <w:pgSz w:w="11906" w:h="16838" w:code="9"/>
          <w:pgMar w:top="1440" w:right="1416" w:bottom="1304" w:left="1418" w:header="709" w:footer="709" w:gutter="0"/>
          <w:cols w:space="708"/>
          <w:titlePg/>
          <w:docGrid w:linePitch="360"/>
        </w:sectPr>
      </w:pPr>
      <w:r w:rsidRPr="0017699B">
        <w:rPr>
          <w:rStyle w:val="Hyperlink"/>
          <w:rFonts w:ascii="Arial" w:hAnsi="Arial" w:cs="Calibri" w:hint="cs"/>
          <w:b w:val="0"/>
          <w:color w:val="auto"/>
          <w:u w:val="none"/>
          <w:rtl/>
        </w:rPr>
        <w:fldChar w:fldCharType="end"/>
      </w:r>
    </w:p>
    <w:p w14:paraId="068C98BE" w14:textId="49299DD7" w:rsidR="00F8272A" w:rsidRPr="0017699B" w:rsidRDefault="00F8272A" w:rsidP="009B3879">
      <w:pPr>
        <w:pStyle w:val="Heading2"/>
        <w:numPr>
          <w:ilvl w:val="0"/>
          <w:numId w:val="3"/>
        </w:numPr>
        <w:bidi/>
        <w:spacing w:before="0" w:after="80"/>
        <w:rPr>
          <w:rFonts w:ascii="Arial" w:hAnsi="Arial" w:cs="Calibri"/>
          <w:rtl/>
        </w:rPr>
      </w:pPr>
      <w:bookmarkStart w:id="21" w:name="_Toc222223378"/>
      <w:bookmarkStart w:id="22" w:name="_Toc227826018"/>
      <w:bookmarkStart w:id="23" w:name="_Toc230784711"/>
      <w:r w:rsidRPr="0017699B">
        <w:rPr>
          <w:rFonts w:ascii="Arial" w:hAnsi="Arial" w:cs="Calibri" w:hint="cs"/>
          <w:rtl/>
        </w:rPr>
        <w:t>تقرير المدقق الخارجي بشأن البيانات المالية: رأي المدقق</w:t>
      </w:r>
      <w:bookmarkEnd w:id="21"/>
      <w:bookmarkEnd w:id="22"/>
      <w:bookmarkEnd w:id="23"/>
    </w:p>
    <w:p w14:paraId="6326B926" w14:textId="5BB79865" w:rsidR="004E40F3" w:rsidRPr="0017699B" w:rsidRDefault="00450242" w:rsidP="00940856">
      <w:pPr>
        <w:autoSpaceDE w:val="0"/>
        <w:autoSpaceDN w:val="0"/>
        <w:bidi/>
        <w:adjustRightInd w:val="0"/>
        <w:spacing w:after="80" w:line="280" w:lineRule="exact"/>
        <w:jc w:val="both"/>
        <w:rPr>
          <w:rFonts w:cs="Calibri"/>
          <w:b/>
          <w:bCs/>
          <w:color w:val="000000"/>
          <w:rtl/>
        </w:rPr>
      </w:pPr>
      <w:r w:rsidRPr="0017699B">
        <w:rPr>
          <w:rFonts w:cs="Calibri" w:hint="cs"/>
          <w:rtl/>
        </w:rPr>
        <w:t>إلى الجمعية العامة للمنظمة العالمية للملكية الفكرية</w:t>
      </w:r>
    </w:p>
    <w:p w14:paraId="6F7DEEDB" w14:textId="42FF9C94" w:rsidR="001E1F22" w:rsidRPr="0017699B" w:rsidRDefault="001E1F22" w:rsidP="00940856">
      <w:pPr>
        <w:autoSpaceDE w:val="0"/>
        <w:autoSpaceDN w:val="0"/>
        <w:bidi/>
        <w:adjustRightInd w:val="0"/>
        <w:spacing w:after="80" w:line="280" w:lineRule="exact"/>
        <w:jc w:val="both"/>
        <w:rPr>
          <w:rFonts w:cs="Calibri"/>
          <w:b/>
          <w:bCs/>
          <w:color w:val="000000"/>
          <w:rtl/>
        </w:rPr>
      </w:pPr>
      <w:r w:rsidRPr="0017699B">
        <w:rPr>
          <w:rFonts w:cs="Calibri" w:hint="cs"/>
          <w:b/>
          <w:bCs/>
          <w:rtl/>
        </w:rPr>
        <w:t>الرأي</w:t>
      </w:r>
    </w:p>
    <w:p w14:paraId="6E868AE7" w14:textId="7D525B4F" w:rsidR="00DF2BF7" w:rsidRPr="0017699B" w:rsidRDefault="00DF2BF7" w:rsidP="00940856">
      <w:pPr>
        <w:autoSpaceDE w:val="0"/>
        <w:autoSpaceDN w:val="0"/>
        <w:bidi/>
        <w:adjustRightInd w:val="0"/>
        <w:spacing w:after="80" w:line="280" w:lineRule="exact"/>
        <w:jc w:val="both"/>
        <w:rPr>
          <w:rFonts w:cs="Calibri"/>
          <w:rtl/>
        </w:rPr>
      </w:pPr>
      <w:r w:rsidRPr="0017699B">
        <w:rPr>
          <w:rFonts w:cs="Calibri" w:hint="cs"/>
          <w:rtl/>
        </w:rPr>
        <w:t>لقد راجعنا البيانات المالية الخاصة بالمنظمة العالمية للملكية الفكرية (المنظمة)، والتي تتكون من بيان الوضع المالي الصادر في 31 ديسمبر 2025، وبيان الأداء المالي، وبيان التغييرات في صافي الأصول، وبيان التدفق النقدي، وبيان المقارنة بين الميزانية ومبالغ الإيرادات الفعلية للسنة المنتهية؛ والملاحظات على البيانات المالية.</w:t>
      </w:r>
    </w:p>
    <w:p w14:paraId="0FEC124B" w14:textId="1CBB6AEF" w:rsidR="00DF2BF7" w:rsidRPr="0017699B" w:rsidRDefault="00DF2BF7" w:rsidP="00940856">
      <w:pPr>
        <w:autoSpaceDE w:val="0"/>
        <w:autoSpaceDN w:val="0"/>
        <w:bidi/>
        <w:adjustRightInd w:val="0"/>
        <w:spacing w:after="80" w:line="280" w:lineRule="exact"/>
        <w:jc w:val="both"/>
        <w:rPr>
          <w:rFonts w:cs="Calibri"/>
          <w:color w:val="000000"/>
          <w:rtl/>
        </w:rPr>
      </w:pPr>
      <w:r w:rsidRPr="0017699B">
        <w:rPr>
          <w:rFonts w:cs="Calibri" w:hint="cs"/>
          <w:rtl/>
        </w:rPr>
        <w:t>ونرى أن البيانات المالية المرفقة تعرض الوضع المالي في 31 ديسمبر 2025 والأداء المالي والتدفق النقدي للمنظمة للسنة المنتهية عرضاً نزيهاً من جميع النواحي الجوهرية وفقاً للمعايير المحاسبية الدولية للقطاع العام (معايير إيبساس).</w:t>
      </w:r>
    </w:p>
    <w:p w14:paraId="05851071" w14:textId="76699715" w:rsidR="00F10873" w:rsidRPr="0017699B" w:rsidRDefault="0020043A" w:rsidP="00940856">
      <w:pPr>
        <w:autoSpaceDE w:val="0"/>
        <w:autoSpaceDN w:val="0"/>
        <w:bidi/>
        <w:adjustRightInd w:val="0"/>
        <w:spacing w:after="80" w:line="280" w:lineRule="exact"/>
        <w:jc w:val="both"/>
        <w:rPr>
          <w:rFonts w:cs="Calibri"/>
          <w:b/>
          <w:bCs/>
          <w:color w:val="000000"/>
          <w:rtl/>
        </w:rPr>
      </w:pPr>
      <w:r w:rsidRPr="0017699B">
        <w:rPr>
          <w:rFonts w:cs="Calibri" w:hint="cs"/>
          <w:b/>
          <w:bCs/>
          <w:rtl/>
        </w:rPr>
        <w:t>رأينا بشأن الامتثال للقواعد النظامية</w:t>
      </w:r>
    </w:p>
    <w:p w14:paraId="61FEDD50" w14:textId="7524810D" w:rsidR="003A7F76" w:rsidRPr="0017699B" w:rsidRDefault="00F10873" w:rsidP="00940856">
      <w:pPr>
        <w:autoSpaceDE w:val="0"/>
        <w:autoSpaceDN w:val="0"/>
        <w:bidi/>
        <w:adjustRightInd w:val="0"/>
        <w:spacing w:after="80" w:line="280" w:lineRule="exact"/>
        <w:jc w:val="both"/>
        <w:rPr>
          <w:rFonts w:cs="Calibri"/>
          <w:color w:val="000000"/>
          <w:rtl/>
        </w:rPr>
      </w:pPr>
      <w:r w:rsidRPr="0017699B">
        <w:rPr>
          <w:rFonts w:cs="Calibri" w:hint="cs"/>
          <w:rtl/>
        </w:rPr>
        <w:t>نرى أن الإيرادات والنفقات قد نُفذت، من جميع النواحي الجوهرية، وفق الأغراض التي حددتها الجمعية العامة للمنظمة، وأن المعاملات المالية تمتثل للنظام المالي للمنظمة والسلطة التشريعية.</w:t>
      </w:r>
    </w:p>
    <w:p w14:paraId="71840424" w14:textId="75FDA535" w:rsidR="00B97E1C" w:rsidRPr="0017699B" w:rsidRDefault="00B97E1C" w:rsidP="00940856">
      <w:pPr>
        <w:autoSpaceDE w:val="0"/>
        <w:autoSpaceDN w:val="0"/>
        <w:bidi/>
        <w:adjustRightInd w:val="0"/>
        <w:spacing w:after="80" w:line="280" w:lineRule="exact"/>
        <w:jc w:val="both"/>
        <w:rPr>
          <w:rFonts w:cs="Calibri"/>
          <w:b/>
          <w:bCs/>
          <w:color w:val="000000"/>
          <w:rtl/>
        </w:rPr>
      </w:pPr>
      <w:r w:rsidRPr="0017699B">
        <w:rPr>
          <w:rFonts w:cs="Calibri" w:hint="cs"/>
          <w:b/>
          <w:bCs/>
          <w:rtl/>
        </w:rPr>
        <w:t>الأساس الذي استند إليه الرأي</w:t>
      </w:r>
      <w:r w:rsidRPr="0017699B">
        <w:rPr>
          <w:rFonts w:cs="Calibri" w:hint="cs"/>
          <w:rtl/>
        </w:rPr>
        <w:t xml:space="preserve"> </w:t>
      </w:r>
    </w:p>
    <w:p w14:paraId="170457CA" w14:textId="77547AF8" w:rsidR="007F5887" w:rsidRPr="0017699B" w:rsidRDefault="00B97E1C" w:rsidP="00940856">
      <w:pPr>
        <w:autoSpaceDE w:val="0"/>
        <w:autoSpaceDN w:val="0"/>
        <w:bidi/>
        <w:adjustRightInd w:val="0"/>
        <w:spacing w:after="80" w:line="280" w:lineRule="exact"/>
        <w:jc w:val="both"/>
        <w:rPr>
          <w:rFonts w:cs="Calibri"/>
          <w:color w:val="000000"/>
          <w:rtl/>
        </w:rPr>
      </w:pPr>
      <w:r w:rsidRPr="0017699B">
        <w:rPr>
          <w:rFonts w:cs="Calibri" w:hint="cs"/>
          <w:rtl/>
        </w:rPr>
        <w:t xml:space="preserve">راجعنا الحسابات وفقاً للمعايير الدولية لمراجعة الحسابات. ومسؤولياتنا بموجب هذه المعايير مُوضَّحة في تقريرنا في القسم المعنون "مسؤوليات المدقق عن تدقيق البيانات المالية". </w:t>
      </w:r>
    </w:p>
    <w:p w14:paraId="4202E412" w14:textId="2CA0A9BA" w:rsidR="00956395" w:rsidRPr="0017699B" w:rsidRDefault="00B97E1C" w:rsidP="00940856">
      <w:pPr>
        <w:autoSpaceDE w:val="0"/>
        <w:autoSpaceDN w:val="0"/>
        <w:bidi/>
        <w:adjustRightInd w:val="0"/>
        <w:spacing w:after="80" w:line="280" w:lineRule="exact"/>
        <w:jc w:val="both"/>
        <w:rPr>
          <w:rFonts w:cs="Calibri"/>
          <w:color w:val="000000"/>
          <w:rtl/>
        </w:rPr>
      </w:pPr>
      <w:r w:rsidRPr="0017699B">
        <w:rPr>
          <w:rFonts w:cs="Calibri" w:hint="cs"/>
          <w:rtl/>
        </w:rPr>
        <w:t xml:space="preserve">ونحن مستقلون عن المنظمة وفقاً للمتطلبات الأخلاقية ذات الصلة بالتدقيق الذي نجريه للبيانات المالية، وقد أدَّينا مسؤولياتنا الأخلاقية الأخرى وفقاً لهذه المتطلبات. </w:t>
      </w:r>
    </w:p>
    <w:p w14:paraId="21D1E6D7" w14:textId="76BF6758" w:rsidR="00AA4A91" w:rsidRPr="0017699B" w:rsidRDefault="00AA4A91" w:rsidP="00940856">
      <w:pPr>
        <w:autoSpaceDE w:val="0"/>
        <w:autoSpaceDN w:val="0"/>
        <w:bidi/>
        <w:adjustRightInd w:val="0"/>
        <w:spacing w:after="80" w:line="280" w:lineRule="exact"/>
        <w:jc w:val="both"/>
        <w:rPr>
          <w:rFonts w:cs="Calibri"/>
          <w:b/>
          <w:bCs/>
          <w:color w:val="000000"/>
          <w:rtl/>
        </w:rPr>
      </w:pPr>
      <w:bookmarkStart w:id="24" w:name="_Hlk192619538"/>
      <w:r w:rsidRPr="0017699B">
        <w:rPr>
          <w:rFonts w:cs="Calibri" w:hint="cs"/>
          <w:rtl/>
        </w:rPr>
        <w:t>ونعتقد أن ما حصلنا عليه من أدلة تدقيقية كافٍ ومناسبٍ لأن يكون أساساً يستند إليه رأينا.</w:t>
      </w:r>
      <w:bookmarkEnd w:id="24"/>
    </w:p>
    <w:p w14:paraId="393F8032" w14:textId="3AC48FEA" w:rsidR="00F20C72" w:rsidRPr="0017699B" w:rsidRDefault="00F20C72" w:rsidP="00940856">
      <w:pPr>
        <w:autoSpaceDE w:val="0"/>
        <w:autoSpaceDN w:val="0"/>
        <w:bidi/>
        <w:adjustRightInd w:val="0"/>
        <w:spacing w:after="80" w:line="280" w:lineRule="exact"/>
        <w:jc w:val="both"/>
        <w:rPr>
          <w:rFonts w:cs="Calibri"/>
          <w:b/>
          <w:bCs/>
          <w:color w:val="000000"/>
          <w:rtl/>
        </w:rPr>
      </w:pPr>
      <w:r w:rsidRPr="0017699B">
        <w:rPr>
          <w:rFonts w:cs="Calibri" w:hint="cs"/>
          <w:b/>
          <w:bCs/>
          <w:rtl/>
        </w:rPr>
        <w:t>معلومات أخرى</w:t>
      </w:r>
      <w:r w:rsidRPr="0017699B">
        <w:rPr>
          <w:rFonts w:cs="Calibri" w:hint="cs"/>
          <w:rtl/>
        </w:rPr>
        <w:t xml:space="preserve"> </w:t>
      </w:r>
    </w:p>
    <w:p w14:paraId="5F77FDF5" w14:textId="6D0443A6" w:rsidR="006950B1" w:rsidRPr="0017699B" w:rsidRDefault="0009558F" w:rsidP="00940856">
      <w:pPr>
        <w:autoSpaceDE w:val="0"/>
        <w:autoSpaceDN w:val="0"/>
        <w:bidi/>
        <w:adjustRightInd w:val="0"/>
        <w:spacing w:after="80" w:line="280" w:lineRule="exact"/>
        <w:jc w:val="both"/>
        <w:rPr>
          <w:rFonts w:eastAsia="Calibri" w:cs="Calibri"/>
          <w:rtl/>
        </w:rPr>
      </w:pPr>
      <w:r w:rsidRPr="0017699B">
        <w:rPr>
          <w:rFonts w:cs="Calibri" w:hint="cs"/>
          <w:rtl/>
        </w:rPr>
        <w:t xml:space="preserve">إن الإدارة مسؤولة عن المعلومات الأخرى التي تشمل بيان المدير العام الوارد أدناه، ولكنها لا تشمل البيانات المالية وتقرير المدقق بشأنها. </w:t>
      </w:r>
    </w:p>
    <w:p w14:paraId="19569A37" w14:textId="79268DFF" w:rsidR="006950B1" w:rsidRPr="0017699B" w:rsidRDefault="006950B1" w:rsidP="00940856">
      <w:pPr>
        <w:autoSpaceDE w:val="0"/>
        <w:autoSpaceDN w:val="0"/>
        <w:bidi/>
        <w:adjustRightInd w:val="0"/>
        <w:spacing w:after="80" w:line="280" w:lineRule="exact"/>
        <w:jc w:val="both"/>
        <w:rPr>
          <w:rFonts w:eastAsia="Calibri" w:cs="Calibri"/>
          <w:rtl/>
        </w:rPr>
      </w:pPr>
      <w:r w:rsidRPr="0017699B">
        <w:rPr>
          <w:rFonts w:cs="Calibri" w:hint="cs"/>
          <w:rtl/>
        </w:rPr>
        <w:t xml:space="preserve">ولا يشمل رأينا بشأن البيانات المالية المعلومات الأخرى، ولا نعرب عن أي شكل من أشكال الاستنتاج اليقيني بشأن تلك المعلومات الأخرى، إلا إلى الحد الذي ينص على خلاف ذلك صراحةً في تقريرنا. </w:t>
      </w:r>
    </w:p>
    <w:p w14:paraId="7A63BDDF" w14:textId="24302134" w:rsidR="006950B1" w:rsidRPr="0017699B" w:rsidRDefault="006950B1" w:rsidP="00940856">
      <w:pPr>
        <w:autoSpaceDE w:val="0"/>
        <w:autoSpaceDN w:val="0"/>
        <w:bidi/>
        <w:adjustRightInd w:val="0"/>
        <w:spacing w:after="80" w:line="280" w:lineRule="exact"/>
        <w:jc w:val="both"/>
        <w:rPr>
          <w:rFonts w:cs="Calibri"/>
          <w:color w:val="000000"/>
          <w:rtl/>
        </w:rPr>
      </w:pPr>
      <w:r w:rsidRPr="0017699B">
        <w:rPr>
          <w:rFonts w:cs="Calibri" w:hint="cs"/>
          <w:rtl/>
        </w:rPr>
        <w:t>وتتمثّل مسؤوليتنا في قراءة المعلومات الأخرى، ومن ثمَّ النظر فيما إذا كانت تلك المعلومات الأخرى لا تتفق من حيث الجوهر مع البيانات المالية أو ما إذا كانت معرفتنا التي توصلنا إليها من تدقيقنا أو غيره تبدو خاطئة من حيث الجوهر. وإذا استنتجنا، استناداً إلى ما قمنا به من عمل، أن هناك خطأً جوهرياً في مثل هذه المعلومات الأخرى، فإننا مُطالَبون بالإبلاغ عن ذلك. وليس لدينا ما نبلغ عنه في هذا الصدد.</w:t>
      </w:r>
    </w:p>
    <w:p w14:paraId="7B2CD0DF" w14:textId="154A4913" w:rsidR="0069214B" w:rsidRPr="0017699B" w:rsidRDefault="00A34989" w:rsidP="00940856">
      <w:pPr>
        <w:autoSpaceDE w:val="0"/>
        <w:autoSpaceDN w:val="0"/>
        <w:bidi/>
        <w:adjustRightInd w:val="0"/>
        <w:spacing w:after="80" w:line="280" w:lineRule="exact"/>
        <w:jc w:val="both"/>
        <w:rPr>
          <w:rFonts w:cs="Calibri"/>
          <w:b/>
          <w:bCs/>
          <w:color w:val="000000"/>
          <w:rtl/>
        </w:rPr>
      </w:pPr>
      <w:r w:rsidRPr="0017699B">
        <w:rPr>
          <w:rFonts w:cs="Calibri" w:hint="cs"/>
          <w:b/>
          <w:bCs/>
          <w:rtl/>
        </w:rPr>
        <w:t>مسؤوليات الإدارة والمسؤولين عن الحوكمة عن البيانات المالية</w:t>
      </w:r>
    </w:p>
    <w:p w14:paraId="672351A5" w14:textId="3B27E82D" w:rsidR="000D66FF" w:rsidRPr="0017699B" w:rsidRDefault="000D66FF" w:rsidP="00940856">
      <w:pPr>
        <w:autoSpaceDE w:val="0"/>
        <w:autoSpaceDN w:val="0"/>
        <w:bidi/>
        <w:adjustRightInd w:val="0"/>
        <w:spacing w:after="80" w:line="280" w:lineRule="exact"/>
        <w:jc w:val="both"/>
        <w:rPr>
          <w:rFonts w:cs="Calibri"/>
          <w:rtl/>
        </w:rPr>
      </w:pPr>
      <w:r w:rsidRPr="0017699B">
        <w:rPr>
          <w:rFonts w:cs="Calibri" w:hint="cs"/>
          <w:rtl/>
        </w:rPr>
        <w:t xml:space="preserve">إن الإدارة مسؤولة عن إعداد البيانات المالية وعرضها عرضاً نزيهاً، وفقاً للمعايير المحاسبية الدولية للقطاع العام، وعن الرقابة الداخلية التي تقرّر الإدارة أنها ضرورية لإعداد بيانات مالية خالية من الأخطاء الجوهرية، سواء الناتجة عن الاحتيال أو الخطأ غير المقصود. </w:t>
      </w:r>
    </w:p>
    <w:p w14:paraId="51001BC1" w14:textId="0CF40DFE" w:rsidR="000D66FF" w:rsidRPr="0017699B" w:rsidRDefault="000D66FF" w:rsidP="00940856">
      <w:pPr>
        <w:autoSpaceDE w:val="0"/>
        <w:autoSpaceDN w:val="0"/>
        <w:bidi/>
        <w:adjustRightInd w:val="0"/>
        <w:spacing w:after="80" w:line="280" w:lineRule="exact"/>
        <w:jc w:val="both"/>
        <w:rPr>
          <w:rFonts w:cs="Calibri"/>
          <w:rtl/>
        </w:rPr>
      </w:pPr>
      <w:r w:rsidRPr="0017699B">
        <w:rPr>
          <w:rFonts w:cs="Calibri" w:hint="cs"/>
          <w:rtl/>
        </w:rPr>
        <w:t>وعند إعداد البيانات المالية، تكون الإدارة مسؤولة عن تقييم قدرة المنظمة العالمية للملكية الفكرية على الاستمرار كمنشأة عاملة، والإفصاح، حسب الاقتضاء، عن الأمور المتعلقة بالاستمرار في العمل واستخدام المحاسبة على أساس الاستمرار في العمل ما لم تكن الإدارة تعتزم تصفية المنظمة العالمية للملكية الفكرية أو وقف عملياتها، أو ما لم يكن أمامها أي بديل واقعي آخر.</w:t>
      </w:r>
    </w:p>
    <w:p w14:paraId="3C2A343D" w14:textId="61152534" w:rsidR="001D2FE8" w:rsidRPr="0017699B" w:rsidRDefault="00EC1985" w:rsidP="00940856">
      <w:pPr>
        <w:autoSpaceDE w:val="0"/>
        <w:autoSpaceDN w:val="0"/>
        <w:bidi/>
        <w:adjustRightInd w:val="0"/>
        <w:spacing w:after="80" w:line="280" w:lineRule="exact"/>
        <w:jc w:val="both"/>
        <w:rPr>
          <w:rFonts w:cs="Calibri"/>
          <w:rtl/>
        </w:rPr>
      </w:pPr>
      <w:r w:rsidRPr="0017699B">
        <w:rPr>
          <w:rFonts w:cs="Calibri" w:hint="cs"/>
          <w:rtl/>
        </w:rPr>
        <w:t>تتولى الجمعية العامة بصفتها الجهة المكلفة بالإدارة مسؤولية الإشراف على عملية إعداد التقارير المالية للمنظمة.</w:t>
      </w:r>
    </w:p>
    <w:p w14:paraId="72217E73" w14:textId="6B94B403" w:rsidR="00691B0A" w:rsidRPr="0017699B" w:rsidRDefault="00691B0A" w:rsidP="00940856">
      <w:pPr>
        <w:tabs>
          <w:tab w:val="left" w:pos="2110"/>
        </w:tabs>
        <w:autoSpaceDE w:val="0"/>
        <w:autoSpaceDN w:val="0"/>
        <w:bidi/>
        <w:adjustRightInd w:val="0"/>
        <w:spacing w:after="80" w:line="280" w:lineRule="exact"/>
        <w:jc w:val="both"/>
        <w:rPr>
          <w:rFonts w:cs="Calibri"/>
          <w:b/>
          <w:bCs/>
          <w:color w:val="000000"/>
          <w:rtl/>
        </w:rPr>
      </w:pPr>
      <w:r w:rsidRPr="0017699B">
        <w:rPr>
          <w:rFonts w:cs="Calibri" w:hint="cs"/>
          <w:b/>
          <w:bCs/>
          <w:rtl/>
        </w:rPr>
        <w:t>مسؤوليات المدقق فيما يخص تدقيق البيانات المالية</w:t>
      </w:r>
    </w:p>
    <w:p w14:paraId="4D1CBE0C" w14:textId="5BAFDDA3" w:rsidR="007761A5" w:rsidRPr="0017699B" w:rsidRDefault="00585E01" w:rsidP="00940856">
      <w:pPr>
        <w:autoSpaceDE w:val="0"/>
        <w:autoSpaceDN w:val="0"/>
        <w:bidi/>
        <w:adjustRightInd w:val="0"/>
        <w:spacing w:after="80" w:line="280" w:lineRule="exact"/>
        <w:jc w:val="both"/>
        <w:rPr>
          <w:rFonts w:cs="Calibri"/>
          <w:rtl/>
        </w:rPr>
      </w:pPr>
      <w:r w:rsidRPr="0017699B">
        <w:rPr>
          <w:rFonts w:cs="Calibri" w:hint="cs"/>
          <w:rtl/>
        </w:rPr>
        <w:t xml:space="preserve">تتمثل أهدافنا في التوصل إلى ضمان معقول بشأن خلو البيانات المالية ككل أو عدم خلوها من الأخطاء الجوهرية، سواء الناتجة عن الاحتيال أو الخطأ غير المقصود، وفي إصدار تقرير مدقق يتضمن رأينا. ويمثّل الضمان المعقول ضماناً من درجة عالية، ولكنه لا يكفل أن يؤدي التدقيق الذي جرى وفقاً لمعايير التدقيق الدولية، في كل الحالات، إلى اكتشاف أي خطأ جوهري إن وجد. </w:t>
      </w:r>
    </w:p>
    <w:p w14:paraId="3DCC1E0A" w14:textId="362A4682" w:rsidR="00585E01" w:rsidRPr="0017699B" w:rsidRDefault="00585E01" w:rsidP="00940856">
      <w:pPr>
        <w:autoSpaceDE w:val="0"/>
        <w:autoSpaceDN w:val="0"/>
        <w:bidi/>
        <w:adjustRightInd w:val="0"/>
        <w:spacing w:after="80" w:line="280" w:lineRule="exact"/>
        <w:jc w:val="both"/>
        <w:rPr>
          <w:rFonts w:cs="Calibri"/>
          <w:rtl/>
        </w:rPr>
      </w:pPr>
      <w:r w:rsidRPr="0017699B">
        <w:rPr>
          <w:rFonts w:cs="Calibri" w:hint="cs"/>
          <w:rtl/>
        </w:rPr>
        <w:t>ذلك أنّ الأخطاء يمكن أن تكون ناجمة عن الاحتيال أو الخطأ غير المقصود، وتُعتبر جوهريةً إذا كان من المتوقّع في حدود المعقول أن تؤثّر، منفردةً أو مجتمعةً، في القرارات الاقتصادية التي يتخذها المستخدمون بناءً على هذه البيانات المالية.</w:t>
      </w:r>
    </w:p>
    <w:p w14:paraId="5AA92D90" w14:textId="4DF88D4B" w:rsidR="00585E01" w:rsidRPr="0017699B" w:rsidRDefault="00585E01" w:rsidP="00940856">
      <w:pPr>
        <w:autoSpaceDE w:val="0"/>
        <w:autoSpaceDN w:val="0"/>
        <w:bidi/>
        <w:adjustRightInd w:val="0"/>
        <w:spacing w:after="80" w:line="280" w:lineRule="exact"/>
        <w:jc w:val="both"/>
        <w:rPr>
          <w:rFonts w:cs="Calibri"/>
          <w:rtl/>
        </w:rPr>
      </w:pPr>
      <w:r w:rsidRPr="0017699B">
        <w:rPr>
          <w:rFonts w:cs="Calibri" w:hint="cs"/>
          <w:rtl/>
        </w:rPr>
        <w:t>يتضمن الملحق الخاص بتقرير المدقق هذا وصفاً إضافياً لمسؤولياتنا فيما يتعلق بمراجعة البيانات المالية. ويُشكّل هذا الوصف جزءاً من تقرير المدقق لدينا.</w:t>
      </w:r>
    </w:p>
    <w:p w14:paraId="2745D58A" w14:textId="02A01DF4" w:rsidR="00585E01" w:rsidRPr="0017699B" w:rsidRDefault="00585E01" w:rsidP="00940856">
      <w:pPr>
        <w:autoSpaceDE w:val="0"/>
        <w:autoSpaceDN w:val="0"/>
        <w:bidi/>
        <w:adjustRightInd w:val="0"/>
        <w:spacing w:after="80" w:line="280" w:lineRule="exact"/>
        <w:jc w:val="both"/>
        <w:rPr>
          <w:rFonts w:cs="Calibri"/>
          <w:rtl/>
        </w:rPr>
      </w:pPr>
      <w:r w:rsidRPr="0017699B">
        <w:rPr>
          <w:rFonts w:cs="Calibri" w:hint="cs"/>
          <w:rtl/>
        </w:rPr>
        <w:t>أضف إلى ذلك أننا مطالَبون بالحصول على أدلة كافية لتقديم ضمان معقول بأن الإيرادات والنفقات الواردة في البيانات المالية قد نُفِّذت وفقاً للأغراض التي حددتها الجمعية العامة وأن المعاملات المالية تتوافق مع النظام المالي ولائحته والسلطة التشريعية الذي ينظمها.</w:t>
      </w:r>
    </w:p>
    <w:p w14:paraId="22B09AA7" w14:textId="48BF7447" w:rsidR="0086759A" w:rsidRPr="0017699B" w:rsidRDefault="00585E01" w:rsidP="00940856">
      <w:pPr>
        <w:autoSpaceDE w:val="0"/>
        <w:autoSpaceDN w:val="0"/>
        <w:bidi/>
        <w:adjustRightInd w:val="0"/>
        <w:spacing w:after="80" w:line="280" w:lineRule="exact"/>
        <w:jc w:val="both"/>
        <w:rPr>
          <w:rFonts w:cs="Calibri"/>
          <w:color w:val="000000"/>
          <w:rtl/>
        </w:rPr>
      </w:pPr>
      <w:r w:rsidRPr="0017699B">
        <w:rPr>
          <w:rFonts w:cs="Calibri" w:hint="cs"/>
          <w:rtl/>
        </w:rPr>
        <w:t>ونتواصل مع المسؤولين عن الحوكمة فيما يتعلق بأمور عديدة، منها نطاق عملية التدقيق المقرّر وتوقيتها ونتائجها الهامة، بما في ذلك أي أوجه قصور جوهرية في الرقابة الداخلية نحدّدها أثناء تدقيقنا.</w:t>
      </w:r>
    </w:p>
    <w:p w14:paraId="1D076F8D" w14:textId="772DEE02" w:rsidR="00691B0A" w:rsidRPr="0017699B" w:rsidRDefault="00691B0A" w:rsidP="00940856">
      <w:pPr>
        <w:tabs>
          <w:tab w:val="left" w:pos="2110"/>
        </w:tabs>
        <w:autoSpaceDE w:val="0"/>
        <w:autoSpaceDN w:val="0"/>
        <w:bidi/>
        <w:adjustRightInd w:val="0"/>
        <w:spacing w:after="80" w:line="280" w:lineRule="exact"/>
        <w:jc w:val="both"/>
        <w:rPr>
          <w:rFonts w:cs="Calibri"/>
          <w:b/>
          <w:bCs/>
          <w:rtl/>
        </w:rPr>
      </w:pPr>
      <w:r w:rsidRPr="0017699B">
        <w:rPr>
          <w:rFonts w:cs="Calibri" w:hint="cs"/>
          <w:b/>
          <w:bCs/>
          <w:rtl/>
        </w:rPr>
        <w:t>الإبلاغ عن المتطلبات القانونية والتنظيمية الأخرى</w:t>
      </w:r>
    </w:p>
    <w:p w14:paraId="0DD66492" w14:textId="4E76373F" w:rsidR="002D7906" w:rsidRPr="0017699B" w:rsidRDefault="002D7906" w:rsidP="00940856">
      <w:pPr>
        <w:bidi/>
        <w:spacing w:after="80" w:line="280" w:lineRule="exact"/>
        <w:jc w:val="both"/>
        <w:rPr>
          <w:rFonts w:cs="Calibri"/>
          <w:rtl/>
        </w:rPr>
      </w:pPr>
      <w:r w:rsidRPr="0017699B">
        <w:rPr>
          <w:rFonts w:cs="Calibri" w:hint="cs"/>
          <w:rtl/>
        </w:rPr>
        <w:t xml:space="preserve">وعلاوة على ذلك، نرى أن المعاملات التي قامت بها المنظمة والتي اطلعنا عليها أو التي قمنا باختبارها في إطار مراجعتنا، كانت، من جميع النواحي الجوهرية، متوافقة مع اللائحة المالية والقواعد المالية للمنظمة. </w:t>
      </w:r>
    </w:p>
    <w:p w14:paraId="3EDE9413" w14:textId="5BA58C7C" w:rsidR="00D872C4" w:rsidRPr="0017699B" w:rsidRDefault="00150A51" w:rsidP="00940856">
      <w:pPr>
        <w:autoSpaceDE w:val="0"/>
        <w:autoSpaceDN w:val="0"/>
        <w:bidi/>
        <w:adjustRightInd w:val="0"/>
        <w:spacing w:after="80" w:line="280" w:lineRule="exact"/>
        <w:jc w:val="both"/>
        <w:rPr>
          <w:rFonts w:cs="Calibri"/>
          <w:color w:val="000000"/>
          <w:rtl/>
        </w:rPr>
      </w:pPr>
      <w:r w:rsidRPr="0017699B">
        <w:rPr>
          <w:rFonts w:cs="Calibri" w:hint="cs"/>
          <w:rtl/>
        </w:rPr>
        <w:t xml:space="preserve">ووفقاً للمادة 11.6 من النظام المالي للمنظمة ولائحته، أصدرنا أيضاً تقريراً مطوّلاً بشأن مراجعتنا لحسابات المنظمة. </w:t>
      </w:r>
    </w:p>
    <w:p w14:paraId="0C9F7C11" w14:textId="77777777" w:rsidR="00AE5017" w:rsidRPr="0017699B" w:rsidRDefault="00AE5017" w:rsidP="66DE4C64">
      <w:pPr>
        <w:autoSpaceDE w:val="0"/>
        <w:autoSpaceDN w:val="0"/>
        <w:adjustRightInd w:val="0"/>
        <w:ind w:left="3600"/>
        <w:jc w:val="center"/>
        <w:rPr>
          <w:rFonts w:cs="Calibri"/>
          <w:b/>
          <w:bCs/>
        </w:rPr>
      </w:pPr>
    </w:p>
    <w:p w14:paraId="44AA9767" w14:textId="77777777" w:rsidR="00940856" w:rsidRPr="0017699B" w:rsidRDefault="00940856" w:rsidP="66DE4C64">
      <w:pPr>
        <w:autoSpaceDE w:val="0"/>
        <w:autoSpaceDN w:val="0"/>
        <w:adjustRightInd w:val="0"/>
        <w:ind w:left="3600"/>
        <w:jc w:val="center"/>
        <w:rPr>
          <w:rFonts w:cs="Calibri"/>
          <w:b/>
          <w:bCs/>
        </w:rPr>
      </w:pPr>
    </w:p>
    <w:p w14:paraId="2A03BC25" w14:textId="77777777" w:rsidR="00940856" w:rsidRPr="0017699B" w:rsidRDefault="00940856" w:rsidP="66DE4C64">
      <w:pPr>
        <w:autoSpaceDE w:val="0"/>
        <w:autoSpaceDN w:val="0"/>
        <w:adjustRightInd w:val="0"/>
        <w:ind w:left="3600"/>
        <w:jc w:val="center"/>
        <w:rPr>
          <w:rFonts w:cs="Calibri"/>
          <w:b/>
          <w:bCs/>
        </w:rPr>
      </w:pPr>
    </w:p>
    <w:p w14:paraId="2AC1B3E5" w14:textId="77777777" w:rsidR="00940856" w:rsidRPr="0017699B" w:rsidRDefault="00940856" w:rsidP="66DE4C64">
      <w:pPr>
        <w:autoSpaceDE w:val="0"/>
        <w:autoSpaceDN w:val="0"/>
        <w:adjustRightInd w:val="0"/>
        <w:ind w:left="3600"/>
        <w:jc w:val="center"/>
        <w:rPr>
          <w:rFonts w:cs="Calibri"/>
          <w:b/>
          <w:bCs/>
        </w:rPr>
      </w:pPr>
    </w:p>
    <w:p w14:paraId="15C426FC" w14:textId="77777777" w:rsidR="00CD5D2A" w:rsidRPr="0017699B" w:rsidRDefault="00CD5D2A" w:rsidP="66DE4C64">
      <w:pPr>
        <w:autoSpaceDE w:val="0"/>
        <w:autoSpaceDN w:val="0"/>
        <w:adjustRightInd w:val="0"/>
        <w:ind w:left="3600"/>
        <w:jc w:val="center"/>
        <w:rPr>
          <w:rFonts w:cs="Calibri"/>
          <w:b/>
          <w:bCs/>
        </w:rPr>
      </w:pPr>
    </w:p>
    <w:p w14:paraId="5F2A1333" w14:textId="77777777" w:rsidR="00AE5017" w:rsidRPr="0017699B" w:rsidRDefault="00AE5017" w:rsidP="66DE4C64">
      <w:pPr>
        <w:autoSpaceDE w:val="0"/>
        <w:autoSpaceDN w:val="0"/>
        <w:adjustRightInd w:val="0"/>
        <w:ind w:left="3600"/>
        <w:jc w:val="center"/>
        <w:rPr>
          <w:rFonts w:cs="Calibri"/>
          <w:b/>
          <w:bCs/>
        </w:rPr>
      </w:pPr>
    </w:p>
    <w:p w14:paraId="1B577171" w14:textId="77777777" w:rsidR="00E838E2" w:rsidRPr="0017699B" w:rsidRDefault="00E838E2" w:rsidP="66DE4C64">
      <w:pPr>
        <w:autoSpaceDE w:val="0"/>
        <w:autoSpaceDN w:val="0"/>
        <w:adjustRightInd w:val="0"/>
        <w:ind w:left="3600"/>
        <w:jc w:val="center"/>
        <w:rPr>
          <w:rFonts w:cs="Calibri"/>
          <w:b/>
          <w:bCs/>
        </w:rPr>
      </w:pPr>
    </w:p>
    <w:p w14:paraId="747B3459" w14:textId="77777777" w:rsidR="00AE5017" w:rsidRPr="0017699B" w:rsidRDefault="00AE5017" w:rsidP="66DE4C64">
      <w:pPr>
        <w:autoSpaceDE w:val="0"/>
        <w:autoSpaceDN w:val="0"/>
        <w:adjustRightInd w:val="0"/>
        <w:ind w:left="3600"/>
        <w:jc w:val="center"/>
        <w:rPr>
          <w:rFonts w:cs="Calibri"/>
          <w:b/>
          <w:bCs/>
        </w:rPr>
      </w:pPr>
    </w:p>
    <w:p w14:paraId="34CBA130" w14:textId="77777777" w:rsidR="00FC5243" w:rsidRPr="0017699B" w:rsidRDefault="00FC5243" w:rsidP="66DE4C64">
      <w:pPr>
        <w:autoSpaceDE w:val="0"/>
        <w:autoSpaceDN w:val="0"/>
        <w:adjustRightInd w:val="0"/>
        <w:ind w:left="3600"/>
        <w:jc w:val="center"/>
        <w:rPr>
          <w:rFonts w:cs="Calibri"/>
          <w:b/>
          <w:bCs/>
        </w:rPr>
      </w:pPr>
    </w:p>
    <w:p w14:paraId="10B665E2" w14:textId="68CE4A42" w:rsidR="00451273" w:rsidRPr="0017699B" w:rsidRDefault="00451273" w:rsidP="66DE4C64">
      <w:pPr>
        <w:autoSpaceDE w:val="0"/>
        <w:autoSpaceDN w:val="0"/>
        <w:bidi/>
        <w:adjustRightInd w:val="0"/>
        <w:ind w:left="3600"/>
        <w:jc w:val="center"/>
        <w:rPr>
          <w:rFonts w:cs="Calibri"/>
          <w:b/>
          <w:bCs/>
          <w:color w:val="000000"/>
          <w:rtl/>
        </w:rPr>
      </w:pPr>
      <w:r w:rsidRPr="0017699B">
        <w:rPr>
          <w:rFonts w:cs="Calibri" w:hint="cs"/>
          <w:b/>
          <w:bCs/>
          <w:rtl/>
        </w:rPr>
        <w:t xml:space="preserve">د. إسما ياتون، </w:t>
      </w:r>
      <w:r w:rsidRPr="0017699B">
        <w:rPr>
          <w:rFonts w:cs="Calibri"/>
          <w:b/>
          <w:bCs/>
        </w:rPr>
        <w:t>CSFA، CFRA</w:t>
      </w:r>
      <w:r w:rsidRPr="0017699B">
        <w:rPr>
          <w:rFonts w:cs="Calibri" w:hint="cs"/>
          <w:rtl/>
        </w:rPr>
        <w:t xml:space="preserve"> </w:t>
      </w:r>
    </w:p>
    <w:p w14:paraId="406F376A" w14:textId="77777777" w:rsidR="00451273" w:rsidRPr="0017699B" w:rsidRDefault="00451273" w:rsidP="66DE4C64">
      <w:pPr>
        <w:autoSpaceDE w:val="0"/>
        <w:autoSpaceDN w:val="0"/>
        <w:bidi/>
        <w:adjustRightInd w:val="0"/>
        <w:jc w:val="right"/>
        <w:rPr>
          <w:rFonts w:cs="Calibri"/>
          <w:b/>
          <w:bCs/>
          <w:color w:val="000000"/>
          <w:rtl/>
        </w:rPr>
      </w:pPr>
      <w:r w:rsidRPr="0017699B">
        <w:rPr>
          <w:rFonts w:cs="Calibri" w:hint="cs"/>
          <w:b/>
          <w:bCs/>
          <w:rtl/>
        </w:rPr>
        <w:t>رئيس مجلس التدقيق في جمهورية إندونيسيا</w:t>
      </w:r>
    </w:p>
    <w:p w14:paraId="05ADACB6" w14:textId="6F6445C1" w:rsidR="00451273" w:rsidRPr="0017699B" w:rsidRDefault="00D82CEC" w:rsidP="66DE4C64">
      <w:pPr>
        <w:bidi/>
        <w:ind w:left="5040"/>
        <w:rPr>
          <w:rFonts w:cs="Calibri"/>
          <w:b/>
          <w:bCs/>
          <w:color w:val="000000"/>
          <w:rtl/>
        </w:rPr>
      </w:pPr>
      <w:r w:rsidRPr="0017699B">
        <w:rPr>
          <w:rFonts w:cs="Calibri" w:hint="cs"/>
          <w:b/>
          <w:bCs/>
          <w:rtl/>
        </w:rPr>
        <w:t xml:space="preserve">        </w:t>
      </w:r>
      <w:r w:rsidR="009B3879">
        <w:rPr>
          <w:rFonts w:cs="Calibri" w:hint="cs"/>
          <w:b/>
          <w:bCs/>
          <w:rtl/>
        </w:rPr>
        <w:t xml:space="preserve">       </w:t>
      </w:r>
      <w:r w:rsidRPr="0017699B">
        <w:rPr>
          <w:rFonts w:cs="Calibri" w:hint="cs"/>
          <w:b/>
          <w:bCs/>
          <w:rtl/>
        </w:rPr>
        <w:t>المدقق الخارجي</w:t>
      </w:r>
    </w:p>
    <w:p w14:paraId="17EE8934" w14:textId="77777777" w:rsidR="00E645A3" w:rsidRPr="0017699B" w:rsidRDefault="00E645A3" w:rsidP="66DE4C64">
      <w:pPr>
        <w:ind w:left="2880" w:firstLine="720"/>
        <w:jc w:val="center"/>
        <w:rPr>
          <w:rFonts w:cs="Calibri"/>
          <w:b/>
          <w:bCs/>
          <w:lang w:val="pt-BR"/>
        </w:rPr>
      </w:pPr>
    </w:p>
    <w:p w14:paraId="68EE7A47" w14:textId="42036961" w:rsidR="00451273" w:rsidRPr="0017699B" w:rsidRDefault="00451273" w:rsidP="66DE4C64">
      <w:pPr>
        <w:bidi/>
        <w:ind w:left="2880" w:firstLine="720"/>
        <w:jc w:val="center"/>
        <w:rPr>
          <w:rFonts w:cs="Calibri"/>
          <w:b/>
          <w:bCs/>
          <w:rtl/>
        </w:rPr>
      </w:pPr>
      <w:r w:rsidRPr="0017699B">
        <w:rPr>
          <w:rFonts w:cs="Calibri" w:hint="cs"/>
          <w:b/>
          <w:bCs/>
          <w:rtl/>
        </w:rPr>
        <w:t>جاكارتا، إندونيسيا</w:t>
      </w:r>
    </w:p>
    <w:p w14:paraId="7CEBC75F" w14:textId="25D2176A" w:rsidR="00BC1DCA" w:rsidRPr="0017699B" w:rsidRDefault="00BC1DCA" w:rsidP="66DE4C64">
      <w:pPr>
        <w:bidi/>
        <w:ind w:left="2880" w:firstLine="720"/>
        <w:jc w:val="center"/>
        <w:rPr>
          <w:rFonts w:cs="Calibri"/>
          <w:b/>
          <w:bCs/>
          <w:color w:val="000000"/>
          <w:rtl/>
        </w:rPr>
      </w:pPr>
      <w:r w:rsidRPr="0017699B">
        <w:rPr>
          <w:rFonts w:cs="Calibri" w:hint="cs"/>
          <w:b/>
          <w:bCs/>
          <w:rtl/>
        </w:rPr>
        <w:t>11 مايو 2026</w:t>
      </w:r>
    </w:p>
    <w:p w14:paraId="5C400F59" w14:textId="77777777" w:rsidR="00940856" w:rsidRPr="0017699B" w:rsidRDefault="00940856">
      <w:pPr>
        <w:bidi/>
        <w:rPr>
          <w:rFonts w:cs="Calibri"/>
          <w:b/>
          <w:bCs/>
          <w:rtl/>
        </w:rPr>
      </w:pPr>
      <w:r w:rsidRPr="0017699B">
        <w:rPr>
          <w:rFonts w:cs="Calibri" w:hint="cs"/>
          <w:rtl/>
        </w:rPr>
        <w:br w:type="page"/>
      </w:r>
    </w:p>
    <w:p w14:paraId="1F37AC2A" w14:textId="12943EF6" w:rsidR="009D5EA1" w:rsidRPr="0017699B" w:rsidRDefault="00662CC7" w:rsidP="00662CC7">
      <w:pPr>
        <w:bidi/>
        <w:rPr>
          <w:rFonts w:cs="Calibri"/>
          <w:b/>
          <w:bCs/>
          <w:rtl/>
        </w:rPr>
      </w:pPr>
      <w:r w:rsidRPr="0017699B">
        <w:rPr>
          <w:rFonts w:cs="Calibri" w:hint="cs"/>
          <w:b/>
          <w:bCs/>
          <w:rtl/>
        </w:rPr>
        <w:t>المرفق. وصف مسؤوليات المدقق فيما يخص تدقيق البيانات المالية</w:t>
      </w:r>
    </w:p>
    <w:p w14:paraId="0F16DCBA" w14:textId="31DC24DD" w:rsidR="009D5EA1" w:rsidRPr="0017699B" w:rsidRDefault="5E506E3D" w:rsidP="00403602">
      <w:pPr>
        <w:autoSpaceDE w:val="0"/>
        <w:autoSpaceDN w:val="0"/>
        <w:bidi/>
        <w:adjustRightInd w:val="0"/>
        <w:spacing w:before="120" w:after="120" w:line="280" w:lineRule="exact"/>
        <w:jc w:val="both"/>
        <w:rPr>
          <w:rFonts w:cs="Calibri"/>
          <w:color w:val="000000"/>
          <w:rtl/>
        </w:rPr>
      </w:pPr>
      <w:r w:rsidRPr="0017699B">
        <w:rPr>
          <w:rFonts w:cs="Calibri" w:hint="cs"/>
          <w:rtl/>
        </w:rPr>
        <w:t>في إطار التدقيق وفقاً لمعايير التدقيق الدولية، نمارس الحكم المهني ونحافظ على الشك المهني طوال عملية التدقيق. ونقوم أيضاً بما يلي:</w:t>
      </w:r>
    </w:p>
    <w:p w14:paraId="3FB90E0B" w14:textId="18C5761B" w:rsidR="0060357E" w:rsidRPr="0017699B" w:rsidRDefault="0060357E" w:rsidP="00403602">
      <w:pPr>
        <w:pStyle w:val="ListParagraph"/>
        <w:numPr>
          <w:ilvl w:val="0"/>
          <w:numId w:val="4"/>
        </w:numPr>
        <w:autoSpaceDE w:val="0"/>
        <w:autoSpaceDN w:val="0"/>
        <w:bidi/>
        <w:adjustRightInd w:val="0"/>
        <w:spacing w:before="120" w:after="120" w:line="280" w:lineRule="exact"/>
        <w:ind w:left="360"/>
        <w:contextualSpacing w:val="0"/>
        <w:jc w:val="both"/>
        <w:rPr>
          <w:rFonts w:cs="Calibri"/>
          <w:color w:val="000000"/>
          <w:rtl/>
        </w:rPr>
      </w:pPr>
      <w:r w:rsidRPr="0017699B">
        <w:rPr>
          <w:rFonts w:cs="Calibri" w:hint="cs"/>
          <w:rtl/>
        </w:rPr>
        <w:t>تحديد وتقييم مخاطر وجود أخطاء جوهرية في البيانات المالية، سواء بسبب الاحتيال أو الخطأ غير المقصود، وتصميم وتنفيذ إجراءات تدقيقية تستجيب لتلك المخاطر، والتوصل إلى أدلة تدقيقية كافية ومناسبة لأن تكون أساساً يستند إليه رأينا. واحتمال عدم اكتشاف خطأ جوهري ناجم عن الاحتيال أكبر من احتمال عدم اكتشاف خطأ جوهري ناجم عن خطأ غير مقصود، لأن الاحتيال قد ينطوي على تواطؤ أو تزوير أو إغفال مقصود أو تحريف أو تجاوز لرقابة داخلية.</w:t>
      </w:r>
    </w:p>
    <w:p w14:paraId="395C99CF" w14:textId="3E48FA6F" w:rsidR="0060357E" w:rsidRPr="0017699B" w:rsidRDefault="0060357E" w:rsidP="00403602">
      <w:pPr>
        <w:pStyle w:val="ListParagraph"/>
        <w:numPr>
          <w:ilvl w:val="0"/>
          <w:numId w:val="4"/>
        </w:numPr>
        <w:autoSpaceDE w:val="0"/>
        <w:autoSpaceDN w:val="0"/>
        <w:bidi/>
        <w:adjustRightInd w:val="0"/>
        <w:spacing w:before="120" w:after="120" w:line="280" w:lineRule="exact"/>
        <w:ind w:left="360"/>
        <w:contextualSpacing w:val="0"/>
        <w:jc w:val="both"/>
        <w:rPr>
          <w:rFonts w:cs="Calibri"/>
          <w:color w:val="000000"/>
          <w:rtl/>
        </w:rPr>
      </w:pPr>
      <w:r w:rsidRPr="0017699B">
        <w:rPr>
          <w:rFonts w:cs="Calibri" w:hint="cs"/>
          <w:rtl/>
        </w:rPr>
        <w:t>فهم الرقابة الداخلية المتعلقة بالتدقيق من أجل تصميم إجراءات تدقيقية ملائمة للظروف، وليس لغرض إبداء رأي بشأن فعالية الرقابة الداخلية في المنظمة؛</w:t>
      </w:r>
    </w:p>
    <w:p w14:paraId="30855D90" w14:textId="23A7CC14" w:rsidR="0060357E" w:rsidRPr="0017699B" w:rsidRDefault="0060357E" w:rsidP="00403602">
      <w:pPr>
        <w:pStyle w:val="ListParagraph"/>
        <w:numPr>
          <w:ilvl w:val="0"/>
          <w:numId w:val="4"/>
        </w:numPr>
        <w:autoSpaceDE w:val="0"/>
        <w:autoSpaceDN w:val="0"/>
        <w:bidi/>
        <w:adjustRightInd w:val="0"/>
        <w:spacing w:before="120" w:after="120" w:line="280" w:lineRule="exact"/>
        <w:ind w:left="360"/>
        <w:contextualSpacing w:val="0"/>
        <w:jc w:val="both"/>
        <w:rPr>
          <w:rFonts w:cs="Calibri"/>
          <w:color w:val="000000"/>
          <w:rtl/>
        </w:rPr>
      </w:pPr>
      <w:r w:rsidRPr="0017699B">
        <w:rPr>
          <w:rFonts w:cs="Calibri" w:hint="cs"/>
          <w:rtl/>
        </w:rPr>
        <w:t>تقييم مدى ملاءمة السياسات المحاسبية المستخدمة، ومدى معقولية التقديرات المحاسبية وعمليات الإفصاح ذات الصلة التي قامت بها الإدارة.</w:t>
      </w:r>
    </w:p>
    <w:p w14:paraId="07631C1B" w14:textId="5FAD4436" w:rsidR="0060357E" w:rsidRPr="0017699B" w:rsidRDefault="0051487E" w:rsidP="00403602">
      <w:pPr>
        <w:pStyle w:val="ListParagraph"/>
        <w:numPr>
          <w:ilvl w:val="0"/>
          <w:numId w:val="4"/>
        </w:numPr>
        <w:autoSpaceDE w:val="0"/>
        <w:autoSpaceDN w:val="0"/>
        <w:bidi/>
        <w:adjustRightInd w:val="0"/>
        <w:spacing w:before="120" w:after="120" w:line="280" w:lineRule="exact"/>
        <w:ind w:left="360"/>
        <w:contextualSpacing w:val="0"/>
        <w:jc w:val="both"/>
        <w:rPr>
          <w:rFonts w:cs="Calibri"/>
          <w:color w:val="000000"/>
          <w:rtl/>
        </w:rPr>
      </w:pPr>
      <w:r w:rsidRPr="0017699B">
        <w:rPr>
          <w:rFonts w:cs="Calibri" w:hint="cs"/>
          <w:rtl/>
        </w:rPr>
        <w:t>واستخلاص استنتاجات بشأن مدى ملاءمة استخدام الإدارة لمبدأ المحاسبة على أساس استمرار العمل، واستنتاج ما إذا كان يوجد شك جوهري يتعلق بأحداث أو ظروف قد تثير شكوكاً كبيرة بشأن قدرة المنظمة على الاستمرار كمنشأة عاملة، استناداً إلى الأدلة التدقيقية التي تم الحصول عليها. وإذا خلصنا إلى وجود شك جوهري، فإننا مطالبون بلفت الانتباه في تقريرنا إلى عمليات الإفصاح ذات الصلة الموجودة في البيانات المالية، أو تعديل رأينا إذا كانت عمليات الإفصاح غير كافية. وتستند استنتاجاتنا إلى الأدلة التدقيقية التي تم الحصول عليها حتى تاريخ تقريرنا. ولكن الأحداث أو الظروف المستقبلية قد تتسبّب في توقف المنظمة عن الاستمرار كمنشأة عاملة.</w:t>
      </w:r>
    </w:p>
    <w:p w14:paraId="073B30FF" w14:textId="146397B7" w:rsidR="009D5EA1" w:rsidRPr="0017699B" w:rsidRDefault="00985313" w:rsidP="00403602">
      <w:pPr>
        <w:pStyle w:val="ListParagraph"/>
        <w:numPr>
          <w:ilvl w:val="0"/>
          <w:numId w:val="4"/>
        </w:numPr>
        <w:autoSpaceDE w:val="0"/>
        <w:autoSpaceDN w:val="0"/>
        <w:bidi/>
        <w:adjustRightInd w:val="0"/>
        <w:spacing w:before="120" w:after="120" w:line="280" w:lineRule="exact"/>
        <w:ind w:left="360"/>
        <w:contextualSpacing w:val="0"/>
        <w:jc w:val="both"/>
        <w:rPr>
          <w:rFonts w:cs="Calibri"/>
          <w:color w:val="000000"/>
          <w:rtl/>
        </w:rPr>
      </w:pPr>
      <w:r w:rsidRPr="0017699B">
        <w:rPr>
          <w:rFonts w:cs="Calibri" w:hint="cs"/>
          <w:rtl/>
        </w:rPr>
        <w:t>ونقيّم العرض الإجمالي للبيانات المالية وشكلها ومضمونها، بما في ذلك عمليات الإفصاح، وما إذا كانت البيانات المالية تمثّل المعاملات والأحداث الأساسية بطريقة تحقّق العرض النزيه أم لا.</w:t>
      </w:r>
    </w:p>
    <w:p w14:paraId="5F2C4FC6" w14:textId="77777777" w:rsidR="001C20F4" w:rsidRPr="0017699B" w:rsidRDefault="001C20F4" w:rsidP="007F5F27">
      <w:pPr>
        <w:bidi/>
        <w:rPr>
          <w:rFonts w:cs="Calibri"/>
          <w:rtl/>
        </w:rPr>
      </w:pPr>
      <w:bookmarkStart w:id="25" w:name="_Toc227826019"/>
    </w:p>
    <w:p w14:paraId="2F17F9F5" w14:textId="77777777" w:rsidR="001C20F4" w:rsidRPr="0017699B" w:rsidRDefault="001C20F4" w:rsidP="001C20F4">
      <w:pPr>
        <w:rPr>
          <w:rFonts w:cs="Calibri"/>
        </w:rPr>
      </w:pPr>
    </w:p>
    <w:p w14:paraId="49A952FD" w14:textId="77777777" w:rsidR="001C20F4" w:rsidRPr="0017699B" w:rsidRDefault="001C20F4" w:rsidP="007F5F27">
      <w:pPr>
        <w:rPr>
          <w:rFonts w:cs="Calibri"/>
        </w:rPr>
      </w:pPr>
    </w:p>
    <w:p w14:paraId="09F3DCD7" w14:textId="77777777" w:rsidR="001C20F4" w:rsidRPr="0017699B" w:rsidRDefault="001C20F4" w:rsidP="007F5F27">
      <w:pPr>
        <w:rPr>
          <w:rFonts w:cs="Calibri"/>
        </w:rPr>
      </w:pPr>
    </w:p>
    <w:p w14:paraId="24FAACA1" w14:textId="77777777" w:rsidR="001C20F4" w:rsidRPr="0017699B" w:rsidRDefault="001C20F4" w:rsidP="007F5F27">
      <w:pPr>
        <w:rPr>
          <w:rFonts w:cs="Calibri"/>
        </w:rPr>
      </w:pPr>
    </w:p>
    <w:p w14:paraId="5E0A78E2" w14:textId="77777777" w:rsidR="001C20F4" w:rsidRPr="0017699B" w:rsidRDefault="001C20F4" w:rsidP="001C20F4">
      <w:pPr>
        <w:rPr>
          <w:rFonts w:cs="Calibri"/>
        </w:rPr>
      </w:pPr>
    </w:p>
    <w:p w14:paraId="03B35BC3" w14:textId="77777777" w:rsidR="001C20F4" w:rsidRPr="0017699B" w:rsidRDefault="001C20F4" w:rsidP="001C20F4">
      <w:pPr>
        <w:rPr>
          <w:rFonts w:cs="Calibri"/>
        </w:rPr>
      </w:pPr>
    </w:p>
    <w:p w14:paraId="6729BD72" w14:textId="77777777" w:rsidR="001C20F4" w:rsidRPr="0017699B" w:rsidRDefault="001C20F4" w:rsidP="001C20F4">
      <w:pPr>
        <w:rPr>
          <w:rFonts w:cs="Calibri"/>
        </w:rPr>
      </w:pPr>
    </w:p>
    <w:p w14:paraId="39FE0471" w14:textId="77777777" w:rsidR="001C20F4" w:rsidRPr="0017699B" w:rsidRDefault="001C20F4" w:rsidP="007F5F27">
      <w:pPr>
        <w:rPr>
          <w:rFonts w:cs="Calibri"/>
        </w:rPr>
      </w:pPr>
    </w:p>
    <w:p w14:paraId="7421BDB6" w14:textId="77777777" w:rsidR="001C20F4" w:rsidRPr="0017699B" w:rsidRDefault="001C20F4" w:rsidP="0078378B">
      <w:pPr>
        <w:pStyle w:val="Heading2"/>
        <w:rPr>
          <w:rFonts w:ascii="Arial" w:hAnsi="Arial" w:cs="Calibri"/>
        </w:rPr>
        <w:sectPr w:rsidR="001C20F4" w:rsidRPr="0017699B" w:rsidSect="005708A7">
          <w:headerReference w:type="even" r:id="rId26"/>
          <w:footerReference w:type="default" r:id="rId27"/>
          <w:headerReference w:type="first" r:id="rId28"/>
          <w:pgSz w:w="11906" w:h="16838" w:code="9"/>
          <w:pgMar w:top="1440" w:right="1440" w:bottom="1440" w:left="1418" w:header="709" w:footer="709" w:gutter="0"/>
          <w:cols w:space="708"/>
          <w:docGrid w:linePitch="360"/>
        </w:sectPr>
      </w:pPr>
    </w:p>
    <w:p w14:paraId="593DF0AD" w14:textId="2E8B3ECF" w:rsidR="009D5EA1" w:rsidRPr="0017699B" w:rsidRDefault="009D5EA1" w:rsidP="0078378B">
      <w:pPr>
        <w:pStyle w:val="Heading2"/>
        <w:bidi/>
        <w:rPr>
          <w:rFonts w:ascii="Arial" w:hAnsi="Arial" w:cs="Calibri"/>
          <w:rtl/>
        </w:rPr>
      </w:pPr>
      <w:bookmarkStart w:id="26" w:name="_Toc230784712"/>
      <w:r w:rsidRPr="0017699B">
        <w:rPr>
          <w:rFonts w:ascii="Arial" w:hAnsi="Arial" w:cs="Calibri" w:hint="cs"/>
          <w:rtl/>
        </w:rPr>
        <w:t>التقرير المطول للمدقق الخارجي</w:t>
      </w:r>
      <w:bookmarkStart w:id="27" w:name="_Toc96949252"/>
      <w:bookmarkEnd w:id="25"/>
      <w:bookmarkEnd w:id="26"/>
    </w:p>
    <w:p w14:paraId="05524F53" w14:textId="77777777" w:rsidR="009B3879" w:rsidRDefault="009B3879" w:rsidP="66DE4C64">
      <w:pPr>
        <w:pStyle w:val="Heading2"/>
        <w:bidi/>
        <w:jc w:val="center"/>
        <w:rPr>
          <w:rFonts w:ascii="Arial" w:hAnsi="Arial" w:cs="Calibri"/>
          <w:rtl/>
        </w:rPr>
      </w:pPr>
      <w:bookmarkStart w:id="28" w:name="_Toc222223380"/>
      <w:bookmarkStart w:id="29" w:name="_Toc227826020"/>
      <w:bookmarkEnd w:id="27"/>
    </w:p>
    <w:p w14:paraId="3E1BBD89" w14:textId="7E5B0817" w:rsidR="000501A2" w:rsidRPr="0017699B" w:rsidRDefault="000501A2" w:rsidP="009B3879">
      <w:pPr>
        <w:pStyle w:val="Heading2"/>
        <w:bidi/>
        <w:jc w:val="center"/>
        <w:rPr>
          <w:rFonts w:ascii="Arial" w:hAnsi="Arial" w:cs="Calibri"/>
          <w:rtl/>
        </w:rPr>
      </w:pPr>
      <w:bookmarkStart w:id="30" w:name="_Toc230784713"/>
      <w:r w:rsidRPr="0017699B">
        <w:rPr>
          <w:rFonts w:ascii="Arial" w:hAnsi="Arial" w:cs="Calibri" w:hint="cs"/>
          <w:rtl/>
        </w:rPr>
        <w:t>ملخص</w:t>
      </w:r>
      <w:bookmarkEnd w:id="28"/>
      <w:bookmarkEnd w:id="29"/>
      <w:bookmarkEnd w:id="30"/>
    </w:p>
    <w:p w14:paraId="1496679C" w14:textId="77777777" w:rsidR="009B3879" w:rsidRDefault="009B3879" w:rsidP="00ED2B9E">
      <w:pPr>
        <w:bidi/>
        <w:spacing w:after="120" w:line="280" w:lineRule="exact"/>
        <w:jc w:val="both"/>
        <w:rPr>
          <w:rFonts w:cs="Calibri"/>
          <w:rtl/>
        </w:rPr>
      </w:pPr>
    </w:p>
    <w:p w14:paraId="49430B5C" w14:textId="620929D3" w:rsidR="000501A2" w:rsidRPr="0017699B" w:rsidRDefault="000501A2" w:rsidP="009B3879">
      <w:pPr>
        <w:bidi/>
        <w:spacing w:after="120" w:line="280" w:lineRule="exact"/>
        <w:jc w:val="both"/>
        <w:rPr>
          <w:rFonts w:cs="Calibri"/>
          <w:rtl/>
        </w:rPr>
      </w:pPr>
      <w:r w:rsidRPr="0017699B">
        <w:rPr>
          <w:rFonts w:cs="Calibri" w:hint="cs"/>
          <w:rtl/>
        </w:rPr>
        <w:t>في عام 2025، تمكنت المنظمة من إدارة موارد مالية كبيرة بالغة الأهمية لمهمتها العالمية. وخلال العام، حققت المنظمة إيرادات بلغت 497.6 مليون فرنك سويسري وبلغت المصروفات المعترف بها 437.8 مليون فرنك سويسري، في حين بلغت قيمة الأصول 1,698.2 مليون فرنك سويسري والخصوم 813.9 مليون فرنك سويسري.</w:t>
      </w:r>
    </w:p>
    <w:p w14:paraId="2C17930D" w14:textId="222E5EFE" w:rsidR="000501A2" w:rsidRPr="0017699B" w:rsidRDefault="000501A2" w:rsidP="00ED2B9E">
      <w:pPr>
        <w:bidi/>
        <w:spacing w:after="120" w:line="280" w:lineRule="exact"/>
        <w:jc w:val="both"/>
        <w:rPr>
          <w:rFonts w:cs="Calibri"/>
          <w:rtl/>
        </w:rPr>
      </w:pPr>
      <w:r w:rsidRPr="0017699B">
        <w:rPr>
          <w:rFonts w:cs="Calibri" w:hint="cs"/>
          <w:rtl/>
        </w:rPr>
        <w:t>ويقدم مجلس التدقيق في جمهورية إندونيسيا هذا التقرير بعد التدقيق الشامل للبيانات المالية للمنظمة للسنة المنتهية في 31 ديسمبر 2025. وقد أجرينا التدقيق وفقاً للمعايير الدولية لمراجعة الحسابات والمعايير الدولية للمؤسسات العليا لمراجعة الحسابات (</w:t>
      </w:r>
      <w:r w:rsidRPr="0017699B">
        <w:rPr>
          <w:rFonts w:cs="Calibri"/>
        </w:rPr>
        <w:t>ISSAI</w:t>
      </w:r>
      <w:r w:rsidRPr="0017699B">
        <w:rPr>
          <w:rFonts w:cs="Calibri" w:hint="cs"/>
          <w:rtl/>
        </w:rPr>
        <w:t>).</w:t>
      </w:r>
    </w:p>
    <w:p w14:paraId="766094A4" w14:textId="77777777" w:rsidR="000501A2" w:rsidRPr="0017699B" w:rsidRDefault="000501A2" w:rsidP="00ED2B9E">
      <w:pPr>
        <w:bidi/>
        <w:spacing w:after="120" w:line="280" w:lineRule="exact"/>
        <w:rPr>
          <w:rFonts w:cs="Calibri"/>
          <w:rtl/>
        </w:rPr>
      </w:pPr>
      <w:r w:rsidRPr="0017699B">
        <w:rPr>
          <w:rFonts w:cs="Calibri" w:hint="cs"/>
          <w:b/>
          <w:bCs/>
          <w:rtl/>
        </w:rPr>
        <w:t>أهداف التدقيق</w:t>
      </w:r>
    </w:p>
    <w:p w14:paraId="72335215" w14:textId="7E0724DA" w:rsidR="000501A2" w:rsidRPr="0017699B" w:rsidRDefault="000501A2" w:rsidP="00ED2B9E">
      <w:pPr>
        <w:bidi/>
        <w:spacing w:after="120" w:line="280" w:lineRule="exact"/>
        <w:jc w:val="both"/>
        <w:rPr>
          <w:rFonts w:cs="Calibri"/>
          <w:rtl/>
        </w:rPr>
      </w:pPr>
      <w:r w:rsidRPr="0017699B">
        <w:rPr>
          <w:rFonts w:cs="Calibri" w:hint="cs"/>
          <w:rtl/>
        </w:rPr>
        <w:t xml:space="preserve">أُجري التدقيق المالي في المقام الأول لتمكين مجلس التدقيق في جمهورية إندونيسيا من تكوين رأي حول ما إذا كانت البيانات المالية للمنظمة للسنة المنتهية في 31 ديسمبر 2025، تُعرض عرضاً نزيهاً، من جميع الجوانب الجوهرية، وفقاً للمعايير المحاسبية الدولية للقطاع العام. وشمل ذلك تقييماً لاختبار ما إذا كانت المعاملات، في جميع الجوانب المهمة، متوافقة مع نظام المنظمة المالي ولائحته. </w:t>
      </w:r>
    </w:p>
    <w:p w14:paraId="7246F708" w14:textId="2A67D79E" w:rsidR="009D1B65" w:rsidRPr="0017699B" w:rsidRDefault="00514378" w:rsidP="00ED2B9E">
      <w:pPr>
        <w:autoSpaceDE w:val="0"/>
        <w:autoSpaceDN w:val="0"/>
        <w:bidi/>
        <w:adjustRightInd w:val="0"/>
        <w:spacing w:after="120" w:line="280" w:lineRule="exact"/>
        <w:jc w:val="both"/>
        <w:rPr>
          <w:rFonts w:cs="Calibri"/>
          <w:rtl/>
        </w:rPr>
      </w:pPr>
      <w:r w:rsidRPr="0017699B">
        <w:rPr>
          <w:rFonts w:cs="Calibri" w:hint="cs"/>
          <w:rtl/>
        </w:rPr>
        <w:t>وفيما يتعلق بمراجعة الأداء، كان الهدف هو تقييم فعالية إدارة الويبو لنظام مدريد وقواعد البيانات العالمية في تحسين الخدمات التي تقدمها المنظمة إلى أصحاب المصلحة فيها.</w:t>
      </w:r>
    </w:p>
    <w:p w14:paraId="35E0EF3C" w14:textId="58D67C21" w:rsidR="000501A2" w:rsidRPr="0017699B" w:rsidRDefault="000501A2" w:rsidP="00ED2B9E">
      <w:pPr>
        <w:bidi/>
        <w:spacing w:after="120" w:line="280" w:lineRule="exact"/>
        <w:rPr>
          <w:rFonts w:cs="Calibri"/>
          <w:b/>
          <w:bCs/>
          <w:rtl/>
        </w:rPr>
      </w:pPr>
      <w:r w:rsidRPr="0017699B">
        <w:rPr>
          <w:rFonts w:cs="Calibri" w:hint="cs"/>
          <w:b/>
          <w:bCs/>
          <w:rtl/>
        </w:rPr>
        <w:t>تحقيق النتائج</w:t>
      </w:r>
    </w:p>
    <w:p w14:paraId="3DB22B74" w14:textId="7EDFD90F" w:rsidR="005C63A1" w:rsidRPr="0017699B" w:rsidRDefault="005C63A1" w:rsidP="005C63A1">
      <w:pPr>
        <w:bidi/>
        <w:spacing w:after="120" w:line="280" w:lineRule="exact"/>
        <w:jc w:val="both"/>
        <w:rPr>
          <w:rFonts w:cs="Calibri"/>
          <w:rtl/>
        </w:rPr>
      </w:pPr>
      <w:r w:rsidRPr="0017699B">
        <w:rPr>
          <w:rFonts w:cs="Calibri" w:hint="cs"/>
          <w:rtl/>
        </w:rPr>
        <w:t>تعرض البيانات المالية بنزاهة، من جميع الجوانب الجوهرية، المركز المالي للمنظمة في 31 ديسمبر 2025، وأداءها المالي والتغيرات في صافي الأصول والتدفقات النقدية والمقارنة بين الميزانية والمبالغ الفعلية للسنة المنتهية في ذلك التاريخ وفقًا للمعايير المحاسبية الدولية للقطاع العام. وبالإضافة إلى ذلك، فإن الإيرادات والمصروفات، من جميع النواحي المادية، قد طُبقت للأغراض التي قصدتها الجمعية العامة للمنظمة، وأن المعاملات المالية مطابقة للنظام المالي والقواعد المالية للمنظمة والسند التشريعي.</w:t>
      </w:r>
    </w:p>
    <w:p w14:paraId="145AB4EF" w14:textId="7739E6BE" w:rsidR="00191853" w:rsidRPr="0017699B" w:rsidRDefault="005C63A1" w:rsidP="00335A66">
      <w:pPr>
        <w:bidi/>
        <w:spacing w:after="120" w:line="280" w:lineRule="exact"/>
        <w:jc w:val="both"/>
        <w:rPr>
          <w:rFonts w:cs="Calibri"/>
          <w:rtl/>
        </w:rPr>
      </w:pPr>
      <w:r w:rsidRPr="0017699B">
        <w:rPr>
          <w:rFonts w:cs="Calibri" w:hint="cs"/>
          <w:rtl/>
        </w:rPr>
        <w:t>وعلاوة على ذلك، أدارت المنظمة بفعالية نظام مدريد وقواعد البيانات العالمية في تحسين جودة خدماتها وإمكانية الوصول إليها لأصحاب المصلحة خلال الفترة التي خضعت للمراجعة.</w:t>
      </w:r>
    </w:p>
    <w:p w14:paraId="48DC63D8" w14:textId="77777777" w:rsidR="000501A2" w:rsidRPr="0017699B" w:rsidRDefault="000501A2" w:rsidP="00ED2B9E">
      <w:pPr>
        <w:bidi/>
        <w:spacing w:after="120" w:line="280" w:lineRule="exact"/>
        <w:rPr>
          <w:rFonts w:cs="Calibri"/>
          <w:rtl/>
        </w:rPr>
      </w:pPr>
      <w:r w:rsidRPr="0017699B">
        <w:rPr>
          <w:rFonts w:cs="Calibri" w:hint="cs"/>
          <w:b/>
          <w:bCs/>
          <w:rtl/>
        </w:rPr>
        <w:t>المسائل المالية.</w:t>
      </w:r>
    </w:p>
    <w:p w14:paraId="1C846A91" w14:textId="46E39778" w:rsidR="007F5295" w:rsidRPr="0017699B" w:rsidRDefault="00210191" w:rsidP="00A83635">
      <w:pPr>
        <w:bidi/>
        <w:spacing w:after="120" w:line="280" w:lineRule="exact"/>
        <w:jc w:val="both"/>
        <w:rPr>
          <w:rFonts w:cs="Calibri"/>
          <w:rtl/>
        </w:rPr>
      </w:pPr>
      <w:r w:rsidRPr="0017699B">
        <w:rPr>
          <w:rFonts w:cs="Calibri" w:hint="cs"/>
          <w:rtl/>
        </w:rPr>
        <w:t xml:space="preserve">وأقر </w:t>
      </w:r>
      <w:r w:rsidR="00AD0F26">
        <w:rPr>
          <w:rFonts w:cs="Calibri" w:hint="cs"/>
          <w:rtl/>
        </w:rPr>
        <w:t xml:space="preserve">مجلس التدقيق في جمهورية إندونيسيا </w:t>
      </w:r>
      <w:r w:rsidRPr="0017699B">
        <w:rPr>
          <w:rFonts w:cs="Calibri" w:hint="cs"/>
          <w:rtl/>
        </w:rPr>
        <w:t>(</w:t>
      </w:r>
      <w:r w:rsidRPr="0017699B">
        <w:rPr>
          <w:rFonts w:cs="Calibri"/>
        </w:rPr>
        <w:t>BPK</w:t>
      </w:r>
      <w:r w:rsidRPr="0017699B">
        <w:rPr>
          <w:rFonts w:cs="Calibri" w:hint="cs"/>
          <w:rtl/>
        </w:rPr>
        <w:t>) بأن المنظمة قامت بتحديث بيان سياساتها المحاسبية ليعكس التطبيق الأولي للمعيار المحاسبي الدولي للقطاع العام رقم 47 «الإيرادات» والمعيار المحاسبي الدولي للقطاع العام رقم 48 «مصروفات التحويلات».</w:t>
      </w:r>
      <w:r w:rsidRPr="0017699B">
        <w:rPr>
          <w:rFonts w:cs="Calibri" w:hint="cs"/>
          <w:i/>
          <w:iCs/>
          <w:rtl/>
        </w:rPr>
        <w:t xml:space="preserve"> </w:t>
      </w:r>
      <w:r w:rsidRPr="0017699B">
        <w:rPr>
          <w:rFonts w:cs="Calibri" w:hint="cs"/>
          <w:rtl/>
        </w:rPr>
        <w:t>وركزت المراجعة على جملة أمور من بينها إدارة الأصول والمشتريات وحددت بعض المجالات التي تتطلب التحسين، بما في ذلك الحاجة إلى إطار تنظيمي محدث بشأن الاستثمارات، وسجل الأصول غير الملموسة، وعملية إلغاء الاعتراف بالمباني، واستعراض أداء الموردين للعقود الهامة والاستراتيجية، وتبسيط واجهة البيانات بين نظام معاهدة التعاون بشأن البراءات ونظام إدارة المعلومات الإدارية.</w:t>
      </w:r>
    </w:p>
    <w:p w14:paraId="4A9BF4AB" w14:textId="67431876" w:rsidR="00FC2075" w:rsidRPr="0017699B" w:rsidRDefault="00514378" w:rsidP="66DE4C64">
      <w:pPr>
        <w:bidi/>
        <w:spacing w:after="120" w:line="280" w:lineRule="exact"/>
        <w:ind w:left="425" w:hanging="425"/>
        <w:jc w:val="both"/>
        <w:rPr>
          <w:rFonts w:eastAsia="Times New Roman" w:cs="Calibri"/>
          <w:b/>
          <w:bCs/>
          <w:rtl/>
        </w:rPr>
      </w:pPr>
      <w:r w:rsidRPr="0017699B">
        <w:rPr>
          <w:rFonts w:cs="Calibri" w:hint="cs"/>
          <w:b/>
          <w:bCs/>
          <w:rtl/>
        </w:rPr>
        <w:t>ملاحظات الأداء</w:t>
      </w:r>
    </w:p>
    <w:p w14:paraId="5FB6811F" w14:textId="769EA79E" w:rsidR="00FE6FF1" w:rsidRPr="0017699B" w:rsidRDefault="08AAF49C" w:rsidP="00ED2B9E">
      <w:pPr>
        <w:bidi/>
        <w:spacing w:after="120" w:line="280" w:lineRule="exact"/>
        <w:jc w:val="both"/>
        <w:rPr>
          <w:rFonts w:eastAsia="Times New Roman" w:cs="Calibri"/>
          <w:rtl/>
        </w:rPr>
      </w:pPr>
      <w:r w:rsidRPr="0017699B">
        <w:rPr>
          <w:rFonts w:cs="Calibri" w:hint="cs"/>
          <w:rtl/>
        </w:rPr>
        <w:t>يوفر نظام مدريد آلية مركزية لتسجيل العلامات التجارية الدولية مع تغطية عالمية واسعة، وتحسين توقيت المعالجة وزيادة الكفاءة التشغيلية من خلال الأتمتة والرقمنة. تُعد قواعد البيانات العالمية بمثابة مستودعات شاملة تشمل عدة ولايات قضائية، تعمل على تعزيز الشفافية ودعم اتخاذ القرارات المستنيرة، وتسهل الوصول إلى معلومات الملكية الفكرية في جميع أنحاء العالم. ولزيادة تعزيز فعالية الخدمة واستدامتها، لا تزال هناك فرص للتحسين في ضمان التكامل الفعال بين نظام سجل مدريد ونظام شعبة الشؤون المالية، وتعزيز صياغة واستخدام مؤشرات الأداء الرئيسية داخل سجل مدريد، وتحسين إعداد تقارير الأداء الداخلي. وبالإضافة إلى ذلك، هناك حاجة إلى بذل مزيد من الجهود لمواءمة ترتيبات تبادل البيانات في الويبو مع المكاتب الوطنية والإقليمية للملكية الفكرية وتعزيز تغطية البيانات واكتمالها في قواعد البيانات العالمية، وبالتالي دعم خدمات معلومات أكثر اتساقاً وموثوقية وفي الوقت المناسب للمستخدمين.</w:t>
      </w:r>
    </w:p>
    <w:p w14:paraId="7CAB61ED" w14:textId="2C45E762" w:rsidR="00514378" w:rsidRPr="009B3879" w:rsidRDefault="00926F04" w:rsidP="009B3879">
      <w:pPr>
        <w:bidi/>
        <w:spacing w:after="160" w:line="259" w:lineRule="auto"/>
        <w:rPr>
          <w:rFonts w:cs="Calibri"/>
          <w:rtl/>
        </w:rPr>
      </w:pPr>
      <w:r w:rsidRPr="0017699B">
        <w:rPr>
          <w:rFonts w:cs="Calibri" w:hint="cs"/>
          <w:rtl/>
        </w:rPr>
        <w:t>تُعرَض تفاصيل شاملة لملاحظات التدقيق في هذا التقرير.</w:t>
      </w:r>
    </w:p>
    <w:p w14:paraId="3CDFDE67" w14:textId="77777777" w:rsidR="009B3879" w:rsidRDefault="009B3879">
      <w:pPr>
        <w:spacing w:after="160" w:line="259" w:lineRule="auto"/>
        <w:rPr>
          <w:rFonts w:cs="Calibri"/>
          <w:b/>
          <w:bCs/>
          <w:rtl/>
        </w:rPr>
      </w:pPr>
      <w:r>
        <w:rPr>
          <w:rFonts w:cs="Calibri"/>
          <w:b/>
          <w:bCs/>
          <w:rtl/>
        </w:rPr>
        <w:br w:type="page"/>
      </w:r>
    </w:p>
    <w:p w14:paraId="7710C5B7" w14:textId="10CA5307" w:rsidR="000501A2" w:rsidRPr="0017699B" w:rsidRDefault="000501A2" w:rsidP="66DE4C64">
      <w:pPr>
        <w:bidi/>
        <w:spacing w:after="120" w:line="280" w:lineRule="exact"/>
        <w:jc w:val="both"/>
        <w:rPr>
          <w:rFonts w:cs="Calibri"/>
          <w:b/>
          <w:bCs/>
          <w:rtl/>
        </w:rPr>
      </w:pPr>
      <w:r w:rsidRPr="0017699B">
        <w:rPr>
          <w:rFonts w:cs="Calibri" w:hint="cs"/>
          <w:b/>
          <w:bCs/>
          <w:rtl/>
        </w:rPr>
        <w:t>توصيات التدقيق السابقة</w:t>
      </w:r>
    </w:p>
    <w:p w14:paraId="7FFFE1AE" w14:textId="68968541" w:rsidR="00514378" w:rsidRPr="0017699B" w:rsidRDefault="000501A2" w:rsidP="0027794D">
      <w:pPr>
        <w:bidi/>
        <w:spacing w:after="120" w:line="280" w:lineRule="exact"/>
        <w:jc w:val="both"/>
        <w:rPr>
          <w:rFonts w:eastAsia="Times New Roman" w:cs="Calibri"/>
          <w:rtl/>
        </w:rPr>
      </w:pPr>
      <w:r w:rsidRPr="0017699B">
        <w:rPr>
          <w:rFonts w:cs="Calibri" w:hint="cs"/>
          <w:rtl/>
        </w:rPr>
        <w:t xml:space="preserve">فيما يتعلق بإدارة مسائل مراجعة الحسابات الناشئة، مجلس </w:t>
      </w:r>
      <w:r w:rsidRPr="0017699B">
        <w:rPr>
          <w:rFonts w:cs="Calibri"/>
        </w:rPr>
        <w:t>BPK</w:t>
      </w:r>
      <w:r w:rsidRPr="0017699B">
        <w:rPr>
          <w:rFonts w:cs="Calibri" w:hint="cs"/>
          <w:rtl/>
        </w:rPr>
        <w:t>، أنه خلال مراجعة البيانات المالية للسنة المنتهية في 31 ديسمبر 2025، نجحت المنظمة في معالجة 88% من توصيات مراجعة الحسابات من السنوات الخمس الماضية.</w:t>
      </w:r>
    </w:p>
    <w:p w14:paraId="1FE027C2" w14:textId="3593BE7F" w:rsidR="0052366D" w:rsidRPr="0017699B" w:rsidRDefault="000501A2" w:rsidP="0027794D">
      <w:pPr>
        <w:bidi/>
        <w:spacing w:after="120" w:line="280" w:lineRule="exact"/>
        <w:jc w:val="both"/>
        <w:rPr>
          <w:rFonts w:eastAsia="Times New Roman" w:cs="Calibri"/>
          <w:rtl/>
        </w:rPr>
      </w:pPr>
      <w:r w:rsidRPr="0017699B">
        <w:rPr>
          <w:rFonts w:cs="Calibri" w:hint="cs"/>
          <w:rtl/>
        </w:rPr>
        <w:br w:type="page"/>
      </w:r>
    </w:p>
    <w:p w14:paraId="32C79615" w14:textId="32F95803" w:rsidR="00BD2759" w:rsidRPr="0017699B" w:rsidRDefault="004953AE" w:rsidP="009B3879">
      <w:pPr>
        <w:pStyle w:val="Heading3"/>
        <w:numPr>
          <w:ilvl w:val="0"/>
          <w:numId w:val="5"/>
        </w:numPr>
        <w:bidi/>
        <w:rPr>
          <w:rFonts w:ascii="Arial" w:hAnsi="Arial" w:cs="Calibri"/>
          <w:rtl/>
        </w:rPr>
      </w:pPr>
      <w:bookmarkStart w:id="31" w:name="_Toc96949253"/>
      <w:bookmarkStart w:id="32" w:name="_Toc227826021"/>
      <w:bookmarkStart w:id="33" w:name="_Toc230784714"/>
      <w:r w:rsidRPr="0017699B">
        <w:rPr>
          <w:rFonts w:ascii="Arial" w:hAnsi="Arial" w:cs="Calibri" w:hint="cs"/>
          <w:rtl/>
        </w:rPr>
        <w:t>الأهداف والنطاق والمنهجية</w:t>
      </w:r>
      <w:bookmarkEnd w:id="31"/>
      <w:bookmarkEnd w:id="32"/>
      <w:bookmarkEnd w:id="33"/>
    </w:p>
    <w:p w14:paraId="768303C9" w14:textId="7365DE6A" w:rsidR="00855753" w:rsidRPr="0017699B" w:rsidRDefault="002124E5" w:rsidP="00736805">
      <w:pPr>
        <w:pStyle w:val="LFARPara"/>
        <w:bidi/>
        <w:ind w:left="851" w:hanging="491"/>
        <w:rPr>
          <w:rFonts w:ascii="Arial" w:hAnsi="Arial" w:cs="Calibri"/>
          <w:rtl/>
        </w:rPr>
      </w:pPr>
      <w:r w:rsidRPr="0017699B">
        <w:rPr>
          <w:rFonts w:ascii="Arial" w:hAnsi="Arial" w:cs="Calibri" w:hint="cs"/>
          <w:rtl/>
        </w:rPr>
        <w:t>تعمل الويبو وفقاً لاتفاقية الويبو، الموقعة في ستوكهولم في 14 يوليو 1967 والمعدلة في 28 سبتمبر 1979، وتم الاعتراف بها كوكالة متخصصة تابعة للأمم المتحدة في عام 1974. وهي بمثابة منتدى عالمي ومزود خدمات لـ 194 دولة عضو، مما يضمن انتقال أفكار المبتكرين والمبدعين بأمان إلى السوق لتحسين الحياة في كل مكان. وتوفر الويبو خدمات أساسية تمكّن رواد الأعمال من حماية وتعزيز ملكيتهم الفكرية عبر الحدود، مع الاستفادة من بياناتها ومشاريعها القائمة على التأثير في تشكيل نظام بيئي دولي متوازن للملكية الفكرية يفيد الجميع في كل مكان.</w:t>
      </w:r>
    </w:p>
    <w:p w14:paraId="787DD009" w14:textId="5455EB38" w:rsidR="00704228" w:rsidRPr="0017699B" w:rsidRDefault="008333C3" w:rsidP="00736805">
      <w:pPr>
        <w:pStyle w:val="LFARPara"/>
        <w:bidi/>
        <w:ind w:left="851" w:hanging="491"/>
        <w:rPr>
          <w:rFonts w:ascii="Arial" w:hAnsi="Arial" w:cs="Calibri"/>
          <w:rtl/>
        </w:rPr>
      </w:pPr>
      <w:r w:rsidRPr="0017699B">
        <w:rPr>
          <w:rFonts w:ascii="Arial" w:hAnsi="Arial" w:cs="Calibri" w:hint="cs"/>
          <w:rtl/>
        </w:rPr>
        <w:t>عملاً بالبند 6-5 من النظام المالي والقواعد المالية للمنظمة والاختصاصات المنصوص عليها في المرفق الثاني من النظام المالي والقواعد المالية للمنظمة، أجرى مجلس مراجعة الحسابات في جمهورية إندونيسيا (</w:t>
      </w:r>
      <w:r w:rsidRPr="0017699B">
        <w:rPr>
          <w:rFonts w:ascii="Arial" w:hAnsi="Arial" w:cs="Calibri"/>
        </w:rPr>
        <w:t xml:space="preserve">Badan </w:t>
      </w:r>
      <w:proofErr w:type="spellStart"/>
      <w:r w:rsidRPr="0017699B">
        <w:rPr>
          <w:rFonts w:ascii="Arial" w:hAnsi="Arial" w:cs="Calibri"/>
        </w:rPr>
        <w:t>Pemeriksa</w:t>
      </w:r>
      <w:proofErr w:type="spellEnd"/>
      <w:r w:rsidRPr="0017699B">
        <w:rPr>
          <w:rFonts w:ascii="Arial" w:hAnsi="Arial" w:cs="Calibri"/>
        </w:rPr>
        <w:t xml:space="preserve"> Keuangan/BPK</w:t>
      </w:r>
      <w:r w:rsidRPr="0017699B">
        <w:rPr>
          <w:rFonts w:ascii="Arial" w:hAnsi="Arial" w:cs="Calibri" w:hint="cs"/>
          <w:rtl/>
        </w:rPr>
        <w:t>) مراجعة حسابات المنظمة للفترة من 1 يناير/كانون الثاني إلى 31 ديسمبر/كانون الأول 2025.</w:t>
      </w:r>
    </w:p>
    <w:p w14:paraId="6A5C7A1D" w14:textId="4FD9DD1F" w:rsidR="00B246BB" w:rsidRPr="0017699B" w:rsidRDefault="00FC229D" w:rsidP="00736805">
      <w:pPr>
        <w:pStyle w:val="LFARPara"/>
        <w:bidi/>
        <w:ind w:left="851" w:hanging="491"/>
        <w:rPr>
          <w:rFonts w:ascii="Arial" w:hAnsi="Arial" w:cs="Calibri"/>
          <w:color w:val="0D0D0D" w:themeColor="text1" w:themeTint="F2"/>
          <w:rtl/>
        </w:rPr>
      </w:pPr>
      <w:r w:rsidRPr="0017699B">
        <w:rPr>
          <w:rFonts w:ascii="Arial" w:hAnsi="Arial" w:cs="Calibri" w:hint="cs"/>
          <w:rtl/>
        </w:rPr>
        <w:t>أُجريت المراجعة المالية في المقام الأول لتمكين مكتب مراجعة الحسابات والرقابة المالية من الحصول على تأكيدات معقولة لتكوين رأي حول ما إذا كانت البيانات المالية للمنظمة للسنة المنتهية في 31 ديسمبر 2025 معروضة بشكل عادل، وفقًا للمعايير المحاسبية الدولية للقطاع العام.</w:t>
      </w:r>
      <w:r w:rsidRPr="0017699B">
        <w:rPr>
          <w:rFonts w:ascii="Arial" w:hAnsi="Arial" w:cs="Calibri" w:hint="cs"/>
          <w:color w:val="0D0D0D" w:themeColor="text1" w:themeTint="F2"/>
          <w:rtl/>
        </w:rPr>
        <w:t xml:space="preserve"> وشمل ذلك تقييمًا لاختبار ما إذا كانت معاملات المنظمة التأمين الصحي بعد خصم الضرائب على الدخل، من جميع النواحي الهامة، متوافقة مع قواعد الخطة.</w:t>
      </w:r>
      <w:r w:rsidRPr="0017699B">
        <w:rPr>
          <w:rFonts w:ascii="Arial" w:hAnsi="Arial" w:cs="Calibri" w:hint="cs"/>
          <w:rtl/>
        </w:rPr>
        <w:t xml:space="preserve"> </w:t>
      </w:r>
    </w:p>
    <w:p w14:paraId="75E2D559" w14:textId="5A68DCB7" w:rsidR="00650F7D" w:rsidRPr="0017699B" w:rsidRDefault="00650F7D" w:rsidP="00736805">
      <w:pPr>
        <w:pStyle w:val="LFARPara"/>
        <w:bidi/>
        <w:ind w:left="851" w:hanging="491"/>
        <w:rPr>
          <w:rFonts w:ascii="Arial" w:hAnsi="Arial" w:cs="Calibri"/>
          <w:rtl/>
        </w:rPr>
      </w:pPr>
      <w:r w:rsidRPr="0017699B">
        <w:rPr>
          <w:rFonts w:ascii="Arial" w:hAnsi="Arial" w:cs="Calibri" w:hint="cs"/>
          <w:rtl/>
        </w:rPr>
        <w:t>وغطت مراجعة الحسابات البيانات المالية للمنظمة، التي تشمل بيان المركز المالي في 31 ديسمبر 2025، وبيان الأداء المالي، وبيان التغيرات في صافي الأصول، وبيان التدفقات النقدية، وبيان المقارنة بين الميزانية والمبالغ الفعلية للسنة المنتهية في ذلك التاريخ، والملاحظات على البيانات المالية.</w:t>
      </w:r>
    </w:p>
    <w:p w14:paraId="0DEAAB8B" w14:textId="5642CBDF" w:rsidR="003349FE" w:rsidRPr="0017699B" w:rsidRDefault="00A846FB" w:rsidP="00736805">
      <w:pPr>
        <w:pStyle w:val="LFARPara"/>
        <w:bidi/>
        <w:ind w:left="851" w:hanging="491"/>
        <w:rPr>
          <w:rFonts w:ascii="Arial" w:hAnsi="Arial" w:cs="Calibri"/>
          <w:color w:val="0D0D0D" w:themeColor="text1" w:themeTint="F2"/>
          <w:rtl/>
        </w:rPr>
      </w:pPr>
      <w:r w:rsidRPr="0017699B">
        <w:rPr>
          <w:rFonts w:ascii="Arial" w:hAnsi="Arial" w:cs="Calibri" w:hint="cs"/>
          <w:rtl/>
        </w:rPr>
        <w:t>وكان الهدف من مراجعة الأداء هو تقييم فعالية إدارة الويبو لنظام مدريد وقواعد البيانات العالمية في تحسين الخدمات التي تقدمها المنظمة إلى أصحاب المصلحة فيها.</w:t>
      </w:r>
    </w:p>
    <w:p w14:paraId="2374CAF1" w14:textId="1368E79B" w:rsidR="009736AF" w:rsidRPr="0017699B" w:rsidRDefault="00674B24" w:rsidP="00736805">
      <w:pPr>
        <w:pStyle w:val="LFARPara"/>
        <w:bidi/>
        <w:ind w:left="851" w:hanging="491"/>
        <w:rPr>
          <w:rFonts w:ascii="Arial" w:hAnsi="Arial" w:cs="Calibri"/>
          <w:rtl/>
        </w:rPr>
      </w:pPr>
      <w:r w:rsidRPr="0017699B">
        <w:rPr>
          <w:rFonts w:ascii="Arial" w:hAnsi="Arial" w:cs="Calibri" w:hint="cs"/>
          <w:rtl/>
        </w:rPr>
        <w:t xml:space="preserve">شمل نطاق مراجعة الأداء لعام 2025 جوانب محددة، منها: </w:t>
      </w:r>
    </w:p>
    <w:p w14:paraId="49E079DB" w14:textId="11D45D5E" w:rsidR="009736AF" w:rsidRPr="0017699B" w:rsidRDefault="6BA61821" w:rsidP="007F267B">
      <w:pPr>
        <w:pStyle w:val="ListParagraph"/>
        <w:numPr>
          <w:ilvl w:val="0"/>
          <w:numId w:val="9"/>
        </w:numPr>
        <w:bidi/>
        <w:spacing w:before="120" w:after="120" w:line="280" w:lineRule="exact"/>
        <w:ind w:left="1276" w:hanging="425"/>
        <w:contextualSpacing w:val="0"/>
        <w:jc w:val="both"/>
        <w:rPr>
          <w:rFonts w:eastAsia="Times New Roman" w:cs="Calibri"/>
          <w:rtl/>
        </w:rPr>
      </w:pPr>
      <w:r w:rsidRPr="0017699B">
        <w:rPr>
          <w:rFonts w:cs="Calibri" w:hint="cs"/>
          <w:rtl/>
        </w:rPr>
        <w:t>الأنشطة التي تم تنفيذها خلال فترة السنتين 2024/25 والأنشطة المخطط لها في فترة السنتين 2026/27.</w:t>
      </w:r>
    </w:p>
    <w:p w14:paraId="4F19316D" w14:textId="36ADF62E" w:rsidR="00437DBB" w:rsidRPr="0017699B" w:rsidRDefault="6BA61821" w:rsidP="007F267B">
      <w:pPr>
        <w:pStyle w:val="ListParagraph"/>
        <w:numPr>
          <w:ilvl w:val="0"/>
          <w:numId w:val="9"/>
        </w:numPr>
        <w:bidi/>
        <w:spacing w:before="120" w:after="120" w:line="280" w:lineRule="exact"/>
        <w:ind w:left="1276" w:hanging="425"/>
        <w:contextualSpacing w:val="0"/>
        <w:jc w:val="both"/>
        <w:rPr>
          <w:rFonts w:eastAsia="Times New Roman" w:cs="Calibri"/>
          <w:rtl/>
        </w:rPr>
      </w:pPr>
      <w:r w:rsidRPr="0017699B">
        <w:rPr>
          <w:rFonts w:cs="Calibri" w:hint="cs"/>
          <w:rtl/>
        </w:rPr>
        <w:t>الأقسام المسؤولة عن نظام مدريد، وقواعد البيانات العالمية، والأقسام الداعمة ذات الصلة.</w:t>
      </w:r>
    </w:p>
    <w:p w14:paraId="1C63C878" w14:textId="220027DF" w:rsidR="00674B24" w:rsidRPr="0017699B" w:rsidRDefault="00674B24" w:rsidP="00736805">
      <w:pPr>
        <w:pStyle w:val="ListParagraph"/>
        <w:bidi/>
        <w:spacing w:before="120" w:after="120" w:line="280" w:lineRule="exact"/>
        <w:ind w:left="851"/>
        <w:contextualSpacing w:val="0"/>
        <w:jc w:val="both"/>
        <w:rPr>
          <w:rFonts w:cs="Calibri"/>
          <w:rtl/>
        </w:rPr>
      </w:pPr>
      <w:r w:rsidRPr="0017699B">
        <w:rPr>
          <w:rFonts w:cs="Calibri" w:hint="cs"/>
          <w:rtl/>
        </w:rPr>
        <w:t>وكان السؤال الرئيسي لمراجعة الحسابات هو "إلى أي مدى أدارت الويبو نظام مدريد وقواعد البيانات العالمية بفعالية لتوفير خدمات ملكية فكرية عالية الجودة وميسورة وموثوقة ومركزة على المستخدم بما يتماشى مع الركيزة 3 من الخطة الاستراتيجية المتوسطة الأجل؟ هل تم تعميم ذلك على سؤالَي التدقيق التاليين؟</w:t>
      </w:r>
    </w:p>
    <w:p w14:paraId="3EE57D74" w14:textId="78ABF555" w:rsidR="0C61D0D8" w:rsidRPr="0017699B" w:rsidRDefault="0C61D0D8" w:rsidP="007F267B">
      <w:pPr>
        <w:pStyle w:val="ListParagraph"/>
        <w:numPr>
          <w:ilvl w:val="0"/>
          <w:numId w:val="19"/>
        </w:numPr>
        <w:bidi/>
        <w:spacing w:before="120" w:after="120" w:line="280" w:lineRule="exact"/>
        <w:ind w:left="1276" w:hanging="425"/>
        <w:contextualSpacing w:val="0"/>
        <w:jc w:val="both"/>
        <w:rPr>
          <w:rFonts w:eastAsia="Times New Roman" w:cs="Calibri"/>
          <w:rtl/>
        </w:rPr>
      </w:pPr>
      <w:r w:rsidRPr="0017699B">
        <w:rPr>
          <w:rFonts w:cs="Calibri" w:hint="cs"/>
          <w:rtl/>
        </w:rPr>
        <w:t>إلى أي مدى تدير الويبو نظام مدريد بفعالية لتقديم خدمات شاملة وفعالة وقائمة على الأداء في مجال العلامات التجارية الفكرية تلبي احتياجات أصحاب المصلحة وتدعم الأهداف الاستراتيجية للويبو؟</w:t>
      </w:r>
    </w:p>
    <w:p w14:paraId="19EF2F38" w14:textId="77EFA6ED" w:rsidR="00674B24" w:rsidRPr="0017699B" w:rsidRDefault="0C61D0D8" w:rsidP="007F267B">
      <w:pPr>
        <w:pStyle w:val="ListParagraph"/>
        <w:numPr>
          <w:ilvl w:val="0"/>
          <w:numId w:val="19"/>
        </w:numPr>
        <w:bidi/>
        <w:spacing w:before="120" w:after="120" w:line="280" w:lineRule="exact"/>
        <w:ind w:left="1276" w:hanging="425"/>
        <w:contextualSpacing w:val="0"/>
        <w:jc w:val="both"/>
        <w:rPr>
          <w:rFonts w:eastAsia="Times New Roman" w:cs="Calibri"/>
          <w:rtl/>
        </w:rPr>
      </w:pPr>
      <w:r w:rsidRPr="0017699B">
        <w:rPr>
          <w:rFonts w:cs="Calibri" w:hint="cs"/>
          <w:rtl/>
        </w:rPr>
        <w:t>إلى أي مدى تكفل الويبو أن تكون بيانات الملكية الفكرية في قواعد البيانات العالمية شاملة ودقيقة ومحدثة، بالتنسيق مع المكاتب الوطنية للملكية الفكرية؟</w:t>
      </w:r>
    </w:p>
    <w:p w14:paraId="7DB381F8" w14:textId="45D224F9" w:rsidR="00905AE1" w:rsidRPr="0017699B" w:rsidRDefault="004C3833" w:rsidP="00736805">
      <w:pPr>
        <w:pStyle w:val="LFARPara"/>
        <w:bidi/>
        <w:ind w:left="851" w:hanging="491"/>
        <w:rPr>
          <w:rFonts w:ascii="Arial" w:hAnsi="Arial" w:cs="Calibri"/>
          <w:color w:val="0D0D0D" w:themeColor="text1" w:themeTint="F2"/>
          <w:rtl/>
        </w:rPr>
      </w:pPr>
      <w:r w:rsidRPr="0017699B">
        <w:rPr>
          <w:rFonts w:ascii="Arial" w:hAnsi="Arial" w:cs="Calibri" w:hint="cs"/>
          <w:rtl/>
        </w:rPr>
        <w:t xml:space="preserve">تم إجراء التدقيق وفقاً للمعايير الدولية لمراجعة الحسابات. وتتطلب المعايير أن يمتثل مجلس </w:t>
      </w:r>
      <w:r w:rsidRPr="0017699B">
        <w:rPr>
          <w:rFonts w:ascii="Arial" w:hAnsi="Arial" w:cs="Calibri"/>
        </w:rPr>
        <w:t>BPK</w:t>
      </w:r>
      <w:r w:rsidRPr="0017699B">
        <w:rPr>
          <w:rFonts w:ascii="Arial" w:hAnsi="Arial" w:cs="Calibri" w:hint="cs"/>
          <w:rtl/>
        </w:rPr>
        <w:t xml:space="preserve"> للمتطلبات الأخلاقية وأن تخطط وينفذ عملية التدقيق للحصول على تأكيدات معقولة حول ما إذا كانت البيانات المالية للمنظمة خالية من الأخطاء الجوهرية. بالإضافة إلى ذلك، توفر المعايير الدولية للمؤسسات العليا لمراجعة الحسابات ذات الصلة مبادئ ومعايير وإرشادات التدقيق لإجراء تدقيق الأداء. فيما يتعلق بالانتظام، تتبع عملية المراجعة قواعد الإدارة المالية (</w:t>
      </w:r>
      <w:r w:rsidRPr="0017699B">
        <w:rPr>
          <w:rFonts w:ascii="Arial" w:hAnsi="Arial" w:cs="Calibri"/>
        </w:rPr>
        <w:t>FRR</w:t>
      </w:r>
      <w:r w:rsidRPr="0017699B">
        <w:rPr>
          <w:rFonts w:ascii="Arial" w:hAnsi="Arial" w:cs="Calibri" w:hint="cs"/>
          <w:rtl/>
        </w:rPr>
        <w:t>).</w:t>
      </w:r>
    </w:p>
    <w:p w14:paraId="14A592DE" w14:textId="24F8E1AD" w:rsidR="00650F7D" w:rsidRPr="0017699B" w:rsidRDefault="00650F7D" w:rsidP="00736805">
      <w:pPr>
        <w:pStyle w:val="LFARPara"/>
        <w:bidi/>
        <w:ind w:left="851" w:hanging="491"/>
        <w:rPr>
          <w:rFonts w:ascii="Arial" w:hAnsi="Arial" w:cs="Calibri"/>
          <w:rtl/>
        </w:rPr>
      </w:pPr>
      <w:r w:rsidRPr="0017699B">
        <w:rPr>
          <w:rFonts w:ascii="Arial" w:hAnsi="Arial" w:cs="Calibri" w:hint="cs"/>
          <w:rtl/>
        </w:rPr>
        <w:t xml:space="preserve">وتضمنت المراجعة مراجعة الحسابات مراجعة عامة للنظم المالية والضوابط الداخلية، وتقييم المخاطر، وفحص اختباري للسجلات المحاسبية وغيرها من الأدلة الداعمة بالقدر الذي اعتبره مجلس </w:t>
      </w:r>
      <w:r w:rsidRPr="0017699B">
        <w:rPr>
          <w:rFonts w:ascii="Arial" w:hAnsi="Arial" w:cs="Calibri"/>
        </w:rPr>
        <w:t>BPK</w:t>
      </w:r>
      <w:r w:rsidRPr="0017699B">
        <w:rPr>
          <w:rFonts w:ascii="Arial" w:hAnsi="Arial" w:cs="Calibri" w:hint="cs"/>
          <w:rtl/>
        </w:rPr>
        <w:t xml:space="preserve"> ضرورياً لتكوين رأي حول البيانات المالية. </w:t>
      </w:r>
    </w:p>
    <w:p w14:paraId="5F009A65" w14:textId="3FDD727E" w:rsidR="0014084C" w:rsidRPr="0017699B" w:rsidRDefault="00C12A27" w:rsidP="00736805">
      <w:pPr>
        <w:pStyle w:val="LFARPara"/>
        <w:bidi/>
        <w:ind w:left="851" w:hanging="491"/>
        <w:rPr>
          <w:rFonts w:ascii="Arial" w:hAnsi="Arial" w:cs="Calibri"/>
          <w:rtl/>
        </w:rPr>
      </w:pPr>
      <w:r w:rsidRPr="0017699B">
        <w:rPr>
          <w:rFonts w:ascii="Arial" w:hAnsi="Arial" w:cs="Calibri" w:hint="cs"/>
          <w:rtl/>
        </w:rPr>
        <w:t xml:space="preserve">حصل مجلس </w:t>
      </w:r>
      <w:r w:rsidRPr="0017699B">
        <w:rPr>
          <w:rFonts w:ascii="Arial" w:hAnsi="Arial" w:cs="Calibri"/>
        </w:rPr>
        <w:t>BPK</w:t>
      </w:r>
      <w:r w:rsidRPr="0017699B">
        <w:rPr>
          <w:rFonts w:ascii="Arial" w:hAnsi="Arial" w:cs="Calibri" w:hint="cs"/>
          <w:rtl/>
        </w:rPr>
        <w:t xml:space="preserve"> على فهم لأعمال المنظمة وعملياتها المحاسبية والضوابط الداخلية ذات الصلة بالبيانات المالية لمساعدتنا في تحديد المخاطر التي قد تؤثر على البيانات المالية. تم النظر في الضوابط الداخلية لتصميم إجراءات المراجعة المناسبة، ولكن ليس لغرض إبداء الرأي حول فعالية الرقابة الداخلية في المنظمة.</w:t>
      </w:r>
    </w:p>
    <w:p w14:paraId="4D9BFC42" w14:textId="62B8B5CC" w:rsidR="00A239A1" w:rsidRPr="0017699B" w:rsidRDefault="1DD4E3FF" w:rsidP="00736805">
      <w:pPr>
        <w:pStyle w:val="LFARPara"/>
        <w:bidi/>
        <w:ind w:left="851" w:hanging="491"/>
        <w:rPr>
          <w:rFonts w:ascii="Arial" w:hAnsi="Arial" w:cs="Calibri"/>
          <w:rtl/>
        </w:rPr>
      </w:pPr>
      <w:r w:rsidRPr="0017699B">
        <w:rPr>
          <w:rFonts w:ascii="Arial" w:hAnsi="Arial" w:cs="Calibri" w:hint="cs"/>
          <w:rtl/>
        </w:rPr>
        <w:t>وفيما يتعلق بمراجعة الأداء، فإن عملية اختيار النطاق والعينة كمجالات رئيسية محتملة لمراجعة الأداء تضع عدة عوامل اختيارية، أي الأولويات المقابلة في برنامج العمل والميزانية 2024/25 و 2026/27، وأوجه التآزر في المنظمة، والشواغل المتعلقة بالكفاءة، وأهمية الميزانية، والمخاطر التي تواجه الإدارة، وعمليات المراجعة السابقة، والأثر المحتمل، والاعتبارات الإدارية الحالية. ونتيجةً لذلك، تم اختيار قسمين كعينات لتدقيق الأداء لعام 2025، وهما قسم سجل مدريد - قطاع العلامات التجارية والتصاميم (</w:t>
      </w:r>
      <w:r w:rsidRPr="0017699B">
        <w:rPr>
          <w:rFonts w:ascii="Arial" w:hAnsi="Arial" w:cs="Calibri"/>
        </w:rPr>
        <w:t>BDS</w:t>
      </w:r>
      <w:r w:rsidRPr="0017699B">
        <w:rPr>
          <w:rFonts w:ascii="Arial" w:hAnsi="Arial" w:cs="Calibri" w:hint="cs"/>
          <w:rtl/>
        </w:rPr>
        <w:t>) وقسم قواعد البيانات العالمية - قطاع البنية التحتية والمنصات (</w:t>
      </w:r>
      <w:r w:rsidRPr="0017699B">
        <w:rPr>
          <w:rFonts w:ascii="Arial" w:hAnsi="Arial" w:cs="Calibri"/>
        </w:rPr>
        <w:t>IPS</w:t>
      </w:r>
      <w:r w:rsidRPr="0017699B">
        <w:rPr>
          <w:rFonts w:ascii="Arial" w:hAnsi="Arial" w:cs="Calibri" w:hint="cs"/>
          <w:rtl/>
        </w:rPr>
        <w:t>).</w:t>
      </w:r>
    </w:p>
    <w:p w14:paraId="1D788B9C" w14:textId="25CFDA48" w:rsidR="0014084C" w:rsidRPr="0017699B" w:rsidRDefault="0014084C" w:rsidP="00736805">
      <w:pPr>
        <w:pStyle w:val="LFARPara"/>
        <w:bidi/>
        <w:ind w:left="851" w:hanging="491"/>
        <w:rPr>
          <w:rFonts w:ascii="Arial" w:hAnsi="Arial" w:cs="Calibri"/>
          <w:rtl/>
        </w:rPr>
      </w:pPr>
      <w:r w:rsidRPr="0017699B">
        <w:rPr>
          <w:rFonts w:ascii="Arial" w:hAnsi="Arial" w:cs="Calibri" w:hint="cs"/>
          <w:rtl/>
        </w:rPr>
        <w:t xml:space="preserve">راجع مجلس التدقيق في جمهورية إندونيسيا أيضا حالة توصيات المدقق الخارجي الصادرة عن تدقيقات الأعوام السابقة وحدثّها وأعد تقارير بشأنها. </w:t>
      </w:r>
    </w:p>
    <w:p w14:paraId="21CFAD11" w14:textId="09148392" w:rsidR="00701C20" w:rsidRPr="0017699B" w:rsidRDefault="78E98750" w:rsidP="00736805">
      <w:pPr>
        <w:pStyle w:val="LFARPara"/>
        <w:bidi/>
        <w:ind w:left="851" w:hanging="491"/>
        <w:rPr>
          <w:rFonts w:ascii="Arial" w:hAnsi="Arial" w:cs="Calibri"/>
          <w:rtl/>
        </w:rPr>
      </w:pPr>
      <w:r w:rsidRPr="0017699B">
        <w:rPr>
          <w:rFonts w:ascii="Arial" w:hAnsi="Arial" w:cs="Calibri" w:hint="cs"/>
          <w:rtl/>
        </w:rPr>
        <w:t xml:space="preserve">وفي المراجعة المالية، عمل مجلس </w:t>
      </w:r>
      <w:r w:rsidRPr="0017699B">
        <w:rPr>
          <w:rFonts w:ascii="Arial" w:hAnsi="Arial" w:cs="Calibri"/>
        </w:rPr>
        <w:t>BPK</w:t>
      </w:r>
      <w:r w:rsidRPr="0017699B">
        <w:rPr>
          <w:rFonts w:ascii="Arial" w:hAnsi="Arial" w:cs="Calibri" w:hint="cs"/>
          <w:rtl/>
        </w:rPr>
        <w:t xml:space="preserve"> بالتعاون مع مدير شعبة الشؤون المالية والموظفين المعنيين الآخرين في المنظمة لفهم الأنشطة المالية وتحديد مدى صلتها بمراجعة الحسابات. وأثناء مراجعة الأداء، عمل مجلس </w:t>
      </w:r>
      <w:r w:rsidRPr="0017699B">
        <w:rPr>
          <w:rFonts w:ascii="Arial" w:hAnsi="Arial" w:cs="Calibri"/>
        </w:rPr>
        <w:t>BPK</w:t>
      </w:r>
      <w:r w:rsidRPr="0017699B">
        <w:rPr>
          <w:rFonts w:ascii="Arial" w:hAnsi="Arial" w:cs="Calibri" w:hint="cs"/>
          <w:rtl/>
        </w:rPr>
        <w:t xml:space="preserve"> عن كثب مع إدارة الويبو في سجل مدريد وقواعد البيانات العالمية والوحدات الأخرى ذات الصلة.</w:t>
      </w:r>
    </w:p>
    <w:p w14:paraId="59C3F239" w14:textId="3D6E4747" w:rsidR="00B246BB" w:rsidRPr="0017699B" w:rsidRDefault="00C432CF" w:rsidP="00736805">
      <w:pPr>
        <w:pStyle w:val="LFARPara"/>
        <w:bidi/>
        <w:ind w:left="851" w:hanging="491"/>
        <w:rPr>
          <w:rFonts w:ascii="Arial" w:hAnsi="Arial" w:cs="Calibri"/>
          <w:rtl/>
        </w:rPr>
      </w:pPr>
      <w:r w:rsidRPr="0017699B">
        <w:rPr>
          <w:rFonts w:ascii="Arial" w:hAnsi="Arial" w:cs="Calibri" w:hint="cs"/>
          <w:rtl/>
        </w:rPr>
        <w:t xml:space="preserve">المادة 11.6 يصدر المدقق الخارجي رأيا في البيانات المالية السنوية لكل سنة تقويمية من الفترة المالية يتضمن المعلومات التي يعتبرها المدقق الخارجي ضرورية، فيما يتعلق بالمسائل المشار إليها في المادة 6.6 وفي المرفق الثاني لهذا النظام المشار إليه في المادة 5.6. </w:t>
      </w:r>
    </w:p>
    <w:p w14:paraId="0D404CC2" w14:textId="2EFC098D" w:rsidR="00436454" w:rsidRPr="0017699B" w:rsidRDefault="00436454" w:rsidP="00736805">
      <w:pPr>
        <w:pStyle w:val="LFARPara"/>
        <w:bidi/>
        <w:ind w:left="851" w:hanging="491"/>
        <w:rPr>
          <w:rFonts w:ascii="Arial" w:hAnsi="Arial" w:cs="Calibri"/>
          <w:rtl/>
        </w:rPr>
      </w:pPr>
      <w:bookmarkStart w:id="34" w:name="_Toc223004775"/>
      <w:bookmarkStart w:id="35" w:name="_Toc223005281"/>
      <w:bookmarkStart w:id="36" w:name="_Toc223005308"/>
      <w:bookmarkStart w:id="37" w:name="_Toc223005497"/>
      <w:bookmarkStart w:id="38" w:name="_Toc223004776"/>
      <w:bookmarkStart w:id="39" w:name="_Toc223005282"/>
      <w:bookmarkStart w:id="40" w:name="_Toc223005309"/>
      <w:bookmarkStart w:id="41" w:name="_Toc223005498"/>
      <w:bookmarkStart w:id="42" w:name="_Toc192095254"/>
      <w:bookmarkStart w:id="43" w:name="_Toc222750716"/>
      <w:bookmarkStart w:id="44" w:name="_Toc66109791"/>
      <w:bookmarkStart w:id="45" w:name="_Toc66109898"/>
      <w:bookmarkEnd w:id="34"/>
      <w:bookmarkEnd w:id="35"/>
      <w:bookmarkEnd w:id="36"/>
      <w:bookmarkEnd w:id="37"/>
      <w:bookmarkEnd w:id="38"/>
      <w:bookmarkEnd w:id="39"/>
      <w:bookmarkEnd w:id="40"/>
      <w:bookmarkEnd w:id="41"/>
      <w:bookmarkEnd w:id="42"/>
      <w:bookmarkEnd w:id="43"/>
      <w:bookmarkEnd w:id="44"/>
      <w:bookmarkEnd w:id="45"/>
      <w:r w:rsidRPr="0017699B">
        <w:rPr>
          <w:rFonts w:ascii="Arial" w:hAnsi="Arial" w:cs="Calibri" w:hint="cs"/>
          <w:rtl/>
        </w:rPr>
        <w:t xml:space="preserve">تمت مناقشة المسائل الناشئة عن مراجعة الحسابات مع الإدارة. تم إدراج التعليقات والردود الواردة من الإدارة في هذا التقرير، حيثما كان ذلك مناسبًا. </w:t>
      </w:r>
    </w:p>
    <w:p w14:paraId="5B9BB2A4" w14:textId="516F64B2" w:rsidR="000160D8" w:rsidRPr="0017699B" w:rsidRDefault="00F76B5E" w:rsidP="00736805">
      <w:pPr>
        <w:pStyle w:val="LFARPara"/>
        <w:bidi/>
        <w:ind w:left="851" w:hanging="491"/>
        <w:rPr>
          <w:rFonts w:ascii="Arial" w:hAnsi="Arial" w:cs="Calibri"/>
          <w:rtl/>
        </w:rPr>
      </w:pPr>
      <w:r w:rsidRPr="0017699B">
        <w:rPr>
          <w:rFonts w:ascii="Arial" w:hAnsi="Arial" w:cs="Calibri" w:hint="cs"/>
          <w:rtl/>
        </w:rPr>
        <w:t>يتبع تقرير هذا العام هيكل عرض محدث لدعم سهولة القراءة. يهدف التنسيق المنقح إلى مساعدة القراء على تصفح المعلومات بشكل أكثر فعالية.</w:t>
      </w:r>
    </w:p>
    <w:p w14:paraId="186559D5" w14:textId="7AF65DFF" w:rsidR="005C78E2" w:rsidRPr="001A6952" w:rsidRDefault="005C78E2" w:rsidP="001A6952">
      <w:pPr>
        <w:pStyle w:val="Heading3"/>
        <w:numPr>
          <w:ilvl w:val="0"/>
          <w:numId w:val="5"/>
        </w:numPr>
        <w:bidi/>
        <w:rPr>
          <w:rFonts w:ascii="Arial" w:hAnsi="Arial" w:cs="Calibri"/>
          <w:rtl/>
        </w:rPr>
      </w:pPr>
      <w:bookmarkStart w:id="46" w:name="_Toc227826022"/>
      <w:bookmarkStart w:id="47" w:name="_Toc230784715"/>
      <w:r w:rsidRPr="0017699B">
        <w:rPr>
          <w:rFonts w:ascii="Arial" w:hAnsi="Arial" w:cs="Calibri" w:hint="cs"/>
          <w:rtl/>
        </w:rPr>
        <w:t>لمحة عامة عن الأحوال المالية</w:t>
      </w:r>
      <w:bookmarkEnd w:id="46"/>
      <w:bookmarkEnd w:id="47"/>
    </w:p>
    <w:tbl>
      <w:tblPr>
        <w:tblStyle w:val="TableGrid"/>
        <w:bidiVisual/>
        <w:tblW w:w="0" w:type="auto"/>
        <w:jc w:val="center"/>
        <w:tblBorders>
          <w:insideH w:val="none" w:sz="0" w:space="0" w:color="auto"/>
          <w:insideV w:val="none" w:sz="0" w:space="0" w:color="auto"/>
        </w:tblBorders>
        <w:tblLook w:val="04A0" w:firstRow="1" w:lastRow="0" w:firstColumn="1" w:lastColumn="0" w:noHBand="0" w:noVBand="1"/>
      </w:tblPr>
      <w:tblGrid>
        <w:gridCol w:w="2605"/>
        <w:gridCol w:w="4908"/>
      </w:tblGrid>
      <w:tr w:rsidR="00855B2D" w:rsidRPr="0017699B" w14:paraId="43E57B83" w14:textId="77777777" w:rsidTr="006E2E86">
        <w:trPr>
          <w:trHeight w:val="447"/>
          <w:jc w:val="center"/>
        </w:trPr>
        <w:tc>
          <w:tcPr>
            <w:tcW w:w="7513" w:type="dxa"/>
            <w:gridSpan w:val="2"/>
            <w:tcBorders>
              <w:top w:val="single" w:sz="4" w:space="0" w:color="auto"/>
              <w:bottom w:val="single" w:sz="4" w:space="0" w:color="auto"/>
            </w:tcBorders>
            <w:shd w:val="clear" w:color="auto" w:fill="DEEAF6" w:themeFill="accent1" w:themeFillTint="33"/>
            <w:vAlign w:val="center"/>
          </w:tcPr>
          <w:p w14:paraId="5F4A63DA" w14:textId="096E0B69" w:rsidR="00855B2D" w:rsidRPr="0017699B" w:rsidRDefault="218C8239" w:rsidP="66DE4C64">
            <w:pPr>
              <w:bidi/>
              <w:jc w:val="center"/>
              <w:rPr>
                <w:rFonts w:cs="Calibri"/>
                <w:b/>
                <w:bCs/>
                <w:rtl/>
              </w:rPr>
            </w:pPr>
            <w:r w:rsidRPr="0017699B">
              <w:rPr>
                <w:rFonts w:cs="Calibri" w:hint="cs"/>
                <w:b/>
                <w:bCs/>
                <w:rtl/>
              </w:rPr>
              <w:t>الحقائق الرئيسية</w:t>
            </w:r>
          </w:p>
        </w:tc>
      </w:tr>
      <w:tr w:rsidR="00855B2D" w:rsidRPr="0017699B" w14:paraId="02E47E5C" w14:textId="77777777" w:rsidTr="66DE4C64">
        <w:trPr>
          <w:trHeight w:hRule="exact" w:val="340"/>
          <w:jc w:val="center"/>
        </w:trPr>
        <w:tc>
          <w:tcPr>
            <w:tcW w:w="2605" w:type="dxa"/>
            <w:tcBorders>
              <w:top w:val="single" w:sz="4" w:space="0" w:color="auto"/>
            </w:tcBorders>
            <w:vAlign w:val="center"/>
          </w:tcPr>
          <w:p w14:paraId="55C017D8" w14:textId="1D987927" w:rsidR="00855B2D" w:rsidRPr="0017699B" w:rsidRDefault="412ADC77" w:rsidP="007F5077">
            <w:pPr>
              <w:bidi/>
              <w:rPr>
                <w:rFonts w:cs="Calibri"/>
                <w:sz w:val="20"/>
                <w:szCs w:val="20"/>
                <w:rtl/>
              </w:rPr>
            </w:pPr>
            <w:r w:rsidRPr="0017699B">
              <w:rPr>
                <w:rFonts w:cs="Calibri" w:hint="cs"/>
                <w:sz w:val="20"/>
                <w:szCs w:val="20"/>
                <w:rtl/>
              </w:rPr>
              <w:t>489.2 مليون فرنك سويسري</w:t>
            </w:r>
          </w:p>
        </w:tc>
        <w:tc>
          <w:tcPr>
            <w:tcW w:w="4908" w:type="dxa"/>
            <w:tcBorders>
              <w:top w:val="single" w:sz="4" w:space="0" w:color="auto"/>
            </w:tcBorders>
            <w:vAlign w:val="center"/>
          </w:tcPr>
          <w:p w14:paraId="455FAFB5" w14:textId="7FABDECA" w:rsidR="00855B2D" w:rsidRPr="0017699B" w:rsidRDefault="3FFC9097" w:rsidP="007F5077">
            <w:pPr>
              <w:bidi/>
              <w:jc w:val="both"/>
              <w:rPr>
                <w:rFonts w:cs="Calibri"/>
                <w:sz w:val="20"/>
                <w:szCs w:val="20"/>
                <w:rtl/>
              </w:rPr>
            </w:pPr>
            <w:r w:rsidRPr="0017699B">
              <w:rPr>
                <w:rFonts w:cs="Calibri" w:hint="cs"/>
                <w:sz w:val="20"/>
                <w:szCs w:val="20"/>
                <w:rtl/>
              </w:rPr>
              <w:t>إيرادات الميزانية المحدّثة لعام 2025</w:t>
            </w:r>
          </w:p>
        </w:tc>
      </w:tr>
      <w:tr w:rsidR="00855B2D" w:rsidRPr="0017699B" w14:paraId="011F4B0D" w14:textId="77777777" w:rsidTr="66DE4C64">
        <w:trPr>
          <w:trHeight w:hRule="exact" w:val="340"/>
          <w:jc w:val="center"/>
        </w:trPr>
        <w:tc>
          <w:tcPr>
            <w:tcW w:w="2605" w:type="dxa"/>
            <w:vAlign w:val="center"/>
          </w:tcPr>
          <w:p w14:paraId="12D04D77" w14:textId="4A34D1A6" w:rsidR="00855B2D" w:rsidRPr="0017699B" w:rsidRDefault="78FCBE48" w:rsidP="007F5077">
            <w:pPr>
              <w:bidi/>
              <w:rPr>
                <w:rFonts w:cs="Calibri"/>
                <w:sz w:val="20"/>
                <w:szCs w:val="20"/>
                <w:rtl/>
              </w:rPr>
            </w:pPr>
            <w:r w:rsidRPr="0017699B">
              <w:rPr>
                <w:rFonts w:cs="Calibri" w:hint="cs"/>
                <w:sz w:val="20"/>
                <w:szCs w:val="20"/>
                <w:rtl/>
              </w:rPr>
              <w:t>464.4 مليون فرنك سويسري</w:t>
            </w:r>
          </w:p>
        </w:tc>
        <w:tc>
          <w:tcPr>
            <w:tcW w:w="4908" w:type="dxa"/>
            <w:vAlign w:val="center"/>
          </w:tcPr>
          <w:p w14:paraId="5C3890FE" w14:textId="0BCB0527" w:rsidR="00855B2D" w:rsidRPr="0017699B" w:rsidRDefault="3C95CE38" w:rsidP="00DD6E9C">
            <w:pPr>
              <w:bidi/>
              <w:jc w:val="both"/>
              <w:rPr>
                <w:rFonts w:cs="Calibri"/>
                <w:sz w:val="20"/>
                <w:szCs w:val="20"/>
                <w:rtl/>
              </w:rPr>
            </w:pPr>
            <w:r w:rsidRPr="0017699B">
              <w:rPr>
                <w:rFonts w:cs="Calibri" w:hint="cs"/>
                <w:sz w:val="20"/>
                <w:szCs w:val="20"/>
                <w:rtl/>
              </w:rPr>
              <w:t>الميزانية النهائية بعد التحويلات 2025</w:t>
            </w:r>
          </w:p>
        </w:tc>
      </w:tr>
      <w:tr w:rsidR="00855B2D" w:rsidRPr="0017699B" w14:paraId="6C75DF7E" w14:textId="77777777" w:rsidTr="66DE4C64">
        <w:trPr>
          <w:trHeight w:hRule="exact" w:val="340"/>
          <w:jc w:val="center"/>
        </w:trPr>
        <w:tc>
          <w:tcPr>
            <w:tcW w:w="2605" w:type="dxa"/>
            <w:vAlign w:val="center"/>
          </w:tcPr>
          <w:p w14:paraId="288EDEFB" w14:textId="675B990E" w:rsidR="00855B2D" w:rsidRPr="0017699B" w:rsidRDefault="26896B71" w:rsidP="007F5077">
            <w:pPr>
              <w:bidi/>
              <w:rPr>
                <w:rFonts w:cs="Calibri"/>
                <w:sz w:val="20"/>
                <w:szCs w:val="20"/>
                <w:rtl/>
              </w:rPr>
            </w:pPr>
            <w:r w:rsidRPr="0017699B">
              <w:rPr>
                <w:rFonts w:cs="Calibri" w:hint="cs"/>
                <w:sz w:val="20"/>
                <w:szCs w:val="20"/>
                <w:rtl/>
              </w:rPr>
              <w:t>497. 6 مليون فرنك سويسري</w:t>
            </w:r>
          </w:p>
        </w:tc>
        <w:tc>
          <w:tcPr>
            <w:tcW w:w="4908" w:type="dxa"/>
            <w:vAlign w:val="center"/>
          </w:tcPr>
          <w:p w14:paraId="0C0D11F0" w14:textId="77777777" w:rsidR="00855B2D" w:rsidRPr="0017699B" w:rsidRDefault="218C8239" w:rsidP="007F5077">
            <w:pPr>
              <w:bidi/>
              <w:jc w:val="both"/>
              <w:rPr>
                <w:rFonts w:cs="Calibri"/>
                <w:sz w:val="20"/>
                <w:szCs w:val="20"/>
                <w:rtl/>
              </w:rPr>
            </w:pPr>
            <w:r w:rsidRPr="0017699B">
              <w:rPr>
                <w:rFonts w:cs="Calibri" w:hint="cs"/>
                <w:sz w:val="20"/>
                <w:szCs w:val="20"/>
                <w:rtl/>
              </w:rPr>
              <w:t>إجمالي الإيرادات المبلغ عنها في عام 2025</w:t>
            </w:r>
          </w:p>
        </w:tc>
      </w:tr>
      <w:tr w:rsidR="00855B2D" w:rsidRPr="0017699B" w14:paraId="56C04EEA" w14:textId="77777777" w:rsidTr="66DE4C64">
        <w:trPr>
          <w:trHeight w:hRule="exact" w:val="340"/>
          <w:jc w:val="center"/>
        </w:trPr>
        <w:tc>
          <w:tcPr>
            <w:tcW w:w="2605" w:type="dxa"/>
            <w:vAlign w:val="center"/>
          </w:tcPr>
          <w:p w14:paraId="010BC8EB" w14:textId="6720FA5B" w:rsidR="00855B2D" w:rsidRPr="0017699B" w:rsidRDefault="639C7D5E" w:rsidP="007F5077">
            <w:pPr>
              <w:bidi/>
              <w:rPr>
                <w:rFonts w:cs="Calibri"/>
                <w:sz w:val="20"/>
                <w:szCs w:val="20"/>
                <w:rtl/>
              </w:rPr>
            </w:pPr>
            <w:r w:rsidRPr="0017699B">
              <w:rPr>
                <w:rFonts w:cs="Calibri" w:hint="cs"/>
                <w:sz w:val="20"/>
                <w:szCs w:val="20"/>
                <w:rtl/>
              </w:rPr>
              <w:t>437. 8 مليون فرنك سويسري</w:t>
            </w:r>
          </w:p>
        </w:tc>
        <w:tc>
          <w:tcPr>
            <w:tcW w:w="4908" w:type="dxa"/>
            <w:vAlign w:val="center"/>
          </w:tcPr>
          <w:p w14:paraId="3C279D0A" w14:textId="77777777" w:rsidR="00855B2D" w:rsidRPr="0017699B" w:rsidRDefault="218C8239" w:rsidP="007F5077">
            <w:pPr>
              <w:bidi/>
              <w:jc w:val="both"/>
              <w:rPr>
                <w:rFonts w:cs="Calibri"/>
                <w:sz w:val="20"/>
                <w:szCs w:val="20"/>
                <w:rtl/>
              </w:rPr>
            </w:pPr>
            <w:r w:rsidRPr="0017699B">
              <w:rPr>
                <w:rFonts w:cs="Calibri" w:hint="cs"/>
                <w:sz w:val="20"/>
                <w:szCs w:val="20"/>
                <w:rtl/>
              </w:rPr>
              <w:t>إجمالي النفقات المتكبدة في عام 2025</w:t>
            </w:r>
          </w:p>
        </w:tc>
      </w:tr>
      <w:tr w:rsidR="00855B2D" w:rsidRPr="0017699B" w14:paraId="35E03450" w14:textId="77777777" w:rsidTr="66DE4C64">
        <w:trPr>
          <w:trHeight w:hRule="exact" w:val="340"/>
          <w:jc w:val="center"/>
        </w:trPr>
        <w:tc>
          <w:tcPr>
            <w:tcW w:w="2605" w:type="dxa"/>
            <w:vAlign w:val="center"/>
          </w:tcPr>
          <w:p w14:paraId="2AA05AD9" w14:textId="3DC01048" w:rsidR="00855B2D" w:rsidRPr="0017699B" w:rsidRDefault="3CB90A26" w:rsidP="007F5077">
            <w:pPr>
              <w:bidi/>
              <w:rPr>
                <w:rFonts w:cs="Calibri"/>
                <w:sz w:val="20"/>
                <w:szCs w:val="20"/>
                <w:rtl/>
              </w:rPr>
            </w:pPr>
            <w:r w:rsidRPr="0017699B">
              <w:rPr>
                <w:rFonts w:cs="Calibri" w:hint="cs"/>
                <w:sz w:val="20"/>
                <w:szCs w:val="20"/>
                <w:rtl/>
              </w:rPr>
              <w:t>884.3 مليون فرنك سويسري</w:t>
            </w:r>
          </w:p>
        </w:tc>
        <w:tc>
          <w:tcPr>
            <w:tcW w:w="4908" w:type="dxa"/>
            <w:vAlign w:val="center"/>
          </w:tcPr>
          <w:p w14:paraId="64CA09A0" w14:textId="77777777" w:rsidR="00855B2D" w:rsidRPr="0017699B" w:rsidRDefault="218C8239" w:rsidP="007F5077">
            <w:pPr>
              <w:bidi/>
              <w:jc w:val="both"/>
              <w:rPr>
                <w:rFonts w:cs="Calibri"/>
                <w:sz w:val="20"/>
                <w:szCs w:val="20"/>
                <w:rtl/>
              </w:rPr>
            </w:pPr>
            <w:r w:rsidRPr="0017699B">
              <w:rPr>
                <w:rFonts w:cs="Calibri" w:hint="cs"/>
                <w:sz w:val="20"/>
                <w:szCs w:val="20"/>
                <w:rtl/>
              </w:rPr>
              <w:t>صافي الأصول كما في 31 ديسمبر 2025</w:t>
            </w:r>
          </w:p>
        </w:tc>
      </w:tr>
      <w:tr w:rsidR="00855B2D" w:rsidRPr="0017699B" w14:paraId="52720A95" w14:textId="77777777" w:rsidTr="66DE4C64">
        <w:trPr>
          <w:trHeight w:hRule="exact" w:val="340"/>
          <w:jc w:val="center"/>
        </w:trPr>
        <w:tc>
          <w:tcPr>
            <w:tcW w:w="2605" w:type="dxa"/>
            <w:vAlign w:val="center"/>
          </w:tcPr>
          <w:p w14:paraId="7543BE32" w14:textId="3176D7B9" w:rsidR="00855B2D" w:rsidRPr="0017699B" w:rsidRDefault="3DD6D744" w:rsidP="007F5077">
            <w:pPr>
              <w:bidi/>
              <w:rPr>
                <w:rFonts w:cs="Calibri"/>
                <w:sz w:val="20"/>
                <w:szCs w:val="20"/>
                <w:rtl/>
              </w:rPr>
            </w:pPr>
            <w:r w:rsidRPr="0017699B">
              <w:rPr>
                <w:rFonts w:cs="Calibri" w:hint="cs"/>
                <w:sz w:val="20"/>
                <w:szCs w:val="20"/>
                <w:rtl/>
              </w:rPr>
              <w:t>59.8 مليون فرنك سويسري</w:t>
            </w:r>
          </w:p>
        </w:tc>
        <w:tc>
          <w:tcPr>
            <w:tcW w:w="4908" w:type="dxa"/>
            <w:vAlign w:val="center"/>
          </w:tcPr>
          <w:p w14:paraId="42E47BE6" w14:textId="74153A62" w:rsidR="00855B2D" w:rsidRPr="0017699B" w:rsidRDefault="762F2554" w:rsidP="007F5077">
            <w:pPr>
              <w:bidi/>
              <w:jc w:val="both"/>
              <w:rPr>
                <w:rFonts w:cs="Calibri"/>
                <w:sz w:val="20"/>
                <w:szCs w:val="20"/>
                <w:rtl/>
              </w:rPr>
            </w:pPr>
            <w:r w:rsidRPr="0017699B">
              <w:rPr>
                <w:rFonts w:cs="Calibri" w:hint="cs"/>
                <w:sz w:val="20"/>
                <w:szCs w:val="20"/>
                <w:rtl/>
              </w:rPr>
              <w:t>الفائض التشغيلي</w:t>
            </w:r>
          </w:p>
        </w:tc>
      </w:tr>
      <w:tr w:rsidR="00855B2D" w:rsidRPr="0017699B" w14:paraId="74F7BEAC" w14:textId="77777777" w:rsidTr="66DE4C64">
        <w:trPr>
          <w:trHeight w:hRule="exact" w:val="283"/>
          <w:jc w:val="center"/>
        </w:trPr>
        <w:tc>
          <w:tcPr>
            <w:tcW w:w="2605" w:type="dxa"/>
            <w:vAlign w:val="center"/>
          </w:tcPr>
          <w:p w14:paraId="11DE159B" w14:textId="14ED9C6F" w:rsidR="00855B2D" w:rsidRPr="0017699B" w:rsidRDefault="20A82A1E" w:rsidP="007F5077">
            <w:pPr>
              <w:bidi/>
              <w:rPr>
                <w:rFonts w:cs="Calibri"/>
                <w:sz w:val="20"/>
                <w:szCs w:val="20"/>
                <w:rtl/>
              </w:rPr>
            </w:pPr>
            <w:r w:rsidRPr="0017699B">
              <w:rPr>
                <w:rFonts w:cs="Calibri" w:hint="cs"/>
                <w:sz w:val="20"/>
                <w:szCs w:val="20"/>
                <w:rtl/>
              </w:rPr>
              <w:t>1,790</w:t>
            </w:r>
          </w:p>
        </w:tc>
        <w:tc>
          <w:tcPr>
            <w:tcW w:w="4908" w:type="dxa"/>
            <w:vAlign w:val="center"/>
          </w:tcPr>
          <w:p w14:paraId="0FEF936F" w14:textId="605D7071" w:rsidR="00855B2D" w:rsidRPr="0017699B" w:rsidRDefault="72004222" w:rsidP="00D5493D">
            <w:pPr>
              <w:bidi/>
              <w:jc w:val="both"/>
              <w:rPr>
                <w:rFonts w:cs="Calibri"/>
                <w:sz w:val="20"/>
                <w:szCs w:val="20"/>
                <w:rtl/>
              </w:rPr>
            </w:pPr>
            <w:r w:rsidRPr="0017699B">
              <w:rPr>
                <w:rFonts w:cs="Calibri" w:hint="cs"/>
                <w:sz w:val="20"/>
                <w:szCs w:val="20"/>
                <w:rtl/>
              </w:rPr>
              <w:t>الموظفون والأفراد (في 30 يونيو2025)</w:t>
            </w:r>
          </w:p>
        </w:tc>
      </w:tr>
      <w:tr w:rsidR="00855B2D" w:rsidRPr="0017699B" w14:paraId="35F1C88B" w14:textId="77777777" w:rsidTr="66DE4C64">
        <w:trPr>
          <w:trHeight w:hRule="exact" w:val="80"/>
          <w:jc w:val="center"/>
        </w:trPr>
        <w:tc>
          <w:tcPr>
            <w:tcW w:w="2605" w:type="dxa"/>
            <w:vAlign w:val="center"/>
          </w:tcPr>
          <w:p w14:paraId="5F5AB2E9" w14:textId="77777777" w:rsidR="00855B2D" w:rsidRPr="0017699B" w:rsidRDefault="00855B2D" w:rsidP="007F5077">
            <w:pPr>
              <w:rPr>
                <w:rFonts w:cs="Calibri"/>
                <w:sz w:val="20"/>
                <w:szCs w:val="20"/>
              </w:rPr>
            </w:pPr>
          </w:p>
        </w:tc>
        <w:tc>
          <w:tcPr>
            <w:tcW w:w="4908" w:type="dxa"/>
            <w:vAlign w:val="center"/>
          </w:tcPr>
          <w:p w14:paraId="358E7A2C" w14:textId="77777777" w:rsidR="00855B2D" w:rsidRPr="0017699B" w:rsidRDefault="00855B2D" w:rsidP="007F5077">
            <w:pPr>
              <w:jc w:val="both"/>
              <w:rPr>
                <w:rFonts w:cs="Calibri"/>
                <w:sz w:val="20"/>
                <w:szCs w:val="20"/>
              </w:rPr>
            </w:pPr>
          </w:p>
        </w:tc>
      </w:tr>
    </w:tbl>
    <w:p w14:paraId="259709BB" w14:textId="77777777" w:rsidR="00795D4A" w:rsidRPr="0017699B" w:rsidRDefault="00795D4A" w:rsidP="00B02E6E">
      <w:pPr>
        <w:pStyle w:val="ListParagraph"/>
        <w:spacing w:before="120" w:after="120" w:line="280" w:lineRule="exact"/>
        <w:ind w:left="810" w:hanging="425"/>
        <w:contextualSpacing w:val="0"/>
        <w:jc w:val="both"/>
        <w:rPr>
          <w:rFonts w:cs="Calibri"/>
          <w:b/>
          <w:bCs/>
        </w:rPr>
      </w:pPr>
    </w:p>
    <w:p w14:paraId="27F9C882" w14:textId="466ED966" w:rsidR="00AD501D" w:rsidRPr="0017699B" w:rsidRDefault="00AD501D" w:rsidP="00662CC7">
      <w:pPr>
        <w:pStyle w:val="ListParagraph"/>
        <w:bidi/>
        <w:spacing w:before="120" w:after="120" w:line="280" w:lineRule="exact"/>
        <w:ind w:left="336"/>
        <w:contextualSpacing w:val="0"/>
        <w:jc w:val="both"/>
        <w:rPr>
          <w:rFonts w:cs="Calibri"/>
          <w:b/>
          <w:bCs/>
          <w:rtl/>
        </w:rPr>
      </w:pPr>
      <w:r w:rsidRPr="0017699B">
        <w:rPr>
          <w:rFonts w:cs="Calibri" w:hint="cs"/>
          <w:b/>
          <w:bCs/>
          <w:rtl/>
        </w:rPr>
        <w:t>إعداد الميزانية</w:t>
      </w:r>
    </w:p>
    <w:p w14:paraId="6D8AD85C" w14:textId="1D5A22E6" w:rsidR="00AD501D" w:rsidRPr="0017699B" w:rsidRDefault="000B4AA3" w:rsidP="00736805">
      <w:pPr>
        <w:pStyle w:val="LFARPara"/>
        <w:bidi/>
        <w:ind w:left="851" w:hanging="491"/>
        <w:rPr>
          <w:rFonts w:ascii="Arial" w:hAnsi="Arial" w:cs="Calibri"/>
          <w:rtl/>
        </w:rPr>
      </w:pPr>
      <w:r w:rsidRPr="0017699B">
        <w:rPr>
          <w:rFonts w:ascii="Arial" w:hAnsi="Arial" w:cs="Calibri" w:hint="cs"/>
          <w:rtl/>
        </w:rPr>
        <w:t>أُعدَّ برنامج عمل وميزانية المنظمة على أساس الاستحقاق المعدَّل، ويُعتمد من قبل الجمعيات كل سنتين. ولكن تُعدّ تقديرات منفصلة لكل سنة من السنتين. يعرض البيان الخامس مقارنة بين الميزانية المُوافق عليها والنفقات الفعلية لسنة 2025. يُعرض التوفيق بين الأداء الميزانية والأرقام المتعلقة بالإيرادات والنفقات الواردة في بيان الأداء المالي في الإيضاح رقم 15 من البيانات المالية.</w:t>
      </w:r>
    </w:p>
    <w:p w14:paraId="511314C5" w14:textId="46A0C283" w:rsidR="00B06E59" w:rsidRPr="0017699B" w:rsidRDefault="00307711" w:rsidP="00736805">
      <w:pPr>
        <w:pStyle w:val="LFARPara"/>
        <w:bidi/>
        <w:ind w:left="851" w:hanging="491"/>
        <w:rPr>
          <w:rFonts w:ascii="Arial" w:hAnsi="Arial" w:cs="Calibri"/>
          <w:rtl/>
        </w:rPr>
      </w:pPr>
      <w:r w:rsidRPr="0017699B">
        <w:rPr>
          <w:rFonts w:ascii="Arial" w:hAnsi="Arial" w:cs="Calibri" w:hint="cs"/>
          <w:rtl/>
        </w:rPr>
        <w:t>وقد وافقت الجمعية العامة للويبو على الميزانية الإجمالية لفترة السنتين 2024/25 البالغة 857.3 مليون فرنك سويسري لفترة السنتين 2024/25، والتي تضمنت اعتماداً أصلياً قدره 430.4 مليون فرنك سويسري لعام 2025. أسفرت تحويلات الميزانية المتعلقة بالنفقات الملتزم بها عن اعتماد نهائي قدره 464.4 مليون فرنك سويسري لعام 2025. كانت النفقات الفعلية المتكبدة البالغة 395.0 مليون فرنك سويسري في حدود الميزانية النهائية، مما أسفر عن فائض صافٍ في الميزانية قدره 93.4 مليون فرنك سويسري للسنة على أساس الاستحقاق المعدل.</w:t>
      </w:r>
    </w:p>
    <w:p w14:paraId="5F2F6280" w14:textId="0FFAEA43" w:rsidR="00AA6B56" w:rsidRPr="0017699B" w:rsidRDefault="00AA6B56" w:rsidP="00662CC7">
      <w:pPr>
        <w:pStyle w:val="ListParagraph"/>
        <w:bidi/>
        <w:spacing w:before="120" w:after="120" w:line="280" w:lineRule="exact"/>
        <w:ind w:left="336"/>
        <w:contextualSpacing w:val="0"/>
        <w:jc w:val="both"/>
        <w:rPr>
          <w:rFonts w:cs="Calibri"/>
          <w:b/>
          <w:bCs/>
          <w:rtl/>
        </w:rPr>
      </w:pPr>
      <w:r w:rsidRPr="0017699B">
        <w:rPr>
          <w:rFonts w:cs="Calibri" w:hint="cs"/>
          <w:b/>
          <w:bCs/>
          <w:rtl/>
        </w:rPr>
        <w:t>الأداء المالي</w:t>
      </w:r>
    </w:p>
    <w:p w14:paraId="43A00791" w14:textId="5F2E1D9D" w:rsidR="00785A2A" w:rsidRPr="0017699B" w:rsidRDefault="00453AC2" w:rsidP="00736805">
      <w:pPr>
        <w:pStyle w:val="LFARPara"/>
        <w:bidi/>
        <w:ind w:left="851" w:hanging="491"/>
        <w:rPr>
          <w:rFonts w:ascii="Arial" w:hAnsi="Arial" w:cs="Calibri"/>
          <w:rtl/>
        </w:rPr>
      </w:pPr>
      <w:r w:rsidRPr="0017699B">
        <w:rPr>
          <w:rFonts w:ascii="Arial" w:hAnsi="Arial" w:cs="Calibri" w:hint="cs"/>
          <w:rtl/>
        </w:rPr>
        <w:t>في عام 2025، زادت الإيرادات بمقدار 0.9 مليون فرنك سويسري (0.2%) لتصل إلى 497.6 مليون فرنك سويسري (2024: 496.7 مليون فرنك سويسري). ترجع الزيادة في الإيرادات في عام 2025 إلى زيادة رسوم نظام مدريد بنسبة 3.9% لتصل إلى 86.6 مليون فرنك سويسري (2024: 83.3 مليون فرنك سويسري). كما ساهمت رسوم نظام لاهاي أيضًا، حيث ارتفعت بنسبة 13.7% لتصل إلى 10.0 مليون فرنك سويسري (2024: 8.8 مليون فرنك سويسري). وعلى أساس قابل للمقارنة، كانت الإيرادات الفعلية للسنة أقل من الإيرادات المدرجة في الميزانية البالغة 489.2 مليون فرنك سويسري بمقدار 0.7 مليون فرنك سويسري (0.2%). بالنسبة إلى فترة السنتين المنتهية في 31 ديسمبر 2025، كانت الإيرادات الفعلية لفترة السنتين أعلى من الإيرادات المدرجة في الميزانية البالغة 973.0 مليون فرنك سويسري بمبلغ 2.0 مليون فرنك سويسري (0.2%).</w:t>
      </w:r>
    </w:p>
    <w:p w14:paraId="5254B941" w14:textId="641E89DC" w:rsidR="007B7F2D" w:rsidRPr="0017699B" w:rsidRDefault="007B7F2D" w:rsidP="00736805">
      <w:pPr>
        <w:pStyle w:val="LFARPara"/>
        <w:bidi/>
        <w:ind w:left="851" w:hanging="491"/>
        <w:rPr>
          <w:rFonts w:ascii="Arial" w:hAnsi="Arial" w:cs="Calibri"/>
          <w:rtl/>
        </w:rPr>
      </w:pPr>
      <w:r w:rsidRPr="0017699B">
        <w:rPr>
          <w:rFonts w:ascii="Arial" w:hAnsi="Arial" w:cs="Calibri" w:hint="cs"/>
          <w:rtl/>
        </w:rPr>
        <w:t>وبلغت النفقات لهذا العام 437.8 مليون فرنك سويسري بزيادة قدرها 1.7% مقارنةً بمبلغ 430.3 مليون فرنك سويسري في عام 2024. في عام 2025، كانت النفقات الرئيسية، التي تعادل 84.3% من إجمالي النفقات، تتعلق بنفقات الموظفين وتكاليف الخدمات التعاقدية البالغة 368.9 مليون فرنك سويسري. انخفضت نفقات الموظفين بنسبة 2.8% لتصل إلى 246.0 مليون فرنك سويسري (2024: 252.8 مليون فرنك سويسري). ارتفعت تكاليف الخدمات التعاقدية بنسبة 8.4% لتصل إلى 122.9 مليون فرنك سويسري (2024: 113.4 مليون فرنك سويسري). وعلى أساس المقارنة، كانت النفقات الفعلية للسنة أقل من النفقات المدرجة في الميزانية البالغة 464.4 مليون فرنك سويسري بمبلغ 69.4 مليون فرنك سويسري (14.9%). بالنسبة لفترة السنتين المنتهية في 31 ديسمبر 2025، كانت النفقات الفعلية لفترة السنتين أقل من النفقات المدرجة في الميزانية البالغة 857.3 مليون فرنك سويسري بمبلغ 78.9 مليون فرنك سويسري (9.2%).</w:t>
      </w:r>
    </w:p>
    <w:p w14:paraId="781AA18D" w14:textId="3ED5F2BC" w:rsidR="00892629" w:rsidRPr="0017699B" w:rsidRDefault="00786063" w:rsidP="00736805">
      <w:pPr>
        <w:pStyle w:val="LFARPara"/>
        <w:bidi/>
        <w:ind w:left="851" w:hanging="491"/>
        <w:rPr>
          <w:rFonts w:ascii="Arial" w:hAnsi="Arial" w:cs="Calibri"/>
          <w:rtl/>
        </w:rPr>
      </w:pPr>
      <w:r w:rsidRPr="0017699B">
        <w:rPr>
          <w:rFonts w:ascii="Arial" w:hAnsi="Arial" w:cs="Calibri" w:hint="cs"/>
          <w:rtl/>
        </w:rPr>
        <w:t>ضعف الأداء المالي للمنظمة في عام 2025 على الرغم من استقرار الإيرادات، حيث انخفض إجمالي الفائض بمقدار 55.6 مليون فرنك سويسري (39.7%) إلى 84.48 مليون فرنك سويسري (2024: 140.1 مليون فرنك سويسري). ويُعزى هذا الانخفاض في المقام الأول إلى الانخفاض الكبير في صافي أرباح الاستثمار، والتي انخفضت من 73.7 مليون فرنك سويسري في عام 2024 إلى 24.6 مليون فرنك سويسري في عام 2025. تم ذكر رقم صافي أرباح الاستثمار لعام 2025 والبالغ 24.6 مليون فرنك سويسري بعد إعادة تخصيص 14.2 مليون فرنك سويسري من عائدات الاستثمار لنفقات الموظفين والمكاسب الاكتوارية من خلال صافي الأصول، حيث تتعلق هذه المكاسب بأصول الخطة لتمويل التزامات التأمين الصحي بعد انتهاء الخدمة.</w:t>
      </w:r>
    </w:p>
    <w:p w14:paraId="35998B65" w14:textId="1C2006A0" w:rsidR="00AA6B56" w:rsidRPr="0017699B" w:rsidRDefault="00AA6B56" w:rsidP="00662CC7">
      <w:pPr>
        <w:pStyle w:val="ListParagraph"/>
        <w:bidi/>
        <w:spacing w:before="120" w:after="120" w:line="280" w:lineRule="exact"/>
        <w:ind w:left="336"/>
        <w:contextualSpacing w:val="0"/>
        <w:jc w:val="both"/>
        <w:rPr>
          <w:rFonts w:cs="Calibri"/>
          <w:b/>
          <w:bCs/>
          <w:rtl/>
        </w:rPr>
      </w:pPr>
      <w:r w:rsidRPr="0017699B">
        <w:rPr>
          <w:rFonts w:cs="Calibri" w:hint="cs"/>
          <w:b/>
          <w:bCs/>
          <w:rtl/>
        </w:rPr>
        <w:t>الوضع المالي</w:t>
      </w:r>
    </w:p>
    <w:p w14:paraId="4C7FD93B" w14:textId="72A06394" w:rsidR="007A5380" w:rsidRPr="0017699B" w:rsidRDefault="007A5380" w:rsidP="00736805">
      <w:pPr>
        <w:pStyle w:val="LFARPara"/>
        <w:bidi/>
        <w:ind w:left="851" w:hanging="491"/>
        <w:rPr>
          <w:rFonts w:ascii="Arial" w:hAnsi="Arial" w:cs="Calibri"/>
          <w:rtl/>
        </w:rPr>
      </w:pPr>
      <w:r w:rsidRPr="0017699B">
        <w:rPr>
          <w:rFonts w:ascii="Arial" w:hAnsi="Arial" w:cs="Calibri" w:hint="cs"/>
          <w:rtl/>
        </w:rPr>
        <w:t>ارتفع صافي الأصول بمقدار 173.6 مليون فرنك سويسري ليصل إلى 884.3 مليون فرنك سويسري في عام 2025 (2024: 710.7 مليون) فرنك سويسري. وشمل ذلك، من بين أمور أخرى، فائضًا متراكمًا بقيمة 1,008.4 مليون فرنك سويسري، واحتياطي المشاريع الخاصة بقيمة 40.4 مليون فرنك سويسري، وخسائر اكتوارية تراكمية بقيمة 178.8 مليون فرنك سويسري (2024: 909.8 مليون فرنك سويسري و54.5 مليون فرنك سويسري و268.0 مليون فرنك سويسري على التوالي). وتُعزى الزيادة البالغة 173.6 مليون فرنك سويسري في صافي الأصول إلى الفائض البالغ 84.5 مليون فرنك سويسري لهذا العام، إلى جانب الانخفاض البالغ 89.1 مليون فرنك سويسري في الخسائر الاكتوارية المتعلقة بصافي التزامات الويبو المتعلقة بالتأمين الصحي بعد انتهاء الخدمة.</w:t>
      </w:r>
    </w:p>
    <w:p w14:paraId="25ED4F5F" w14:textId="77777777" w:rsidR="009B3879" w:rsidRDefault="009B3879">
      <w:pPr>
        <w:spacing w:after="160" w:line="259" w:lineRule="auto"/>
        <w:rPr>
          <w:rFonts w:cs="Calibri"/>
          <w:b/>
          <w:bCs/>
          <w:rtl/>
        </w:rPr>
      </w:pPr>
      <w:r>
        <w:rPr>
          <w:rFonts w:cs="Calibri"/>
          <w:b/>
          <w:bCs/>
          <w:rtl/>
        </w:rPr>
        <w:br w:type="page"/>
      </w:r>
    </w:p>
    <w:p w14:paraId="1C5D70EE" w14:textId="5EBD798F" w:rsidR="00AA6B56" w:rsidRPr="0017699B" w:rsidRDefault="00AA6B56" w:rsidP="00662CC7">
      <w:pPr>
        <w:pStyle w:val="ListParagraph"/>
        <w:bidi/>
        <w:spacing w:before="120" w:after="120" w:line="280" w:lineRule="exact"/>
        <w:ind w:left="336"/>
        <w:contextualSpacing w:val="0"/>
        <w:jc w:val="both"/>
        <w:rPr>
          <w:rFonts w:cs="Calibri"/>
          <w:b/>
          <w:bCs/>
          <w:rtl/>
        </w:rPr>
      </w:pPr>
      <w:r w:rsidRPr="0017699B">
        <w:rPr>
          <w:rFonts w:cs="Calibri" w:hint="cs"/>
          <w:b/>
          <w:bCs/>
          <w:rtl/>
        </w:rPr>
        <w:t>السلامة المالية</w:t>
      </w:r>
    </w:p>
    <w:p w14:paraId="4748BE81" w14:textId="2AECD2E5" w:rsidR="006741D6" w:rsidRPr="0017699B" w:rsidRDefault="00781AB2" w:rsidP="00736805">
      <w:pPr>
        <w:pStyle w:val="LFARPara"/>
        <w:bidi/>
        <w:ind w:left="851" w:hanging="491"/>
        <w:rPr>
          <w:rFonts w:ascii="Arial" w:hAnsi="Arial" w:cs="Calibri"/>
          <w:b/>
          <w:bCs/>
          <w:sz w:val="18"/>
          <w:szCs w:val="18"/>
          <w:rtl/>
        </w:rPr>
      </w:pPr>
      <w:bookmarkStart w:id="48" w:name="_Toc223114052"/>
      <w:r w:rsidRPr="0017699B">
        <w:rPr>
          <w:rFonts w:ascii="Arial" w:hAnsi="Arial" w:cs="Calibri" w:hint="cs"/>
          <w:rtl/>
        </w:rPr>
        <w:t xml:space="preserve">بشكل عام، لا تزال المؤشرات المالية الرئيسية سليمة، على الرغم من انخفاض أيام النقد المتوفر إلى 65 يومًا في عام 2025 من 87 يومًا في عام 2024. يُظهر تحليل </w:t>
      </w:r>
      <w:r w:rsidRPr="0017699B">
        <w:rPr>
          <w:rFonts w:ascii="Arial" w:hAnsi="Arial" w:cs="Calibri"/>
        </w:rPr>
        <w:t>BPK</w:t>
      </w:r>
      <w:r w:rsidRPr="0017699B">
        <w:rPr>
          <w:rFonts w:ascii="Arial" w:hAnsi="Arial" w:cs="Calibri" w:hint="cs"/>
          <w:rtl/>
        </w:rPr>
        <w:t xml:space="preserve"> أن المنظمة لديها القدرة على الوفاء بالتزاماتها (انظر الجدول 1 أدناه).</w:t>
      </w:r>
    </w:p>
    <w:p w14:paraId="4E26E69F" w14:textId="4E54482C" w:rsidR="00B07A6C" w:rsidRPr="0017699B" w:rsidRDefault="00B07A6C" w:rsidP="00514378">
      <w:pPr>
        <w:pStyle w:val="Caption"/>
        <w:bidi/>
        <w:spacing w:after="0"/>
        <w:rPr>
          <w:rFonts w:cs="Calibri"/>
          <w:rtl/>
        </w:rPr>
      </w:pPr>
      <w:bookmarkStart w:id="49" w:name="_Toc228101641"/>
      <w:bookmarkStart w:id="50" w:name="_Hlk192095338"/>
      <w:bookmarkEnd w:id="48"/>
      <w:r w:rsidRPr="0017699B">
        <w:rPr>
          <w:rFonts w:cs="Calibri" w:hint="cs"/>
          <w:rtl/>
        </w:rPr>
        <w:t xml:space="preserve">الجدول </w:t>
      </w:r>
      <w:r w:rsidR="003D791D" w:rsidRPr="0017699B">
        <w:rPr>
          <w:rFonts w:cs="Calibri" w:hint="cs"/>
          <w:rtl/>
        </w:rPr>
        <w:fldChar w:fldCharType="begin"/>
      </w:r>
      <w:r w:rsidRPr="0017699B">
        <w:rPr>
          <w:rFonts w:cs="Calibri"/>
          <w:rtl/>
        </w:rPr>
        <w:instrText xml:space="preserve"> </w:instrText>
      </w:r>
      <w:r w:rsidR="003D791D" w:rsidRPr="0017699B">
        <w:rPr>
          <w:rFonts w:cs="Calibri"/>
        </w:rPr>
        <w:instrText xml:space="preserve">SEQ Table \* ARABIC </w:instrText>
      </w:r>
      <w:r w:rsidR="003D791D" w:rsidRPr="0017699B">
        <w:rPr>
          <w:rFonts w:cs="Calibri" w:hint="cs"/>
          <w:rtl/>
        </w:rPr>
        <w:fldChar w:fldCharType="separate"/>
      </w:r>
      <w:r w:rsidR="009258BE" w:rsidRPr="0017699B">
        <w:rPr>
          <w:rFonts w:cs="Calibri" w:hint="cs"/>
          <w:rtl/>
        </w:rPr>
        <w:t>1</w:t>
      </w:r>
      <w:r w:rsidR="003D791D" w:rsidRPr="0017699B">
        <w:rPr>
          <w:rFonts w:cs="Calibri" w:hint="cs"/>
          <w:rtl/>
        </w:rPr>
        <w:fldChar w:fldCharType="end"/>
      </w:r>
      <w:r w:rsidRPr="0017699B">
        <w:rPr>
          <w:rFonts w:cs="Calibri" w:hint="cs"/>
          <w:rtl/>
        </w:rPr>
        <w:t>.</w:t>
      </w:r>
      <w:r w:rsidRPr="0017699B">
        <w:rPr>
          <w:rFonts w:cs="Calibri" w:hint="cs"/>
          <w:rtl/>
        </w:rPr>
        <w:tab/>
        <w:t>النسبة المالية للويبو</w:t>
      </w:r>
      <w:bookmarkEnd w:id="49"/>
    </w:p>
    <w:tbl>
      <w:tblPr>
        <w:tblpPr w:leftFromText="180" w:rightFromText="180" w:vertAnchor="text" w:horzAnchor="margin" w:tblpX="421" w:tblpY="333"/>
        <w:bidiVisual/>
        <w:tblW w:w="8642" w:type="dxa"/>
        <w:tblLook w:val="04A0" w:firstRow="1" w:lastRow="0" w:firstColumn="1" w:lastColumn="0" w:noHBand="0" w:noVBand="1"/>
      </w:tblPr>
      <w:tblGrid>
        <w:gridCol w:w="2995"/>
        <w:gridCol w:w="1106"/>
        <w:gridCol w:w="1106"/>
        <w:gridCol w:w="1360"/>
        <w:gridCol w:w="1121"/>
        <w:gridCol w:w="954"/>
      </w:tblGrid>
      <w:tr w:rsidR="006B4EEC" w:rsidRPr="0017699B" w14:paraId="50D038E4" w14:textId="77777777" w:rsidTr="66DE4C64">
        <w:trPr>
          <w:trHeight w:val="20"/>
          <w:tblHeader/>
        </w:trPr>
        <w:tc>
          <w:tcPr>
            <w:tcW w:w="2995" w:type="dxa"/>
            <w:vMerge w:val="restart"/>
            <w:tcBorders>
              <w:top w:val="single" w:sz="4" w:space="0" w:color="auto"/>
              <w:left w:val="single" w:sz="4" w:space="0" w:color="auto"/>
              <w:right w:val="nil"/>
            </w:tcBorders>
            <w:shd w:val="clear" w:color="auto" w:fill="BDD6EE" w:themeFill="accent1" w:themeFillTint="66"/>
            <w:noWrap/>
            <w:vAlign w:val="center"/>
            <w:hideMark/>
          </w:tcPr>
          <w:p w14:paraId="0F315F19" w14:textId="5DB861BB" w:rsidR="00A12725" w:rsidRPr="0017699B" w:rsidRDefault="101C89E7" w:rsidP="00C455C5">
            <w:pPr>
              <w:bidi/>
              <w:spacing w:line="240" w:lineRule="exact"/>
              <w:jc w:val="center"/>
              <w:rPr>
                <w:rFonts w:eastAsia="Times New Roman" w:cs="Calibri"/>
                <w:b/>
                <w:bCs/>
                <w:color w:val="000000"/>
                <w:sz w:val="16"/>
                <w:szCs w:val="16"/>
                <w:rtl/>
              </w:rPr>
            </w:pPr>
            <w:bookmarkStart w:id="51" w:name="_Toc161320395"/>
            <w:bookmarkEnd w:id="50"/>
            <w:r w:rsidRPr="0017699B">
              <w:rPr>
                <w:rFonts w:cs="Calibri" w:hint="cs"/>
                <w:b/>
                <w:bCs/>
                <w:sz w:val="16"/>
                <w:szCs w:val="16"/>
                <w:rtl/>
              </w:rPr>
              <w:t>وصف النسبة</w:t>
            </w:r>
          </w:p>
        </w:tc>
        <w:tc>
          <w:tcPr>
            <w:tcW w:w="5647" w:type="dxa"/>
            <w:gridSpan w:val="5"/>
            <w:tcBorders>
              <w:top w:val="single" w:sz="4" w:space="0" w:color="auto"/>
              <w:left w:val="nil"/>
              <w:bottom w:val="nil"/>
              <w:right w:val="single" w:sz="4" w:space="0" w:color="auto"/>
            </w:tcBorders>
            <w:shd w:val="clear" w:color="auto" w:fill="BDD6EE" w:themeFill="accent1" w:themeFillTint="66"/>
            <w:noWrap/>
            <w:vAlign w:val="center"/>
            <w:hideMark/>
          </w:tcPr>
          <w:p w14:paraId="7419EC30" w14:textId="77777777" w:rsidR="00A12725" w:rsidRPr="0017699B" w:rsidRDefault="101C89E7" w:rsidP="00C455C5">
            <w:pPr>
              <w:bidi/>
              <w:spacing w:line="240" w:lineRule="exact"/>
              <w:jc w:val="center"/>
              <w:rPr>
                <w:rFonts w:eastAsia="Times New Roman" w:cs="Calibri"/>
                <w:b/>
                <w:bCs/>
                <w:color w:val="000000"/>
                <w:sz w:val="16"/>
                <w:szCs w:val="16"/>
                <w:rtl/>
              </w:rPr>
            </w:pPr>
            <w:r w:rsidRPr="0017699B">
              <w:rPr>
                <w:rFonts w:cs="Calibri" w:hint="cs"/>
                <w:b/>
                <w:bCs/>
                <w:sz w:val="16"/>
                <w:szCs w:val="16"/>
                <w:rtl/>
              </w:rPr>
              <w:t>العام</w:t>
            </w:r>
          </w:p>
          <w:p w14:paraId="2186F0CA" w14:textId="77777777" w:rsidR="00A12725" w:rsidRPr="0017699B" w:rsidRDefault="00A12725" w:rsidP="00C455C5">
            <w:pPr>
              <w:spacing w:line="240" w:lineRule="exact"/>
              <w:jc w:val="center"/>
              <w:rPr>
                <w:rFonts w:eastAsia="Times New Roman" w:cs="Calibri"/>
                <w:b/>
                <w:bCs/>
                <w:color w:val="000000"/>
                <w:sz w:val="16"/>
                <w:szCs w:val="16"/>
              </w:rPr>
            </w:pPr>
          </w:p>
        </w:tc>
      </w:tr>
      <w:tr w:rsidR="00F846AD" w:rsidRPr="0017699B" w14:paraId="27529967" w14:textId="77777777" w:rsidTr="00AE0837">
        <w:trPr>
          <w:trHeight w:val="20"/>
          <w:tblHeader/>
        </w:trPr>
        <w:tc>
          <w:tcPr>
            <w:tcW w:w="2995" w:type="dxa"/>
            <w:vMerge/>
            <w:tcBorders>
              <w:left w:val="single" w:sz="4" w:space="0" w:color="auto"/>
              <w:bottom w:val="single" w:sz="8" w:space="0" w:color="auto"/>
            </w:tcBorders>
            <w:noWrap/>
            <w:vAlign w:val="center"/>
            <w:hideMark/>
          </w:tcPr>
          <w:p w14:paraId="5F2375EB" w14:textId="77777777" w:rsidR="00A12725" w:rsidRPr="0017699B" w:rsidRDefault="00A12725" w:rsidP="00C455C5">
            <w:pPr>
              <w:spacing w:line="240" w:lineRule="exact"/>
              <w:jc w:val="center"/>
              <w:rPr>
                <w:rFonts w:eastAsia="Times New Roman" w:cs="Calibri"/>
                <w:b/>
                <w:bCs/>
                <w:color w:val="000000"/>
                <w:sz w:val="16"/>
                <w:szCs w:val="16"/>
              </w:rPr>
            </w:pPr>
          </w:p>
        </w:tc>
        <w:tc>
          <w:tcPr>
            <w:tcW w:w="1106" w:type="dxa"/>
            <w:tcBorders>
              <w:top w:val="nil"/>
              <w:left w:val="nil"/>
              <w:bottom w:val="single" w:sz="8" w:space="0" w:color="auto"/>
              <w:right w:val="nil"/>
            </w:tcBorders>
            <w:shd w:val="clear" w:color="auto" w:fill="BDD6EE" w:themeFill="accent1" w:themeFillTint="66"/>
            <w:noWrap/>
            <w:vAlign w:val="center"/>
            <w:hideMark/>
          </w:tcPr>
          <w:p w14:paraId="6E6F9235" w14:textId="77777777" w:rsidR="00A12725" w:rsidRPr="0017699B" w:rsidRDefault="101C89E7" w:rsidP="00C455C5">
            <w:pPr>
              <w:bidi/>
              <w:spacing w:line="240" w:lineRule="exact"/>
              <w:jc w:val="center"/>
              <w:rPr>
                <w:rFonts w:eastAsia="Times New Roman" w:cs="Calibri"/>
                <w:b/>
                <w:bCs/>
                <w:color w:val="000000"/>
                <w:sz w:val="16"/>
                <w:szCs w:val="16"/>
                <w:rtl/>
              </w:rPr>
            </w:pPr>
            <w:r w:rsidRPr="0017699B">
              <w:rPr>
                <w:rFonts w:cs="Calibri" w:hint="cs"/>
                <w:b/>
                <w:bCs/>
                <w:sz w:val="16"/>
                <w:szCs w:val="16"/>
                <w:rtl/>
              </w:rPr>
              <w:t>2025</w:t>
            </w:r>
          </w:p>
        </w:tc>
        <w:tc>
          <w:tcPr>
            <w:tcW w:w="1106" w:type="dxa"/>
            <w:tcBorders>
              <w:top w:val="nil"/>
              <w:left w:val="nil"/>
              <w:bottom w:val="single" w:sz="8" w:space="0" w:color="auto"/>
              <w:right w:val="nil"/>
            </w:tcBorders>
            <w:shd w:val="clear" w:color="auto" w:fill="BDD6EE" w:themeFill="accent1" w:themeFillTint="66"/>
            <w:noWrap/>
            <w:vAlign w:val="center"/>
            <w:hideMark/>
          </w:tcPr>
          <w:p w14:paraId="4948F34A" w14:textId="77777777" w:rsidR="00A12725" w:rsidRPr="0017699B" w:rsidRDefault="101C89E7" w:rsidP="00C455C5">
            <w:pPr>
              <w:bidi/>
              <w:spacing w:line="240" w:lineRule="exact"/>
              <w:jc w:val="center"/>
              <w:rPr>
                <w:rFonts w:eastAsia="Times New Roman" w:cs="Calibri"/>
                <w:b/>
                <w:bCs/>
                <w:color w:val="000000"/>
                <w:sz w:val="16"/>
                <w:szCs w:val="16"/>
                <w:rtl/>
              </w:rPr>
            </w:pPr>
            <w:r w:rsidRPr="0017699B">
              <w:rPr>
                <w:rFonts w:cs="Calibri" w:hint="cs"/>
                <w:b/>
                <w:bCs/>
                <w:sz w:val="16"/>
                <w:szCs w:val="16"/>
                <w:rtl/>
              </w:rPr>
              <w:t>2024</w:t>
            </w:r>
          </w:p>
        </w:tc>
        <w:tc>
          <w:tcPr>
            <w:tcW w:w="1360" w:type="dxa"/>
            <w:tcBorders>
              <w:top w:val="nil"/>
              <w:left w:val="nil"/>
              <w:bottom w:val="single" w:sz="8" w:space="0" w:color="auto"/>
              <w:right w:val="nil"/>
            </w:tcBorders>
            <w:shd w:val="clear" w:color="auto" w:fill="BDD6EE" w:themeFill="accent1" w:themeFillTint="66"/>
            <w:noWrap/>
            <w:vAlign w:val="center"/>
            <w:hideMark/>
          </w:tcPr>
          <w:p w14:paraId="0EAA376D" w14:textId="77777777" w:rsidR="00A12725" w:rsidRPr="0017699B" w:rsidRDefault="0B056706" w:rsidP="00C455C5">
            <w:pPr>
              <w:bidi/>
              <w:spacing w:line="240" w:lineRule="exact"/>
              <w:jc w:val="center"/>
              <w:rPr>
                <w:rFonts w:eastAsia="Times New Roman" w:cs="Calibri"/>
                <w:b/>
                <w:bCs/>
                <w:color w:val="000000"/>
                <w:sz w:val="16"/>
                <w:szCs w:val="16"/>
                <w:rtl/>
              </w:rPr>
            </w:pPr>
            <w:r w:rsidRPr="0017699B">
              <w:rPr>
                <w:rFonts w:cs="Calibri" w:hint="cs"/>
                <w:b/>
                <w:bCs/>
                <w:sz w:val="16"/>
                <w:szCs w:val="16"/>
                <w:rtl/>
              </w:rPr>
              <w:t>2023</w:t>
            </w:r>
            <w:r w:rsidRPr="0017699B">
              <w:rPr>
                <w:rFonts w:cs="Calibri" w:hint="cs"/>
                <w:rtl/>
              </w:rPr>
              <w:t xml:space="preserve"> </w:t>
            </w:r>
          </w:p>
        </w:tc>
        <w:tc>
          <w:tcPr>
            <w:tcW w:w="1121" w:type="dxa"/>
            <w:tcBorders>
              <w:top w:val="nil"/>
              <w:left w:val="nil"/>
              <w:bottom w:val="single" w:sz="8" w:space="0" w:color="auto"/>
              <w:right w:val="nil"/>
            </w:tcBorders>
            <w:shd w:val="clear" w:color="auto" w:fill="BDD6EE" w:themeFill="accent1" w:themeFillTint="66"/>
            <w:noWrap/>
            <w:vAlign w:val="center"/>
            <w:hideMark/>
          </w:tcPr>
          <w:p w14:paraId="331D0666" w14:textId="548D6E46" w:rsidR="00A12725" w:rsidRPr="0017699B" w:rsidRDefault="101C89E7" w:rsidP="00C455C5">
            <w:pPr>
              <w:bidi/>
              <w:spacing w:line="240" w:lineRule="exact"/>
              <w:jc w:val="center"/>
              <w:rPr>
                <w:rFonts w:eastAsia="Times New Roman" w:cs="Calibri"/>
                <w:b/>
                <w:bCs/>
                <w:color w:val="000000"/>
                <w:sz w:val="16"/>
                <w:szCs w:val="16"/>
                <w:rtl/>
              </w:rPr>
            </w:pPr>
            <w:r w:rsidRPr="0017699B">
              <w:rPr>
                <w:rFonts w:cs="Calibri" w:hint="cs"/>
                <w:b/>
                <w:bCs/>
                <w:sz w:val="16"/>
                <w:szCs w:val="16"/>
                <w:rtl/>
              </w:rPr>
              <w:t>2022</w:t>
            </w:r>
            <w:r w:rsidRPr="0017699B">
              <w:rPr>
                <w:rFonts w:cs="Calibri" w:hint="cs"/>
                <w:rtl/>
              </w:rPr>
              <w:t xml:space="preserve"> </w:t>
            </w:r>
          </w:p>
        </w:tc>
        <w:tc>
          <w:tcPr>
            <w:tcW w:w="954" w:type="dxa"/>
            <w:tcBorders>
              <w:top w:val="nil"/>
              <w:left w:val="nil"/>
              <w:bottom w:val="single" w:sz="8" w:space="0" w:color="auto"/>
              <w:right w:val="single" w:sz="4" w:space="0" w:color="auto"/>
            </w:tcBorders>
            <w:shd w:val="clear" w:color="auto" w:fill="BDD6EE" w:themeFill="accent1" w:themeFillTint="66"/>
            <w:noWrap/>
            <w:vAlign w:val="center"/>
            <w:hideMark/>
          </w:tcPr>
          <w:p w14:paraId="7B8B3A90" w14:textId="77777777" w:rsidR="00A12725" w:rsidRPr="0017699B" w:rsidRDefault="0B056706" w:rsidP="00C455C5">
            <w:pPr>
              <w:bidi/>
              <w:spacing w:line="240" w:lineRule="exact"/>
              <w:jc w:val="center"/>
              <w:rPr>
                <w:rFonts w:eastAsia="Times New Roman" w:cs="Calibri"/>
                <w:b/>
                <w:bCs/>
                <w:color w:val="000000"/>
                <w:sz w:val="16"/>
                <w:szCs w:val="16"/>
                <w:rtl/>
              </w:rPr>
            </w:pPr>
            <w:r w:rsidRPr="0017699B">
              <w:rPr>
                <w:rFonts w:cs="Calibri" w:hint="cs"/>
                <w:b/>
                <w:bCs/>
                <w:sz w:val="16"/>
                <w:szCs w:val="16"/>
                <w:rtl/>
              </w:rPr>
              <w:t>2021</w:t>
            </w:r>
          </w:p>
        </w:tc>
      </w:tr>
      <w:tr w:rsidR="00F846AD" w:rsidRPr="0017699B" w14:paraId="2B635CB1" w14:textId="77777777" w:rsidTr="00AE0837">
        <w:trPr>
          <w:trHeight w:val="20"/>
        </w:trPr>
        <w:tc>
          <w:tcPr>
            <w:tcW w:w="2995" w:type="dxa"/>
            <w:tcBorders>
              <w:top w:val="single" w:sz="8" w:space="0" w:color="auto"/>
              <w:left w:val="single" w:sz="4" w:space="0" w:color="auto"/>
              <w:bottom w:val="nil"/>
              <w:right w:val="nil"/>
            </w:tcBorders>
            <w:vAlign w:val="center"/>
            <w:hideMark/>
          </w:tcPr>
          <w:p w14:paraId="26D3DE42" w14:textId="77777777" w:rsidR="00A12725" w:rsidRPr="0017699B" w:rsidRDefault="101C89E7" w:rsidP="00C455C5">
            <w:pPr>
              <w:bidi/>
              <w:spacing w:line="240" w:lineRule="exact"/>
              <w:rPr>
                <w:rFonts w:eastAsia="Times New Roman" w:cs="Calibri"/>
                <w:b/>
                <w:bCs/>
                <w:color w:val="000000"/>
                <w:sz w:val="16"/>
                <w:szCs w:val="16"/>
                <w:rtl/>
              </w:rPr>
            </w:pPr>
            <w:r w:rsidRPr="0017699B">
              <w:rPr>
                <w:rFonts w:cs="Calibri" w:hint="cs"/>
                <w:b/>
                <w:bCs/>
                <w:sz w:val="16"/>
                <w:szCs w:val="16"/>
                <w:rtl/>
              </w:rPr>
              <w:t>النسبة الحالية</w:t>
            </w:r>
            <w:r w:rsidRPr="0017699B">
              <w:rPr>
                <w:rFonts w:cs="Calibri" w:hint="cs"/>
                <w:b/>
                <w:bCs/>
                <w:sz w:val="16"/>
                <w:szCs w:val="16"/>
                <w:vertAlign w:val="superscript"/>
                <w:rtl/>
              </w:rPr>
              <w:t>1</w:t>
            </w:r>
          </w:p>
        </w:tc>
        <w:tc>
          <w:tcPr>
            <w:tcW w:w="1106" w:type="dxa"/>
            <w:tcBorders>
              <w:top w:val="single" w:sz="8" w:space="0" w:color="auto"/>
              <w:left w:val="nil"/>
              <w:bottom w:val="nil"/>
              <w:right w:val="nil"/>
            </w:tcBorders>
            <w:vAlign w:val="center"/>
            <w:hideMark/>
          </w:tcPr>
          <w:p w14:paraId="29025BA6" w14:textId="77777777" w:rsidR="00A12725" w:rsidRPr="0017699B" w:rsidRDefault="00A12725" w:rsidP="00C455C5">
            <w:pPr>
              <w:spacing w:line="240" w:lineRule="exact"/>
              <w:rPr>
                <w:rFonts w:eastAsia="Times New Roman" w:cs="Calibri"/>
                <w:b/>
                <w:bCs/>
                <w:color w:val="000000"/>
                <w:sz w:val="16"/>
                <w:szCs w:val="16"/>
              </w:rPr>
            </w:pPr>
          </w:p>
        </w:tc>
        <w:tc>
          <w:tcPr>
            <w:tcW w:w="1106" w:type="dxa"/>
            <w:tcBorders>
              <w:top w:val="single" w:sz="8" w:space="0" w:color="auto"/>
              <w:left w:val="nil"/>
              <w:bottom w:val="nil"/>
              <w:right w:val="nil"/>
            </w:tcBorders>
            <w:noWrap/>
            <w:vAlign w:val="center"/>
            <w:hideMark/>
          </w:tcPr>
          <w:p w14:paraId="5A82C8B1" w14:textId="77777777" w:rsidR="00A12725" w:rsidRPr="0017699B" w:rsidRDefault="00A12725" w:rsidP="00C455C5">
            <w:pPr>
              <w:spacing w:line="240" w:lineRule="exact"/>
              <w:rPr>
                <w:rFonts w:eastAsia="Times New Roman" w:cs="Calibri"/>
                <w:sz w:val="16"/>
                <w:szCs w:val="16"/>
              </w:rPr>
            </w:pPr>
          </w:p>
        </w:tc>
        <w:tc>
          <w:tcPr>
            <w:tcW w:w="1360" w:type="dxa"/>
            <w:tcBorders>
              <w:top w:val="single" w:sz="8" w:space="0" w:color="auto"/>
              <w:left w:val="nil"/>
              <w:bottom w:val="nil"/>
              <w:right w:val="nil"/>
            </w:tcBorders>
            <w:noWrap/>
            <w:vAlign w:val="center"/>
            <w:hideMark/>
          </w:tcPr>
          <w:p w14:paraId="665A22E3" w14:textId="77777777" w:rsidR="00A12725" w:rsidRPr="0017699B" w:rsidRDefault="00A12725" w:rsidP="00C455C5">
            <w:pPr>
              <w:spacing w:line="240" w:lineRule="exact"/>
              <w:rPr>
                <w:rFonts w:eastAsia="Times New Roman" w:cs="Calibri"/>
                <w:sz w:val="16"/>
                <w:szCs w:val="16"/>
              </w:rPr>
            </w:pPr>
          </w:p>
        </w:tc>
        <w:tc>
          <w:tcPr>
            <w:tcW w:w="1121" w:type="dxa"/>
            <w:tcBorders>
              <w:top w:val="single" w:sz="8" w:space="0" w:color="auto"/>
              <w:left w:val="nil"/>
              <w:bottom w:val="nil"/>
              <w:right w:val="nil"/>
            </w:tcBorders>
            <w:noWrap/>
            <w:vAlign w:val="center"/>
            <w:hideMark/>
          </w:tcPr>
          <w:p w14:paraId="2AF95095" w14:textId="77777777" w:rsidR="00A12725" w:rsidRPr="0017699B" w:rsidRDefault="00A12725" w:rsidP="00C455C5">
            <w:pPr>
              <w:spacing w:line="240" w:lineRule="exact"/>
              <w:rPr>
                <w:rFonts w:eastAsia="Times New Roman" w:cs="Calibri"/>
                <w:sz w:val="16"/>
                <w:szCs w:val="16"/>
              </w:rPr>
            </w:pPr>
          </w:p>
        </w:tc>
        <w:tc>
          <w:tcPr>
            <w:tcW w:w="954" w:type="dxa"/>
            <w:tcBorders>
              <w:top w:val="single" w:sz="8" w:space="0" w:color="auto"/>
              <w:left w:val="nil"/>
              <w:bottom w:val="nil"/>
              <w:right w:val="single" w:sz="4" w:space="0" w:color="auto"/>
            </w:tcBorders>
            <w:noWrap/>
            <w:vAlign w:val="center"/>
            <w:hideMark/>
          </w:tcPr>
          <w:p w14:paraId="3995301B" w14:textId="77777777" w:rsidR="00A12725" w:rsidRPr="0017699B" w:rsidRDefault="00A12725" w:rsidP="00C455C5">
            <w:pPr>
              <w:spacing w:line="240" w:lineRule="exact"/>
              <w:rPr>
                <w:rFonts w:eastAsia="Times New Roman" w:cs="Calibri"/>
                <w:sz w:val="16"/>
                <w:szCs w:val="16"/>
              </w:rPr>
            </w:pPr>
          </w:p>
        </w:tc>
      </w:tr>
      <w:tr w:rsidR="00A9792D" w:rsidRPr="0017699B" w14:paraId="0945ECE0" w14:textId="77777777" w:rsidTr="66DE4C64">
        <w:trPr>
          <w:trHeight w:val="20"/>
        </w:trPr>
        <w:tc>
          <w:tcPr>
            <w:tcW w:w="2995" w:type="dxa"/>
            <w:tcBorders>
              <w:top w:val="nil"/>
              <w:left w:val="single" w:sz="4" w:space="0" w:color="auto"/>
              <w:bottom w:val="dotted" w:sz="4" w:space="0" w:color="auto"/>
              <w:right w:val="nil"/>
            </w:tcBorders>
            <w:vAlign w:val="center"/>
            <w:hideMark/>
          </w:tcPr>
          <w:p w14:paraId="1DE7C6D3" w14:textId="77777777" w:rsidR="00A9792D" w:rsidRPr="0017699B" w:rsidRDefault="646658E9" w:rsidP="00C455C5">
            <w:pPr>
              <w:bidi/>
              <w:spacing w:line="240" w:lineRule="exact"/>
              <w:rPr>
                <w:rFonts w:eastAsia="Times New Roman" w:cs="Calibri"/>
                <w:color w:val="000000"/>
                <w:sz w:val="16"/>
                <w:szCs w:val="16"/>
                <w:rtl/>
              </w:rPr>
            </w:pPr>
            <w:r w:rsidRPr="0017699B">
              <w:rPr>
                <w:rFonts w:cs="Calibri" w:hint="cs"/>
                <w:sz w:val="16"/>
                <w:szCs w:val="16"/>
                <w:rtl/>
              </w:rPr>
              <w:t>الأصول المتداولة: الخصوم المتداولة</w:t>
            </w:r>
          </w:p>
        </w:tc>
        <w:tc>
          <w:tcPr>
            <w:tcW w:w="1106" w:type="dxa"/>
            <w:tcBorders>
              <w:top w:val="nil"/>
              <w:left w:val="nil"/>
              <w:bottom w:val="dotted" w:sz="4" w:space="0" w:color="auto"/>
              <w:right w:val="nil"/>
            </w:tcBorders>
            <w:vAlign w:val="center"/>
          </w:tcPr>
          <w:p w14:paraId="5FC33BEE" w14:textId="20B64602" w:rsidR="00A9792D" w:rsidRPr="0017699B" w:rsidRDefault="018B921F" w:rsidP="00C455C5">
            <w:pPr>
              <w:bidi/>
              <w:spacing w:line="240" w:lineRule="exact"/>
              <w:jc w:val="center"/>
              <w:rPr>
                <w:rFonts w:eastAsia="Times New Roman" w:cs="Calibri"/>
                <w:color w:val="000000"/>
                <w:sz w:val="16"/>
                <w:szCs w:val="16"/>
                <w:highlight w:val="yellow"/>
                <w:rtl/>
              </w:rPr>
            </w:pPr>
            <w:r w:rsidRPr="0017699B">
              <w:rPr>
                <w:rFonts w:cs="Calibri" w:hint="cs"/>
                <w:sz w:val="16"/>
                <w:szCs w:val="16"/>
                <w:rtl/>
              </w:rPr>
              <w:t>0.64</w:t>
            </w:r>
          </w:p>
        </w:tc>
        <w:tc>
          <w:tcPr>
            <w:tcW w:w="1106" w:type="dxa"/>
            <w:tcBorders>
              <w:top w:val="nil"/>
              <w:left w:val="nil"/>
              <w:bottom w:val="dotted" w:sz="4" w:space="0" w:color="auto"/>
              <w:right w:val="nil"/>
            </w:tcBorders>
            <w:noWrap/>
          </w:tcPr>
          <w:p w14:paraId="5FDF0AE7" w14:textId="1E662180" w:rsidR="00A9792D" w:rsidRPr="0017699B" w:rsidRDefault="646658E9" w:rsidP="00C455C5">
            <w:pPr>
              <w:bidi/>
              <w:spacing w:line="240" w:lineRule="exact"/>
              <w:jc w:val="center"/>
              <w:rPr>
                <w:rFonts w:eastAsia="Times New Roman" w:cs="Calibri"/>
                <w:color w:val="000000"/>
                <w:sz w:val="16"/>
                <w:szCs w:val="16"/>
                <w:rtl/>
              </w:rPr>
            </w:pPr>
            <w:r w:rsidRPr="0017699B">
              <w:rPr>
                <w:rFonts w:cs="Calibri" w:hint="cs"/>
                <w:sz w:val="16"/>
                <w:szCs w:val="16"/>
                <w:rtl/>
              </w:rPr>
              <w:t>0.65</w:t>
            </w:r>
          </w:p>
        </w:tc>
        <w:tc>
          <w:tcPr>
            <w:tcW w:w="1360" w:type="dxa"/>
            <w:tcBorders>
              <w:top w:val="nil"/>
              <w:left w:val="nil"/>
              <w:bottom w:val="dotted" w:sz="4" w:space="0" w:color="auto"/>
              <w:right w:val="nil"/>
            </w:tcBorders>
            <w:noWrap/>
          </w:tcPr>
          <w:p w14:paraId="0AB219E9" w14:textId="2002C3F2" w:rsidR="00A9792D" w:rsidRPr="0017699B" w:rsidRDefault="646658E9" w:rsidP="00C455C5">
            <w:pPr>
              <w:bidi/>
              <w:spacing w:line="240" w:lineRule="exact"/>
              <w:jc w:val="center"/>
              <w:rPr>
                <w:rFonts w:eastAsia="Times New Roman" w:cs="Calibri"/>
                <w:color w:val="000000"/>
                <w:sz w:val="16"/>
                <w:szCs w:val="16"/>
                <w:rtl/>
              </w:rPr>
            </w:pPr>
            <w:r w:rsidRPr="0017699B">
              <w:rPr>
                <w:rFonts w:cs="Calibri" w:hint="cs"/>
                <w:sz w:val="16"/>
                <w:szCs w:val="16"/>
                <w:rtl/>
              </w:rPr>
              <w:t>0.66</w:t>
            </w:r>
          </w:p>
        </w:tc>
        <w:tc>
          <w:tcPr>
            <w:tcW w:w="1121" w:type="dxa"/>
            <w:tcBorders>
              <w:top w:val="nil"/>
              <w:left w:val="nil"/>
              <w:bottom w:val="dotted" w:sz="4" w:space="0" w:color="auto"/>
              <w:right w:val="nil"/>
            </w:tcBorders>
            <w:noWrap/>
          </w:tcPr>
          <w:p w14:paraId="6D98B8E3" w14:textId="6DD09489" w:rsidR="00A9792D" w:rsidRPr="0017699B" w:rsidRDefault="646658E9" w:rsidP="00C455C5">
            <w:pPr>
              <w:bidi/>
              <w:spacing w:line="240" w:lineRule="exact"/>
              <w:jc w:val="center"/>
              <w:rPr>
                <w:rFonts w:eastAsia="Times New Roman" w:cs="Calibri"/>
                <w:color w:val="000000"/>
                <w:sz w:val="16"/>
                <w:szCs w:val="16"/>
                <w:rtl/>
              </w:rPr>
            </w:pPr>
            <w:r w:rsidRPr="0017699B">
              <w:rPr>
                <w:rFonts w:cs="Calibri" w:hint="cs"/>
                <w:sz w:val="16"/>
                <w:szCs w:val="16"/>
                <w:rtl/>
              </w:rPr>
              <w:t>0.66</w:t>
            </w:r>
          </w:p>
        </w:tc>
        <w:tc>
          <w:tcPr>
            <w:tcW w:w="954" w:type="dxa"/>
            <w:tcBorders>
              <w:top w:val="nil"/>
              <w:left w:val="nil"/>
              <w:bottom w:val="dotted" w:sz="4" w:space="0" w:color="auto"/>
              <w:right w:val="single" w:sz="4" w:space="0" w:color="auto"/>
            </w:tcBorders>
            <w:noWrap/>
          </w:tcPr>
          <w:p w14:paraId="16F9D3FA" w14:textId="39AECAD6" w:rsidR="00A9792D" w:rsidRPr="0017699B" w:rsidRDefault="646658E9" w:rsidP="00C455C5">
            <w:pPr>
              <w:bidi/>
              <w:spacing w:line="240" w:lineRule="exact"/>
              <w:jc w:val="center"/>
              <w:rPr>
                <w:rFonts w:eastAsia="Times New Roman" w:cs="Calibri"/>
                <w:color w:val="000000"/>
                <w:sz w:val="16"/>
                <w:szCs w:val="16"/>
                <w:rtl/>
              </w:rPr>
            </w:pPr>
            <w:r w:rsidRPr="0017699B">
              <w:rPr>
                <w:rFonts w:cs="Calibri" w:hint="cs"/>
                <w:sz w:val="16"/>
                <w:szCs w:val="16"/>
                <w:rtl/>
              </w:rPr>
              <w:t>0.54</w:t>
            </w:r>
          </w:p>
        </w:tc>
      </w:tr>
      <w:tr w:rsidR="00F846AD" w:rsidRPr="0017699B" w14:paraId="60C96057" w14:textId="77777777" w:rsidTr="66DE4C64">
        <w:trPr>
          <w:trHeight w:val="20"/>
        </w:trPr>
        <w:tc>
          <w:tcPr>
            <w:tcW w:w="2995" w:type="dxa"/>
            <w:tcBorders>
              <w:top w:val="dotted" w:sz="4" w:space="0" w:color="auto"/>
              <w:left w:val="single" w:sz="4" w:space="0" w:color="auto"/>
              <w:bottom w:val="nil"/>
              <w:right w:val="nil"/>
            </w:tcBorders>
            <w:vAlign w:val="center"/>
            <w:hideMark/>
          </w:tcPr>
          <w:p w14:paraId="5A9CF2B0" w14:textId="77777777" w:rsidR="00F846AD" w:rsidRPr="0017699B" w:rsidRDefault="0B056706" w:rsidP="00C455C5">
            <w:pPr>
              <w:bidi/>
              <w:spacing w:line="240" w:lineRule="exact"/>
              <w:rPr>
                <w:rFonts w:eastAsia="Times New Roman" w:cs="Calibri"/>
                <w:b/>
                <w:bCs/>
                <w:color w:val="000000"/>
                <w:sz w:val="16"/>
                <w:szCs w:val="16"/>
                <w:rtl/>
              </w:rPr>
            </w:pPr>
            <w:r w:rsidRPr="0017699B">
              <w:rPr>
                <w:rFonts w:cs="Calibri" w:hint="cs"/>
                <w:b/>
                <w:bCs/>
                <w:sz w:val="16"/>
                <w:szCs w:val="16"/>
                <w:rtl/>
              </w:rPr>
              <w:t>إجمالي الأصول: إجمالي الخصوم</w:t>
            </w:r>
            <w:r w:rsidRPr="0017699B">
              <w:rPr>
                <w:rFonts w:cs="Calibri" w:hint="cs"/>
                <w:b/>
                <w:bCs/>
                <w:sz w:val="16"/>
                <w:szCs w:val="16"/>
                <w:vertAlign w:val="superscript"/>
                <w:rtl/>
              </w:rPr>
              <w:t>2</w:t>
            </w:r>
          </w:p>
        </w:tc>
        <w:tc>
          <w:tcPr>
            <w:tcW w:w="1106" w:type="dxa"/>
            <w:tcBorders>
              <w:top w:val="nil"/>
              <w:left w:val="nil"/>
              <w:bottom w:val="nil"/>
              <w:right w:val="nil"/>
            </w:tcBorders>
            <w:vAlign w:val="center"/>
          </w:tcPr>
          <w:p w14:paraId="5217354F" w14:textId="77777777" w:rsidR="00F846AD" w:rsidRPr="0017699B" w:rsidRDefault="00F846AD" w:rsidP="66DE4C64">
            <w:pPr>
              <w:spacing w:line="240" w:lineRule="exact"/>
              <w:rPr>
                <w:rFonts w:eastAsia="Times New Roman" w:cs="Calibri"/>
                <w:b/>
                <w:bCs/>
                <w:color w:val="000000"/>
                <w:sz w:val="16"/>
                <w:szCs w:val="16"/>
              </w:rPr>
            </w:pPr>
          </w:p>
        </w:tc>
        <w:tc>
          <w:tcPr>
            <w:tcW w:w="1106" w:type="dxa"/>
            <w:tcBorders>
              <w:top w:val="nil"/>
              <w:left w:val="nil"/>
              <w:bottom w:val="nil"/>
              <w:right w:val="nil"/>
            </w:tcBorders>
            <w:noWrap/>
            <w:vAlign w:val="center"/>
          </w:tcPr>
          <w:p w14:paraId="5F64FCB3" w14:textId="77777777" w:rsidR="00F846AD" w:rsidRPr="0017699B" w:rsidRDefault="00F846AD" w:rsidP="00C455C5">
            <w:pPr>
              <w:spacing w:line="240" w:lineRule="exact"/>
              <w:jc w:val="center"/>
              <w:rPr>
                <w:rFonts w:eastAsia="Times New Roman" w:cs="Calibri"/>
                <w:color w:val="000000"/>
                <w:sz w:val="16"/>
                <w:szCs w:val="16"/>
              </w:rPr>
            </w:pPr>
          </w:p>
        </w:tc>
        <w:tc>
          <w:tcPr>
            <w:tcW w:w="1360" w:type="dxa"/>
            <w:tcBorders>
              <w:top w:val="nil"/>
              <w:left w:val="nil"/>
              <w:bottom w:val="nil"/>
              <w:right w:val="nil"/>
            </w:tcBorders>
            <w:noWrap/>
            <w:vAlign w:val="center"/>
          </w:tcPr>
          <w:p w14:paraId="403F5989" w14:textId="77777777" w:rsidR="00F846AD" w:rsidRPr="0017699B" w:rsidRDefault="00F846AD" w:rsidP="00C455C5">
            <w:pPr>
              <w:spacing w:line="240" w:lineRule="exact"/>
              <w:jc w:val="center"/>
              <w:rPr>
                <w:rFonts w:eastAsia="Times New Roman" w:cs="Calibri"/>
                <w:color w:val="000000"/>
                <w:sz w:val="16"/>
                <w:szCs w:val="16"/>
              </w:rPr>
            </w:pPr>
          </w:p>
        </w:tc>
        <w:tc>
          <w:tcPr>
            <w:tcW w:w="1121" w:type="dxa"/>
            <w:tcBorders>
              <w:top w:val="nil"/>
              <w:left w:val="nil"/>
              <w:bottom w:val="nil"/>
              <w:right w:val="nil"/>
            </w:tcBorders>
            <w:noWrap/>
            <w:vAlign w:val="center"/>
          </w:tcPr>
          <w:p w14:paraId="595AB5EF" w14:textId="77777777" w:rsidR="00F846AD" w:rsidRPr="0017699B" w:rsidRDefault="00F846AD" w:rsidP="00C455C5">
            <w:pPr>
              <w:spacing w:line="240" w:lineRule="exact"/>
              <w:jc w:val="center"/>
              <w:rPr>
                <w:rFonts w:eastAsia="Times New Roman" w:cs="Calibri"/>
                <w:color w:val="000000"/>
                <w:sz w:val="16"/>
                <w:szCs w:val="16"/>
              </w:rPr>
            </w:pPr>
          </w:p>
        </w:tc>
        <w:tc>
          <w:tcPr>
            <w:tcW w:w="954" w:type="dxa"/>
            <w:tcBorders>
              <w:top w:val="nil"/>
              <w:left w:val="nil"/>
              <w:bottom w:val="nil"/>
              <w:right w:val="single" w:sz="4" w:space="0" w:color="auto"/>
            </w:tcBorders>
            <w:noWrap/>
            <w:vAlign w:val="center"/>
          </w:tcPr>
          <w:p w14:paraId="08027183" w14:textId="77777777" w:rsidR="00F846AD" w:rsidRPr="0017699B" w:rsidRDefault="00F846AD" w:rsidP="00C455C5">
            <w:pPr>
              <w:spacing w:line="240" w:lineRule="exact"/>
              <w:jc w:val="center"/>
              <w:rPr>
                <w:rFonts w:eastAsia="Times New Roman" w:cs="Calibri"/>
                <w:color w:val="000000"/>
                <w:sz w:val="16"/>
                <w:szCs w:val="16"/>
              </w:rPr>
            </w:pPr>
          </w:p>
        </w:tc>
      </w:tr>
      <w:tr w:rsidR="00C51DA3" w:rsidRPr="0017699B" w14:paraId="72D2CE70" w14:textId="77777777" w:rsidTr="66DE4C64">
        <w:trPr>
          <w:trHeight w:val="20"/>
        </w:trPr>
        <w:tc>
          <w:tcPr>
            <w:tcW w:w="2995" w:type="dxa"/>
            <w:tcBorders>
              <w:top w:val="nil"/>
              <w:left w:val="single" w:sz="4" w:space="0" w:color="auto"/>
              <w:bottom w:val="dotted" w:sz="4" w:space="0" w:color="auto"/>
              <w:right w:val="nil"/>
            </w:tcBorders>
            <w:vAlign w:val="center"/>
            <w:hideMark/>
          </w:tcPr>
          <w:p w14:paraId="2881DAD3" w14:textId="77777777" w:rsidR="00C51DA3" w:rsidRPr="0017699B" w:rsidRDefault="044F3AF6" w:rsidP="00C455C5">
            <w:pPr>
              <w:bidi/>
              <w:spacing w:line="240" w:lineRule="exact"/>
              <w:rPr>
                <w:rFonts w:eastAsia="Times New Roman" w:cs="Calibri"/>
                <w:color w:val="000000"/>
                <w:sz w:val="16"/>
                <w:szCs w:val="16"/>
                <w:rtl/>
              </w:rPr>
            </w:pPr>
            <w:r w:rsidRPr="0017699B">
              <w:rPr>
                <w:rFonts w:cs="Calibri" w:hint="cs"/>
                <w:sz w:val="16"/>
                <w:szCs w:val="16"/>
                <w:rtl/>
              </w:rPr>
              <w:t>الأصول: الخصوم</w:t>
            </w:r>
          </w:p>
        </w:tc>
        <w:tc>
          <w:tcPr>
            <w:tcW w:w="1106" w:type="dxa"/>
            <w:tcBorders>
              <w:top w:val="nil"/>
              <w:left w:val="nil"/>
              <w:bottom w:val="dotted" w:sz="4" w:space="0" w:color="auto"/>
              <w:right w:val="nil"/>
            </w:tcBorders>
            <w:vAlign w:val="center"/>
          </w:tcPr>
          <w:p w14:paraId="18B495BD" w14:textId="257CC946" w:rsidR="00C51DA3" w:rsidRPr="0017699B" w:rsidRDefault="3581E643" w:rsidP="00C455C5">
            <w:pPr>
              <w:bidi/>
              <w:spacing w:line="240" w:lineRule="exact"/>
              <w:jc w:val="center"/>
              <w:rPr>
                <w:rFonts w:eastAsia="Times New Roman" w:cs="Calibri"/>
                <w:color w:val="000000"/>
                <w:sz w:val="16"/>
                <w:szCs w:val="16"/>
                <w:rtl/>
              </w:rPr>
            </w:pPr>
            <w:r w:rsidRPr="0017699B">
              <w:rPr>
                <w:rFonts w:cs="Calibri" w:hint="cs"/>
                <w:sz w:val="16"/>
                <w:szCs w:val="16"/>
                <w:rtl/>
              </w:rPr>
              <w:t>2.09</w:t>
            </w:r>
          </w:p>
        </w:tc>
        <w:tc>
          <w:tcPr>
            <w:tcW w:w="1106" w:type="dxa"/>
            <w:tcBorders>
              <w:top w:val="nil"/>
              <w:left w:val="nil"/>
              <w:bottom w:val="dotted" w:sz="4" w:space="0" w:color="auto"/>
              <w:right w:val="nil"/>
            </w:tcBorders>
            <w:noWrap/>
            <w:vAlign w:val="center"/>
          </w:tcPr>
          <w:p w14:paraId="62E13944" w14:textId="193AB8D2" w:rsidR="00C51DA3" w:rsidRPr="0017699B" w:rsidRDefault="189FDEDB" w:rsidP="00C455C5">
            <w:pPr>
              <w:bidi/>
              <w:spacing w:line="240" w:lineRule="exact"/>
              <w:jc w:val="center"/>
              <w:rPr>
                <w:rFonts w:eastAsia="Times New Roman" w:cs="Calibri"/>
                <w:color w:val="000000"/>
                <w:sz w:val="16"/>
                <w:szCs w:val="16"/>
                <w:rtl/>
              </w:rPr>
            </w:pPr>
            <w:r w:rsidRPr="0017699B">
              <w:rPr>
                <w:rFonts w:cs="Calibri" w:hint="cs"/>
                <w:sz w:val="16"/>
                <w:szCs w:val="16"/>
                <w:rtl/>
              </w:rPr>
              <w:t>1.59</w:t>
            </w:r>
          </w:p>
        </w:tc>
        <w:tc>
          <w:tcPr>
            <w:tcW w:w="1360" w:type="dxa"/>
            <w:tcBorders>
              <w:top w:val="nil"/>
              <w:left w:val="nil"/>
              <w:bottom w:val="dotted" w:sz="4" w:space="0" w:color="auto"/>
              <w:right w:val="nil"/>
            </w:tcBorders>
            <w:noWrap/>
          </w:tcPr>
          <w:p w14:paraId="755EDC16" w14:textId="7C3948F6" w:rsidR="00C51DA3" w:rsidRPr="0017699B" w:rsidRDefault="044F3AF6" w:rsidP="00C455C5">
            <w:pPr>
              <w:bidi/>
              <w:spacing w:line="240" w:lineRule="exact"/>
              <w:jc w:val="center"/>
              <w:rPr>
                <w:rFonts w:eastAsia="Times New Roman" w:cs="Calibri"/>
                <w:color w:val="000000"/>
                <w:sz w:val="16"/>
                <w:szCs w:val="16"/>
                <w:rtl/>
              </w:rPr>
            </w:pPr>
            <w:r w:rsidRPr="0017699B">
              <w:rPr>
                <w:rFonts w:cs="Calibri" w:hint="cs"/>
                <w:sz w:val="16"/>
                <w:szCs w:val="16"/>
                <w:rtl/>
              </w:rPr>
              <w:t>1.54</w:t>
            </w:r>
          </w:p>
        </w:tc>
        <w:tc>
          <w:tcPr>
            <w:tcW w:w="1121" w:type="dxa"/>
            <w:tcBorders>
              <w:top w:val="nil"/>
              <w:left w:val="nil"/>
              <w:bottom w:val="dotted" w:sz="4" w:space="0" w:color="auto"/>
              <w:right w:val="nil"/>
            </w:tcBorders>
            <w:noWrap/>
          </w:tcPr>
          <w:p w14:paraId="532E37E5" w14:textId="70012ED5" w:rsidR="00C51DA3" w:rsidRPr="0017699B" w:rsidRDefault="044F3AF6" w:rsidP="00C455C5">
            <w:pPr>
              <w:bidi/>
              <w:spacing w:line="240" w:lineRule="exact"/>
              <w:jc w:val="center"/>
              <w:rPr>
                <w:rFonts w:eastAsia="Times New Roman" w:cs="Calibri"/>
                <w:color w:val="000000"/>
                <w:sz w:val="16"/>
                <w:szCs w:val="16"/>
                <w:rtl/>
              </w:rPr>
            </w:pPr>
            <w:r w:rsidRPr="0017699B">
              <w:rPr>
                <w:rFonts w:cs="Calibri" w:hint="cs"/>
                <w:sz w:val="16"/>
                <w:szCs w:val="16"/>
                <w:rtl/>
              </w:rPr>
              <w:t>1.53</w:t>
            </w:r>
          </w:p>
        </w:tc>
        <w:tc>
          <w:tcPr>
            <w:tcW w:w="954" w:type="dxa"/>
            <w:tcBorders>
              <w:top w:val="nil"/>
              <w:left w:val="nil"/>
              <w:bottom w:val="dotted" w:sz="4" w:space="0" w:color="auto"/>
              <w:right w:val="single" w:sz="4" w:space="0" w:color="auto"/>
            </w:tcBorders>
            <w:noWrap/>
          </w:tcPr>
          <w:p w14:paraId="2F23286E" w14:textId="466C32F3" w:rsidR="00C51DA3" w:rsidRPr="0017699B" w:rsidRDefault="044F3AF6" w:rsidP="00C455C5">
            <w:pPr>
              <w:bidi/>
              <w:spacing w:line="240" w:lineRule="exact"/>
              <w:jc w:val="center"/>
              <w:rPr>
                <w:rFonts w:eastAsia="Times New Roman" w:cs="Calibri"/>
                <w:color w:val="000000"/>
                <w:sz w:val="16"/>
                <w:szCs w:val="16"/>
                <w:rtl/>
              </w:rPr>
            </w:pPr>
            <w:r w:rsidRPr="0017699B">
              <w:rPr>
                <w:rFonts w:cs="Calibri" w:hint="cs"/>
                <w:sz w:val="16"/>
                <w:szCs w:val="16"/>
                <w:rtl/>
              </w:rPr>
              <w:t>1.35</w:t>
            </w:r>
          </w:p>
        </w:tc>
      </w:tr>
      <w:tr w:rsidR="00F846AD" w:rsidRPr="0017699B" w14:paraId="40076BE5" w14:textId="77777777" w:rsidTr="66DE4C64">
        <w:trPr>
          <w:trHeight w:val="20"/>
        </w:trPr>
        <w:tc>
          <w:tcPr>
            <w:tcW w:w="2995" w:type="dxa"/>
            <w:tcBorders>
              <w:top w:val="dotted" w:sz="4" w:space="0" w:color="auto"/>
              <w:left w:val="single" w:sz="4" w:space="0" w:color="auto"/>
              <w:bottom w:val="nil"/>
              <w:right w:val="nil"/>
            </w:tcBorders>
            <w:vAlign w:val="center"/>
            <w:hideMark/>
          </w:tcPr>
          <w:p w14:paraId="1C468DA9" w14:textId="77777777" w:rsidR="00F846AD" w:rsidRPr="0017699B" w:rsidRDefault="0B056706" w:rsidP="00C455C5">
            <w:pPr>
              <w:bidi/>
              <w:spacing w:line="240" w:lineRule="exact"/>
              <w:rPr>
                <w:rFonts w:eastAsia="Times New Roman" w:cs="Calibri"/>
                <w:b/>
                <w:bCs/>
                <w:color w:val="000000"/>
                <w:sz w:val="16"/>
                <w:szCs w:val="16"/>
                <w:rtl/>
              </w:rPr>
            </w:pPr>
            <w:r w:rsidRPr="0017699B">
              <w:rPr>
                <w:rFonts w:cs="Calibri" w:hint="cs"/>
                <w:b/>
                <w:bCs/>
                <w:sz w:val="16"/>
                <w:szCs w:val="16"/>
                <w:rtl/>
              </w:rPr>
              <w:t>النسبة النقدية</w:t>
            </w:r>
            <w:r w:rsidRPr="0017699B">
              <w:rPr>
                <w:rFonts w:cs="Calibri" w:hint="cs"/>
                <w:b/>
                <w:bCs/>
                <w:sz w:val="16"/>
                <w:szCs w:val="16"/>
                <w:vertAlign w:val="superscript"/>
                <w:rtl/>
              </w:rPr>
              <w:t>3</w:t>
            </w:r>
          </w:p>
        </w:tc>
        <w:tc>
          <w:tcPr>
            <w:tcW w:w="1106" w:type="dxa"/>
            <w:tcBorders>
              <w:top w:val="nil"/>
              <w:left w:val="nil"/>
              <w:bottom w:val="nil"/>
              <w:right w:val="nil"/>
            </w:tcBorders>
            <w:vAlign w:val="center"/>
          </w:tcPr>
          <w:p w14:paraId="59B54052" w14:textId="77777777" w:rsidR="00F846AD" w:rsidRPr="0017699B" w:rsidRDefault="00F846AD" w:rsidP="00C455C5">
            <w:pPr>
              <w:spacing w:line="240" w:lineRule="exact"/>
              <w:rPr>
                <w:rFonts w:eastAsia="Times New Roman" w:cs="Calibri"/>
                <w:b/>
                <w:bCs/>
                <w:color w:val="000000"/>
                <w:sz w:val="16"/>
                <w:szCs w:val="16"/>
                <w:highlight w:val="yellow"/>
              </w:rPr>
            </w:pPr>
          </w:p>
        </w:tc>
        <w:tc>
          <w:tcPr>
            <w:tcW w:w="1106" w:type="dxa"/>
            <w:tcBorders>
              <w:top w:val="nil"/>
              <w:left w:val="nil"/>
              <w:bottom w:val="nil"/>
              <w:right w:val="nil"/>
            </w:tcBorders>
            <w:noWrap/>
            <w:vAlign w:val="center"/>
          </w:tcPr>
          <w:p w14:paraId="19715EE9" w14:textId="77777777" w:rsidR="00F846AD" w:rsidRPr="0017699B" w:rsidRDefault="00F846AD" w:rsidP="00C455C5">
            <w:pPr>
              <w:spacing w:line="240" w:lineRule="exact"/>
              <w:jc w:val="center"/>
              <w:rPr>
                <w:rFonts w:eastAsia="Times New Roman" w:cs="Calibri"/>
                <w:color w:val="000000"/>
                <w:sz w:val="16"/>
                <w:szCs w:val="16"/>
              </w:rPr>
            </w:pPr>
          </w:p>
        </w:tc>
        <w:tc>
          <w:tcPr>
            <w:tcW w:w="1360" w:type="dxa"/>
            <w:tcBorders>
              <w:top w:val="nil"/>
              <w:left w:val="nil"/>
              <w:bottom w:val="nil"/>
              <w:right w:val="nil"/>
            </w:tcBorders>
            <w:noWrap/>
            <w:vAlign w:val="center"/>
          </w:tcPr>
          <w:p w14:paraId="2D52D14F" w14:textId="77777777" w:rsidR="00F846AD" w:rsidRPr="0017699B" w:rsidRDefault="00F846AD" w:rsidP="00C455C5">
            <w:pPr>
              <w:spacing w:line="240" w:lineRule="exact"/>
              <w:jc w:val="center"/>
              <w:rPr>
                <w:rFonts w:eastAsia="Times New Roman" w:cs="Calibri"/>
                <w:color w:val="000000"/>
                <w:sz w:val="16"/>
                <w:szCs w:val="16"/>
              </w:rPr>
            </w:pPr>
          </w:p>
        </w:tc>
        <w:tc>
          <w:tcPr>
            <w:tcW w:w="1121" w:type="dxa"/>
            <w:tcBorders>
              <w:top w:val="nil"/>
              <w:left w:val="nil"/>
              <w:bottom w:val="nil"/>
              <w:right w:val="nil"/>
            </w:tcBorders>
            <w:noWrap/>
            <w:vAlign w:val="center"/>
          </w:tcPr>
          <w:p w14:paraId="5D34942C" w14:textId="77777777" w:rsidR="00F846AD" w:rsidRPr="0017699B" w:rsidRDefault="00F846AD" w:rsidP="00C455C5">
            <w:pPr>
              <w:spacing w:line="240" w:lineRule="exact"/>
              <w:jc w:val="center"/>
              <w:rPr>
                <w:rFonts w:eastAsia="Times New Roman" w:cs="Calibri"/>
                <w:color w:val="000000"/>
                <w:sz w:val="16"/>
                <w:szCs w:val="16"/>
              </w:rPr>
            </w:pPr>
          </w:p>
        </w:tc>
        <w:tc>
          <w:tcPr>
            <w:tcW w:w="954" w:type="dxa"/>
            <w:tcBorders>
              <w:top w:val="nil"/>
              <w:left w:val="nil"/>
              <w:bottom w:val="nil"/>
              <w:right w:val="single" w:sz="4" w:space="0" w:color="auto"/>
            </w:tcBorders>
            <w:noWrap/>
            <w:vAlign w:val="center"/>
          </w:tcPr>
          <w:p w14:paraId="452538F8" w14:textId="77777777" w:rsidR="00F846AD" w:rsidRPr="0017699B" w:rsidRDefault="00F846AD" w:rsidP="00C455C5">
            <w:pPr>
              <w:spacing w:line="240" w:lineRule="exact"/>
              <w:jc w:val="center"/>
              <w:rPr>
                <w:rFonts w:eastAsia="Times New Roman" w:cs="Calibri"/>
                <w:color w:val="000000"/>
                <w:sz w:val="16"/>
                <w:szCs w:val="16"/>
              </w:rPr>
            </w:pPr>
          </w:p>
        </w:tc>
      </w:tr>
      <w:tr w:rsidR="001E3674" w:rsidRPr="0017699B" w14:paraId="1FB6085F" w14:textId="77777777" w:rsidTr="66DE4C64">
        <w:trPr>
          <w:trHeight w:val="20"/>
        </w:trPr>
        <w:tc>
          <w:tcPr>
            <w:tcW w:w="2995" w:type="dxa"/>
            <w:tcBorders>
              <w:top w:val="nil"/>
              <w:left w:val="single" w:sz="4" w:space="0" w:color="auto"/>
              <w:bottom w:val="dotted" w:sz="4" w:space="0" w:color="auto"/>
              <w:right w:val="nil"/>
            </w:tcBorders>
            <w:vAlign w:val="center"/>
            <w:hideMark/>
          </w:tcPr>
          <w:p w14:paraId="77C2F5F2" w14:textId="77777777" w:rsidR="001E3674" w:rsidRPr="0017699B" w:rsidRDefault="465DC519" w:rsidP="00C455C5">
            <w:pPr>
              <w:bidi/>
              <w:spacing w:line="240" w:lineRule="exact"/>
              <w:rPr>
                <w:rFonts w:eastAsia="Times New Roman" w:cs="Calibri"/>
                <w:color w:val="000000"/>
                <w:sz w:val="16"/>
                <w:szCs w:val="16"/>
                <w:rtl/>
              </w:rPr>
            </w:pPr>
            <w:r w:rsidRPr="0017699B">
              <w:rPr>
                <w:rFonts w:cs="Calibri" w:hint="cs"/>
                <w:sz w:val="16"/>
                <w:szCs w:val="16"/>
                <w:rtl/>
              </w:rPr>
              <w:t>النقد زائد الاستثمارات قصيرة الأجل الخصوم المتداولة</w:t>
            </w:r>
          </w:p>
        </w:tc>
        <w:tc>
          <w:tcPr>
            <w:tcW w:w="1106" w:type="dxa"/>
            <w:tcBorders>
              <w:top w:val="nil"/>
              <w:left w:val="nil"/>
              <w:bottom w:val="dotted" w:sz="4" w:space="0" w:color="auto"/>
              <w:right w:val="nil"/>
            </w:tcBorders>
            <w:vAlign w:val="center"/>
          </w:tcPr>
          <w:p w14:paraId="0D62493E" w14:textId="6B68754F" w:rsidR="001E3674" w:rsidRPr="0017699B" w:rsidRDefault="4D177814" w:rsidP="00C455C5">
            <w:pPr>
              <w:bidi/>
              <w:spacing w:line="240" w:lineRule="exact"/>
              <w:jc w:val="center"/>
              <w:rPr>
                <w:rFonts w:eastAsia="Times New Roman" w:cs="Calibri"/>
                <w:color w:val="000000"/>
                <w:sz w:val="16"/>
                <w:szCs w:val="16"/>
                <w:highlight w:val="yellow"/>
                <w:rtl/>
              </w:rPr>
            </w:pPr>
            <w:r w:rsidRPr="0017699B">
              <w:rPr>
                <w:rFonts w:cs="Calibri" w:hint="cs"/>
                <w:sz w:val="16"/>
                <w:szCs w:val="16"/>
                <w:rtl/>
              </w:rPr>
              <w:t>0.47</w:t>
            </w:r>
          </w:p>
        </w:tc>
        <w:tc>
          <w:tcPr>
            <w:tcW w:w="1106" w:type="dxa"/>
            <w:tcBorders>
              <w:top w:val="nil"/>
              <w:left w:val="nil"/>
              <w:bottom w:val="dotted" w:sz="4" w:space="0" w:color="auto"/>
              <w:right w:val="nil"/>
            </w:tcBorders>
            <w:noWrap/>
            <w:vAlign w:val="center"/>
          </w:tcPr>
          <w:p w14:paraId="0EA07A9C" w14:textId="2F281C12" w:rsidR="001E3674" w:rsidRPr="0017699B" w:rsidRDefault="465DC519" w:rsidP="00C455C5">
            <w:pPr>
              <w:bidi/>
              <w:spacing w:line="240" w:lineRule="exact"/>
              <w:jc w:val="center"/>
              <w:rPr>
                <w:rFonts w:eastAsia="Times New Roman" w:cs="Calibri"/>
                <w:color w:val="000000"/>
                <w:sz w:val="16"/>
                <w:szCs w:val="16"/>
                <w:rtl/>
              </w:rPr>
            </w:pPr>
            <w:r w:rsidRPr="0017699B">
              <w:rPr>
                <w:rFonts w:cs="Calibri" w:hint="cs"/>
                <w:sz w:val="16"/>
                <w:szCs w:val="16"/>
                <w:rtl/>
              </w:rPr>
              <w:t>0.50</w:t>
            </w:r>
          </w:p>
        </w:tc>
        <w:tc>
          <w:tcPr>
            <w:tcW w:w="1360" w:type="dxa"/>
            <w:tcBorders>
              <w:top w:val="nil"/>
              <w:left w:val="nil"/>
              <w:bottom w:val="dotted" w:sz="4" w:space="0" w:color="auto"/>
              <w:right w:val="nil"/>
            </w:tcBorders>
            <w:noWrap/>
            <w:vAlign w:val="center"/>
          </w:tcPr>
          <w:p w14:paraId="3D8C7728" w14:textId="2B82D35C" w:rsidR="001E3674" w:rsidRPr="0017699B" w:rsidRDefault="465DC519" w:rsidP="00C455C5">
            <w:pPr>
              <w:bidi/>
              <w:spacing w:line="240" w:lineRule="exact"/>
              <w:jc w:val="center"/>
              <w:rPr>
                <w:rFonts w:eastAsia="Times New Roman" w:cs="Calibri"/>
                <w:color w:val="000000"/>
                <w:sz w:val="16"/>
                <w:szCs w:val="16"/>
                <w:rtl/>
              </w:rPr>
            </w:pPr>
            <w:r w:rsidRPr="0017699B">
              <w:rPr>
                <w:rFonts w:cs="Calibri" w:hint="cs"/>
                <w:sz w:val="16"/>
                <w:szCs w:val="16"/>
                <w:rtl/>
              </w:rPr>
              <w:t>0.52</w:t>
            </w:r>
          </w:p>
        </w:tc>
        <w:tc>
          <w:tcPr>
            <w:tcW w:w="1121" w:type="dxa"/>
            <w:tcBorders>
              <w:top w:val="nil"/>
              <w:left w:val="nil"/>
              <w:bottom w:val="dotted" w:sz="4" w:space="0" w:color="auto"/>
              <w:right w:val="nil"/>
            </w:tcBorders>
            <w:noWrap/>
            <w:vAlign w:val="center"/>
          </w:tcPr>
          <w:p w14:paraId="50C4141E" w14:textId="31B33AA6" w:rsidR="001E3674" w:rsidRPr="0017699B" w:rsidRDefault="465DC519" w:rsidP="00C455C5">
            <w:pPr>
              <w:bidi/>
              <w:spacing w:line="240" w:lineRule="exact"/>
              <w:jc w:val="center"/>
              <w:rPr>
                <w:rFonts w:eastAsia="Times New Roman" w:cs="Calibri"/>
                <w:color w:val="000000"/>
                <w:sz w:val="16"/>
                <w:szCs w:val="16"/>
                <w:rtl/>
              </w:rPr>
            </w:pPr>
            <w:r w:rsidRPr="0017699B">
              <w:rPr>
                <w:rFonts w:cs="Calibri" w:hint="cs"/>
                <w:sz w:val="16"/>
                <w:szCs w:val="16"/>
                <w:rtl/>
              </w:rPr>
              <w:t>0.52</w:t>
            </w:r>
          </w:p>
        </w:tc>
        <w:tc>
          <w:tcPr>
            <w:tcW w:w="954" w:type="dxa"/>
            <w:tcBorders>
              <w:top w:val="nil"/>
              <w:left w:val="nil"/>
              <w:bottom w:val="dotted" w:sz="4" w:space="0" w:color="auto"/>
              <w:right w:val="single" w:sz="4" w:space="0" w:color="auto"/>
            </w:tcBorders>
            <w:noWrap/>
            <w:vAlign w:val="center"/>
          </w:tcPr>
          <w:p w14:paraId="0D44B3E5" w14:textId="5DAC9CFD" w:rsidR="001E3674" w:rsidRPr="0017699B" w:rsidRDefault="465DC519" w:rsidP="00C455C5">
            <w:pPr>
              <w:bidi/>
              <w:spacing w:line="240" w:lineRule="exact"/>
              <w:jc w:val="center"/>
              <w:rPr>
                <w:rFonts w:eastAsia="Times New Roman" w:cs="Calibri"/>
                <w:color w:val="000000"/>
                <w:sz w:val="16"/>
                <w:szCs w:val="16"/>
                <w:rtl/>
              </w:rPr>
            </w:pPr>
            <w:r w:rsidRPr="0017699B">
              <w:rPr>
                <w:rFonts w:cs="Calibri" w:hint="cs"/>
                <w:sz w:val="16"/>
                <w:szCs w:val="16"/>
                <w:rtl/>
              </w:rPr>
              <w:t>0.38</w:t>
            </w:r>
          </w:p>
        </w:tc>
      </w:tr>
      <w:tr w:rsidR="00A72FEE" w:rsidRPr="0017699B" w14:paraId="734CEE8E" w14:textId="77777777" w:rsidTr="66DE4C64">
        <w:trPr>
          <w:trHeight w:val="20"/>
        </w:trPr>
        <w:tc>
          <w:tcPr>
            <w:tcW w:w="2995" w:type="dxa"/>
            <w:tcBorders>
              <w:top w:val="dotted" w:sz="4" w:space="0" w:color="auto"/>
              <w:left w:val="single" w:sz="4" w:space="0" w:color="auto"/>
              <w:right w:val="nil"/>
            </w:tcBorders>
            <w:vAlign w:val="center"/>
            <w:hideMark/>
          </w:tcPr>
          <w:p w14:paraId="256BF67C" w14:textId="6E45EB83" w:rsidR="00A72FEE" w:rsidRPr="0017699B" w:rsidRDefault="0A8C877A" w:rsidP="00C455C5">
            <w:pPr>
              <w:bidi/>
              <w:spacing w:line="240" w:lineRule="exact"/>
              <w:rPr>
                <w:rFonts w:eastAsia="Times New Roman" w:cs="Calibri"/>
                <w:b/>
                <w:bCs/>
                <w:color w:val="000000"/>
                <w:sz w:val="16"/>
                <w:szCs w:val="16"/>
                <w:rtl/>
              </w:rPr>
            </w:pPr>
            <w:r w:rsidRPr="0017699B">
              <w:rPr>
                <w:rFonts w:cs="Calibri" w:hint="cs"/>
                <w:b/>
                <w:bCs/>
                <w:sz w:val="16"/>
                <w:szCs w:val="16"/>
                <w:rtl/>
              </w:rPr>
              <w:t>أيام السيولة النقدية</w:t>
            </w:r>
            <w:r w:rsidRPr="0017699B">
              <w:rPr>
                <w:rFonts w:cs="Calibri" w:hint="cs"/>
                <w:b/>
                <w:bCs/>
                <w:sz w:val="16"/>
                <w:szCs w:val="16"/>
                <w:vertAlign w:val="superscript"/>
                <w:rtl/>
              </w:rPr>
              <w:t>4</w:t>
            </w:r>
          </w:p>
        </w:tc>
        <w:tc>
          <w:tcPr>
            <w:tcW w:w="1106" w:type="dxa"/>
            <w:tcBorders>
              <w:top w:val="nil"/>
              <w:left w:val="nil"/>
              <w:right w:val="nil"/>
            </w:tcBorders>
            <w:noWrap/>
            <w:vAlign w:val="center"/>
          </w:tcPr>
          <w:p w14:paraId="39DBC1F2" w14:textId="77777777" w:rsidR="00A72FEE" w:rsidRPr="0017699B" w:rsidRDefault="00A72FEE" w:rsidP="00C455C5">
            <w:pPr>
              <w:spacing w:line="240" w:lineRule="exact"/>
              <w:rPr>
                <w:rFonts w:eastAsia="Times New Roman" w:cs="Calibri"/>
                <w:b/>
                <w:bCs/>
                <w:color w:val="000000"/>
                <w:sz w:val="16"/>
                <w:szCs w:val="16"/>
                <w:highlight w:val="yellow"/>
              </w:rPr>
            </w:pPr>
          </w:p>
        </w:tc>
        <w:tc>
          <w:tcPr>
            <w:tcW w:w="1106" w:type="dxa"/>
            <w:tcBorders>
              <w:top w:val="nil"/>
              <w:left w:val="nil"/>
              <w:right w:val="nil"/>
            </w:tcBorders>
            <w:noWrap/>
            <w:vAlign w:val="center"/>
          </w:tcPr>
          <w:p w14:paraId="3EAC4505" w14:textId="77777777" w:rsidR="00A72FEE" w:rsidRPr="0017699B" w:rsidRDefault="00A72FEE" w:rsidP="00C455C5">
            <w:pPr>
              <w:spacing w:line="240" w:lineRule="exact"/>
              <w:jc w:val="center"/>
              <w:rPr>
                <w:rFonts w:eastAsia="Times New Roman" w:cs="Calibri"/>
                <w:color w:val="000000"/>
                <w:sz w:val="16"/>
                <w:szCs w:val="16"/>
              </w:rPr>
            </w:pPr>
          </w:p>
        </w:tc>
        <w:tc>
          <w:tcPr>
            <w:tcW w:w="1360" w:type="dxa"/>
            <w:tcBorders>
              <w:top w:val="nil"/>
              <w:left w:val="nil"/>
              <w:right w:val="nil"/>
            </w:tcBorders>
            <w:noWrap/>
            <w:vAlign w:val="center"/>
          </w:tcPr>
          <w:p w14:paraId="71E09E11" w14:textId="77777777" w:rsidR="00A72FEE" w:rsidRPr="0017699B" w:rsidRDefault="00A72FEE" w:rsidP="00C455C5">
            <w:pPr>
              <w:spacing w:line="240" w:lineRule="exact"/>
              <w:jc w:val="center"/>
              <w:rPr>
                <w:rFonts w:eastAsia="Times New Roman" w:cs="Calibri"/>
                <w:color w:val="000000"/>
                <w:sz w:val="16"/>
                <w:szCs w:val="16"/>
              </w:rPr>
            </w:pPr>
          </w:p>
        </w:tc>
        <w:tc>
          <w:tcPr>
            <w:tcW w:w="1121" w:type="dxa"/>
            <w:tcBorders>
              <w:top w:val="nil"/>
              <w:left w:val="nil"/>
              <w:right w:val="nil"/>
            </w:tcBorders>
            <w:noWrap/>
            <w:vAlign w:val="center"/>
          </w:tcPr>
          <w:p w14:paraId="511CD66E" w14:textId="77777777" w:rsidR="00A72FEE" w:rsidRPr="0017699B" w:rsidRDefault="00A72FEE" w:rsidP="00C455C5">
            <w:pPr>
              <w:spacing w:line="240" w:lineRule="exact"/>
              <w:jc w:val="center"/>
              <w:rPr>
                <w:rFonts w:eastAsia="Times New Roman" w:cs="Calibri"/>
                <w:color w:val="000000"/>
                <w:sz w:val="16"/>
                <w:szCs w:val="16"/>
              </w:rPr>
            </w:pPr>
          </w:p>
        </w:tc>
        <w:tc>
          <w:tcPr>
            <w:tcW w:w="954" w:type="dxa"/>
            <w:tcBorders>
              <w:top w:val="nil"/>
              <w:left w:val="nil"/>
              <w:right w:val="single" w:sz="4" w:space="0" w:color="auto"/>
            </w:tcBorders>
            <w:noWrap/>
            <w:vAlign w:val="center"/>
          </w:tcPr>
          <w:p w14:paraId="5A5B154C" w14:textId="77777777" w:rsidR="00A72FEE" w:rsidRPr="0017699B" w:rsidRDefault="00A72FEE" w:rsidP="00C455C5">
            <w:pPr>
              <w:spacing w:line="240" w:lineRule="exact"/>
              <w:jc w:val="center"/>
              <w:rPr>
                <w:rFonts w:eastAsia="Times New Roman" w:cs="Calibri"/>
                <w:color w:val="000000"/>
                <w:sz w:val="16"/>
                <w:szCs w:val="16"/>
              </w:rPr>
            </w:pPr>
          </w:p>
        </w:tc>
      </w:tr>
      <w:tr w:rsidR="00A72FEE" w:rsidRPr="0017699B" w14:paraId="7EFA26F3" w14:textId="77777777" w:rsidTr="66DE4C64">
        <w:trPr>
          <w:trHeight w:val="20"/>
        </w:trPr>
        <w:tc>
          <w:tcPr>
            <w:tcW w:w="2995" w:type="dxa"/>
            <w:tcBorders>
              <w:top w:val="nil"/>
              <w:left w:val="single" w:sz="4" w:space="0" w:color="auto"/>
              <w:bottom w:val="single" w:sz="4" w:space="0" w:color="auto"/>
              <w:right w:val="nil"/>
            </w:tcBorders>
            <w:vAlign w:val="center"/>
            <w:hideMark/>
          </w:tcPr>
          <w:p w14:paraId="56B7B8D6" w14:textId="77777777" w:rsidR="00A72FEE" w:rsidRPr="0017699B" w:rsidRDefault="0A8C877A" w:rsidP="00C455C5">
            <w:pPr>
              <w:bidi/>
              <w:spacing w:line="240" w:lineRule="exact"/>
              <w:rPr>
                <w:rFonts w:eastAsia="Times New Roman" w:cs="Calibri"/>
                <w:color w:val="000000"/>
                <w:sz w:val="16"/>
                <w:szCs w:val="16"/>
                <w:rtl/>
              </w:rPr>
            </w:pPr>
            <w:r w:rsidRPr="0017699B">
              <w:rPr>
                <w:rFonts w:cs="Calibri" w:hint="cs"/>
                <w:sz w:val="16"/>
                <w:szCs w:val="16"/>
                <w:rtl/>
              </w:rPr>
              <w:t>النقد وما يعادله:</w:t>
            </w:r>
            <w:r w:rsidRPr="0017699B">
              <w:rPr>
                <w:rFonts w:cs="Calibri" w:hint="cs"/>
                <w:rtl/>
              </w:rPr>
              <w:t xml:space="preserve"> </w:t>
            </w:r>
          </w:p>
          <w:p w14:paraId="6968B7A4" w14:textId="7F4B3718" w:rsidR="00A72FEE" w:rsidRPr="0017699B" w:rsidRDefault="0A8C877A" w:rsidP="00C455C5">
            <w:pPr>
              <w:bidi/>
              <w:spacing w:line="240" w:lineRule="exact"/>
              <w:rPr>
                <w:rFonts w:eastAsia="Times New Roman" w:cs="Calibri"/>
                <w:color w:val="000000"/>
                <w:sz w:val="16"/>
                <w:szCs w:val="16"/>
                <w:rtl/>
              </w:rPr>
            </w:pPr>
            <w:r w:rsidRPr="0017699B">
              <w:rPr>
                <w:rFonts w:cs="Calibri" w:hint="cs"/>
                <w:sz w:val="16"/>
                <w:szCs w:val="16"/>
                <w:rtl/>
              </w:rPr>
              <w:t>[(إجمالي المصروفات - (إجمالي المصروفات - (الاستهلاك/مصروفات انخفاض القيمة) : 365 يوما]</w:t>
            </w:r>
          </w:p>
        </w:tc>
        <w:tc>
          <w:tcPr>
            <w:tcW w:w="1106" w:type="dxa"/>
            <w:tcBorders>
              <w:top w:val="nil"/>
              <w:left w:val="nil"/>
              <w:bottom w:val="single" w:sz="4" w:space="0" w:color="auto"/>
              <w:right w:val="nil"/>
            </w:tcBorders>
            <w:vAlign w:val="center"/>
          </w:tcPr>
          <w:p w14:paraId="715A0ABB" w14:textId="282B88C2" w:rsidR="00A72FEE" w:rsidRPr="0017699B" w:rsidRDefault="0A8C877A" w:rsidP="00C455C5">
            <w:pPr>
              <w:bidi/>
              <w:spacing w:line="240" w:lineRule="exact"/>
              <w:jc w:val="center"/>
              <w:rPr>
                <w:rFonts w:eastAsia="Times New Roman" w:cs="Calibri"/>
                <w:color w:val="000000"/>
                <w:sz w:val="16"/>
                <w:szCs w:val="16"/>
                <w:highlight w:val="yellow"/>
                <w:rtl/>
              </w:rPr>
            </w:pPr>
            <w:r w:rsidRPr="0017699B">
              <w:rPr>
                <w:rFonts w:cs="Calibri" w:hint="cs"/>
                <w:sz w:val="16"/>
                <w:szCs w:val="16"/>
                <w:rtl/>
              </w:rPr>
              <w:t>65</w:t>
            </w:r>
          </w:p>
        </w:tc>
        <w:tc>
          <w:tcPr>
            <w:tcW w:w="1106" w:type="dxa"/>
            <w:tcBorders>
              <w:top w:val="nil"/>
              <w:left w:val="nil"/>
              <w:bottom w:val="single" w:sz="4" w:space="0" w:color="auto"/>
              <w:right w:val="nil"/>
            </w:tcBorders>
            <w:noWrap/>
            <w:vAlign w:val="center"/>
          </w:tcPr>
          <w:p w14:paraId="265AA750" w14:textId="2CA64811" w:rsidR="00A72FEE" w:rsidRPr="0017699B" w:rsidRDefault="36877C3F" w:rsidP="00C455C5">
            <w:pPr>
              <w:bidi/>
              <w:spacing w:line="240" w:lineRule="exact"/>
              <w:jc w:val="center"/>
              <w:rPr>
                <w:rFonts w:eastAsia="Times New Roman" w:cs="Calibri"/>
                <w:color w:val="000000"/>
                <w:sz w:val="16"/>
                <w:szCs w:val="16"/>
                <w:rtl/>
              </w:rPr>
            </w:pPr>
            <w:r w:rsidRPr="0017699B">
              <w:rPr>
                <w:rFonts w:cs="Calibri" w:hint="cs"/>
                <w:sz w:val="16"/>
                <w:szCs w:val="16"/>
                <w:rtl/>
              </w:rPr>
              <w:t>87</w:t>
            </w:r>
          </w:p>
        </w:tc>
        <w:tc>
          <w:tcPr>
            <w:tcW w:w="1360" w:type="dxa"/>
            <w:tcBorders>
              <w:top w:val="nil"/>
              <w:left w:val="nil"/>
              <w:bottom w:val="single" w:sz="4" w:space="0" w:color="auto"/>
              <w:right w:val="nil"/>
            </w:tcBorders>
            <w:noWrap/>
            <w:vAlign w:val="center"/>
          </w:tcPr>
          <w:p w14:paraId="7ED179CE" w14:textId="26F26AD9" w:rsidR="00A72FEE" w:rsidRPr="0017699B" w:rsidRDefault="36877C3F" w:rsidP="00C455C5">
            <w:pPr>
              <w:bidi/>
              <w:spacing w:line="240" w:lineRule="exact"/>
              <w:jc w:val="center"/>
              <w:rPr>
                <w:rFonts w:eastAsia="Times New Roman" w:cs="Calibri"/>
                <w:color w:val="000000"/>
                <w:sz w:val="16"/>
                <w:szCs w:val="16"/>
                <w:rtl/>
              </w:rPr>
            </w:pPr>
            <w:r w:rsidRPr="0017699B">
              <w:rPr>
                <w:rFonts w:cs="Calibri" w:hint="cs"/>
                <w:sz w:val="16"/>
                <w:szCs w:val="16"/>
                <w:rtl/>
              </w:rPr>
              <w:t>78</w:t>
            </w:r>
          </w:p>
        </w:tc>
        <w:tc>
          <w:tcPr>
            <w:tcW w:w="1121" w:type="dxa"/>
            <w:tcBorders>
              <w:top w:val="nil"/>
              <w:left w:val="nil"/>
              <w:bottom w:val="single" w:sz="4" w:space="0" w:color="auto"/>
              <w:right w:val="nil"/>
            </w:tcBorders>
            <w:noWrap/>
            <w:vAlign w:val="center"/>
          </w:tcPr>
          <w:p w14:paraId="453ADA8F" w14:textId="526F958F" w:rsidR="00A72FEE" w:rsidRPr="0017699B" w:rsidRDefault="36877C3F" w:rsidP="00C455C5">
            <w:pPr>
              <w:bidi/>
              <w:spacing w:line="240" w:lineRule="exact"/>
              <w:jc w:val="center"/>
              <w:rPr>
                <w:rFonts w:eastAsia="Times New Roman" w:cs="Calibri"/>
                <w:color w:val="000000"/>
                <w:sz w:val="16"/>
                <w:szCs w:val="16"/>
                <w:rtl/>
              </w:rPr>
            </w:pPr>
            <w:r w:rsidRPr="0017699B">
              <w:rPr>
                <w:rFonts w:cs="Calibri" w:hint="cs"/>
                <w:sz w:val="16"/>
                <w:szCs w:val="16"/>
                <w:rtl/>
              </w:rPr>
              <w:t>225</w:t>
            </w:r>
          </w:p>
        </w:tc>
        <w:tc>
          <w:tcPr>
            <w:tcW w:w="954" w:type="dxa"/>
            <w:tcBorders>
              <w:top w:val="nil"/>
              <w:left w:val="nil"/>
              <w:bottom w:val="single" w:sz="4" w:space="0" w:color="auto"/>
              <w:right w:val="single" w:sz="4" w:space="0" w:color="auto"/>
            </w:tcBorders>
            <w:noWrap/>
            <w:vAlign w:val="center"/>
          </w:tcPr>
          <w:p w14:paraId="7DDF6A33" w14:textId="349A295A" w:rsidR="00A72FEE" w:rsidRPr="0017699B" w:rsidRDefault="36877C3F" w:rsidP="00C455C5">
            <w:pPr>
              <w:bidi/>
              <w:spacing w:line="240" w:lineRule="exact"/>
              <w:jc w:val="center"/>
              <w:rPr>
                <w:rFonts w:eastAsia="Times New Roman" w:cs="Calibri"/>
                <w:color w:val="000000"/>
                <w:sz w:val="16"/>
                <w:szCs w:val="16"/>
                <w:rtl/>
              </w:rPr>
            </w:pPr>
            <w:r w:rsidRPr="0017699B">
              <w:rPr>
                <w:rFonts w:cs="Calibri" w:hint="cs"/>
                <w:sz w:val="16"/>
                <w:szCs w:val="16"/>
                <w:rtl/>
              </w:rPr>
              <w:t>142</w:t>
            </w:r>
          </w:p>
        </w:tc>
      </w:tr>
      <w:tr w:rsidR="00A72FEE" w:rsidRPr="0017699B" w14:paraId="66A7D9BA" w14:textId="77777777" w:rsidTr="66DE4C64">
        <w:trPr>
          <w:trHeight w:val="20"/>
        </w:trPr>
        <w:tc>
          <w:tcPr>
            <w:tcW w:w="2995" w:type="dxa"/>
            <w:tcBorders>
              <w:top w:val="nil"/>
              <w:left w:val="single" w:sz="4" w:space="0" w:color="auto"/>
              <w:bottom w:val="single" w:sz="4" w:space="0" w:color="auto"/>
              <w:right w:val="nil"/>
            </w:tcBorders>
            <w:vAlign w:val="center"/>
            <w:hideMark/>
          </w:tcPr>
          <w:p w14:paraId="5307B2EF" w14:textId="77777777" w:rsidR="00A72FEE" w:rsidRPr="0017699B" w:rsidRDefault="0A8C877A" w:rsidP="00C455C5">
            <w:pPr>
              <w:bidi/>
              <w:spacing w:line="240" w:lineRule="exact"/>
              <w:rPr>
                <w:rFonts w:eastAsia="Times New Roman" w:cs="Calibri"/>
                <w:b/>
                <w:bCs/>
                <w:color w:val="000000"/>
                <w:sz w:val="16"/>
                <w:szCs w:val="16"/>
                <w:rtl/>
              </w:rPr>
            </w:pPr>
            <w:r w:rsidRPr="0017699B">
              <w:rPr>
                <w:rFonts w:cs="Calibri" w:hint="cs"/>
                <w:b/>
                <w:bCs/>
                <w:sz w:val="16"/>
                <w:szCs w:val="16"/>
                <w:rtl/>
              </w:rPr>
              <w:t>النسبة التشغيلية</w:t>
            </w:r>
            <w:r w:rsidRPr="0017699B">
              <w:rPr>
                <w:rFonts w:cs="Calibri" w:hint="cs"/>
                <w:b/>
                <w:bCs/>
                <w:sz w:val="16"/>
                <w:szCs w:val="16"/>
                <w:vertAlign w:val="superscript"/>
                <w:rtl/>
              </w:rPr>
              <w:t>5</w:t>
            </w:r>
          </w:p>
          <w:p w14:paraId="5DB5455E" w14:textId="69684FDE" w:rsidR="00A72FEE" w:rsidRPr="0017699B" w:rsidRDefault="0A8C877A" w:rsidP="00C455C5">
            <w:pPr>
              <w:bidi/>
              <w:spacing w:line="240" w:lineRule="exact"/>
              <w:rPr>
                <w:rFonts w:eastAsia="Times New Roman" w:cs="Calibri"/>
                <w:b/>
                <w:bCs/>
                <w:color w:val="000000"/>
                <w:sz w:val="16"/>
                <w:szCs w:val="16"/>
                <w:rtl/>
              </w:rPr>
            </w:pPr>
            <w:r w:rsidRPr="0017699B">
              <w:rPr>
                <w:rFonts w:cs="Calibri" w:hint="cs"/>
                <w:sz w:val="16"/>
                <w:szCs w:val="16"/>
                <w:rtl/>
              </w:rPr>
              <w:t>(الإيرادات - النفقات) : إجمالي النفقات</w:t>
            </w:r>
          </w:p>
        </w:tc>
        <w:tc>
          <w:tcPr>
            <w:tcW w:w="1106" w:type="dxa"/>
            <w:tcBorders>
              <w:top w:val="nil"/>
              <w:left w:val="nil"/>
              <w:bottom w:val="single" w:sz="4" w:space="0" w:color="auto"/>
              <w:right w:val="nil"/>
            </w:tcBorders>
            <w:vAlign w:val="center"/>
          </w:tcPr>
          <w:p w14:paraId="0E330231" w14:textId="7249E7EC" w:rsidR="00A72FEE" w:rsidRPr="0017699B" w:rsidRDefault="497FF032" w:rsidP="00C455C5">
            <w:pPr>
              <w:bidi/>
              <w:spacing w:line="240" w:lineRule="exact"/>
              <w:jc w:val="center"/>
              <w:rPr>
                <w:rFonts w:eastAsia="Times New Roman" w:cs="Calibri"/>
                <w:b/>
                <w:bCs/>
                <w:color w:val="000000"/>
                <w:sz w:val="16"/>
                <w:szCs w:val="16"/>
                <w:highlight w:val="yellow"/>
                <w:rtl/>
              </w:rPr>
            </w:pPr>
            <w:r w:rsidRPr="0017699B">
              <w:rPr>
                <w:rFonts w:cs="Calibri" w:hint="cs"/>
                <w:sz w:val="16"/>
                <w:szCs w:val="16"/>
                <w:rtl/>
              </w:rPr>
              <w:t>0.14</w:t>
            </w:r>
          </w:p>
        </w:tc>
        <w:tc>
          <w:tcPr>
            <w:tcW w:w="1106" w:type="dxa"/>
            <w:tcBorders>
              <w:top w:val="nil"/>
              <w:left w:val="nil"/>
              <w:bottom w:val="single" w:sz="4" w:space="0" w:color="auto"/>
              <w:right w:val="nil"/>
            </w:tcBorders>
            <w:noWrap/>
            <w:vAlign w:val="center"/>
          </w:tcPr>
          <w:p w14:paraId="55E7B983" w14:textId="61CCD7B4" w:rsidR="00A72FEE" w:rsidRPr="0017699B" w:rsidRDefault="0A8C877A" w:rsidP="00C455C5">
            <w:pPr>
              <w:bidi/>
              <w:spacing w:line="240" w:lineRule="exact"/>
              <w:jc w:val="center"/>
              <w:rPr>
                <w:rFonts w:eastAsia="Times New Roman" w:cs="Calibri"/>
                <w:color w:val="000000"/>
                <w:sz w:val="16"/>
                <w:szCs w:val="16"/>
                <w:rtl/>
              </w:rPr>
            </w:pPr>
            <w:r w:rsidRPr="0017699B">
              <w:rPr>
                <w:rFonts w:cs="Calibri" w:hint="cs"/>
                <w:sz w:val="16"/>
                <w:szCs w:val="16"/>
                <w:rtl/>
              </w:rPr>
              <w:t>0.15</w:t>
            </w:r>
          </w:p>
        </w:tc>
        <w:tc>
          <w:tcPr>
            <w:tcW w:w="1360" w:type="dxa"/>
            <w:tcBorders>
              <w:top w:val="nil"/>
              <w:left w:val="nil"/>
              <w:bottom w:val="single" w:sz="4" w:space="0" w:color="auto"/>
              <w:right w:val="nil"/>
            </w:tcBorders>
            <w:noWrap/>
            <w:vAlign w:val="center"/>
          </w:tcPr>
          <w:p w14:paraId="35C4BAC5" w14:textId="0A7C0F5A" w:rsidR="00A72FEE" w:rsidRPr="0017699B" w:rsidRDefault="0A8C877A" w:rsidP="00C455C5">
            <w:pPr>
              <w:bidi/>
              <w:spacing w:line="240" w:lineRule="exact"/>
              <w:jc w:val="center"/>
              <w:rPr>
                <w:rFonts w:eastAsia="Times New Roman" w:cs="Calibri"/>
                <w:color w:val="000000"/>
                <w:sz w:val="16"/>
                <w:szCs w:val="16"/>
                <w:rtl/>
              </w:rPr>
            </w:pPr>
            <w:r w:rsidRPr="0017699B">
              <w:rPr>
                <w:rFonts w:cs="Calibri" w:hint="cs"/>
                <w:sz w:val="16"/>
                <w:szCs w:val="16"/>
                <w:rtl/>
              </w:rPr>
              <w:t>0.14</w:t>
            </w:r>
          </w:p>
        </w:tc>
        <w:tc>
          <w:tcPr>
            <w:tcW w:w="1121" w:type="dxa"/>
            <w:tcBorders>
              <w:top w:val="nil"/>
              <w:left w:val="nil"/>
              <w:bottom w:val="single" w:sz="4" w:space="0" w:color="auto"/>
              <w:right w:val="nil"/>
            </w:tcBorders>
            <w:noWrap/>
            <w:vAlign w:val="center"/>
          </w:tcPr>
          <w:p w14:paraId="573DEBC9" w14:textId="5465A5F1" w:rsidR="00A72FEE" w:rsidRPr="0017699B" w:rsidRDefault="0A8C877A" w:rsidP="00C455C5">
            <w:pPr>
              <w:bidi/>
              <w:spacing w:line="240" w:lineRule="exact"/>
              <w:jc w:val="center"/>
              <w:rPr>
                <w:rFonts w:eastAsia="Times New Roman" w:cs="Calibri"/>
                <w:color w:val="000000"/>
                <w:sz w:val="16"/>
                <w:szCs w:val="16"/>
                <w:rtl/>
              </w:rPr>
            </w:pPr>
            <w:r w:rsidRPr="0017699B">
              <w:rPr>
                <w:rFonts w:cs="Calibri" w:hint="cs"/>
                <w:sz w:val="16"/>
                <w:szCs w:val="16"/>
                <w:rtl/>
              </w:rPr>
              <w:t>0.24</w:t>
            </w:r>
          </w:p>
        </w:tc>
        <w:tc>
          <w:tcPr>
            <w:tcW w:w="954" w:type="dxa"/>
            <w:tcBorders>
              <w:top w:val="nil"/>
              <w:left w:val="nil"/>
              <w:bottom w:val="single" w:sz="4" w:space="0" w:color="auto"/>
              <w:right w:val="single" w:sz="4" w:space="0" w:color="auto"/>
            </w:tcBorders>
            <w:noWrap/>
            <w:vAlign w:val="center"/>
          </w:tcPr>
          <w:p w14:paraId="7D8B5E26" w14:textId="5A9BFBDF" w:rsidR="00A72FEE" w:rsidRPr="0017699B" w:rsidRDefault="0A8C877A" w:rsidP="00C455C5">
            <w:pPr>
              <w:bidi/>
              <w:spacing w:line="240" w:lineRule="exact"/>
              <w:jc w:val="center"/>
              <w:rPr>
                <w:rFonts w:eastAsia="Times New Roman" w:cs="Calibri"/>
                <w:color w:val="000000"/>
                <w:sz w:val="16"/>
                <w:szCs w:val="16"/>
                <w:rtl/>
              </w:rPr>
            </w:pPr>
            <w:r w:rsidRPr="0017699B">
              <w:rPr>
                <w:rFonts w:cs="Calibri" w:hint="cs"/>
                <w:sz w:val="16"/>
                <w:szCs w:val="16"/>
                <w:rtl/>
              </w:rPr>
              <w:t>0.22</w:t>
            </w:r>
          </w:p>
        </w:tc>
      </w:tr>
      <w:tr w:rsidR="00F16DFF" w:rsidRPr="0017699B" w14:paraId="3FA62466" w14:textId="77777777" w:rsidTr="66DE4C64">
        <w:trPr>
          <w:trHeight w:val="20"/>
        </w:trPr>
        <w:tc>
          <w:tcPr>
            <w:tcW w:w="8642" w:type="dxa"/>
            <w:gridSpan w:val="6"/>
            <w:tcBorders>
              <w:top w:val="single" w:sz="4" w:space="0" w:color="auto"/>
              <w:left w:val="nil"/>
            </w:tcBorders>
            <w:vAlign w:val="center"/>
            <w:hideMark/>
          </w:tcPr>
          <w:p w14:paraId="1C885E4B" w14:textId="77777777" w:rsidR="00F16DFF" w:rsidRPr="0017699B" w:rsidRDefault="00F16DFF" w:rsidP="66DE4C64">
            <w:pPr>
              <w:spacing w:line="240" w:lineRule="exact"/>
              <w:rPr>
                <w:rFonts w:eastAsia="Times New Roman" w:cs="Calibri"/>
                <w:b/>
                <w:bCs/>
                <w:color w:val="000000"/>
                <w:sz w:val="16"/>
                <w:szCs w:val="16"/>
              </w:rPr>
            </w:pPr>
          </w:p>
          <w:p w14:paraId="36961287" w14:textId="15F26396" w:rsidR="00F16DFF" w:rsidRPr="0017699B" w:rsidRDefault="06B5E69A" w:rsidP="66DE4C64">
            <w:pPr>
              <w:bidi/>
              <w:spacing w:line="240" w:lineRule="exact"/>
              <w:rPr>
                <w:rFonts w:eastAsia="Times New Roman" w:cs="Calibri"/>
                <w:b/>
                <w:bCs/>
                <w:color w:val="000000"/>
                <w:sz w:val="16"/>
                <w:szCs w:val="16"/>
                <w:rtl/>
              </w:rPr>
            </w:pPr>
            <w:r w:rsidRPr="0017699B">
              <w:rPr>
                <w:rFonts w:cs="Calibri" w:hint="cs"/>
                <w:b/>
                <w:bCs/>
                <w:sz w:val="16"/>
                <w:szCs w:val="16"/>
                <w:rtl/>
              </w:rPr>
              <w:t>المصدر: بيانات الويبو المالية</w:t>
            </w:r>
          </w:p>
          <w:p w14:paraId="26833E44" w14:textId="77777777" w:rsidR="00EC4A71" w:rsidRPr="0017699B" w:rsidRDefault="351D9F1C" w:rsidP="003B269E">
            <w:pPr>
              <w:pStyle w:val="ListParagraph"/>
              <w:numPr>
                <w:ilvl w:val="0"/>
                <w:numId w:val="2"/>
              </w:numPr>
              <w:bidi/>
              <w:spacing w:line="240" w:lineRule="exact"/>
              <w:ind w:left="338" w:hanging="338"/>
              <w:jc w:val="both"/>
              <w:rPr>
                <w:rFonts w:eastAsia="Times New Roman" w:cs="Calibri"/>
                <w:color w:val="000000"/>
                <w:sz w:val="16"/>
                <w:szCs w:val="16"/>
                <w:rtl/>
              </w:rPr>
            </w:pPr>
            <w:r w:rsidRPr="0017699B">
              <w:rPr>
                <w:rFonts w:cs="Calibri" w:hint="cs"/>
                <w:sz w:val="16"/>
                <w:szCs w:val="16"/>
                <w:rtl/>
              </w:rPr>
              <w:t>تشير أي نسبة مرتفعة إلى قدرة المنظمة على سداد خصومها المتداولة.</w:t>
            </w:r>
          </w:p>
          <w:p w14:paraId="40C861F0" w14:textId="77777777" w:rsidR="00EC4A71" w:rsidRPr="0017699B" w:rsidRDefault="351D9F1C" w:rsidP="003B269E">
            <w:pPr>
              <w:pStyle w:val="ListParagraph"/>
              <w:numPr>
                <w:ilvl w:val="0"/>
                <w:numId w:val="2"/>
              </w:numPr>
              <w:bidi/>
              <w:spacing w:line="240" w:lineRule="exact"/>
              <w:ind w:left="338" w:hanging="338"/>
              <w:jc w:val="both"/>
              <w:rPr>
                <w:rFonts w:eastAsia="Times New Roman" w:cs="Calibri"/>
                <w:color w:val="000000"/>
                <w:sz w:val="16"/>
                <w:szCs w:val="16"/>
                <w:rtl/>
              </w:rPr>
            </w:pPr>
            <w:r w:rsidRPr="0017699B">
              <w:rPr>
                <w:rFonts w:cs="Calibri" w:hint="cs"/>
                <w:sz w:val="16"/>
                <w:szCs w:val="16"/>
                <w:rtl/>
              </w:rPr>
              <w:t>تُعد أي نسبة مرتفعة مؤشراً جيداً على الملاءة المالية.</w:t>
            </w:r>
          </w:p>
          <w:p w14:paraId="741DAE99" w14:textId="3DAD48AE" w:rsidR="00EC4A71" w:rsidRPr="0017699B" w:rsidRDefault="351D9F1C" w:rsidP="003B269E">
            <w:pPr>
              <w:pStyle w:val="ListParagraph"/>
              <w:numPr>
                <w:ilvl w:val="0"/>
                <w:numId w:val="2"/>
              </w:numPr>
              <w:bidi/>
              <w:spacing w:line="240" w:lineRule="exact"/>
              <w:ind w:left="338" w:hanging="338"/>
              <w:jc w:val="both"/>
              <w:rPr>
                <w:rFonts w:eastAsia="Times New Roman" w:cs="Calibri"/>
                <w:color w:val="000000"/>
                <w:sz w:val="16"/>
                <w:szCs w:val="16"/>
                <w:rtl/>
              </w:rPr>
            </w:pPr>
            <w:r w:rsidRPr="0017699B">
              <w:rPr>
                <w:rFonts w:cs="Calibri" w:hint="cs"/>
                <w:sz w:val="16"/>
                <w:szCs w:val="16"/>
                <w:rtl/>
              </w:rPr>
              <w:t>تُعد النسبة النقدية مؤشراً على سيولة المنظمة. وهي تقيس مدى كفاية النقد وما يعادله والاستثمارات قصيرة الأجل لتغطية الخصوم المتداولة.</w:t>
            </w:r>
          </w:p>
          <w:p w14:paraId="11E6AE22" w14:textId="1779A112" w:rsidR="00EC4A71" w:rsidRPr="0017699B" w:rsidRDefault="351D9F1C" w:rsidP="003B269E">
            <w:pPr>
              <w:pStyle w:val="ListParagraph"/>
              <w:numPr>
                <w:ilvl w:val="0"/>
                <w:numId w:val="2"/>
              </w:numPr>
              <w:bidi/>
              <w:spacing w:line="240" w:lineRule="exact"/>
              <w:ind w:left="338" w:hanging="338"/>
              <w:jc w:val="both"/>
              <w:rPr>
                <w:rFonts w:eastAsia="Times New Roman" w:cs="Calibri"/>
                <w:color w:val="000000"/>
                <w:sz w:val="16"/>
                <w:szCs w:val="16"/>
                <w:rtl/>
              </w:rPr>
            </w:pPr>
            <w:r w:rsidRPr="0017699B">
              <w:rPr>
                <w:rFonts w:cs="Calibri" w:hint="cs"/>
                <w:sz w:val="16"/>
                <w:szCs w:val="16"/>
                <w:rtl/>
              </w:rPr>
              <w:t>تقيس أيام السيولة النقدية عدد الأيام التي يمكن تغطية نفقاتها من النقد الحالي وما يعادله. وبوجه عام، تشير القيم الأعلى إلى وضع سيولة أقوى، رغم أن الاحتفاظ بالاحتياطيات النقدية ينطوي على كل من فائدة وتكلفة فرصة بديلة.</w:t>
            </w:r>
          </w:p>
          <w:p w14:paraId="1C3BDD51" w14:textId="4AA493E9" w:rsidR="00F16DFF" w:rsidRPr="0017699B" w:rsidRDefault="351D9F1C" w:rsidP="003B269E">
            <w:pPr>
              <w:pStyle w:val="ListParagraph"/>
              <w:numPr>
                <w:ilvl w:val="0"/>
                <w:numId w:val="2"/>
              </w:numPr>
              <w:bidi/>
              <w:spacing w:line="240" w:lineRule="exact"/>
              <w:ind w:left="338" w:hanging="338"/>
              <w:jc w:val="both"/>
              <w:rPr>
                <w:rFonts w:eastAsia="Times New Roman" w:cs="Calibri"/>
                <w:color w:val="000000"/>
                <w:sz w:val="16"/>
                <w:szCs w:val="16"/>
                <w:rtl/>
              </w:rPr>
            </w:pPr>
            <w:r w:rsidRPr="0017699B">
              <w:rPr>
                <w:rFonts w:cs="Calibri" w:hint="cs"/>
                <w:sz w:val="16"/>
                <w:szCs w:val="16"/>
                <w:rtl/>
              </w:rPr>
              <w:t>تقيس النسبة التشغيلية صافي الإيرادات التي تحتفظ بها المنظمة كنسبة مئوية من النفقات. وبوجه عام، يتعيّن على المنظمات غير الهادفة للربح الحفاظ على بعض الفائض بهدف استبدال المرافق القائمة وسداد الدين. ينبغي تقييم هذه النسبة في سياق الاحتياجات المتوقعة للمنظمة</w:t>
            </w:r>
          </w:p>
        </w:tc>
      </w:tr>
    </w:tbl>
    <w:bookmarkEnd w:id="51"/>
    <w:p w14:paraId="3DEAC929" w14:textId="7F2EF9AE" w:rsidR="00B2110B" w:rsidRPr="0017699B" w:rsidRDefault="00B2110B" w:rsidP="00C212C9">
      <w:pPr>
        <w:pStyle w:val="ListParagraph"/>
        <w:bidi/>
        <w:spacing w:before="120" w:after="120" w:line="280" w:lineRule="exact"/>
        <w:ind w:left="336"/>
        <w:contextualSpacing w:val="0"/>
        <w:jc w:val="both"/>
        <w:rPr>
          <w:rFonts w:cs="Calibri"/>
          <w:b/>
          <w:bCs/>
          <w:rtl/>
        </w:rPr>
      </w:pPr>
      <w:r w:rsidRPr="0017699B">
        <w:rPr>
          <w:rFonts w:cs="Calibri" w:hint="cs"/>
          <w:b/>
          <w:bCs/>
          <w:rtl/>
        </w:rPr>
        <w:t>إعداد تقارير القطاعات</w:t>
      </w:r>
    </w:p>
    <w:p w14:paraId="6C059052" w14:textId="69DD4587" w:rsidR="00D817D0" w:rsidRPr="0017699B" w:rsidRDefault="00B2110B" w:rsidP="00736805">
      <w:pPr>
        <w:pStyle w:val="LFARPara"/>
        <w:bidi/>
        <w:ind w:left="851" w:hanging="491"/>
        <w:rPr>
          <w:rFonts w:ascii="Arial" w:hAnsi="Arial" w:cs="Calibri"/>
          <w:rtl/>
        </w:rPr>
      </w:pPr>
      <w:r w:rsidRPr="0017699B">
        <w:rPr>
          <w:rFonts w:ascii="Arial" w:hAnsi="Arial" w:cs="Calibri" w:hint="cs"/>
          <w:rtl/>
        </w:rPr>
        <w:t>توضح الملاحظة 20 على البيانات المالية الأداء المالي حسب الاتحاد، مع استمرار اتحاد نقابات العمال كمساهم رئيسي، حيث حقق فوائض قدرها 100.9 مليون فرنك سويسري في عام 2025. في المقابل، سجل كل من اتحاد لشبونة واتحاد لاهاي عجزاً، تم تغطيته من خلال الدعم بين الاتحادات الذي وافقت عليه الجمعيات. في عام 2025، قدّم اتحاد معاهدة التعاون بشأن البراءات مبلغ 15.7 مليون فرنك سويسري لدعم الاتحادات المموّلة من الاشتراكات، بالإضافة إلى 6.9 ملايين فرنك سويسري لتغطية عجز اتحاد لاهاي. وساهم اتحاد مدريد أيضاً بمبلغ 1.7 مليون فرنك سويسري لتعويض عجز اتحاد لشبونة، مما يسلّط الضوء على الاعتماد المتزايد على الاتحادات التي تحقق فائضاً مالياً لدعم الاتحادات التي تواجه عجزاً.</w:t>
      </w:r>
    </w:p>
    <w:p w14:paraId="418AA4CB" w14:textId="077E9280" w:rsidR="00D817D0" w:rsidRPr="001A6952" w:rsidRDefault="00D817D0" w:rsidP="001A6952">
      <w:pPr>
        <w:pStyle w:val="Heading3"/>
        <w:numPr>
          <w:ilvl w:val="0"/>
          <w:numId w:val="5"/>
        </w:numPr>
        <w:bidi/>
        <w:rPr>
          <w:rFonts w:ascii="Arial" w:hAnsi="Arial" w:cs="Calibri"/>
          <w:rtl/>
        </w:rPr>
      </w:pPr>
      <w:bookmarkStart w:id="52" w:name="_Toc227826023"/>
      <w:bookmarkStart w:id="53" w:name="_Toc230784716"/>
      <w:r w:rsidRPr="0017699B">
        <w:rPr>
          <w:rFonts w:ascii="Arial" w:hAnsi="Arial" w:cs="Calibri" w:hint="cs"/>
          <w:rtl/>
        </w:rPr>
        <w:t>متابعة التوصيات السابقة</w:t>
      </w:r>
      <w:bookmarkEnd w:id="52"/>
      <w:bookmarkEnd w:id="53"/>
    </w:p>
    <w:p w14:paraId="3051F09B" w14:textId="72C64A6E" w:rsidR="001B1146" w:rsidRPr="0017699B" w:rsidRDefault="001B1146" w:rsidP="00736805">
      <w:pPr>
        <w:pStyle w:val="LFARPara"/>
        <w:bidi/>
        <w:ind w:left="851" w:hanging="491"/>
        <w:rPr>
          <w:rFonts w:ascii="Arial" w:hAnsi="Arial" w:cs="Calibri"/>
          <w:rtl/>
        </w:rPr>
      </w:pPr>
      <w:r w:rsidRPr="0017699B">
        <w:rPr>
          <w:rFonts w:ascii="Arial" w:hAnsi="Arial" w:cs="Calibri" w:hint="cs"/>
          <w:rtl/>
        </w:rPr>
        <w:t xml:space="preserve">حتى 31 ديسمبر 2025، كانت هناك ثلاث توصيات من أصل 26 توصية من تقارير المدقق الخارجي من 2021 إلى 2025 لا تزال معلقة. في مراجعة البيانات المالية للسنة المنتهية في 31 ديسمبر 2025، استعرض مجلس </w:t>
      </w:r>
      <w:r w:rsidRPr="0017699B">
        <w:rPr>
          <w:rFonts w:ascii="Arial" w:hAnsi="Arial" w:cs="Calibri"/>
        </w:rPr>
        <w:t>BPK</w:t>
      </w:r>
      <w:r w:rsidRPr="0017699B">
        <w:rPr>
          <w:rFonts w:ascii="Arial" w:hAnsi="Arial" w:cs="Calibri" w:hint="cs"/>
          <w:rtl/>
        </w:rPr>
        <w:t xml:space="preserve"> التقدم المحرز في تنفيذ هذه التوصيات وخلصت إلى أن ست توصيات قد تم إنجازها بالكامل.</w:t>
      </w:r>
    </w:p>
    <w:p w14:paraId="5288286C" w14:textId="45CB0AEC" w:rsidR="001B1146" w:rsidRPr="0017699B" w:rsidRDefault="269DB888" w:rsidP="00736805">
      <w:pPr>
        <w:pStyle w:val="LFARPara"/>
        <w:bidi/>
        <w:ind w:left="851" w:hanging="491"/>
        <w:rPr>
          <w:rFonts w:ascii="Arial" w:hAnsi="Arial" w:cs="Calibri"/>
          <w:rtl/>
        </w:rPr>
      </w:pPr>
      <w:r w:rsidRPr="0017699B">
        <w:rPr>
          <w:rFonts w:ascii="Arial" w:hAnsi="Arial" w:cs="Calibri" w:hint="cs"/>
          <w:rtl/>
        </w:rPr>
        <w:t xml:space="preserve">وترد أدناه تفاصيل حالة تنفيذ التوصيات الواردة في تقارير المدقق الخارجي في الجدول 2 والمرفق 1 من هذا التقرير.  </w:t>
      </w:r>
    </w:p>
    <w:p w14:paraId="4C83A754" w14:textId="57112F81" w:rsidR="001B1146" w:rsidRPr="0017699B" w:rsidRDefault="001B1146" w:rsidP="00736805">
      <w:pPr>
        <w:pStyle w:val="Caption"/>
        <w:bidi/>
        <w:spacing w:before="240"/>
        <w:ind w:left="357" w:right="-40"/>
        <w:rPr>
          <w:rFonts w:cs="Calibri"/>
          <w:rtl/>
        </w:rPr>
      </w:pPr>
      <w:bookmarkStart w:id="54" w:name="_Toc223114053"/>
      <w:bookmarkStart w:id="55" w:name="_Toc228101642"/>
      <w:r w:rsidRPr="0017699B">
        <w:rPr>
          <w:rFonts w:cs="Calibri" w:hint="cs"/>
          <w:rtl/>
        </w:rPr>
        <w:t xml:space="preserve">الجدول </w:t>
      </w:r>
      <w:r w:rsidRPr="0017699B">
        <w:rPr>
          <w:rFonts w:cs="Calibri"/>
        </w:rPr>
        <w:fldChar w:fldCharType="begin"/>
      </w:r>
      <w:r w:rsidRPr="0017699B">
        <w:rPr>
          <w:rFonts w:cs="Calibri"/>
          <w:rtl/>
        </w:rPr>
        <w:instrText xml:space="preserve"> </w:instrText>
      </w:r>
      <w:r w:rsidRPr="0017699B">
        <w:rPr>
          <w:rFonts w:cs="Calibri"/>
        </w:rPr>
        <w:instrText xml:space="preserve">SEQ Table \* ARABIC </w:instrText>
      </w:r>
      <w:r w:rsidRPr="0017699B">
        <w:rPr>
          <w:rFonts w:cs="Calibri"/>
        </w:rPr>
        <w:fldChar w:fldCharType="separate"/>
      </w:r>
      <w:r w:rsidR="009258BE" w:rsidRPr="0017699B">
        <w:rPr>
          <w:rFonts w:cs="Calibri" w:hint="cs"/>
          <w:rtl/>
        </w:rPr>
        <w:t>2</w:t>
      </w:r>
      <w:r w:rsidRPr="0017699B">
        <w:rPr>
          <w:rFonts w:cs="Calibri"/>
        </w:rPr>
        <w:fldChar w:fldCharType="end"/>
      </w:r>
      <w:r w:rsidRPr="0017699B">
        <w:rPr>
          <w:rFonts w:cs="Calibri" w:hint="cs"/>
          <w:rtl/>
        </w:rPr>
        <w:t>. ملخص حالة تنفيذ توصيات المدقق الخارجي من السنوات السابقة</w:t>
      </w:r>
      <w:bookmarkEnd w:id="54"/>
      <w:bookmarkEnd w:id="55"/>
    </w:p>
    <w:tbl>
      <w:tblPr>
        <w:tblStyle w:val="TableGrid3"/>
        <w:bidiVisual/>
        <w:tblW w:w="8664" w:type="dxa"/>
        <w:tblInd w:w="421" w:type="dxa"/>
        <w:tblLayout w:type="fixed"/>
        <w:tblLook w:val="04A0" w:firstRow="1" w:lastRow="0" w:firstColumn="1" w:lastColumn="0" w:noHBand="0" w:noVBand="1"/>
      </w:tblPr>
      <w:tblGrid>
        <w:gridCol w:w="643"/>
        <w:gridCol w:w="861"/>
        <w:gridCol w:w="617"/>
        <w:gridCol w:w="992"/>
        <w:gridCol w:w="997"/>
        <w:gridCol w:w="851"/>
        <w:gridCol w:w="1164"/>
        <w:gridCol w:w="808"/>
        <w:gridCol w:w="1140"/>
        <w:gridCol w:w="8"/>
        <w:gridCol w:w="583"/>
      </w:tblGrid>
      <w:tr w:rsidR="00846980" w:rsidRPr="0017699B" w14:paraId="1F551A3C" w14:textId="77777777" w:rsidTr="66DE4C64">
        <w:trPr>
          <w:tblHeader/>
        </w:trPr>
        <w:tc>
          <w:tcPr>
            <w:tcW w:w="643" w:type="dxa"/>
            <w:vMerge w:val="restart"/>
            <w:shd w:val="clear" w:color="auto" w:fill="DEEAF6" w:themeFill="accent1" w:themeFillTint="33"/>
            <w:vAlign w:val="center"/>
          </w:tcPr>
          <w:p w14:paraId="28782894" w14:textId="77777777" w:rsidR="00846980" w:rsidRPr="0017699B" w:rsidRDefault="323B463C" w:rsidP="66DE4C64">
            <w:pPr>
              <w:bidi/>
              <w:jc w:val="center"/>
              <w:rPr>
                <w:rFonts w:cs="Calibri"/>
                <w:b/>
                <w:bCs/>
                <w:sz w:val="16"/>
                <w:szCs w:val="16"/>
                <w:rtl/>
              </w:rPr>
            </w:pPr>
            <w:r w:rsidRPr="0017699B">
              <w:rPr>
                <w:rFonts w:cs="Calibri" w:hint="cs"/>
                <w:b/>
                <w:bCs/>
                <w:sz w:val="16"/>
                <w:szCs w:val="16"/>
                <w:rtl/>
              </w:rPr>
              <w:t>العام</w:t>
            </w:r>
          </w:p>
        </w:tc>
        <w:tc>
          <w:tcPr>
            <w:tcW w:w="1478" w:type="dxa"/>
            <w:gridSpan w:val="2"/>
            <w:vMerge w:val="restart"/>
            <w:shd w:val="clear" w:color="auto" w:fill="DEEAF6" w:themeFill="accent1" w:themeFillTint="33"/>
            <w:vAlign w:val="center"/>
          </w:tcPr>
          <w:p w14:paraId="7BC19641" w14:textId="5B2F8008" w:rsidR="00846980" w:rsidRPr="0017699B" w:rsidRDefault="323B463C" w:rsidP="00322027">
            <w:pPr>
              <w:bidi/>
              <w:jc w:val="center"/>
              <w:rPr>
                <w:rFonts w:cs="Calibri"/>
                <w:b/>
                <w:bCs/>
                <w:sz w:val="16"/>
                <w:szCs w:val="16"/>
                <w:rtl/>
              </w:rPr>
            </w:pPr>
            <w:r w:rsidRPr="0017699B">
              <w:rPr>
                <w:rFonts w:cs="Calibri" w:hint="cs"/>
                <w:b/>
                <w:bCs/>
                <w:sz w:val="16"/>
                <w:szCs w:val="16"/>
                <w:rtl/>
              </w:rPr>
              <w:t>إجمالي التوصيات</w:t>
            </w:r>
          </w:p>
        </w:tc>
        <w:tc>
          <w:tcPr>
            <w:tcW w:w="1989" w:type="dxa"/>
            <w:gridSpan w:val="2"/>
            <w:shd w:val="clear" w:color="auto" w:fill="DEEAF6" w:themeFill="accent1" w:themeFillTint="33"/>
            <w:vAlign w:val="center"/>
          </w:tcPr>
          <w:p w14:paraId="4CAE4841" w14:textId="112D31B2" w:rsidR="00846980" w:rsidRPr="0017699B" w:rsidRDefault="323B463C" w:rsidP="00C455C5">
            <w:pPr>
              <w:bidi/>
              <w:jc w:val="center"/>
              <w:rPr>
                <w:rFonts w:cs="Calibri"/>
                <w:b/>
                <w:bCs/>
                <w:sz w:val="16"/>
                <w:szCs w:val="16"/>
                <w:rtl/>
              </w:rPr>
            </w:pPr>
            <w:r w:rsidRPr="0017699B">
              <w:rPr>
                <w:rFonts w:cs="Calibri" w:hint="cs"/>
                <w:rtl/>
              </w:rPr>
              <w:t>حتى 31 ديسمبر 2025</w:t>
            </w:r>
          </w:p>
        </w:tc>
        <w:tc>
          <w:tcPr>
            <w:tcW w:w="851" w:type="dxa"/>
            <w:vMerge w:val="restart"/>
            <w:shd w:val="clear" w:color="auto" w:fill="DEEAF6" w:themeFill="accent1" w:themeFillTint="33"/>
            <w:vAlign w:val="center"/>
          </w:tcPr>
          <w:p w14:paraId="5516BD34" w14:textId="090B2FBD" w:rsidR="00846980" w:rsidRPr="0017699B" w:rsidRDefault="323B463C" w:rsidP="66DE4C64">
            <w:pPr>
              <w:bidi/>
              <w:jc w:val="center"/>
              <w:rPr>
                <w:rFonts w:cs="Calibri"/>
                <w:b/>
                <w:bCs/>
                <w:sz w:val="16"/>
                <w:szCs w:val="16"/>
                <w:rtl/>
              </w:rPr>
            </w:pPr>
            <w:r w:rsidRPr="0017699B">
              <w:rPr>
                <w:rFonts w:cs="Calibri" w:hint="cs"/>
                <w:b/>
                <w:bCs/>
                <w:sz w:val="16"/>
                <w:szCs w:val="16"/>
                <w:rtl/>
              </w:rPr>
              <w:t>تم التنفيذ/الإغلاق خلال عام 2025</w:t>
            </w:r>
          </w:p>
        </w:tc>
        <w:tc>
          <w:tcPr>
            <w:tcW w:w="3703" w:type="dxa"/>
            <w:gridSpan w:val="5"/>
            <w:shd w:val="clear" w:color="auto" w:fill="DEEAF6" w:themeFill="accent1" w:themeFillTint="33"/>
            <w:vAlign w:val="center"/>
          </w:tcPr>
          <w:p w14:paraId="64655AB1" w14:textId="65113F3D" w:rsidR="00846980" w:rsidRPr="0017699B" w:rsidRDefault="323B463C" w:rsidP="00786063">
            <w:pPr>
              <w:bidi/>
              <w:jc w:val="center"/>
              <w:rPr>
                <w:rFonts w:cs="Calibri"/>
                <w:b/>
                <w:bCs/>
                <w:sz w:val="16"/>
                <w:szCs w:val="16"/>
                <w:rtl/>
              </w:rPr>
            </w:pPr>
            <w:r w:rsidRPr="0017699B">
              <w:rPr>
                <w:rFonts w:cs="Calibri" w:hint="cs"/>
                <w:rtl/>
              </w:rPr>
              <w:t>حتى تاريخ 31 مارس 2026</w:t>
            </w:r>
          </w:p>
        </w:tc>
      </w:tr>
      <w:tr w:rsidR="00846980" w:rsidRPr="0017699B" w14:paraId="4909788D" w14:textId="77777777" w:rsidTr="66DE4C64">
        <w:trPr>
          <w:tblHeader/>
        </w:trPr>
        <w:tc>
          <w:tcPr>
            <w:tcW w:w="643" w:type="dxa"/>
            <w:vMerge/>
            <w:vAlign w:val="center"/>
          </w:tcPr>
          <w:p w14:paraId="1EDC32C9" w14:textId="77777777" w:rsidR="00846980" w:rsidRPr="0017699B" w:rsidRDefault="00846980" w:rsidP="00C455C5">
            <w:pPr>
              <w:jc w:val="center"/>
              <w:rPr>
                <w:rFonts w:cs="Calibri"/>
                <w:b/>
                <w:sz w:val="16"/>
                <w:szCs w:val="16"/>
              </w:rPr>
            </w:pPr>
          </w:p>
        </w:tc>
        <w:tc>
          <w:tcPr>
            <w:tcW w:w="1478" w:type="dxa"/>
            <w:gridSpan w:val="2"/>
            <w:vMerge/>
            <w:vAlign w:val="center"/>
          </w:tcPr>
          <w:p w14:paraId="00950B56" w14:textId="77777777" w:rsidR="00846980" w:rsidRPr="0017699B" w:rsidRDefault="00846980" w:rsidP="00C455C5">
            <w:pPr>
              <w:jc w:val="center"/>
              <w:rPr>
                <w:rFonts w:cs="Calibri"/>
                <w:b/>
                <w:sz w:val="16"/>
                <w:szCs w:val="16"/>
              </w:rPr>
            </w:pPr>
          </w:p>
        </w:tc>
        <w:tc>
          <w:tcPr>
            <w:tcW w:w="992" w:type="dxa"/>
            <w:vMerge w:val="restart"/>
            <w:shd w:val="clear" w:color="auto" w:fill="DEEAF6" w:themeFill="accent1" w:themeFillTint="33"/>
            <w:vAlign w:val="center"/>
          </w:tcPr>
          <w:p w14:paraId="70E08C33" w14:textId="2FAFCDDB" w:rsidR="00846980" w:rsidRPr="0017699B" w:rsidRDefault="323B463C" w:rsidP="66DE4C64">
            <w:pPr>
              <w:bidi/>
              <w:jc w:val="center"/>
              <w:rPr>
                <w:rFonts w:cs="Calibri"/>
                <w:b/>
                <w:bCs/>
                <w:sz w:val="16"/>
                <w:szCs w:val="16"/>
                <w:rtl/>
              </w:rPr>
            </w:pPr>
            <w:r w:rsidRPr="0017699B">
              <w:rPr>
                <w:rFonts w:cs="Calibri" w:hint="cs"/>
                <w:b/>
                <w:bCs/>
                <w:sz w:val="16"/>
                <w:szCs w:val="16"/>
                <w:rtl/>
              </w:rPr>
              <w:t>تم التنفيذ -</w:t>
            </w:r>
          </w:p>
        </w:tc>
        <w:tc>
          <w:tcPr>
            <w:tcW w:w="997" w:type="dxa"/>
            <w:vMerge w:val="restart"/>
            <w:shd w:val="clear" w:color="auto" w:fill="DEEAF6" w:themeFill="accent1" w:themeFillTint="33"/>
            <w:vAlign w:val="center"/>
          </w:tcPr>
          <w:p w14:paraId="716F75F0" w14:textId="06792095" w:rsidR="00846980" w:rsidRPr="0017699B" w:rsidRDefault="323B463C" w:rsidP="66DE4C64">
            <w:pPr>
              <w:bidi/>
              <w:jc w:val="center"/>
              <w:rPr>
                <w:rFonts w:cs="Calibri"/>
                <w:b/>
                <w:bCs/>
                <w:sz w:val="16"/>
                <w:szCs w:val="16"/>
                <w:rtl/>
              </w:rPr>
            </w:pPr>
            <w:r w:rsidRPr="0017699B">
              <w:rPr>
                <w:rFonts w:cs="Calibri" w:hint="cs"/>
                <w:rtl/>
              </w:rPr>
              <w:t>قيد التنفيذ</w:t>
            </w:r>
          </w:p>
        </w:tc>
        <w:tc>
          <w:tcPr>
            <w:tcW w:w="851" w:type="dxa"/>
            <w:vMerge/>
            <w:vAlign w:val="center"/>
          </w:tcPr>
          <w:p w14:paraId="5C0C75D7" w14:textId="77777777" w:rsidR="00846980" w:rsidRPr="0017699B" w:rsidRDefault="00846980" w:rsidP="00C455C5">
            <w:pPr>
              <w:jc w:val="center"/>
              <w:rPr>
                <w:rFonts w:cs="Calibri"/>
                <w:b/>
                <w:sz w:val="16"/>
                <w:szCs w:val="16"/>
              </w:rPr>
            </w:pPr>
          </w:p>
        </w:tc>
        <w:tc>
          <w:tcPr>
            <w:tcW w:w="1972" w:type="dxa"/>
            <w:gridSpan w:val="2"/>
            <w:shd w:val="clear" w:color="auto" w:fill="DEEAF6" w:themeFill="accent1" w:themeFillTint="33"/>
            <w:vAlign w:val="center"/>
          </w:tcPr>
          <w:p w14:paraId="6511AA78" w14:textId="5C084C5B" w:rsidR="00846980" w:rsidRPr="0017699B" w:rsidRDefault="323B463C" w:rsidP="66DE4C64">
            <w:pPr>
              <w:bidi/>
              <w:jc w:val="center"/>
              <w:rPr>
                <w:rFonts w:cs="Calibri"/>
                <w:b/>
                <w:bCs/>
                <w:sz w:val="16"/>
                <w:szCs w:val="16"/>
                <w:rtl/>
              </w:rPr>
            </w:pPr>
            <w:r w:rsidRPr="0017699B">
              <w:rPr>
                <w:rFonts w:cs="Calibri" w:hint="cs"/>
                <w:b/>
                <w:bCs/>
                <w:sz w:val="16"/>
                <w:szCs w:val="16"/>
                <w:rtl/>
              </w:rPr>
              <w:t>تم التنفيذ/الإغلاق</w:t>
            </w:r>
          </w:p>
        </w:tc>
        <w:tc>
          <w:tcPr>
            <w:tcW w:w="1731" w:type="dxa"/>
            <w:gridSpan w:val="3"/>
            <w:shd w:val="clear" w:color="auto" w:fill="DEEAF6" w:themeFill="accent1" w:themeFillTint="33"/>
            <w:vAlign w:val="center"/>
          </w:tcPr>
          <w:p w14:paraId="71C5B6FA" w14:textId="77777777" w:rsidR="00846980" w:rsidRPr="0017699B" w:rsidRDefault="323B463C" w:rsidP="66DE4C64">
            <w:pPr>
              <w:bidi/>
              <w:jc w:val="center"/>
              <w:rPr>
                <w:rFonts w:cs="Calibri"/>
                <w:b/>
                <w:bCs/>
                <w:sz w:val="16"/>
                <w:szCs w:val="16"/>
                <w:rtl/>
              </w:rPr>
            </w:pPr>
            <w:r w:rsidRPr="0017699B">
              <w:rPr>
                <w:rFonts w:cs="Calibri" w:hint="cs"/>
                <w:b/>
                <w:bCs/>
                <w:sz w:val="16"/>
                <w:szCs w:val="16"/>
                <w:rtl/>
              </w:rPr>
              <w:t>قيد التنفيذ</w:t>
            </w:r>
          </w:p>
        </w:tc>
      </w:tr>
      <w:tr w:rsidR="00846980" w:rsidRPr="0017699B" w14:paraId="437E56A5" w14:textId="77777777" w:rsidTr="00795D4A">
        <w:trPr>
          <w:trHeight w:val="313"/>
          <w:tblHeader/>
        </w:trPr>
        <w:tc>
          <w:tcPr>
            <w:tcW w:w="643" w:type="dxa"/>
            <w:vMerge/>
            <w:tcBorders>
              <w:bottom w:val="single" w:sz="4" w:space="0" w:color="auto"/>
            </w:tcBorders>
            <w:vAlign w:val="center"/>
          </w:tcPr>
          <w:p w14:paraId="0B628A13" w14:textId="77777777" w:rsidR="00846980" w:rsidRPr="0017699B" w:rsidRDefault="00846980" w:rsidP="00C455C5">
            <w:pPr>
              <w:jc w:val="center"/>
              <w:rPr>
                <w:rFonts w:cs="Calibri"/>
                <w:b/>
                <w:sz w:val="16"/>
                <w:szCs w:val="16"/>
              </w:rPr>
            </w:pPr>
          </w:p>
        </w:tc>
        <w:tc>
          <w:tcPr>
            <w:tcW w:w="1478" w:type="dxa"/>
            <w:gridSpan w:val="2"/>
            <w:vMerge/>
            <w:vAlign w:val="center"/>
          </w:tcPr>
          <w:p w14:paraId="5E57AE00" w14:textId="77777777" w:rsidR="00846980" w:rsidRPr="0017699B" w:rsidRDefault="00846980" w:rsidP="00C455C5">
            <w:pPr>
              <w:jc w:val="center"/>
              <w:rPr>
                <w:rFonts w:cs="Calibri"/>
                <w:b/>
                <w:sz w:val="16"/>
                <w:szCs w:val="16"/>
              </w:rPr>
            </w:pPr>
          </w:p>
        </w:tc>
        <w:tc>
          <w:tcPr>
            <w:tcW w:w="992" w:type="dxa"/>
            <w:vMerge/>
            <w:vAlign w:val="center"/>
          </w:tcPr>
          <w:p w14:paraId="64BB318E" w14:textId="77777777" w:rsidR="00846980" w:rsidRPr="0017699B" w:rsidRDefault="00846980" w:rsidP="00C455C5">
            <w:pPr>
              <w:jc w:val="center"/>
              <w:rPr>
                <w:rFonts w:cs="Calibri"/>
                <w:b/>
                <w:sz w:val="16"/>
                <w:szCs w:val="16"/>
              </w:rPr>
            </w:pPr>
          </w:p>
        </w:tc>
        <w:tc>
          <w:tcPr>
            <w:tcW w:w="997" w:type="dxa"/>
            <w:vMerge/>
            <w:vAlign w:val="center"/>
          </w:tcPr>
          <w:p w14:paraId="7C690294" w14:textId="77777777" w:rsidR="00846980" w:rsidRPr="0017699B" w:rsidRDefault="00846980" w:rsidP="00C455C5">
            <w:pPr>
              <w:jc w:val="center"/>
              <w:rPr>
                <w:rFonts w:cs="Calibri"/>
                <w:b/>
                <w:sz w:val="16"/>
                <w:szCs w:val="16"/>
              </w:rPr>
            </w:pPr>
          </w:p>
        </w:tc>
        <w:tc>
          <w:tcPr>
            <w:tcW w:w="851" w:type="dxa"/>
            <w:vMerge/>
            <w:vAlign w:val="center"/>
          </w:tcPr>
          <w:p w14:paraId="6394DA7B" w14:textId="77777777" w:rsidR="00846980" w:rsidRPr="0017699B" w:rsidRDefault="00846980" w:rsidP="00C455C5">
            <w:pPr>
              <w:jc w:val="center"/>
              <w:rPr>
                <w:rFonts w:cs="Calibri"/>
                <w:b/>
                <w:sz w:val="16"/>
                <w:szCs w:val="16"/>
              </w:rPr>
            </w:pPr>
          </w:p>
        </w:tc>
        <w:tc>
          <w:tcPr>
            <w:tcW w:w="1164" w:type="dxa"/>
            <w:shd w:val="clear" w:color="auto" w:fill="DEEAF6" w:themeFill="accent1" w:themeFillTint="33"/>
            <w:vAlign w:val="center"/>
          </w:tcPr>
          <w:p w14:paraId="55893225" w14:textId="6B98F366" w:rsidR="00846980" w:rsidRPr="0017699B" w:rsidRDefault="323B463C" w:rsidP="00322027">
            <w:pPr>
              <w:bidi/>
              <w:jc w:val="center"/>
              <w:rPr>
                <w:rFonts w:cs="Calibri"/>
                <w:b/>
                <w:bCs/>
                <w:sz w:val="16"/>
                <w:szCs w:val="16"/>
                <w:rtl/>
              </w:rPr>
            </w:pPr>
            <w:r w:rsidRPr="0017699B">
              <w:rPr>
                <w:rFonts w:cs="Calibri" w:hint="cs"/>
                <w:b/>
                <w:bCs/>
                <w:sz w:val="16"/>
                <w:szCs w:val="16"/>
                <w:rtl/>
              </w:rPr>
              <w:t>عدد التوصيات</w:t>
            </w:r>
          </w:p>
        </w:tc>
        <w:tc>
          <w:tcPr>
            <w:tcW w:w="808" w:type="dxa"/>
            <w:shd w:val="clear" w:color="auto" w:fill="DEEAF6" w:themeFill="accent1" w:themeFillTint="33"/>
            <w:vAlign w:val="center"/>
          </w:tcPr>
          <w:p w14:paraId="0B5588D7" w14:textId="77777777" w:rsidR="00846980" w:rsidRPr="0017699B" w:rsidRDefault="323B463C" w:rsidP="66DE4C64">
            <w:pPr>
              <w:bidi/>
              <w:jc w:val="center"/>
              <w:rPr>
                <w:rFonts w:cs="Calibri"/>
                <w:b/>
                <w:bCs/>
                <w:sz w:val="16"/>
                <w:szCs w:val="16"/>
                <w:rtl/>
              </w:rPr>
            </w:pPr>
            <w:r w:rsidRPr="0017699B">
              <w:rPr>
                <w:rFonts w:cs="Calibri" w:hint="cs"/>
                <w:b/>
                <w:bCs/>
                <w:sz w:val="16"/>
                <w:szCs w:val="16"/>
                <w:rtl/>
              </w:rPr>
              <w:t>%</w:t>
            </w:r>
          </w:p>
        </w:tc>
        <w:tc>
          <w:tcPr>
            <w:tcW w:w="1148" w:type="dxa"/>
            <w:gridSpan w:val="2"/>
            <w:shd w:val="clear" w:color="auto" w:fill="DEEAF6" w:themeFill="accent1" w:themeFillTint="33"/>
            <w:vAlign w:val="center"/>
          </w:tcPr>
          <w:p w14:paraId="6B6F59F3" w14:textId="77777777" w:rsidR="00846980" w:rsidRPr="0017699B" w:rsidRDefault="323B463C" w:rsidP="66DE4C64">
            <w:pPr>
              <w:bidi/>
              <w:jc w:val="center"/>
              <w:rPr>
                <w:rFonts w:cs="Calibri"/>
                <w:b/>
                <w:bCs/>
                <w:sz w:val="16"/>
                <w:szCs w:val="16"/>
                <w:rtl/>
              </w:rPr>
            </w:pPr>
            <w:r w:rsidRPr="0017699B">
              <w:rPr>
                <w:rFonts w:cs="Calibri" w:hint="cs"/>
                <w:b/>
                <w:bCs/>
                <w:sz w:val="16"/>
                <w:szCs w:val="16"/>
                <w:rtl/>
              </w:rPr>
              <w:t>عدد التوصيات</w:t>
            </w:r>
          </w:p>
        </w:tc>
        <w:tc>
          <w:tcPr>
            <w:tcW w:w="583" w:type="dxa"/>
            <w:shd w:val="clear" w:color="auto" w:fill="DEEAF6" w:themeFill="accent1" w:themeFillTint="33"/>
            <w:vAlign w:val="center"/>
          </w:tcPr>
          <w:p w14:paraId="29DAA1CF" w14:textId="77777777" w:rsidR="00846980" w:rsidRPr="0017699B" w:rsidRDefault="323B463C" w:rsidP="66DE4C64">
            <w:pPr>
              <w:bidi/>
              <w:jc w:val="center"/>
              <w:rPr>
                <w:rFonts w:cs="Calibri"/>
                <w:b/>
                <w:bCs/>
                <w:sz w:val="16"/>
                <w:szCs w:val="16"/>
                <w:rtl/>
              </w:rPr>
            </w:pPr>
            <w:r w:rsidRPr="0017699B">
              <w:rPr>
                <w:rFonts w:cs="Calibri" w:hint="cs"/>
                <w:b/>
                <w:bCs/>
                <w:sz w:val="16"/>
                <w:szCs w:val="16"/>
                <w:rtl/>
              </w:rPr>
              <w:t>%</w:t>
            </w:r>
          </w:p>
        </w:tc>
      </w:tr>
      <w:tr w:rsidR="00846980" w:rsidRPr="0017699B" w14:paraId="18755FF5" w14:textId="77777777" w:rsidTr="00795D4A">
        <w:trPr>
          <w:trHeight w:val="340"/>
        </w:trPr>
        <w:tc>
          <w:tcPr>
            <w:tcW w:w="643" w:type="dxa"/>
            <w:tcBorders>
              <w:bottom w:val="nil"/>
            </w:tcBorders>
            <w:vAlign w:val="center"/>
          </w:tcPr>
          <w:p w14:paraId="60CEC69D" w14:textId="77777777" w:rsidR="00846980" w:rsidRPr="0017699B" w:rsidRDefault="323B463C">
            <w:pPr>
              <w:bidi/>
              <w:jc w:val="both"/>
              <w:rPr>
                <w:rFonts w:cs="Calibri"/>
                <w:b/>
                <w:sz w:val="16"/>
                <w:szCs w:val="16"/>
                <w:rtl/>
              </w:rPr>
            </w:pPr>
            <w:r w:rsidRPr="0017699B">
              <w:rPr>
                <w:rFonts w:cs="Calibri" w:hint="cs"/>
                <w:b/>
                <w:bCs/>
                <w:sz w:val="16"/>
                <w:szCs w:val="16"/>
                <w:rtl/>
              </w:rPr>
              <w:t>2024</w:t>
            </w:r>
          </w:p>
        </w:tc>
        <w:tc>
          <w:tcPr>
            <w:tcW w:w="861" w:type="dxa"/>
            <w:vAlign w:val="center"/>
          </w:tcPr>
          <w:p w14:paraId="77A66A98" w14:textId="77777777" w:rsidR="00846980" w:rsidRPr="0017699B" w:rsidRDefault="323B463C">
            <w:pPr>
              <w:bidi/>
              <w:jc w:val="center"/>
              <w:rPr>
                <w:rFonts w:cs="Calibri"/>
                <w:sz w:val="16"/>
                <w:szCs w:val="16"/>
                <w:rtl/>
              </w:rPr>
            </w:pPr>
            <w:r w:rsidRPr="0017699B">
              <w:rPr>
                <w:rFonts w:cs="Calibri"/>
                <w:sz w:val="16"/>
                <w:szCs w:val="16"/>
              </w:rPr>
              <w:t>FA</w:t>
            </w:r>
          </w:p>
        </w:tc>
        <w:tc>
          <w:tcPr>
            <w:tcW w:w="617" w:type="dxa"/>
            <w:vAlign w:val="center"/>
          </w:tcPr>
          <w:p w14:paraId="46544932" w14:textId="1144A35F" w:rsidR="00846980" w:rsidRPr="0017699B" w:rsidRDefault="3B901125">
            <w:pPr>
              <w:bidi/>
              <w:jc w:val="center"/>
              <w:rPr>
                <w:rFonts w:cs="Calibri"/>
                <w:sz w:val="16"/>
                <w:szCs w:val="16"/>
                <w:rtl/>
              </w:rPr>
            </w:pPr>
            <w:r w:rsidRPr="0017699B">
              <w:rPr>
                <w:rFonts w:cs="Calibri" w:hint="cs"/>
                <w:sz w:val="16"/>
                <w:szCs w:val="16"/>
                <w:rtl/>
              </w:rPr>
              <w:t>3</w:t>
            </w:r>
          </w:p>
        </w:tc>
        <w:tc>
          <w:tcPr>
            <w:tcW w:w="992" w:type="dxa"/>
            <w:vAlign w:val="center"/>
          </w:tcPr>
          <w:p w14:paraId="2A88E64C" w14:textId="3A344525" w:rsidR="00846980" w:rsidRPr="0017699B" w:rsidRDefault="71A2BD08">
            <w:pPr>
              <w:bidi/>
              <w:jc w:val="center"/>
              <w:rPr>
                <w:rFonts w:cs="Calibri"/>
                <w:sz w:val="16"/>
                <w:szCs w:val="16"/>
                <w:rtl/>
              </w:rPr>
            </w:pPr>
            <w:r w:rsidRPr="0017699B">
              <w:rPr>
                <w:rFonts w:cs="Calibri" w:hint="cs"/>
                <w:sz w:val="16"/>
                <w:szCs w:val="16"/>
                <w:rtl/>
              </w:rPr>
              <w:t>0</w:t>
            </w:r>
          </w:p>
        </w:tc>
        <w:tc>
          <w:tcPr>
            <w:tcW w:w="997" w:type="dxa"/>
            <w:vAlign w:val="center"/>
          </w:tcPr>
          <w:p w14:paraId="60F7B0FF" w14:textId="71C7EDED" w:rsidR="00846980" w:rsidRPr="0017699B" w:rsidRDefault="71A2BD08">
            <w:pPr>
              <w:bidi/>
              <w:jc w:val="center"/>
              <w:rPr>
                <w:rFonts w:cs="Calibri"/>
                <w:sz w:val="16"/>
                <w:szCs w:val="16"/>
                <w:rtl/>
              </w:rPr>
            </w:pPr>
            <w:r w:rsidRPr="0017699B">
              <w:rPr>
                <w:rFonts w:cs="Calibri" w:hint="cs"/>
                <w:sz w:val="16"/>
                <w:szCs w:val="16"/>
                <w:rtl/>
              </w:rPr>
              <w:t>3</w:t>
            </w:r>
          </w:p>
        </w:tc>
        <w:tc>
          <w:tcPr>
            <w:tcW w:w="851" w:type="dxa"/>
            <w:vAlign w:val="center"/>
          </w:tcPr>
          <w:p w14:paraId="194E1A1B" w14:textId="0804F673" w:rsidR="00846980" w:rsidRPr="0017699B" w:rsidRDefault="0050ED3C">
            <w:pPr>
              <w:bidi/>
              <w:jc w:val="center"/>
              <w:rPr>
                <w:rFonts w:cs="Calibri"/>
                <w:sz w:val="16"/>
                <w:szCs w:val="16"/>
                <w:rtl/>
              </w:rPr>
            </w:pPr>
            <w:r w:rsidRPr="0017699B">
              <w:rPr>
                <w:rFonts w:cs="Calibri" w:hint="cs"/>
                <w:sz w:val="16"/>
                <w:szCs w:val="16"/>
                <w:rtl/>
              </w:rPr>
              <w:t>1</w:t>
            </w:r>
          </w:p>
        </w:tc>
        <w:tc>
          <w:tcPr>
            <w:tcW w:w="1164" w:type="dxa"/>
            <w:vAlign w:val="center"/>
          </w:tcPr>
          <w:p w14:paraId="644C2DC3" w14:textId="6221DD75" w:rsidR="00846980" w:rsidRPr="0017699B" w:rsidRDefault="71A2BD08">
            <w:pPr>
              <w:bidi/>
              <w:jc w:val="center"/>
              <w:rPr>
                <w:rFonts w:cs="Calibri"/>
                <w:sz w:val="16"/>
                <w:szCs w:val="16"/>
                <w:rtl/>
              </w:rPr>
            </w:pPr>
            <w:r w:rsidRPr="0017699B">
              <w:rPr>
                <w:rFonts w:cs="Calibri" w:hint="cs"/>
                <w:sz w:val="16"/>
                <w:szCs w:val="16"/>
                <w:rtl/>
              </w:rPr>
              <w:t>1</w:t>
            </w:r>
          </w:p>
        </w:tc>
        <w:tc>
          <w:tcPr>
            <w:tcW w:w="808" w:type="dxa"/>
            <w:vAlign w:val="center"/>
          </w:tcPr>
          <w:p w14:paraId="59847545" w14:textId="40E48724" w:rsidR="00846980" w:rsidRPr="0017699B" w:rsidRDefault="71A2BD08">
            <w:pPr>
              <w:bidi/>
              <w:jc w:val="center"/>
              <w:rPr>
                <w:rFonts w:cs="Calibri"/>
                <w:sz w:val="16"/>
                <w:szCs w:val="16"/>
                <w:rtl/>
              </w:rPr>
            </w:pPr>
            <w:r w:rsidRPr="0017699B">
              <w:rPr>
                <w:rFonts w:cs="Calibri" w:hint="cs"/>
                <w:sz w:val="16"/>
                <w:szCs w:val="16"/>
                <w:rtl/>
              </w:rPr>
              <w:t>33%</w:t>
            </w:r>
          </w:p>
        </w:tc>
        <w:tc>
          <w:tcPr>
            <w:tcW w:w="1140" w:type="dxa"/>
            <w:vAlign w:val="center"/>
          </w:tcPr>
          <w:p w14:paraId="4993B354" w14:textId="1A214B6B" w:rsidR="00846980" w:rsidRPr="0017699B" w:rsidRDefault="71A2BD08">
            <w:pPr>
              <w:bidi/>
              <w:jc w:val="center"/>
              <w:rPr>
                <w:rFonts w:cs="Calibri"/>
                <w:sz w:val="16"/>
                <w:szCs w:val="16"/>
                <w:rtl/>
              </w:rPr>
            </w:pPr>
            <w:r w:rsidRPr="0017699B">
              <w:rPr>
                <w:rFonts w:cs="Calibri" w:hint="cs"/>
                <w:sz w:val="16"/>
                <w:szCs w:val="16"/>
                <w:rtl/>
              </w:rPr>
              <w:t>2</w:t>
            </w:r>
          </w:p>
        </w:tc>
        <w:tc>
          <w:tcPr>
            <w:tcW w:w="591" w:type="dxa"/>
            <w:gridSpan w:val="2"/>
            <w:vAlign w:val="center"/>
          </w:tcPr>
          <w:p w14:paraId="4253807F" w14:textId="0D3A8940" w:rsidR="00846980" w:rsidRPr="0017699B" w:rsidRDefault="71A2BD08">
            <w:pPr>
              <w:bidi/>
              <w:jc w:val="center"/>
              <w:rPr>
                <w:rFonts w:cs="Calibri"/>
                <w:sz w:val="16"/>
                <w:szCs w:val="16"/>
                <w:rtl/>
              </w:rPr>
            </w:pPr>
            <w:r w:rsidRPr="0017699B">
              <w:rPr>
                <w:rFonts w:cs="Calibri" w:hint="cs"/>
                <w:sz w:val="16"/>
                <w:szCs w:val="16"/>
                <w:rtl/>
              </w:rPr>
              <w:t>66%</w:t>
            </w:r>
          </w:p>
        </w:tc>
      </w:tr>
      <w:tr w:rsidR="00846980" w:rsidRPr="0017699B" w14:paraId="590D96EB" w14:textId="77777777" w:rsidTr="00795D4A">
        <w:trPr>
          <w:trHeight w:val="340"/>
        </w:trPr>
        <w:tc>
          <w:tcPr>
            <w:tcW w:w="643" w:type="dxa"/>
            <w:tcBorders>
              <w:top w:val="nil"/>
              <w:bottom w:val="single" w:sz="4" w:space="0" w:color="auto"/>
            </w:tcBorders>
            <w:vAlign w:val="center"/>
          </w:tcPr>
          <w:p w14:paraId="69EEE8FB" w14:textId="77777777" w:rsidR="00846980" w:rsidRPr="0017699B" w:rsidRDefault="00846980">
            <w:pPr>
              <w:jc w:val="both"/>
              <w:rPr>
                <w:rFonts w:cs="Calibri"/>
                <w:b/>
                <w:sz w:val="16"/>
                <w:szCs w:val="16"/>
              </w:rPr>
            </w:pPr>
          </w:p>
        </w:tc>
        <w:tc>
          <w:tcPr>
            <w:tcW w:w="861" w:type="dxa"/>
            <w:vAlign w:val="center"/>
          </w:tcPr>
          <w:p w14:paraId="0D6CE11E" w14:textId="77777777" w:rsidR="00846980" w:rsidRPr="0017699B" w:rsidRDefault="323B463C">
            <w:pPr>
              <w:bidi/>
              <w:jc w:val="center"/>
              <w:rPr>
                <w:rFonts w:cs="Calibri"/>
                <w:sz w:val="16"/>
                <w:szCs w:val="16"/>
                <w:rtl/>
              </w:rPr>
            </w:pPr>
            <w:r w:rsidRPr="0017699B">
              <w:rPr>
                <w:rFonts w:cs="Calibri"/>
                <w:sz w:val="16"/>
                <w:szCs w:val="16"/>
              </w:rPr>
              <w:t>PA</w:t>
            </w:r>
          </w:p>
        </w:tc>
        <w:tc>
          <w:tcPr>
            <w:tcW w:w="617" w:type="dxa"/>
            <w:vAlign w:val="center"/>
          </w:tcPr>
          <w:p w14:paraId="25050003" w14:textId="342C03A4" w:rsidR="00846980" w:rsidRPr="0017699B" w:rsidRDefault="3164ADF3">
            <w:pPr>
              <w:bidi/>
              <w:jc w:val="center"/>
              <w:rPr>
                <w:rFonts w:cs="Calibri"/>
                <w:sz w:val="16"/>
                <w:szCs w:val="16"/>
                <w:rtl/>
              </w:rPr>
            </w:pPr>
            <w:r w:rsidRPr="0017699B">
              <w:rPr>
                <w:rFonts w:cs="Calibri" w:hint="cs"/>
                <w:sz w:val="16"/>
                <w:szCs w:val="16"/>
                <w:rtl/>
              </w:rPr>
              <w:t>5</w:t>
            </w:r>
          </w:p>
        </w:tc>
        <w:tc>
          <w:tcPr>
            <w:tcW w:w="992" w:type="dxa"/>
            <w:vAlign w:val="center"/>
          </w:tcPr>
          <w:p w14:paraId="4BDE2AD6" w14:textId="4E520E30" w:rsidR="00846980" w:rsidRPr="0017699B" w:rsidRDefault="3164ADF3">
            <w:pPr>
              <w:bidi/>
              <w:jc w:val="center"/>
              <w:rPr>
                <w:rFonts w:cs="Calibri"/>
                <w:sz w:val="16"/>
                <w:szCs w:val="16"/>
                <w:rtl/>
              </w:rPr>
            </w:pPr>
            <w:r w:rsidRPr="0017699B">
              <w:rPr>
                <w:rFonts w:cs="Calibri" w:hint="cs"/>
                <w:sz w:val="16"/>
                <w:szCs w:val="16"/>
                <w:rtl/>
              </w:rPr>
              <w:t>0</w:t>
            </w:r>
          </w:p>
        </w:tc>
        <w:tc>
          <w:tcPr>
            <w:tcW w:w="997" w:type="dxa"/>
            <w:vAlign w:val="center"/>
          </w:tcPr>
          <w:p w14:paraId="251E32FA" w14:textId="2B8A2243" w:rsidR="00846980" w:rsidRPr="0017699B" w:rsidRDefault="3164ADF3">
            <w:pPr>
              <w:bidi/>
              <w:jc w:val="center"/>
              <w:rPr>
                <w:rFonts w:cs="Calibri"/>
                <w:sz w:val="16"/>
                <w:szCs w:val="16"/>
                <w:rtl/>
              </w:rPr>
            </w:pPr>
            <w:r w:rsidRPr="0017699B">
              <w:rPr>
                <w:rFonts w:cs="Calibri" w:hint="cs"/>
                <w:sz w:val="16"/>
                <w:szCs w:val="16"/>
                <w:rtl/>
              </w:rPr>
              <w:t>5</w:t>
            </w:r>
          </w:p>
        </w:tc>
        <w:tc>
          <w:tcPr>
            <w:tcW w:w="851" w:type="dxa"/>
            <w:vAlign w:val="center"/>
          </w:tcPr>
          <w:p w14:paraId="1296757E" w14:textId="22CC1728" w:rsidR="00846980" w:rsidRPr="0017699B" w:rsidRDefault="3164ADF3">
            <w:pPr>
              <w:bidi/>
              <w:jc w:val="center"/>
              <w:rPr>
                <w:rFonts w:cs="Calibri"/>
                <w:sz w:val="16"/>
                <w:szCs w:val="16"/>
                <w:rtl/>
              </w:rPr>
            </w:pPr>
            <w:r w:rsidRPr="0017699B">
              <w:rPr>
                <w:rFonts w:cs="Calibri" w:hint="cs"/>
                <w:sz w:val="16"/>
                <w:szCs w:val="16"/>
                <w:rtl/>
              </w:rPr>
              <w:t>4</w:t>
            </w:r>
          </w:p>
        </w:tc>
        <w:tc>
          <w:tcPr>
            <w:tcW w:w="1164" w:type="dxa"/>
            <w:vAlign w:val="center"/>
          </w:tcPr>
          <w:p w14:paraId="31261FFE" w14:textId="3A3B0C6C" w:rsidR="00846980" w:rsidRPr="0017699B" w:rsidRDefault="3164ADF3">
            <w:pPr>
              <w:bidi/>
              <w:jc w:val="center"/>
              <w:rPr>
                <w:rFonts w:cs="Calibri"/>
                <w:sz w:val="16"/>
                <w:szCs w:val="16"/>
                <w:rtl/>
              </w:rPr>
            </w:pPr>
            <w:r w:rsidRPr="0017699B">
              <w:rPr>
                <w:rFonts w:cs="Calibri" w:hint="cs"/>
                <w:sz w:val="16"/>
                <w:szCs w:val="16"/>
                <w:rtl/>
              </w:rPr>
              <w:t>4</w:t>
            </w:r>
          </w:p>
        </w:tc>
        <w:tc>
          <w:tcPr>
            <w:tcW w:w="808" w:type="dxa"/>
            <w:vAlign w:val="center"/>
          </w:tcPr>
          <w:p w14:paraId="1EA6161D" w14:textId="67DBA59B" w:rsidR="00846980" w:rsidRPr="0017699B" w:rsidRDefault="3164ADF3">
            <w:pPr>
              <w:bidi/>
              <w:jc w:val="center"/>
              <w:rPr>
                <w:rFonts w:cs="Calibri"/>
                <w:sz w:val="16"/>
                <w:szCs w:val="16"/>
                <w:rtl/>
              </w:rPr>
            </w:pPr>
            <w:r w:rsidRPr="0017699B">
              <w:rPr>
                <w:rFonts w:cs="Calibri" w:hint="cs"/>
                <w:sz w:val="16"/>
                <w:szCs w:val="16"/>
                <w:rtl/>
              </w:rPr>
              <w:t>80%</w:t>
            </w:r>
          </w:p>
        </w:tc>
        <w:tc>
          <w:tcPr>
            <w:tcW w:w="1140" w:type="dxa"/>
            <w:vAlign w:val="center"/>
          </w:tcPr>
          <w:p w14:paraId="64AB0AE8" w14:textId="355F58E5" w:rsidR="00846980" w:rsidRPr="0017699B" w:rsidRDefault="3164ADF3">
            <w:pPr>
              <w:bidi/>
              <w:jc w:val="center"/>
              <w:rPr>
                <w:rFonts w:cs="Calibri"/>
                <w:sz w:val="16"/>
                <w:szCs w:val="16"/>
                <w:rtl/>
              </w:rPr>
            </w:pPr>
            <w:r w:rsidRPr="0017699B">
              <w:rPr>
                <w:rFonts w:cs="Calibri" w:hint="cs"/>
                <w:sz w:val="16"/>
                <w:szCs w:val="16"/>
                <w:rtl/>
              </w:rPr>
              <w:t>1</w:t>
            </w:r>
          </w:p>
        </w:tc>
        <w:tc>
          <w:tcPr>
            <w:tcW w:w="591" w:type="dxa"/>
            <w:gridSpan w:val="2"/>
            <w:vAlign w:val="center"/>
          </w:tcPr>
          <w:p w14:paraId="10CE6537" w14:textId="1814201A" w:rsidR="00846980" w:rsidRPr="0017699B" w:rsidRDefault="3164ADF3">
            <w:pPr>
              <w:bidi/>
              <w:jc w:val="center"/>
              <w:rPr>
                <w:rFonts w:cs="Calibri"/>
                <w:sz w:val="16"/>
                <w:szCs w:val="16"/>
                <w:rtl/>
              </w:rPr>
            </w:pPr>
            <w:r w:rsidRPr="0017699B">
              <w:rPr>
                <w:rFonts w:cs="Calibri" w:hint="cs"/>
                <w:sz w:val="16"/>
                <w:szCs w:val="16"/>
                <w:rtl/>
              </w:rPr>
              <w:t>20%</w:t>
            </w:r>
          </w:p>
        </w:tc>
      </w:tr>
      <w:tr w:rsidR="00846980" w:rsidRPr="0017699B" w14:paraId="20D7D520" w14:textId="77777777" w:rsidTr="00795D4A">
        <w:trPr>
          <w:trHeight w:val="340"/>
        </w:trPr>
        <w:tc>
          <w:tcPr>
            <w:tcW w:w="643" w:type="dxa"/>
            <w:tcBorders>
              <w:bottom w:val="nil"/>
            </w:tcBorders>
            <w:vAlign w:val="center"/>
          </w:tcPr>
          <w:p w14:paraId="79638817" w14:textId="77777777" w:rsidR="00846980" w:rsidRPr="0017699B" w:rsidRDefault="323B463C">
            <w:pPr>
              <w:bidi/>
              <w:jc w:val="both"/>
              <w:rPr>
                <w:rFonts w:cs="Calibri"/>
                <w:b/>
                <w:sz w:val="16"/>
                <w:szCs w:val="16"/>
                <w:rtl/>
              </w:rPr>
            </w:pPr>
            <w:r w:rsidRPr="0017699B">
              <w:rPr>
                <w:rFonts w:cs="Calibri" w:hint="cs"/>
                <w:b/>
                <w:bCs/>
                <w:sz w:val="16"/>
                <w:szCs w:val="16"/>
                <w:rtl/>
              </w:rPr>
              <w:t>2023</w:t>
            </w:r>
          </w:p>
        </w:tc>
        <w:tc>
          <w:tcPr>
            <w:tcW w:w="861" w:type="dxa"/>
            <w:vAlign w:val="center"/>
          </w:tcPr>
          <w:p w14:paraId="7A68C892" w14:textId="77777777" w:rsidR="00846980" w:rsidRPr="0017699B" w:rsidRDefault="323B463C">
            <w:pPr>
              <w:bidi/>
              <w:jc w:val="center"/>
              <w:rPr>
                <w:rFonts w:cs="Calibri"/>
                <w:sz w:val="16"/>
                <w:szCs w:val="16"/>
                <w:rtl/>
              </w:rPr>
            </w:pPr>
            <w:r w:rsidRPr="0017699B">
              <w:rPr>
                <w:rFonts w:cs="Calibri"/>
                <w:sz w:val="16"/>
                <w:szCs w:val="16"/>
              </w:rPr>
              <w:t>FA</w:t>
            </w:r>
          </w:p>
        </w:tc>
        <w:tc>
          <w:tcPr>
            <w:tcW w:w="617" w:type="dxa"/>
            <w:vAlign w:val="center"/>
          </w:tcPr>
          <w:p w14:paraId="20E390BD"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992" w:type="dxa"/>
            <w:vAlign w:val="center"/>
          </w:tcPr>
          <w:p w14:paraId="55345456"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997" w:type="dxa"/>
            <w:vAlign w:val="center"/>
          </w:tcPr>
          <w:p w14:paraId="5394517D"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851" w:type="dxa"/>
            <w:vAlign w:val="center"/>
          </w:tcPr>
          <w:p w14:paraId="7C0717FA"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1164" w:type="dxa"/>
            <w:vAlign w:val="center"/>
          </w:tcPr>
          <w:p w14:paraId="372FBD6B"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808" w:type="dxa"/>
            <w:vAlign w:val="center"/>
          </w:tcPr>
          <w:p w14:paraId="3D82856B" w14:textId="77777777" w:rsidR="00846980" w:rsidRPr="0017699B" w:rsidRDefault="323B463C">
            <w:pPr>
              <w:bidi/>
              <w:jc w:val="center"/>
              <w:rPr>
                <w:rFonts w:cs="Calibri"/>
                <w:sz w:val="16"/>
                <w:szCs w:val="16"/>
                <w:rtl/>
              </w:rPr>
            </w:pPr>
            <w:r w:rsidRPr="0017699B">
              <w:rPr>
                <w:rFonts w:cs="Calibri" w:hint="cs"/>
                <w:sz w:val="16"/>
                <w:szCs w:val="16"/>
                <w:rtl/>
              </w:rPr>
              <w:t>100%</w:t>
            </w:r>
          </w:p>
        </w:tc>
        <w:tc>
          <w:tcPr>
            <w:tcW w:w="1140" w:type="dxa"/>
            <w:vAlign w:val="center"/>
          </w:tcPr>
          <w:p w14:paraId="534521A7"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591" w:type="dxa"/>
            <w:gridSpan w:val="2"/>
            <w:vAlign w:val="center"/>
          </w:tcPr>
          <w:p w14:paraId="1E28DDF5" w14:textId="77777777" w:rsidR="00846980" w:rsidRPr="0017699B" w:rsidRDefault="323B463C">
            <w:pPr>
              <w:bidi/>
              <w:jc w:val="center"/>
              <w:rPr>
                <w:rFonts w:cs="Calibri"/>
                <w:sz w:val="16"/>
                <w:szCs w:val="16"/>
                <w:rtl/>
              </w:rPr>
            </w:pPr>
            <w:r w:rsidRPr="0017699B">
              <w:rPr>
                <w:rFonts w:cs="Calibri" w:hint="cs"/>
                <w:sz w:val="16"/>
                <w:szCs w:val="16"/>
                <w:rtl/>
              </w:rPr>
              <w:t>0%</w:t>
            </w:r>
          </w:p>
        </w:tc>
      </w:tr>
      <w:tr w:rsidR="00846980" w:rsidRPr="0017699B" w14:paraId="73E41494" w14:textId="77777777" w:rsidTr="00795D4A">
        <w:trPr>
          <w:trHeight w:val="340"/>
        </w:trPr>
        <w:tc>
          <w:tcPr>
            <w:tcW w:w="643" w:type="dxa"/>
            <w:tcBorders>
              <w:top w:val="nil"/>
              <w:bottom w:val="single" w:sz="4" w:space="0" w:color="auto"/>
            </w:tcBorders>
            <w:vAlign w:val="center"/>
          </w:tcPr>
          <w:p w14:paraId="1317ED4B" w14:textId="77777777" w:rsidR="00846980" w:rsidRPr="0017699B" w:rsidRDefault="00846980">
            <w:pPr>
              <w:jc w:val="both"/>
              <w:rPr>
                <w:rFonts w:cs="Calibri"/>
                <w:b/>
                <w:sz w:val="16"/>
                <w:szCs w:val="16"/>
              </w:rPr>
            </w:pPr>
          </w:p>
        </w:tc>
        <w:tc>
          <w:tcPr>
            <w:tcW w:w="861" w:type="dxa"/>
            <w:vAlign w:val="center"/>
          </w:tcPr>
          <w:p w14:paraId="17F7005C" w14:textId="77777777" w:rsidR="00846980" w:rsidRPr="0017699B" w:rsidRDefault="323B463C">
            <w:pPr>
              <w:bidi/>
              <w:jc w:val="center"/>
              <w:rPr>
                <w:rFonts w:cs="Calibri"/>
                <w:sz w:val="16"/>
                <w:szCs w:val="16"/>
                <w:rtl/>
              </w:rPr>
            </w:pPr>
            <w:r w:rsidRPr="0017699B">
              <w:rPr>
                <w:rFonts w:cs="Calibri"/>
                <w:sz w:val="16"/>
                <w:szCs w:val="16"/>
              </w:rPr>
              <w:t>PA</w:t>
            </w:r>
          </w:p>
        </w:tc>
        <w:tc>
          <w:tcPr>
            <w:tcW w:w="617" w:type="dxa"/>
            <w:vAlign w:val="center"/>
          </w:tcPr>
          <w:p w14:paraId="79D5800B" w14:textId="1C5911F4" w:rsidR="00846980" w:rsidRPr="0017699B" w:rsidRDefault="19233701">
            <w:pPr>
              <w:bidi/>
              <w:jc w:val="center"/>
              <w:rPr>
                <w:rFonts w:cs="Calibri"/>
                <w:sz w:val="16"/>
                <w:szCs w:val="16"/>
                <w:rtl/>
              </w:rPr>
            </w:pPr>
            <w:r w:rsidRPr="0017699B">
              <w:rPr>
                <w:rFonts w:cs="Calibri" w:hint="cs"/>
                <w:sz w:val="16"/>
                <w:szCs w:val="16"/>
                <w:rtl/>
              </w:rPr>
              <w:t>0</w:t>
            </w:r>
          </w:p>
        </w:tc>
        <w:tc>
          <w:tcPr>
            <w:tcW w:w="992" w:type="dxa"/>
            <w:vAlign w:val="center"/>
          </w:tcPr>
          <w:p w14:paraId="0E9E0FCC" w14:textId="53F9C75E" w:rsidR="00846980" w:rsidRPr="0017699B" w:rsidRDefault="19233701">
            <w:pPr>
              <w:bidi/>
              <w:jc w:val="center"/>
              <w:rPr>
                <w:rFonts w:cs="Calibri"/>
                <w:sz w:val="16"/>
                <w:szCs w:val="16"/>
                <w:rtl/>
              </w:rPr>
            </w:pPr>
            <w:r w:rsidRPr="0017699B">
              <w:rPr>
                <w:rFonts w:cs="Calibri" w:hint="cs"/>
                <w:sz w:val="16"/>
                <w:szCs w:val="16"/>
                <w:rtl/>
              </w:rPr>
              <w:t>0</w:t>
            </w:r>
          </w:p>
        </w:tc>
        <w:tc>
          <w:tcPr>
            <w:tcW w:w="997" w:type="dxa"/>
            <w:vAlign w:val="center"/>
          </w:tcPr>
          <w:p w14:paraId="60D0CADE" w14:textId="2A2A7E46" w:rsidR="00846980" w:rsidRPr="0017699B" w:rsidRDefault="19233701">
            <w:pPr>
              <w:bidi/>
              <w:jc w:val="center"/>
              <w:rPr>
                <w:rFonts w:cs="Calibri"/>
                <w:sz w:val="16"/>
                <w:szCs w:val="16"/>
                <w:rtl/>
              </w:rPr>
            </w:pPr>
            <w:r w:rsidRPr="0017699B">
              <w:rPr>
                <w:rFonts w:cs="Calibri" w:hint="cs"/>
                <w:sz w:val="16"/>
                <w:szCs w:val="16"/>
                <w:rtl/>
              </w:rPr>
              <w:t>0</w:t>
            </w:r>
          </w:p>
        </w:tc>
        <w:tc>
          <w:tcPr>
            <w:tcW w:w="851" w:type="dxa"/>
            <w:vAlign w:val="center"/>
          </w:tcPr>
          <w:p w14:paraId="4503849C" w14:textId="7DC57DDC" w:rsidR="00846980" w:rsidRPr="0017699B" w:rsidRDefault="19233701">
            <w:pPr>
              <w:bidi/>
              <w:jc w:val="center"/>
              <w:rPr>
                <w:rFonts w:cs="Calibri"/>
                <w:sz w:val="16"/>
                <w:szCs w:val="16"/>
                <w:rtl/>
              </w:rPr>
            </w:pPr>
            <w:r w:rsidRPr="0017699B">
              <w:rPr>
                <w:rFonts w:cs="Calibri" w:hint="cs"/>
                <w:sz w:val="16"/>
                <w:szCs w:val="16"/>
                <w:rtl/>
              </w:rPr>
              <w:t>0</w:t>
            </w:r>
          </w:p>
        </w:tc>
        <w:tc>
          <w:tcPr>
            <w:tcW w:w="1164" w:type="dxa"/>
            <w:vAlign w:val="center"/>
          </w:tcPr>
          <w:p w14:paraId="330325F8" w14:textId="47257CCE" w:rsidR="00846980" w:rsidRPr="0017699B" w:rsidRDefault="19233701">
            <w:pPr>
              <w:bidi/>
              <w:jc w:val="center"/>
              <w:rPr>
                <w:rFonts w:cs="Calibri"/>
                <w:sz w:val="16"/>
                <w:szCs w:val="16"/>
                <w:rtl/>
              </w:rPr>
            </w:pPr>
            <w:r w:rsidRPr="0017699B">
              <w:rPr>
                <w:rFonts w:cs="Calibri" w:hint="cs"/>
                <w:sz w:val="16"/>
                <w:szCs w:val="16"/>
                <w:rtl/>
              </w:rPr>
              <w:t>0</w:t>
            </w:r>
          </w:p>
        </w:tc>
        <w:tc>
          <w:tcPr>
            <w:tcW w:w="808" w:type="dxa"/>
            <w:vAlign w:val="center"/>
          </w:tcPr>
          <w:p w14:paraId="1AD47802" w14:textId="4A02195F" w:rsidR="00846980" w:rsidRPr="0017699B" w:rsidRDefault="19233701">
            <w:pPr>
              <w:bidi/>
              <w:jc w:val="center"/>
              <w:rPr>
                <w:rFonts w:cs="Calibri"/>
                <w:sz w:val="16"/>
                <w:szCs w:val="16"/>
                <w:rtl/>
              </w:rPr>
            </w:pPr>
            <w:r w:rsidRPr="0017699B">
              <w:rPr>
                <w:rFonts w:cs="Calibri" w:hint="cs"/>
                <w:sz w:val="16"/>
                <w:szCs w:val="16"/>
                <w:rtl/>
              </w:rPr>
              <w:t>100%</w:t>
            </w:r>
          </w:p>
        </w:tc>
        <w:tc>
          <w:tcPr>
            <w:tcW w:w="1140" w:type="dxa"/>
            <w:vAlign w:val="center"/>
          </w:tcPr>
          <w:p w14:paraId="640CA131" w14:textId="4F2A843E" w:rsidR="00846980" w:rsidRPr="0017699B" w:rsidRDefault="19233701">
            <w:pPr>
              <w:bidi/>
              <w:jc w:val="center"/>
              <w:rPr>
                <w:rFonts w:cs="Calibri"/>
                <w:sz w:val="16"/>
                <w:szCs w:val="16"/>
                <w:rtl/>
              </w:rPr>
            </w:pPr>
            <w:r w:rsidRPr="0017699B">
              <w:rPr>
                <w:rFonts w:cs="Calibri" w:hint="cs"/>
                <w:sz w:val="16"/>
                <w:szCs w:val="16"/>
                <w:rtl/>
              </w:rPr>
              <w:t>0</w:t>
            </w:r>
          </w:p>
        </w:tc>
        <w:tc>
          <w:tcPr>
            <w:tcW w:w="591" w:type="dxa"/>
            <w:gridSpan w:val="2"/>
            <w:vAlign w:val="center"/>
          </w:tcPr>
          <w:p w14:paraId="5390C50B" w14:textId="18957225" w:rsidR="00846980" w:rsidRPr="0017699B" w:rsidRDefault="19233701">
            <w:pPr>
              <w:bidi/>
              <w:jc w:val="center"/>
              <w:rPr>
                <w:rFonts w:cs="Calibri"/>
                <w:sz w:val="16"/>
                <w:szCs w:val="16"/>
                <w:rtl/>
              </w:rPr>
            </w:pPr>
            <w:r w:rsidRPr="0017699B">
              <w:rPr>
                <w:rFonts w:cs="Calibri" w:hint="cs"/>
                <w:sz w:val="16"/>
                <w:szCs w:val="16"/>
                <w:rtl/>
              </w:rPr>
              <w:t>0%</w:t>
            </w:r>
          </w:p>
        </w:tc>
      </w:tr>
      <w:tr w:rsidR="00846980" w:rsidRPr="0017699B" w14:paraId="1DD57FFE" w14:textId="77777777" w:rsidTr="00795D4A">
        <w:trPr>
          <w:trHeight w:val="340"/>
        </w:trPr>
        <w:tc>
          <w:tcPr>
            <w:tcW w:w="643" w:type="dxa"/>
            <w:tcBorders>
              <w:bottom w:val="nil"/>
            </w:tcBorders>
            <w:vAlign w:val="center"/>
          </w:tcPr>
          <w:p w14:paraId="0FF66CF3" w14:textId="77777777" w:rsidR="00846980" w:rsidRPr="0017699B" w:rsidRDefault="323B463C">
            <w:pPr>
              <w:bidi/>
              <w:jc w:val="both"/>
              <w:rPr>
                <w:rFonts w:cs="Calibri"/>
                <w:b/>
                <w:sz w:val="16"/>
                <w:szCs w:val="16"/>
                <w:rtl/>
              </w:rPr>
            </w:pPr>
            <w:r w:rsidRPr="0017699B">
              <w:rPr>
                <w:rFonts w:cs="Calibri" w:hint="cs"/>
                <w:b/>
                <w:bCs/>
                <w:sz w:val="16"/>
                <w:szCs w:val="16"/>
                <w:rtl/>
              </w:rPr>
              <w:t>2022</w:t>
            </w:r>
          </w:p>
        </w:tc>
        <w:tc>
          <w:tcPr>
            <w:tcW w:w="861" w:type="dxa"/>
            <w:vAlign w:val="center"/>
          </w:tcPr>
          <w:p w14:paraId="7BBE716D" w14:textId="77777777" w:rsidR="00846980" w:rsidRPr="0017699B" w:rsidRDefault="323B463C">
            <w:pPr>
              <w:bidi/>
              <w:jc w:val="center"/>
              <w:rPr>
                <w:rFonts w:cs="Calibri"/>
                <w:sz w:val="16"/>
                <w:szCs w:val="16"/>
                <w:rtl/>
              </w:rPr>
            </w:pPr>
            <w:r w:rsidRPr="0017699B">
              <w:rPr>
                <w:rFonts w:cs="Calibri"/>
                <w:sz w:val="16"/>
                <w:szCs w:val="16"/>
              </w:rPr>
              <w:t>FA</w:t>
            </w:r>
          </w:p>
        </w:tc>
        <w:tc>
          <w:tcPr>
            <w:tcW w:w="617" w:type="dxa"/>
            <w:vAlign w:val="center"/>
          </w:tcPr>
          <w:p w14:paraId="541269EB" w14:textId="4D7BE223" w:rsidR="00846980" w:rsidRPr="0017699B" w:rsidRDefault="01915A47">
            <w:pPr>
              <w:bidi/>
              <w:jc w:val="center"/>
              <w:rPr>
                <w:rFonts w:cs="Calibri"/>
                <w:sz w:val="16"/>
                <w:szCs w:val="16"/>
                <w:rtl/>
              </w:rPr>
            </w:pPr>
            <w:r w:rsidRPr="0017699B">
              <w:rPr>
                <w:rFonts w:cs="Calibri" w:hint="cs"/>
                <w:sz w:val="16"/>
                <w:szCs w:val="16"/>
                <w:rtl/>
              </w:rPr>
              <w:t>2</w:t>
            </w:r>
          </w:p>
        </w:tc>
        <w:tc>
          <w:tcPr>
            <w:tcW w:w="992" w:type="dxa"/>
            <w:vAlign w:val="center"/>
          </w:tcPr>
          <w:p w14:paraId="61763802" w14:textId="49ABE58E" w:rsidR="00846980" w:rsidRPr="0017699B" w:rsidRDefault="5F5BBE63" w:rsidP="4EECFC96">
            <w:pPr>
              <w:bidi/>
              <w:jc w:val="center"/>
              <w:rPr>
                <w:rFonts w:cs="Calibri"/>
                <w:rtl/>
              </w:rPr>
            </w:pPr>
            <w:r w:rsidRPr="0017699B">
              <w:rPr>
                <w:rFonts w:cs="Calibri" w:hint="cs"/>
                <w:sz w:val="16"/>
                <w:szCs w:val="16"/>
                <w:rtl/>
              </w:rPr>
              <w:t>1</w:t>
            </w:r>
          </w:p>
        </w:tc>
        <w:tc>
          <w:tcPr>
            <w:tcW w:w="997" w:type="dxa"/>
            <w:vAlign w:val="center"/>
          </w:tcPr>
          <w:p w14:paraId="0F4F8430" w14:textId="34ACC7F3" w:rsidR="00846980" w:rsidRPr="0017699B" w:rsidRDefault="00BB6F78">
            <w:pPr>
              <w:bidi/>
              <w:jc w:val="center"/>
              <w:rPr>
                <w:rFonts w:cs="Calibri"/>
                <w:rtl/>
              </w:rPr>
            </w:pPr>
            <w:r w:rsidRPr="0017699B">
              <w:rPr>
                <w:rFonts w:cs="Calibri" w:hint="cs"/>
                <w:sz w:val="16"/>
                <w:szCs w:val="16"/>
                <w:rtl/>
              </w:rPr>
              <w:t>1</w:t>
            </w:r>
          </w:p>
        </w:tc>
        <w:tc>
          <w:tcPr>
            <w:tcW w:w="851" w:type="dxa"/>
            <w:vAlign w:val="center"/>
          </w:tcPr>
          <w:p w14:paraId="788EE8A5" w14:textId="40A36E48" w:rsidR="00846980" w:rsidRPr="0017699B" w:rsidRDefault="00BB6F78">
            <w:pPr>
              <w:bidi/>
              <w:jc w:val="center"/>
              <w:rPr>
                <w:rFonts w:cs="Calibri"/>
                <w:rtl/>
              </w:rPr>
            </w:pPr>
            <w:r w:rsidRPr="0017699B">
              <w:rPr>
                <w:rFonts w:cs="Calibri" w:hint="cs"/>
                <w:sz w:val="16"/>
                <w:szCs w:val="16"/>
                <w:rtl/>
              </w:rPr>
              <w:t>1</w:t>
            </w:r>
          </w:p>
        </w:tc>
        <w:tc>
          <w:tcPr>
            <w:tcW w:w="1164" w:type="dxa"/>
            <w:vAlign w:val="center"/>
          </w:tcPr>
          <w:p w14:paraId="1D7FFF86" w14:textId="5E6AF1C2" w:rsidR="00846980" w:rsidRPr="0017699B" w:rsidRDefault="00122F63">
            <w:pPr>
              <w:bidi/>
              <w:jc w:val="center"/>
              <w:rPr>
                <w:rFonts w:cs="Calibri"/>
                <w:rtl/>
              </w:rPr>
            </w:pPr>
            <w:r w:rsidRPr="0017699B">
              <w:rPr>
                <w:rFonts w:cs="Calibri" w:hint="cs"/>
                <w:sz w:val="16"/>
                <w:szCs w:val="16"/>
                <w:rtl/>
              </w:rPr>
              <w:t>2</w:t>
            </w:r>
          </w:p>
        </w:tc>
        <w:tc>
          <w:tcPr>
            <w:tcW w:w="808" w:type="dxa"/>
            <w:vAlign w:val="center"/>
          </w:tcPr>
          <w:p w14:paraId="527A7BA4" w14:textId="6600BE91" w:rsidR="00846980" w:rsidRPr="0017699B" w:rsidRDefault="706B59AD">
            <w:pPr>
              <w:bidi/>
              <w:jc w:val="center"/>
              <w:rPr>
                <w:rFonts w:cs="Calibri"/>
                <w:sz w:val="16"/>
                <w:szCs w:val="16"/>
                <w:rtl/>
              </w:rPr>
            </w:pPr>
            <w:r w:rsidRPr="0017699B">
              <w:rPr>
                <w:rFonts w:cs="Calibri" w:hint="cs"/>
                <w:sz w:val="16"/>
                <w:szCs w:val="16"/>
                <w:rtl/>
              </w:rPr>
              <w:t>100%</w:t>
            </w:r>
          </w:p>
        </w:tc>
        <w:tc>
          <w:tcPr>
            <w:tcW w:w="1140" w:type="dxa"/>
            <w:vAlign w:val="center"/>
          </w:tcPr>
          <w:p w14:paraId="3FE612C0" w14:textId="2FEE3D6C" w:rsidR="00846980" w:rsidRPr="0017699B" w:rsidRDefault="3B142326">
            <w:pPr>
              <w:bidi/>
              <w:jc w:val="center"/>
              <w:rPr>
                <w:rFonts w:cs="Calibri"/>
                <w:sz w:val="16"/>
                <w:szCs w:val="16"/>
                <w:rtl/>
              </w:rPr>
            </w:pPr>
            <w:r w:rsidRPr="0017699B">
              <w:rPr>
                <w:rFonts w:cs="Calibri" w:hint="cs"/>
                <w:sz w:val="16"/>
                <w:szCs w:val="16"/>
                <w:rtl/>
              </w:rPr>
              <w:t>0</w:t>
            </w:r>
          </w:p>
        </w:tc>
        <w:tc>
          <w:tcPr>
            <w:tcW w:w="591" w:type="dxa"/>
            <w:gridSpan w:val="2"/>
            <w:vAlign w:val="center"/>
          </w:tcPr>
          <w:p w14:paraId="786A3739" w14:textId="7B4AFB84" w:rsidR="00846980" w:rsidRPr="0017699B" w:rsidRDefault="3B142326">
            <w:pPr>
              <w:bidi/>
              <w:jc w:val="center"/>
              <w:rPr>
                <w:rFonts w:cs="Calibri"/>
                <w:sz w:val="16"/>
                <w:szCs w:val="16"/>
                <w:rtl/>
              </w:rPr>
            </w:pPr>
            <w:r w:rsidRPr="0017699B">
              <w:rPr>
                <w:rFonts w:cs="Calibri" w:hint="cs"/>
                <w:sz w:val="16"/>
                <w:szCs w:val="16"/>
                <w:rtl/>
              </w:rPr>
              <w:t>0%</w:t>
            </w:r>
          </w:p>
        </w:tc>
      </w:tr>
      <w:tr w:rsidR="00846980" w:rsidRPr="0017699B" w14:paraId="6C2D4D50" w14:textId="77777777" w:rsidTr="00795D4A">
        <w:trPr>
          <w:trHeight w:val="340"/>
        </w:trPr>
        <w:tc>
          <w:tcPr>
            <w:tcW w:w="643" w:type="dxa"/>
            <w:tcBorders>
              <w:top w:val="nil"/>
              <w:bottom w:val="single" w:sz="4" w:space="0" w:color="auto"/>
            </w:tcBorders>
            <w:vAlign w:val="center"/>
          </w:tcPr>
          <w:p w14:paraId="229BF789" w14:textId="77777777" w:rsidR="00846980" w:rsidRPr="0017699B" w:rsidRDefault="00846980">
            <w:pPr>
              <w:jc w:val="both"/>
              <w:rPr>
                <w:rFonts w:cs="Calibri"/>
                <w:b/>
                <w:sz w:val="16"/>
                <w:szCs w:val="16"/>
              </w:rPr>
            </w:pPr>
          </w:p>
        </w:tc>
        <w:tc>
          <w:tcPr>
            <w:tcW w:w="861" w:type="dxa"/>
            <w:vAlign w:val="center"/>
          </w:tcPr>
          <w:p w14:paraId="54740874" w14:textId="77777777" w:rsidR="00846980" w:rsidRPr="0017699B" w:rsidRDefault="323B463C">
            <w:pPr>
              <w:bidi/>
              <w:jc w:val="center"/>
              <w:rPr>
                <w:rFonts w:cs="Calibri"/>
                <w:sz w:val="16"/>
                <w:szCs w:val="16"/>
                <w:rtl/>
              </w:rPr>
            </w:pPr>
            <w:r w:rsidRPr="0017699B">
              <w:rPr>
                <w:rFonts w:cs="Calibri"/>
                <w:sz w:val="16"/>
                <w:szCs w:val="16"/>
              </w:rPr>
              <w:t>PA</w:t>
            </w:r>
          </w:p>
        </w:tc>
        <w:tc>
          <w:tcPr>
            <w:tcW w:w="617" w:type="dxa"/>
            <w:vAlign w:val="center"/>
          </w:tcPr>
          <w:p w14:paraId="02752123" w14:textId="097A6DBD" w:rsidR="00846980" w:rsidRPr="0017699B" w:rsidRDefault="01915A47" w:rsidP="4EECFC96">
            <w:pPr>
              <w:bidi/>
              <w:jc w:val="center"/>
              <w:rPr>
                <w:rFonts w:cs="Calibri"/>
                <w:sz w:val="16"/>
                <w:szCs w:val="16"/>
                <w:rtl/>
              </w:rPr>
            </w:pPr>
            <w:r w:rsidRPr="0017699B">
              <w:rPr>
                <w:rFonts w:cs="Calibri" w:hint="cs"/>
                <w:sz w:val="16"/>
                <w:szCs w:val="16"/>
                <w:rtl/>
              </w:rPr>
              <w:t>4</w:t>
            </w:r>
          </w:p>
        </w:tc>
        <w:tc>
          <w:tcPr>
            <w:tcW w:w="992" w:type="dxa"/>
            <w:vAlign w:val="center"/>
          </w:tcPr>
          <w:p w14:paraId="6284EAC5" w14:textId="7768A39A" w:rsidR="00846980" w:rsidRPr="0017699B" w:rsidRDefault="22EE478B">
            <w:pPr>
              <w:bidi/>
              <w:jc w:val="center"/>
              <w:rPr>
                <w:rFonts w:cs="Calibri"/>
                <w:sz w:val="16"/>
                <w:szCs w:val="16"/>
                <w:rtl/>
              </w:rPr>
            </w:pPr>
            <w:r w:rsidRPr="0017699B">
              <w:rPr>
                <w:rFonts w:cs="Calibri" w:hint="cs"/>
                <w:sz w:val="16"/>
                <w:szCs w:val="16"/>
                <w:rtl/>
              </w:rPr>
              <w:t>4</w:t>
            </w:r>
          </w:p>
        </w:tc>
        <w:tc>
          <w:tcPr>
            <w:tcW w:w="997" w:type="dxa"/>
            <w:vAlign w:val="center"/>
          </w:tcPr>
          <w:p w14:paraId="202F641C" w14:textId="3006DF0C" w:rsidR="00846980" w:rsidRPr="0017699B" w:rsidRDefault="01915A47">
            <w:pPr>
              <w:bidi/>
              <w:jc w:val="center"/>
              <w:rPr>
                <w:rFonts w:cs="Calibri"/>
                <w:sz w:val="16"/>
                <w:szCs w:val="16"/>
                <w:rtl/>
              </w:rPr>
            </w:pPr>
            <w:r w:rsidRPr="0017699B">
              <w:rPr>
                <w:rFonts w:cs="Calibri" w:hint="cs"/>
                <w:sz w:val="16"/>
                <w:szCs w:val="16"/>
                <w:rtl/>
              </w:rPr>
              <w:t>0</w:t>
            </w:r>
          </w:p>
        </w:tc>
        <w:tc>
          <w:tcPr>
            <w:tcW w:w="851" w:type="dxa"/>
            <w:vAlign w:val="center"/>
          </w:tcPr>
          <w:p w14:paraId="552036CD" w14:textId="2B4B19F8" w:rsidR="00846980" w:rsidRPr="0017699B" w:rsidRDefault="22EE478B">
            <w:pPr>
              <w:bidi/>
              <w:jc w:val="center"/>
              <w:rPr>
                <w:rFonts w:cs="Calibri"/>
                <w:sz w:val="16"/>
                <w:szCs w:val="16"/>
                <w:rtl/>
              </w:rPr>
            </w:pPr>
            <w:r w:rsidRPr="0017699B">
              <w:rPr>
                <w:rFonts w:cs="Calibri" w:hint="cs"/>
                <w:sz w:val="16"/>
                <w:szCs w:val="16"/>
                <w:rtl/>
              </w:rPr>
              <w:t>0</w:t>
            </w:r>
          </w:p>
        </w:tc>
        <w:tc>
          <w:tcPr>
            <w:tcW w:w="1164" w:type="dxa"/>
            <w:vAlign w:val="center"/>
          </w:tcPr>
          <w:p w14:paraId="4FE32BE4" w14:textId="37B23A88" w:rsidR="00846980" w:rsidRPr="0017699B" w:rsidRDefault="22EE478B">
            <w:pPr>
              <w:bidi/>
              <w:jc w:val="center"/>
              <w:rPr>
                <w:rFonts w:cs="Calibri"/>
                <w:sz w:val="16"/>
                <w:szCs w:val="16"/>
                <w:rtl/>
              </w:rPr>
            </w:pPr>
            <w:r w:rsidRPr="0017699B">
              <w:rPr>
                <w:rFonts w:cs="Calibri" w:hint="cs"/>
                <w:sz w:val="16"/>
                <w:szCs w:val="16"/>
                <w:rtl/>
              </w:rPr>
              <w:t>‎4</w:t>
            </w:r>
          </w:p>
        </w:tc>
        <w:tc>
          <w:tcPr>
            <w:tcW w:w="808" w:type="dxa"/>
            <w:vAlign w:val="center"/>
          </w:tcPr>
          <w:p w14:paraId="5917A65D" w14:textId="60983986" w:rsidR="00846980" w:rsidRPr="0017699B" w:rsidRDefault="0BB94194">
            <w:pPr>
              <w:bidi/>
              <w:jc w:val="center"/>
              <w:rPr>
                <w:rFonts w:cs="Calibri"/>
                <w:sz w:val="16"/>
                <w:szCs w:val="16"/>
                <w:rtl/>
              </w:rPr>
            </w:pPr>
            <w:r w:rsidRPr="0017699B">
              <w:rPr>
                <w:rFonts w:cs="Calibri" w:hint="cs"/>
                <w:sz w:val="16"/>
                <w:szCs w:val="16"/>
                <w:rtl/>
              </w:rPr>
              <w:t>100%</w:t>
            </w:r>
          </w:p>
        </w:tc>
        <w:tc>
          <w:tcPr>
            <w:tcW w:w="1140" w:type="dxa"/>
            <w:vAlign w:val="center"/>
          </w:tcPr>
          <w:p w14:paraId="7B562422" w14:textId="1B49C861" w:rsidR="00846980" w:rsidRPr="0017699B" w:rsidRDefault="0BB94194">
            <w:pPr>
              <w:bidi/>
              <w:jc w:val="center"/>
              <w:rPr>
                <w:rFonts w:cs="Calibri"/>
                <w:sz w:val="16"/>
                <w:szCs w:val="16"/>
                <w:rtl/>
              </w:rPr>
            </w:pPr>
            <w:r w:rsidRPr="0017699B">
              <w:rPr>
                <w:rFonts w:cs="Calibri" w:hint="cs"/>
                <w:sz w:val="16"/>
                <w:szCs w:val="16"/>
                <w:rtl/>
              </w:rPr>
              <w:t>0</w:t>
            </w:r>
          </w:p>
        </w:tc>
        <w:tc>
          <w:tcPr>
            <w:tcW w:w="591" w:type="dxa"/>
            <w:gridSpan w:val="2"/>
            <w:vAlign w:val="center"/>
          </w:tcPr>
          <w:p w14:paraId="32B53133" w14:textId="069FE075" w:rsidR="00846980" w:rsidRPr="0017699B" w:rsidRDefault="14C2F9F0">
            <w:pPr>
              <w:bidi/>
              <w:jc w:val="center"/>
              <w:rPr>
                <w:rFonts w:cs="Calibri"/>
                <w:sz w:val="16"/>
                <w:szCs w:val="16"/>
                <w:rtl/>
              </w:rPr>
            </w:pPr>
            <w:r w:rsidRPr="0017699B">
              <w:rPr>
                <w:rFonts w:cs="Calibri" w:hint="cs"/>
                <w:sz w:val="16"/>
                <w:szCs w:val="16"/>
                <w:rtl/>
              </w:rPr>
              <w:t>0%</w:t>
            </w:r>
          </w:p>
        </w:tc>
      </w:tr>
      <w:tr w:rsidR="00846980" w:rsidRPr="0017699B" w14:paraId="09E4EE09" w14:textId="77777777" w:rsidTr="00795D4A">
        <w:trPr>
          <w:trHeight w:val="340"/>
        </w:trPr>
        <w:tc>
          <w:tcPr>
            <w:tcW w:w="643" w:type="dxa"/>
            <w:tcBorders>
              <w:bottom w:val="nil"/>
            </w:tcBorders>
            <w:vAlign w:val="center"/>
          </w:tcPr>
          <w:p w14:paraId="20FBE376" w14:textId="77777777" w:rsidR="00846980" w:rsidRPr="0017699B" w:rsidRDefault="323B463C">
            <w:pPr>
              <w:bidi/>
              <w:jc w:val="both"/>
              <w:rPr>
                <w:rFonts w:cs="Calibri"/>
                <w:b/>
                <w:sz w:val="16"/>
                <w:szCs w:val="16"/>
                <w:rtl/>
              </w:rPr>
            </w:pPr>
            <w:r w:rsidRPr="0017699B">
              <w:rPr>
                <w:rFonts w:cs="Calibri" w:hint="cs"/>
                <w:b/>
                <w:bCs/>
                <w:sz w:val="16"/>
                <w:szCs w:val="16"/>
                <w:rtl/>
              </w:rPr>
              <w:t>2021</w:t>
            </w:r>
          </w:p>
        </w:tc>
        <w:tc>
          <w:tcPr>
            <w:tcW w:w="861" w:type="dxa"/>
            <w:vAlign w:val="center"/>
          </w:tcPr>
          <w:p w14:paraId="7A51E0D5" w14:textId="77777777" w:rsidR="00846980" w:rsidRPr="0017699B" w:rsidRDefault="323B463C">
            <w:pPr>
              <w:bidi/>
              <w:jc w:val="center"/>
              <w:rPr>
                <w:rFonts w:cs="Calibri"/>
                <w:sz w:val="16"/>
                <w:szCs w:val="16"/>
                <w:rtl/>
              </w:rPr>
            </w:pPr>
            <w:r w:rsidRPr="0017699B">
              <w:rPr>
                <w:rFonts w:cs="Calibri"/>
                <w:sz w:val="16"/>
                <w:szCs w:val="16"/>
              </w:rPr>
              <w:t>FA</w:t>
            </w:r>
          </w:p>
        </w:tc>
        <w:tc>
          <w:tcPr>
            <w:tcW w:w="617" w:type="dxa"/>
            <w:vAlign w:val="center"/>
          </w:tcPr>
          <w:p w14:paraId="322B49B6" w14:textId="57B7167A" w:rsidR="00846980" w:rsidRPr="0017699B" w:rsidRDefault="6AA84397">
            <w:pPr>
              <w:bidi/>
              <w:jc w:val="center"/>
              <w:rPr>
                <w:rFonts w:cs="Calibri"/>
                <w:sz w:val="16"/>
                <w:szCs w:val="16"/>
                <w:rtl/>
              </w:rPr>
            </w:pPr>
            <w:r w:rsidRPr="0017699B">
              <w:rPr>
                <w:rFonts w:cs="Calibri" w:hint="cs"/>
                <w:sz w:val="16"/>
                <w:szCs w:val="16"/>
                <w:rtl/>
              </w:rPr>
              <w:t>0</w:t>
            </w:r>
          </w:p>
        </w:tc>
        <w:tc>
          <w:tcPr>
            <w:tcW w:w="992" w:type="dxa"/>
            <w:vAlign w:val="center"/>
          </w:tcPr>
          <w:p w14:paraId="41B7882F" w14:textId="7795D823" w:rsidR="00846980" w:rsidRPr="0017699B" w:rsidRDefault="7F038A60">
            <w:pPr>
              <w:bidi/>
              <w:jc w:val="center"/>
              <w:rPr>
                <w:rFonts w:cs="Calibri"/>
                <w:sz w:val="16"/>
                <w:szCs w:val="16"/>
                <w:rtl/>
              </w:rPr>
            </w:pPr>
            <w:r w:rsidRPr="0017699B">
              <w:rPr>
                <w:rFonts w:cs="Calibri" w:hint="cs"/>
                <w:sz w:val="16"/>
                <w:szCs w:val="16"/>
                <w:rtl/>
              </w:rPr>
              <w:t>0</w:t>
            </w:r>
          </w:p>
        </w:tc>
        <w:tc>
          <w:tcPr>
            <w:tcW w:w="997" w:type="dxa"/>
            <w:vAlign w:val="center"/>
          </w:tcPr>
          <w:p w14:paraId="38F04E56"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851" w:type="dxa"/>
            <w:vAlign w:val="center"/>
          </w:tcPr>
          <w:p w14:paraId="75FA1C38"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1164" w:type="dxa"/>
            <w:vAlign w:val="center"/>
          </w:tcPr>
          <w:p w14:paraId="17198E87" w14:textId="36B65191" w:rsidR="00846980" w:rsidRPr="0017699B" w:rsidRDefault="3E049F04">
            <w:pPr>
              <w:bidi/>
              <w:jc w:val="center"/>
              <w:rPr>
                <w:rFonts w:cs="Calibri"/>
                <w:sz w:val="16"/>
                <w:szCs w:val="16"/>
                <w:rtl/>
              </w:rPr>
            </w:pPr>
            <w:r w:rsidRPr="0017699B">
              <w:rPr>
                <w:rFonts w:cs="Calibri" w:hint="cs"/>
                <w:sz w:val="16"/>
                <w:szCs w:val="16"/>
                <w:rtl/>
              </w:rPr>
              <w:t>0</w:t>
            </w:r>
          </w:p>
        </w:tc>
        <w:tc>
          <w:tcPr>
            <w:tcW w:w="808" w:type="dxa"/>
            <w:vAlign w:val="center"/>
          </w:tcPr>
          <w:p w14:paraId="4A7D8006" w14:textId="77777777" w:rsidR="00846980" w:rsidRPr="0017699B" w:rsidRDefault="323B463C">
            <w:pPr>
              <w:bidi/>
              <w:jc w:val="center"/>
              <w:rPr>
                <w:rFonts w:cs="Calibri"/>
                <w:sz w:val="16"/>
                <w:szCs w:val="16"/>
                <w:rtl/>
              </w:rPr>
            </w:pPr>
            <w:r w:rsidRPr="0017699B">
              <w:rPr>
                <w:rFonts w:cs="Calibri" w:hint="cs"/>
                <w:sz w:val="16"/>
                <w:szCs w:val="16"/>
                <w:rtl/>
              </w:rPr>
              <w:t>100%</w:t>
            </w:r>
          </w:p>
        </w:tc>
        <w:tc>
          <w:tcPr>
            <w:tcW w:w="1140" w:type="dxa"/>
            <w:vAlign w:val="center"/>
          </w:tcPr>
          <w:p w14:paraId="4BA53BBF"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591" w:type="dxa"/>
            <w:gridSpan w:val="2"/>
            <w:vAlign w:val="center"/>
          </w:tcPr>
          <w:p w14:paraId="1CF1F8DD" w14:textId="77777777" w:rsidR="00846980" w:rsidRPr="0017699B" w:rsidRDefault="323B463C">
            <w:pPr>
              <w:bidi/>
              <w:jc w:val="center"/>
              <w:rPr>
                <w:rFonts w:cs="Calibri"/>
                <w:sz w:val="16"/>
                <w:szCs w:val="16"/>
                <w:rtl/>
              </w:rPr>
            </w:pPr>
            <w:r w:rsidRPr="0017699B">
              <w:rPr>
                <w:rFonts w:cs="Calibri" w:hint="cs"/>
                <w:sz w:val="16"/>
                <w:szCs w:val="16"/>
                <w:rtl/>
              </w:rPr>
              <w:t>0%</w:t>
            </w:r>
          </w:p>
        </w:tc>
      </w:tr>
      <w:tr w:rsidR="00846980" w:rsidRPr="0017699B" w14:paraId="0539409F" w14:textId="77777777" w:rsidTr="00795D4A">
        <w:trPr>
          <w:trHeight w:val="340"/>
        </w:trPr>
        <w:tc>
          <w:tcPr>
            <w:tcW w:w="643" w:type="dxa"/>
            <w:tcBorders>
              <w:top w:val="nil"/>
              <w:bottom w:val="single" w:sz="4" w:space="0" w:color="auto"/>
            </w:tcBorders>
            <w:vAlign w:val="center"/>
          </w:tcPr>
          <w:p w14:paraId="2E8C8824" w14:textId="77777777" w:rsidR="00846980" w:rsidRPr="0017699B" w:rsidRDefault="00846980">
            <w:pPr>
              <w:jc w:val="both"/>
              <w:rPr>
                <w:rFonts w:cs="Calibri"/>
                <w:b/>
                <w:sz w:val="16"/>
                <w:szCs w:val="16"/>
              </w:rPr>
            </w:pPr>
          </w:p>
        </w:tc>
        <w:tc>
          <w:tcPr>
            <w:tcW w:w="861" w:type="dxa"/>
            <w:vAlign w:val="center"/>
          </w:tcPr>
          <w:p w14:paraId="604FA1BF" w14:textId="77777777" w:rsidR="00846980" w:rsidRPr="0017699B" w:rsidRDefault="323B463C">
            <w:pPr>
              <w:bidi/>
              <w:jc w:val="center"/>
              <w:rPr>
                <w:rFonts w:cs="Calibri"/>
                <w:sz w:val="16"/>
                <w:szCs w:val="16"/>
                <w:rtl/>
              </w:rPr>
            </w:pPr>
            <w:r w:rsidRPr="0017699B">
              <w:rPr>
                <w:rFonts w:cs="Calibri"/>
                <w:sz w:val="16"/>
                <w:szCs w:val="16"/>
              </w:rPr>
              <w:t>PA</w:t>
            </w:r>
          </w:p>
        </w:tc>
        <w:tc>
          <w:tcPr>
            <w:tcW w:w="617" w:type="dxa"/>
            <w:vAlign w:val="center"/>
          </w:tcPr>
          <w:p w14:paraId="69FCFFF7" w14:textId="4A6C7087" w:rsidR="00846980" w:rsidRPr="0017699B" w:rsidRDefault="0C557BB8">
            <w:pPr>
              <w:bidi/>
              <w:jc w:val="center"/>
              <w:rPr>
                <w:rFonts w:cs="Calibri"/>
                <w:sz w:val="16"/>
                <w:szCs w:val="16"/>
                <w:rtl/>
              </w:rPr>
            </w:pPr>
            <w:r w:rsidRPr="0017699B">
              <w:rPr>
                <w:rFonts w:cs="Calibri" w:hint="cs"/>
                <w:sz w:val="16"/>
                <w:szCs w:val="16"/>
                <w:rtl/>
              </w:rPr>
              <w:t>3</w:t>
            </w:r>
          </w:p>
        </w:tc>
        <w:tc>
          <w:tcPr>
            <w:tcW w:w="992" w:type="dxa"/>
            <w:vAlign w:val="center"/>
          </w:tcPr>
          <w:p w14:paraId="29F48FEE" w14:textId="3E3B5973" w:rsidR="00846980" w:rsidRPr="0017699B" w:rsidRDefault="2D5B28C0">
            <w:pPr>
              <w:bidi/>
              <w:jc w:val="center"/>
              <w:rPr>
                <w:rFonts w:cs="Calibri"/>
                <w:sz w:val="16"/>
                <w:szCs w:val="16"/>
                <w:rtl/>
              </w:rPr>
            </w:pPr>
            <w:r w:rsidRPr="0017699B">
              <w:rPr>
                <w:rFonts w:cs="Calibri" w:hint="cs"/>
                <w:sz w:val="16"/>
                <w:szCs w:val="16"/>
                <w:rtl/>
              </w:rPr>
              <w:t>3</w:t>
            </w:r>
          </w:p>
        </w:tc>
        <w:tc>
          <w:tcPr>
            <w:tcW w:w="997" w:type="dxa"/>
            <w:vAlign w:val="center"/>
          </w:tcPr>
          <w:p w14:paraId="26427833" w14:textId="211BC52F" w:rsidR="00846980" w:rsidRPr="0017699B" w:rsidRDefault="2D5B28C0">
            <w:pPr>
              <w:bidi/>
              <w:jc w:val="center"/>
              <w:rPr>
                <w:rFonts w:cs="Calibri"/>
                <w:sz w:val="16"/>
                <w:szCs w:val="16"/>
                <w:rtl/>
              </w:rPr>
            </w:pPr>
            <w:r w:rsidRPr="0017699B">
              <w:rPr>
                <w:rFonts w:cs="Calibri" w:hint="cs"/>
                <w:sz w:val="16"/>
                <w:szCs w:val="16"/>
                <w:rtl/>
              </w:rPr>
              <w:t>0</w:t>
            </w:r>
          </w:p>
        </w:tc>
        <w:tc>
          <w:tcPr>
            <w:tcW w:w="851" w:type="dxa"/>
            <w:vAlign w:val="center"/>
          </w:tcPr>
          <w:p w14:paraId="5F0A1517" w14:textId="2A708450" w:rsidR="00846980" w:rsidRPr="0017699B" w:rsidRDefault="2D5B28C0">
            <w:pPr>
              <w:bidi/>
              <w:jc w:val="center"/>
              <w:rPr>
                <w:rFonts w:cs="Calibri"/>
                <w:sz w:val="16"/>
                <w:szCs w:val="16"/>
                <w:rtl/>
              </w:rPr>
            </w:pPr>
            <w:r w:rsidRPr="0017699B">
              <w:rPr>
                <w:rFonts w:cs="Calibri" w:hint="cs"/>
                <w:sz w:val="16"/>
                <w:szCs w:val="16"/>
                <w:rtl/>
              </w:rPr>
              <w:t>0</w:t>
            </w:r>
          </w:p>
        </w:tc>
        <w:tc>
          <w:tcPr>
            <w:tcW w:w="1164" w:type="dxa"/>
            <w:vAlign w:val="center"/>
          </w:tcPr>
          <w:p w14:paraId="20D80805" w14:textId="04F2ABDF" w:rsidR="00846980" w:rsidRPr="0017699B" w:rsidRDefault="2D5B28C0">
            <w:pPr>
              <w:bidi/>
              <w:jc w:val="center"/>
              <w:rPr>
                <w:rFonts w:cs="Calibri"/>
                <w:sz w:val="16"/>
                <w:szCs w:val="16"/>
                <w:rtl/>
              </w:rPr>
            </w:pPr>
            <w:r w:rsidRPr="0017699B">
              <w:rPr>
                <w:rFonts w:cs="Calibri" w:hint="cs"/>
                <w:sz w:val="16"/>
                <w:szCs w:val="16"/>
                <w:rtl/>
              </w:rPr>
              <w:t>3</w:t>
            </w:r>
          </w:p>
        </w:tc>
        <w:tc>
          <w:tcPr>
            <w:tcW w:w="808" w:type="dxa"/>
            <w:vAlign w:val="center"/>
          </w:tcPr>
          <w:p w14:paraId="1AB87A8A" w14:textId="67F6FBE1" w:rsidR="00846980" w:rsidRPr="0017699B" w:rsidRDefault="2D5B28C0">
            <w:pPr>
              <w:bidi/>
              <w:jc w:val="center"/>
              <w:rPr>
                <w:rFonts w:cs="Calibri"/>
                <w:sz w:val="16"/>
                <w:szCs w:val="16"/>
                <w:rtl/>
              </w:rPr>
            </w:pPr>
            <w:r w:rsidRPr="0017699B">
              <w:rPr>
                <w:rFonts w:cs="Calibri" w:hint="cs"/>
                <w:sz w:val="16"/>
                <w:szCs w:val="16"/>
                <w:rtl/>
              </w:rPr>
              <w:t>100%</w:t>
            </w:r>
          </w:p>
        </w:tc>
        <w:tc>
          <w:tcPr>
            <w:tcW w:w="1140" w:type="dxa"/>
            <w:vAlign w:val="center"/>
          </w:tcPr>
          <w:p w14:paraId="3241C7FD" w14:textId="21EE3452" w:rsidR="00846980" w:rsidRPr="0017699B" w:rsidRDefault="2D5B28C0">
            <w:pPr>
              <w:bidi/>
              <w:jc w:val="center"/>
              <w:rPr>
                <w:rFonts w:cs="Calibri"/>
                <w:sz w:val="16"/>
                <w:szCs w:val="16"/>
                <w:rtl/>
              </w:rPr>
            </w:pPr>
            <w:r w:rsidRPr="0017699B">
              <w:rPr>
                <w:rFonts w:cs="Calibri" w:hint="cs"/>
                <w:sz w:val="16"/>
                <w:szCs w:val="16"/>
                <w:rtl/>
              </w:rPr>
              <w:t>0</w:t>
            </w:r>
          </w:p>
        </w:tc>
        <w:tc>
          <w:tcPr>
            <w:tcW w:w="591" w:type="dxa"/>
            <w:gridSpan w:val="2"/>
            <w:vAlign w:val="center"/>
          </w:tcPr>
          <w:p w14:paraId="20A2162B" w14:textId="28A576A7" w:rsidR="00846980" w:rsidRPr="0017699B" w:rsidRDefault="2D5B28C0">
            <w:pPr>
              <w:bidi/>
              <w:jc w:val="center"/>
              <w:rPr>
                <w:rFonts w:cs="Calibri"/>
                <w:sz w:val="16"/>
                <w:szCs w:val="16"/>
                <w:rtl/>
              </w:rPr>
            </w:pPr>
            <w:r w:rsidRPr="0017699B">
              <w:rPr>
                <w:rFonts w:cs="Calibri" w:hint="cs"/>
                <w:sz w:val="16"/>
                <w:szCs w:val="16"/>
                <w:rtl/>
              </w:rPr>
              <w:t>0%</w:t>
            </w:r>
          </w:p>
        </w:tc>
      </w:tr>
      <w:tr w:rsidR="00846980" w:rsidRPr="0017699B" w14:paraId="707ED2AA" w14:textId="77777777" w:rsidTr="00795D4A">
        <w:trPr>
          <w:trHeight w:val="340"/>
        </w:trPr>
        <w:tc>
          <w:tcPr>
            <w:tcW w:w="643" w:type="dxa"/>
            <w:tcBorders>
              <w:bottom w:val="nil"/>
            </w:tcBorders>
            <w:vAlign w:val="center"/>
          </w:tcPr>
          <w:p w14:paraId="0070D4CE" w14:textId="77777777" w:rsidR="00846980" w:rsidRPr="0017699B" w:rsidRDefault="323B463C">
            <w:pPr>
              <w:bidi/>
              <w:jc w:val="both"/>
              <w:rPr>
                <w:rFonts w:cs="Calibri"/>
                <w:b/>
                <w:sz w:val="16"/>
                <w:szCs w:val="16"/>
                <w:rtl/>
              </w:rPr>
            </w:pPr>
            <w:r w:rsidRPr="0017699B">
              <w:rPr>
                <w:rFonts w:cs="Calibri" w:hint="cs"/>
                <w:b/>
                <w:bCs/>
                <w:sz w:val="16"/>
                <w:szCs w:val="16"/>
                <w:rtl/>
              </w:rPr>
              <w:t>2020</w:t>
            </w:r>
          </w:p>
        </w:tc>
        <w:tc>
          <w:tcPr>
            <w:tcW w:w="861" w:type="dxa"/>
            <w:vAlign w:val="center"/>
          </w:tcPr>
          <w:p w14:paraId="03A0896E" w14:textId="77777777" w:rsidR="00846980" w:rsidRPr="0017699B" w:rsidRDefault="323B463C">
            <w:pPr>
              <w:bidi/>
              <w:jc w:val="center"/>
              <w:rPr>
                <w:rFonts w:cs="Calibri"/>
                <w:sz w:val="16"/>
                <w:szCs w:val="16"/>
                <w:rtl/>
              </w:rPr>
            </w:pPr>
            <w:r w:rsidRPr="0017699B">
              <w:rPr>
                <w:rFonts w:cs="Calibri"/>
                <w:sz w:val="16"/>
                <w:szCs w:val="16"/>
              </w:rPr>
              <w:t>FA</w:t>
            </w:r>
          </w:p>
        </w:tc>
        <w:tc>
          <w:tcPr>
            <w:tcW w:w="617" w:type="dxa"/>
            <w:vAlign w:val="center"/>
          </w:tcPr>
          <w:p w14:paraId="40C4E2FB" w14:textId="74DDC6E0" w:rsidR="00846980" w:rsidRPr="0017699B" w:rsidRDefault="1306E970">
            <w:pPr>
              <w:bidi/>
              <w:jc w:val="center"/>
              <w:rPr>
                <w:rFonts w:cs="Calibri"/>
                <w:sz w:val="16"/>
                <w:szCs w:val="16"/>
                <w:rtl/>
              </w:rPr>
            </w:pPr>
            <w:r w:rsidRPr="0017699B">
              <w:rPr>
                <w:rFonts w:cs="Calibri" w:hint="cs"/>
                <w:sz w:val="16"/>
                <w:szCs w:val="16"/>
                <w:rtl/>
              </w:rPr>
              <w:t>3</w:t>
            </w:r>
          </w:p>
        </w:tc>
        <w:tc>
          <w:tcPr>
            <w:tcW w:w="992" w:type="dxa"/>
            <w:vAlign w:val="center"/>
          </w:tcPr>
          <w:p w14:paraId="5C4487FD" w14:textId="3E1B85F4" w:rsidR="00846980" w:rsidRPr="0017699B" w:rsidRDefault="3FC7A317">
            <w:pPr>
              <w:bidi/>
              <w:jc w:val="center"/>
              <w:rPr>
                <w:rFonts w:cs="Calibri"/>
                <w:sz w:val="16"/>
                <w:szCs w:val="16"/>
                <w:rtl/>
              </w:rPr>
            </w:pPr>
            <w:r w:rsidRPr="0017699B">
              <w:rPr>
                <w:rFonts w:cs="Calibri" w:hint="cs"/>
                <w:sz w:val="16"/>
                <w:szCs w:val="16"/>
                <w:rtl/>
              </w:rPr>
              <w:t>3</w:t>
            </w:r>
          </w:p>
        </w:tc>
        <w:tc>
          <w:tcPr>
            <w:tcW w:w="997" w:type="dxa"/>
            <w:vAlign w:val="center"/>
          </w:tcPr>
          <w:p w14:paraId="4C21D677"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851" w:type="dxa"/>
            <w:vAlign w:val="center"/>
          </w:tcPr>
          <w:p w14:paraId="492D801A"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1164" w:type="dxa"/>
            <w:vAlign w:val="center"/>
          </w:tcPr>
          <w:p w14:paraId="71983C5C" w14:textId="6257CC69" w:rsidR="00846980" w:rsidRPr="0017699B" w:rsidRDefault="3FC7A317">
            <w:pPr>
              <w:bidi/>
              <w:jc w:val="center"/>
              <w:rPr>
                <w:rFonts w:cs="Calibri"/>
                <w:sz w:val="16"/>
                <w:szCs w:val="16"/>
                <w:rtl/>
              </w:rPr>
            </w:pPr>
            <w:r w:rsidRPr="0017699B">
              <w:rPr>
                <w:rFonts w:cs="Calibri" w:hint="cs"/>
                <w:sz w:val="16"/>
                <w:szCs w:val="16"/>
                <w:rtl/>
              </w:rPr>
              <w:t>3</w:t>
            </w:r>
          </w:p>
        </w:tc>
        <w:tc>
          <w:tcPr>
            <w:tcW w:w="808" w:type="dxa"/>
            <w:vAlign w:val="center"/>
          </w:tcPr>
          <w:p w14:paraId="78508A3B" w14:textId="77777777" w:rsidR="00846980" w:rsidRPr="0017699B" w:rsidRDefault="323B463C">
            <w:pPr>
              <w:bidi/>
              <w:jc w:val="center"/>
              <w:rPr>
                <w:rFonts w:cs="Calibri"/>
                <w:sz w:val="16"/>
                <w:szCs w:val="16"/>
                <w:rtl/>
              </w:rPr>
            </w:pPr>
            <w:r w:rsidRPr="0017699B">
              <w:rPr>
                <w:rFonts w:cs="Calibri" w:hint="cs"/>
                <w:sz w:val="16"/>
                <w:szCs w:val="16"/>
                <w:rtl/>
              </w:rPr>
              <w:t>100%</w:t>
            </w:r>
          </w:p>
        </w:tc>
        <w:tc>
          <w:tcPr>
            <w:tcW w:w="1140" w:type="dxa"/>
            <w:vAlign w:val="center"/>
          </w:tcPr>
          <w:p w14:paraId="44D40088" w14:textId="77777777" w:rsidR="00846980" w:rsidRPr="0017699B" w:rsidRDefault="323B463C">
            <w:pPr>
              <w:bidi/>
              <w:jc w:val="center"/>
              <w:rPr>
                <w:rFonts w:cs="Calibri"/>
                <w:sz w:val="16"/>
                <w:szCs w:val="16"/>
                <w:rtl/>
              </w:rPr>
            </w:pPr>
            <w:r w:rsidRPr="0017699B">
              <w:rPr>
                <w:rFonts w:cs="Calibri" w:hint="cs"/>
                <w:sz w:val="16"/>
                <w:szCs w:val="16"/>
                <w:rtl/>
              </w:rPr>
              <w:t>0</w:t>
            </w:r>
          </w:p>
        </w:tc>
        <w:tc>
          <w:tcPr>
            <w:tcW w:w="591" w:type="dxa"/>
            <w:gridSpan w:val="2"/>
            <w:vAlign w:val="center"/>
          </w:tcPr>
          <w:p w14:paraId="14252811" w14:textId="77777777" w:rsidR="00846980" w:rsidRPr="0017699B" w:rsidRDefault="323B463C">
            <w:pPr>
              <w:bidi/>
              <w:jc w:val="center"/>
              <w:rPr>
                <w:rFonts w:cs="Calibri"/>
                <w:sz w:val="16"/>
                <w:szCs w:val="16"/>
                <w:rtl/>
              </w:rPr>
            </w:pPr>
            <w:r w:rsidRPr="0017699B">
              <w:rPr>
                <w:rFonts w:cs="Calibri" w:hint="cs"/>
                <w:sz w:val="16"/>
                <w:szCs w:val="16"/>
                <w:rtl/>
              </w:rPr>
              <w:t>0%</w:t>
            </w:r>
          </w:p>
        </w:tc>
      </w:tr>
      <w:tr w:rsidR="00846980" w:rsidRPr="0017699B" w14:paraId="1158E19B" w14:textId="77777777" w:rsidTr="00795D4A">
        <w:trPr>
          <w:trHeight w:val="340"/>
        </w:trPr>
        <w:tc>
          <w:tcPr>
            <w:tcW w:w="643" w:type="dxa"/>
            <w:tcBorders>
              <w:top w:val="nil"/>
            </w:tcBorders>
            <w:vAlign w:val="center"/>
          </w:tcPr>
          <w:p w14:paraId="4C64B054" w14:textId="77777777" w:rsidR="00846980" w:rsidRPr="0017699B" w:rsidRDefault="00846980">
            <w:pPr>
              <w:jc w:val="both"/>
              <w:rPr>
                <w:rFonts w:cs="Calibri"/>
                <w:b/>
                <w:sz w:val="16"/>
                <w:szCs w:val="16"/>
              </w:rPr>
            </w:pPr>
          </w:p>
        </w:tc>
        <w:tc>
          <w:tcPr>
            <w:tcW w:w="861" w:type="dxa"/>
            <w:vAlign w:val="center"/>
          </w:tcPr>
          <w:p w14:paraId="4DCD67FF" w14:textId="77777777" w:rsidR="00846980" w:rsidRPr="0017699B" w:rsidRDefault="323B463C">
            <w:pPr>
              <w:bidi/>
              <w:jc w:val="center"/>
              <w:rPr>
                <w:rFonts w:cs="Calibri"/>
                <w:sz w:val="16"/>
                <w:szCs w:val="16"/>
                <w:rtl/>
              </w:rPr>
            </w:pPr>
            <w:r w:rsidRPr="0017699B">
              <w:rPr>
                <w:rFonts w:cs="Calibri"/>
                <w:sz w:val="16"/>
                <w:szCs w:val="16"/>
              </w:rPr>
              <w:t>PA</w:t>
            </w:r>
          </w:p>
        </w:tc>
        <w:tc>
          <w:tcPr>
            <w:tcW w:w="617" w:type="dxa"/>
            <w:vAlign w:val="center"/>
          </w:tcPr>
          <w:p w14:paraId="5C1B878A" w14:textId="19F0D8F7" w:rsidR="00846980" w:rsidRPr="0017699B" w:rsidRDefault="1306E970">
            <w:pPr>
              <w:bidi/>
              <w:jc w:val="center"/>
              <w:rPr>
                <w:rFonts w:cs="Calibri"/>
                <w:sz w:val="16"/>
                <w:szCs w:val="16"/>
                <w:rtl/>
              </w:rPr>
            </w:pPr>
            <w:r w:rsidRPr="0017699B">
              <w:rPr>
                <w:rFonts w:cs="Calibri" w:hint="cs"/>
                <w:sz w:val="16"/>
                <w:szCs w:val="16"/>
                <w:rtl/>
              </w:rPr>
              <w:t>6</w:t>
            </w:r>
          </w:p>
        </w:tc>
        <w:tc>
          <w:tcPr>
            <w:tcW w:w="992" w:type="dxa"/>
            <w:vAlign w:val="center"/>
          </w:tcPr>
          <w:p w14:paraId="272B942C" w14:textId="2275A587" w:rsidR="00846980" w:rsidRPr="0017699B" w:rsidRDefault="3FC7A317">
            <w:pPr>
              <w:bidi/>
              <w:jc w:val="center"/>
              <w:rPr>
                <w:rFonts w:cs="Calibri"/>
                <w:sz w:val="16"/>
                <w:szCs w:val="16"/>
                <w:rtl/>
              </w:rPr>
            </w:pPr>
            <w:r w:rsidRPr="0017699B">
              <w:rPr>
                <w:rFonts w:cs="Calibri" w:hint="cs"/>
                <w:sz w:val="16"/>
                <w:szCs w:val="16"/>
                <w:rtl/>
              </w:rPr>
              <w:t>6</w:t>
            </w:r>
          </w:p>
        </w:tc>
        <w:tc>
          <w:tcPr>
            <w:tcW w:w="997" w:type="dxa"/>
            <w:vAlign w:val="center"/>
          </w:tcPr>
          <w:p w14:paraId="4DE02A0F" w14:textId="3B7BA798" w:rsidR="00846980" w:rsidRPr="0017699B" w:rsidRDefault="7E3E0BA4">
            <w:pPr>
              <w:bidi/>
              <w:jc w:val="center"/>
              <w:rPr>
                <w:rFonts w:cs="Calibri"/>
                <w:sz w:val="16"/>
                <w:szCs w:val="16"/>
                <w:rtl/>
              </w:rPr>
            </w:pPr>
            <w:r w:rsidRPr="0017699B">
              <w:rPr>
                <w:rFonts w:cs="Calibri" w:hint="cs"/>
                <w:sz w:val="16"/>
                <w:szCs w:val="16"/>
                <w:rtl/>
              </w:rPr>
              <w:t>0</w:t>
            </w:r>
          </w:p>
        </w:tc>
        <w:tc>
          <w:tcPr>
            <w:tcW w:w="851" w:type="dxa"/>
            <w:vAlign w:val="center"/>
          </w:tcPr>
          <w:p w14:paraId="2BBA65A1" w14:textId="4F875801" w:rsidR="00846980" w:rsidRPr="0017699B" w:rsidRDefault="7E3E0BA4">
            <w:pPr>
              <w:bidi/>
              <w:jc w:val="center"/>
              <w:rPr>
                <w:rFonts w:cs="Calibri"/>
                <w:sz w:val="16"/>
                <w:szCs w:val="16"/>
                <w:rtl/>
              </w:rPr>
            </w:pPr>
            <w:r w:rsidRPr="0017699B">
              <w:rPr>
                <w:rFonts w:cs="Calibri" w:hint="cs"/>
                <w:sz w:val="16"/>
                <w:szCs w:val="16"/>
                <w:rtl/>
              </w:rPr>
              <w:t>0</w:t>
            </w:r>
          </w:p>
        </w:tc>
        <w:tc>
          <w:tcPr>
            <w:tcW w:w="1164" w:type="dxa"/>
            <w:vAlign w:val="center"/>
          </w:tcPr>
          <w:p w14:paraId="28D9A5B6" w14:textId="7303B6C3" w:rsidR="00846980" w:rsidRPr="0017699B" w:rsidRDefault="3FC7A317">
            <w:pPr>
              <w:bidi/>
              <w:jc w:val="center"/>
              <w:rPr>
                <w:rFonts w:cs="Calibri"/>
                <w:sz w:val="16"/>
                <w:szCs w:val="16"/>
                <w:rtl/>
              </w:rPr>
            </w:pPr>
            <w:r w:rsidRPr="0017699B">
              <w:rPr>
                <w:rFonts w:cs="Calibri" w:hint="cs"/>
                <w:sz w:val="16"/>
                <w:szCs w:val="16"/>
                <w:rtl/>
              </w:rPr>
              <w:t>6</w:t>
            </w:r>
          </w:p>
        </w:tc>
        <w:tc>
          <w:tcPr>
            <w:tcW w:w="808" w:type="dxa"/>
            <w:vAlign w:val="center"/>
          </w:tcPr>
          <w:p w14:paraId="40B6F0E3" w14:textId="3757C682" w:rsidR="00846980" w:rsidRPr="0017699B" w:rsidRDefault="7E3E0BA4">
            <w:pPr>
              <w:bidi/>
              <w:jc w:val="center"/>
              <w:rPr>
                <w:rFonts w:cs="Calibri"/>
                <w:sz w:val="16"/>
                <w:szCs w:val="16"/>
                <w:rtl/>
              </w:rPr>
            </w:pPr>
            <w:r w:rsidRPr="0017699B">
              <w:rPr>
                <w:rFonts w:cs="Calibri" w:hint="cs"/>
                <w:sz w:val="16"/>
                <w:szCs w:val="16"/>
                <w:rtl/>
              </w:rPr>
              <w:t>100%</w:t>
            </w:r>
          </w:p>
        </w:tc>
        <w:tc>
          <w:tcPr>
            <w:tcW w:w="1140" w:type="dxa"/>
            <w:vAlign w:val="center"/>
          </w:tcPr>
          <w:p w14:paraId="45441007" w14:textId="732EC869" w:rsidR="00846980" w:rsidRPr="0017699B" w:rsidRDefault="35F67D27">
            <w:pPr>
              <w:bidi/>
              <w:jc w:val="center"/>
              <w:rPr>
                <w:rFonts w:cs="Calibri"/>
                <w:sz w:val="16"/>
                <w:szCs w:val="16"/>
                <w:rtl/>
              </w:rPr>
            </w:pPr>
            <w:r w:rsidRPr="0017699B">
              <w:rPr>
                <w:rFonts w:cs="Calibri" w:hint="cs"/>
                <w:sz w:val="16"/>
                <w:szCs w:val="16"/>
                <w:rtl/>
              </w:rPr>
              <w:t>0</w:t>
            </w:r>
          </w:p>
        </w:tc>
        <w:tc>
          <w:tcPr>
            <w:tcW w:w="591" w:type="dxa"/>
            <w:gridSpan w:val="2"/>
            <w:vAlign w:val="center"/>
          </w:tcPr>
          <w:p w14:paraId="5F27B508" w14:textId="7D51F1E1" w:rsidR="00846980" w:rsidRPr="0017699B" w:rsidRDefault="35F67D27">
            <w:pPr>
              <w:bidi/>
              <w:jc w:val="center"/>
              <w:rPr>
                <w:rFonts w:cs="Calibri"/>
                <w:sz w:val="16"/>
                <w:szCs w:val="16"/>
                <w:rtl/>
              </w:rPr>
            </w:pPr>
            <w:r w:rsidRPr="0017699B">
              <w:rPr>
                <w:rFonts w:cs="Calibri" w:hint="cs"/>
                <w:sz w:val="16"/>
                <w:szCs w:val="16"/>
                <w:rtl/>
              </w:rPr>
              <w:t>0%</w:t>
            </w:r>
          </w:p>
        </w:tc>
      </w:tr>
      <w:tr w:rsidR="0019440F" w:rsidRPr="0017699B" w14:paraId="6FE8BF72" w14:textId="77777777" w:rsidTr="66DE4C64">
        <w:trPr>
          <w:trHeight w:val="340"/>
        </w:trPr>
        <w:tc>
          <w:tcPr>
            <w:tcW w:w="643" w:type="dxa"/>
            <w:vMerge w:val="restart"/>
            <w:shd w:val="clear" w:color="auto" w:fill="FFFFFF" w:themeFill="background1"/>
            <w:vAlign w:val="center"/>
          </w:tcPr>
          <w:p w14:paraId="28EBEC9E" w14:textId="63A8BEF1" w:rsidR="0019440F" w:rsidRPr="0017699B" w:rsidRDefault="7AAE4FD1">
            <w:pPr>
              <w:bidi/>
              <w:jc w:val="both"/>
              <w:rPr>
                <w:rFonts w:cs="Calibri"/>
                <w:sz w:val="16"/>
                <w:szCs w:val="16"/>
                <w:rtl/>
              </w:rPr>
            </w:pPr>
            <w:r w:rsidRPr="0017699B">
              <w:rPr>
                <w:rFonts w:cs="Calibri" w:hint="cs"/>
                <w:b/>
                <w:bCs/>
                <w:sz w:val="16"/>
                <w:szCs w:val="16"/>
                <w:rtl/>
              </w:rPr>
              <w:t>المجموع</w:t>
            </w:r>
          </w:p>
        </w:tc>
        <w:tc>
          <w:tcPr>
            <w:tcW w:w="861" w:type="dxa"/>
            <w:shd w:val="clear" w:color="auto" w:fill="FFFFFF" w:themeFill="background1"/>
            <w:vAlign w:val="center"/>
          </w:tcPr>
          <w:p w14:paraId="7DE12AA8" w14:textId="15A0868A" w:rsidR="0019440F" w:rsidRPr="0017699B" w:rsidRDefault="7AAE4FD1" w:rsidP="00070145">
            <w:pPr>
              <w:bidi/>
              <w:jc w:val="center"/>
              <w:rPr>
                <w:rFonts w:cs="Calibri"/>
                <w:b/>
                <w:sz w:val="16"/>
                <w:szCs w:val="16"/>
                <w:rtl/>
              </w:rPr>
            </w:pPr>
            <w:r w:rsidRPr="0017699B">
              <w:rPr>
                <w:rFonts w:cs="Calibri"/>
                <w:b/>
                <w:bCs/>
                <w:sz w:val="16"/>
                <w:szCs w:val="16"/>
              </w:rPr>
              <w:t>FA</w:t>
            </w:r>
          </w:p>
        </w:tc>
        <w:tc>
          <w:tcPr>
            <w:tcW w:w="617" w:type="dxa"/>
            <w:shd w:val="clear" w:color="auto" w:fill="FFFFFF" w:themeFill="background1"/>
            <w:vAlign w:val="center"/>
          </w:tcPr>
          <w:p w14:paraId="422E7740" w14:textId="4939B045" w:rsidR="0019440F" w:rsidRPr="0017699B" w:rsidRDefault="71EEF071" w:rsidP="31DA1FBD">
            <w:pPr>
              <w:bidi/>
              <w:jc w:val="center"/>
              <w:rPr>
                <w:rFonts w:cs="Calibri"/>
                <w:b/>
                <w:sz w:val="16"/>
                <w:szCs w:val="16"/>
                <w:rtl/>
              </w:rPr>
            </w:pPr>
            <w:r w:rsidRPr="0017699B">
              <w:rPr>
                <w:rFonts w:cs="Calibri" w:hint="cs"/>
                <w:b/>
                <w:bCs/>
                <w:sz w:val="16"/>
                <w:szCs w:val="16"/>
                <w:rtl/>
              </w:rPr>
              <w:t>8</w:t>
            </w:r>
          </w:p>
        </w:tc>
        <w:tc>
          <w:tcPr>
            <w:tcW w:w="992" w:type="dxa"/>
            <w:shd w:val="clear" w:color="auto" w:fill="FFFFFF" w:themeFill="background1"/>
            <w:vAlign w:val="center"/>
          </w:tcPr>
          <w:p w14:paraId="0BA1B4C9" w14:textId="49C9306E" w:rsidR="0019440F" w:rsidRPr="0017699B" w:rsidRDefault="0BDACAB2" w:rsidP="31DA1FBD">
            <w:pPr>
              <w:bidi/>
              <w:jc w:val="center"/>
              <w:rPr>
                <w:rFonts w:cs="Calibri"/>
                <w:b/>
                <w:sz w:val="16"/>
                <w:szCs w:val="16"/>
                <w:rtl/>
              </w:rPr>
            </w:pPr>
            <w:r w:rsidRPr="0017699B">
              <w:rPr>
                <w:rFonts w:cs="Calibri" w:hint="cs"/>
                <w:b/>
                <w:bCs/>
                <w:sz w:val="16"/>
                <w:szCs w:val="16"/>
                <w:rtl/>
              </w:rPr>
              <w:t>4</w:t>
            </w:r>
          </w:p>
        </w:tc>
        <w:tc>
          <w:tcPr>
            <w:tcW w:w="997" w:type="dxa"/>
            <w:shd w:val="clear" w:color="auto" w:fill="FFFFFF" w:themeFill="background1"/>
            <w:vAlign w:val="center"/>
          </w:tcPr>
          <w:p w14:paraId="55A13106" w14:textId="42084670" w:rsidR="0019440F" w:rsidRPr="0017699B" w:rsidRDefault="77B6D0F8" w:rsidP="31DA1FBD">
            <w:pPr>
              <w:bidi/>
              <w:jc w:val="center"/>
              <w:rPr>
                <w:rFonts w:cs="Calibri"/>
                <w:b/>
                <w:sz w:val="16"/>
                <w:szCs w:val="16"/>
                <w:rtl/>
              </w:rPr>
            </w:pPr>
            <w:r w:rsidRPr="0017699B">
              <w:rPr>
                <w:rFonts w:cs="Calibri" w:hint="cs"/>
                <w:b/>
                <w:bCs/>
                <w:sz w:val="16"/>
                <w:szCs w:val="16"/>
                <w:rtl/>
              </w:rPr>
              <w:t>4</w:t>
            </w:r>
          </w:p>
        </w:tc>
        <w:tc>
          <w:tcPr>
            <w:tcW w:w="851" w:type="dxa"/>
            <w:shd w:val="clear" w:color="auto" w:fill="FFFFFF" w:themeFill="background1"/>
            <w:vAlign w:val="center"/>
          </w:tcPr>
          <w:p w14:paraId="23E2A140" w14:textId="26490C58" w:rsidR="0019440F" w:rsidRPr="0017699B" w:rsidRDefault="1ED58F09" w:rsidP="73A89930">
            <w:pPr>
              <w:bidi/>
              <w:jc w:val="center"/>
              <w:rPr>
                <w:rFonts w:cs="Calibri"/>
                <w:b/>
                <w:sz w:val="16"/>
                <w:szCs w:val="16"/>
                <w:rtl/>
              </w:rPr>
            </w:pPr>
            <w:r w:rsidRPr="0017699B">
              <w:rPr>
                <w:rFonts w:cs="Calibri" w:hint="cs"/>
                <w:b/>
                <w:bCs/>
                <w:sz w:val="16"/>
                <w:szCs w:val="16"/>
                <w:rtl/>
              </w:rPr>
              <w:t>2</w:t>
            </w:r>
          </w:p>
        </w:tc>
        <w:tc>
          <w:tcPr>
            <w:tcW w:w="1164" w:type="dxa"/>
            <w:shd w:val="clear" w:color="auto" w:fill="FFFFFF" w:themeFill="background1"/>
            <w:vAlign w:val="center"/>
          </w:tcPr>
          <w:p w14:paraId="4850E792" w14:textId="56C1C944" w:rsidR="0019440F" w:rsidRPr="0017699B" w:rsidRDefault="6496EAC7" w:rsidP="73A89930">
            <w:pPr>
              <w:bidi/>
              <w:jc w:val="center"/>
              <w:rPr>
                <w:rFonts w:cs="Calibri"/>
                <w:b/>
                <w:sz w:val="16"/>
                <w:szCs w:val="16"/>
                <w:rtl/>
              </w:rPr>
            </w:pPr>
            <w:r w:rsidRPr="0017699B">
              <w:rPr>
                <w:rFonts w:cs="Calibri" w:hint="cs"/>
                <w:b/>
                <w:bCs/>
                <w:sz w:val="16"/>
                <w:szCs w:val="16"/>
                <w:rtl/>
              </w:rPr>
              <w:t>6</w:t>
            </w:r>
          </w:p>
        </w:tc>
        <w:tc>
          <w:tcPr>
            <w:tcW w:w="808" w:type="dxa"/>
            <w:shd w:val="clear" w:color="auto" w:fill="FFFFFF" w:themeFill="background1"/>
            <w:vAlign w:val="center"/>
          </w:tcPr>
          <w:p w14:paraId="62D0A547" w14:textId="0DA6D28C" w:rsidR="0019440F" w:rsidRPr="0017699B" w:rsidRDefault="6313C711" w:rsidP="73A89930">
            <w:pPr>
              <w:bidi/>
              <w:jc w:val="center"/>
              <w:rPr>
                <w:rFonts w:cs="Calibri"/>
                <w:b/>
                <w:sz w:val="16"/>
                <w:szCs w:val="16"/>
                <w:rtl/>
              </w:rPr>
            </w:pPr>
            <w:r w:rsidRPr="0017699B">
              <w:rPr>
                <w:rFonts w:cs="Calibri" w:hint="cs"/>
                <w:b/>
                <w:bCs/>
                <w:sz w:val="16"/>
                <w:szCs w:val="16"/>
                <w:rtl/>
              </w:rPr>
              <w:t>75%</w:t>
            </w:r>
          </w:p>
        </w:tc>
        <w:tc>
          <w:tcPr>
            <w:tcW w:w="1140" w:type="dxa"/>
            <w:shd w:val="clear" w:color="auto" w:fill="FFFFFF" w:themeFill="background1"/>
            <w:vAlign w:val="center"/>
          </w:tcPr>
          <w:p w14:paraId="79617B71" w14:textId="241DB159" w:rsidR="0019440F" w:rsidRPr="0017699B" w:rsidRDefault="0EA41F06" w:rsidP="73A89930">
            <w:pPr>
              <w:bidi/>
              <w:jc w:val="center"/>
              <w:rPr>
                <w:rFonts w:cs="Calibri"/>
                <w:b/>
                <w:sz w:val="16"/>
                <w:szCs w:val="16"/>
                <w:rtl/>
              </w:rPr>
            </w:pPr>
            <w:r w:rsidRPr="0017699B">
              <w:rPr>
                <w:rFonts w:cs="Calibri" w:hint="cs"/>
                <w:b/>
                <w:bCs/>
                <w:sz w:val="16"/>
                <w:szCs w:val="16"/>
                <w:rtl/>
              </w:rPr>
              <w:t>2</w:t>
            </w:r>
          </w:p>
        </w:tc>
        <w:tc>
          <w:tcPr>
            <w:tcW w:w="591" w:type="dxa"/>
            <w:gridSpan w:val="2"/>
            <w:shd w:val="clear" w:color="auto" w:fill="FFFFFF" w:themeFill="background1"/>
            <w:vAlign w:val="center"/>
          </w:tcPr>
          <w:p w14:paraId="2BC99869" w14:textId="0209C02B" w:rsidR="0019440F" w:rsidRPr="0017699B" w:rsidRDefault="0EA41F06" w:rsidP="73A89930">
            <w:pPr>
              <w:bidi/>
              <w:jc w:val="center"/>
              <w:rPr>
                <w:rFonts w:cs="Calibri"/>
                <w:b/>
                <w:sz w:val="16"/>
                <w:szCs w:val="16"/>
                <w:rtl/>
              </w:rPr>
            </w:pPr>
            <w:r w:rsidRPr="0017699B">
              <w:rPr>
                <w:rFonts w:cs="Calibri" w:hint="cs"/>
                <w:b/>
                <w:bCs/>
                <w:sz w:val="16"/>
                <w:szCs w:val="16"/>
                <w:rtl/>
              </w:rPr>
              <w:t>25%</w:t>
            </w:r>
          </w:p>
        </w:tc>
      </w:tr>
      <w:tr w:rsidR="0019440F" w:rsidRPr="0017699B" w14:paraId="345D5691" w14:textId="77777777" w:rsidTr="66DE4C64">
        <w:trPr>
          <w:trHeight w:val="340"/>
        </w:trPr>
        <w:tc>
          <w:tcPr>
            <w:tcW w:w="643" w:type="dxa"/>
            <w:vMerge/>
            <w:vAlign w:val="center"/>
          </w:tcPr>
          <w:p w14:paraId="6B557048" w14:textId="6C45FA9A" w:rsidR="0019440F" w:rsidRPr="0017699B" w:rsidRDefault="0019440F">
            <w:pPr>
              <w:jc w:val="both"/>
              <w:rPr>
                <w:rFonts w:cs="Calibri"/>
                <w:sz w:val="16"/>
                <w:szCs w:val="16"/>
              </w:rPr>
            </w:pPr>
          </w:p>
        </w:tc>
        <w:tc>
          <w:tcPr>
            <w:tcW w:w="861" w:type="dxa"/>
            <w:shd w:val="clear" w:color="auto" w:fill="FFFFFF" w:themeFill="background1"/>
            <w:vAlign w:val="center"/>
          </w:tcPr>
          <w:p w14:paraId="47C168FA" w14:textId="657324E2" w:rsidR="0019440F" w:rsidRPr="0017699B" w:rsidRDefault="7AAE4FD1" w:rsidP="00070145">
            <w:pPr>
              <w:bidi/>
              <w:jc w:val="center"/>
              <w:rPr>
                <w:rFonts w:cs="Calibri"/>
                <w:b/>
                <w:sz w:val="16"/>
                <w:szCs w:val="16"/>
                <w:rtl/>
              </w:rPr>
            </w:pPr>
            <w:r w:rsidRPr="0017699B">
              <w:rPr>
                <w:rFonts w:cs="Calibri"/>
                <w:b/>
                <w:bCs/>
                <w:sz w:val="16"/>
                <w:szCs w:val="16"/>
              </w:rPr>
              <w:t>PA</w:t>
            </w:r>
          </w:p>
        </w:tc>
        <w:tc>
          <w:tcPr>
            <w:tcW w:w="617" w:type="dxa"/>
            <w:shd w:val="clear" w:color="auto" w:fill="FFFFFF" w:themeFill="background1"/>
            <w:vAlign w:val="center"/>
          </w:tcPr>
          <w:p w14:paraId="61E50B2C" w14:textId="21BE47D2" w:rsidR="0019440F" w:rsidRPr="0017699B" w:rsidRDefault="26B1B17A" w:rsidP="31DA1FBD">
            <w:pPr>
              <w:bidi/>
              <w:jc w:val="center"/>
              <w:rPr>
                <w:rFonts w:cs="Calibri"/>
                <w:b/>
                <w:sz w:val="16"/>
                <w:szCs w:val="16"/>
                <w:rtl/>
              </w:rPr>
            </w:pPr>
            <w:r w:rsidRPr="0017699B">
              <w:rPr>
                <w:rFonts w:cs="Calibri" w:hint="cs"/>
                <w:b/>
                <w:bCs/>
                <w:sz w:val="16"/>
                <w:szCs w:val="16"/>
                <w:rtl/>
              </w:rPr>
              <w:t>18</w:t>
            </w:r>
          </w:p>
        </w:tc>
        <w:tc>
          <w:tcPr>
            <w:tcW w:w="992" w:type="dxa"/>
            <w:shd w:val="clear" w:color="auto" w:fill="FFFFFF" w:themeFill="background1"/>
            <w:vAlign w:val="center"/>
          </w:tcPr>
          <w:p w14:paraId="2AEA7459" w14:textId="49C7D04C" w:rsidR="0019440F" w:rsidRPr="0017699B" w:rsidRDefault="7E5E5284" w:rsidP="31DA1FBD">
            <w:pPr>
              <w:bidi/>
              <w:jc w:val="center"/>
              <w:rPr>
                <w:rFonts w:cs="Calibri"/>
                <w:b/>
                <w:sz w:val="16"/>
                <w:szCs w:val="16"/>
                <w:rtl/>
              </w:rPr>
            </w:pPr>
            <w:r w:rsidRPr="0017699B">
              <w:rPr>
                <w:rFonts w:cs="Calibri" w:hint="cs"/>
                <w:b/>
                <w:bCs/>
                <w:sz w:val="16"/>
                <w:szCs w:val="16"/>
                <w:rtl/>
              </w:rPr>
              <w:t>13</w:t>
            </w:r>
          </w:p>
        </w:tc>
        <w:tc>
          <w:tcPr>
            <w:tcW w:w="997" w:type="dxa"/>
            <w:shd w:val="clear" w:color="auto" w:fill="FFFFFF" w:themeFill="background1"/>
            <w:vAlign w:val="center"/>
          </w:tcPr>
          <w:p w14:paraId="7F7E3A3E" w14:textId="416704E0" w:rsidR="0019440F" w:rsidRPr="0017699B" w:rsidRDefault="07973D4F" w:rsidP="31DA1FBD">
            <w:pPr>
              <w:bidi/>
              <w:jc w:val="center"/>
              <w:rPr>
                <w:rFonts w:cs="Calibri"/>
                <w:b/>
                <w:sz w:val="16"/>
                <w:szCs w:val="16"/>
                <w:rtl/>
              </w:rPr>
            </w:pPr>
            <w:r w:rsidRPr="0017699B">
              <w:rPr>
                <w:rFonts w:cs="Calibri" w:hint="cs"/>
                <w:b/>
                <w:bCs/>
                <w:sz w:val="16"/>
                <w:szCs w:val="16"/>
                <w:rtl/>
              </w:rPr>
              <w:t>5</w:t>
            </w:r>
          </w:p>
        </w:tc>
        <w:tc>
          <w:tcPr>
            <w:tcW w:w="851" w:type="dxa"/>
            <w:shd w:val="clear" w:color="auto" w:fill="FFFFFF" w:themeFill="background1"/>
            <w:vAlign w:val="center"/>
          </w:tcPr>
          <w:p w14:paraId="288D5A68" w14:textId="5B6B4B48" w:rsidR="0019440F" w:rsidRPr="0017699B" w:rsidRDefault="1ED58F09" w:rsidP="73A89930">
            <w:pPr>
              <w:bidi/>
              <w:jc w:val="center"/>
              <w:rPr>
                <w:rFonts w:cs="Calibri"/>
                <w:b/>
                <w:sz w:val="16"/>
                <w:szCs w:val="16"/>
                <w:rtl/>
              </w:rPr>
            </w:pPr>
            <w:r w:rsidRPr="0017699B">
              <w:rPr>
                <w:rFonts w:cs="Calibri" w:hint="cs"/>
                <w:b/>
                <w:bCs/>
                <w:sz w:val="16"/>
                <w:szCs w:val="16"/>
                <w:rtl/>
              </w:rPr>
              <w:t>4</w:t>
            </w:r>
          </w:p>
        </w:tc>
        <w:tc>
          <w:tcPr>
            <w:tcW w:w="1164" w:type="dxa"/>
            <w:shd w:val="clear" w:color="auto" w:fill="FFFFFF" w:themeFill="background1"/>
            <w:vAlign w:val="center"/>
          </w:tcPr>
          <w:p w14:paraId="51D20140" w14:textId="68E79299" w:rsidR="0019440F" w:rsidRPr="0017699B" w:rsidRDefault="11BBA930" w:rsidP="73A89930">
            <w:pPr>
              <w:bidi/>
              <w:jc w:val="center"/>
              <w:rPr>
                <w:rFonts w:cs="Calibri"/>
                <w:b/>
                <w:sz w:val="16"/>
                <w:szCs w:val="16"/>
                <w:rtl/>
              </w:rPr>
            </w:pPr>
            <w:r w:rsidRPr="0017699B">
              <w:rPr>
                <w:rFonts w:cs="Calibri" w:hint="cs"/>
                <w:b/>
                <w:bCs/>
                <w:sz w:val="16"/>
                <w:szCs w:val="16"/>
                <w:rtl/>
              </w:rPr>
              <w:t>17</w:t>
            </w:r>
          </w:p>
        </w:tc>
        <w:tc>
          <w:tcPr>
            <w:tcW w:w="808" w:type="dxa"/>
            <w:shd w:val="clear" w:color="auto" w:fill="FFFFFF" w:themeFill="background1"/>
            <w:vAlign w:val="center"/>
          </w:tcPr>
          <w:p w14:paraId="0086DA4E" w14:textId="7AE93E6C" w:rsidR="0019440F" w:rsidRPr="0017699B" w:rsidRDefault="5D6EA152" w:rsidP="73A89930">
            <w:pPr>
              <w:bidi/>
              <w:jc w:val="center"/>
              <w:rPr>
                <w:rFonts w:cs="Calibri"/>
                <w:b/>
                <w:sz w:val="16"/>
                <w:szCs w:val="16"/>
                <w:rtl/>
              </w:rPr>
            </w:pPr>
            <w:r w:rsidRPr="0017699B">
              <w:rPr>
                <w:rFonts w:cs="Calibri" w:hint="cs"/>
                <w:b/>
                <w:bCs/>
                <w:sz w:val="16"/>
                <w:szCs w:val="16"/>
                <w:rtl/>
              </w:rPr>
              <w:t>94%</w:t>
            </w:r>
          </w:p>
        </w:tc>
        <w:tc>
          <w:tcPr>
            <w:tcW w:w="1140" w:type="dxa"/>
            <w:shd w:val="clear" w:color="auto" w:fill="FFFFFF" w:themeFill="background1"/>
            <w:vAlign w:val="center"/>
          </w:tcPr>
          <w:p w14:paraId="5071A4F2" w14:textId="686021C1" w:rsidR="0019440F" w:rsidRPr="0017699B" w:rsidRDefault="1418AFB2" w:rsidP="73A89930">
            <w:pPr>
              <w:bidi/>
              <w:jc w:val="center"/>
              <w:rPr>
                <w:rFonts w:cs="Calibri"/>
                <w:b/>
                <w:sz w:val="16"/>
                <w:szCs w:val="16"/>
                <w:rtl/>
              </w:rPr>
            </w:pPr>
            <w:r w:rsidRPr="0017699B">
              <w:rPr>
                <w:rFonts w:cs="Calibri" w:hint="cs"/>
                <w:b/>
                <w:bCs/>
                <w:sz w:val="16"/>
                <w:szCs w:val="16"/>
                <w:rtl/>
              </w:rPr>
              <w:t>1</w:t>
            </w:r>
          </w:p>
        </w:tc>
        <w:tc>
          <w:tcPr>
            <w:tcW w:w="591" w:type="dxa"/>
            <w:gridSpan w:val="2"/>
            <w:shd w:val="clear" w:color="auto" w:fill="FFFFFF" w:themeFill="background1"/>
            <w:vAlign w:val="center"/>
          </w:tcPr>
          <w:p w14:paraId="32D1C41D" w14:textId="4348AFC9" w:rsidR="0019440F" w:rsidRPr="0017699B" w:rsidRDefault="7FDACF12" w:rsidP="73A89930">
            <w:pPr>
              <w:bidi/>
              <w:jc w:val="center"/>
              <w:rPr>
                <w:rFonts w:cs="Calibri"/>
                <w:b/>
                <w:sz w:val="16"/>
                <w:szCs w:val="16"/>
                <w:rtl/>
              </w:rPr>
            </w:pPr>
            <w:r w:rsidRPr="0017699B">
              <w:rPr>
                <w:rFonts w:cs="Calibri" w:hint="cs"/>
                <w:b/>
                <w:bCs/>
                <w:sz w:val="16"/>
                <w:szCs w:val="16"/>
                <w:rtl/>
              </w:rPr>
              <w:t>6%</w:t>
            </w:r>
          </w:p>
        </w:tc>
      </w:tr>
      <w:tr w:rsidR="0019440F" w:rsidRPr="0017699B" w14:paraId="0EC1C346" w14:textId="77777777" w:rsidTr="66DE4C64">
        <w:trPr>
          <w:trHeight w:val="340"/>
        </w:trPr>
        <w:tc>
          <w:tcPr>
            <w:tcW w:w="643" w:type="dxa"/>
            <w:vMerge/>
            <w:vAlign w:val="center"/>
          </w:tcPr>
          <w:p w14:paraId="36BFF4DD" w14:textId="0FEB828E" w:rsidR="0019440F" w:rsidRPr="0017699B" w:rsidRDefault="0019440F">
            <w:pPr>
              <w:jc w:val="both"/>
              <w:rPr>
                <w:rFonts w:cs="Calibri"/>
                <w:b/>
                <w:sz w:val="16"/>
                <w:szCs w:val="16"/>
              </w:rPr>
            </w:pPr>
          </w:p>
        </w:tc>
        <w:tc>
          <w:tcPr>
            <w:tcW w:w="861" w:type="dxa"/>
            <w:shd w:val="clear" w:color="auto" w:fill="DEEAF6" w:themeFill="accent1" w:themeFillTint="33"/>
            <w:vAlign w:val="center"/>
          </w:tcPr>
          <w:p w14:paraId="7D21A51D" w14:textId="06402546" w:rsidR="0019440F" w:rsidRPr="0017699B" w:rsidRDefault="7AAE4FD1" w:rsidP="66DE4C64">
            <w:pPr>
              <w:bidi/>
              <w:jc w:val="center"/>
              <w:rPr>
                <w:rFonts w:cs="Calibri"/>
                <w:b/>
                <w:bCs/>
                <w:sz w:val="16"/>
                <w:szCs w:val="16"/>
                <w:rtl/>
              </w:rPr>
            </w:pPr>
            <w:r w:rsidRPr="0017699B">
              <w:rPr>
                <w:rFonts w:cs="Calibri"/>
                <w:b/>
                <w:bCs/>
                <w:sz w:val="16"/>
                <w:szCs w:val="16"/>
              </w:rPr>
              <w:t>FA &amp; PA</w:t>
            </w:r>
          </w:p>
        </w:tc>
        <w:tc>
          <w:tcPr>
            <w:tcW w:w="617" w:type="dxa"/>
            <w:shd w:val="clear" w:color="auto" w:fill="DEEAF6" w:themeFill="accent1" w:themeFillTint="33"/>
            <w:vAlign w:val="center"/>
          </w:tcPr>
          <w:p w14:paraId="0EC839C8" w14:textId="0A13F893" w:rsidR="0019440F" w:rsidRPr="0017699B" w:rsidRDefault="7AAE4FD1" w:rsidP="66DE4C64">
            <w:pPr>
              <w:bidi/>
              <w:jc w:val="center"/>
              <w:rPr>
                <w:rFonts w:cs="Calibri"/>
                <w:b/>
                <w:bCs/>
                <w:sz w:val="16"/>
                <w:szCs w:val="16"/>
                <w:rtl/>
              </w:rPr>
            </w:pPr>
            <w:r w:rsidRPr="0017699B">
              <w:rPr>
                <w:rFonts w:cs="Calibri" w:hint="cs"/>
                <w:b/>
                <w:bCs/>
                <w:sz w:val="16"/>
                <w:szCs w:val="16"/>
                <w:rtl/>
              </w:rPr>
              <w:t>26</w:t>
            </w:r>
          </w:p>
        </w:tc>
        <w:tc>
          <w:tcPr>
            <w:tcW w:w="992" w:type="dxa"/>
            <w:shd w:val="clear" w:color="auto" w:fill="DEEAF6" w:themeFill="accent1" w:themeFillTint="33"/>
            <w:vAlign w:val="center"/>
          </w:tcPr>
          <w:p w14:paraId="325D6508" w14:textId="7E6AEE62" w:rsidR="0019440F" w:rsidRPr="0017699B" w:rsidRDefault="3C8CAF2E" w:rsidP="66DE4C64">
            <w:pPr>
              <w:bidi/>
              <w:jc w:val="center"/>
              <w:rPr>
                <w:rFonts w:cs="Calibri"/>
                <w:b/>
                <w:bCs/>
                <w:sz w:val="16"/>
                <w:szCs w:val="16"/>
                <w:rtl/>
              </w:rPr>
            </w:pPr>
            <w:r w:rsidRPr="0017699B">
              <w:rPr>
                <w:rFonts w:cs="Calibri" w:hint="cs"/>
                <w:b/>
                <w:bCs/>
                <w:sz w:val="16"/>
                <w:szCs w:val="16"/>
                <w:rtl/>
              </w:rPr>
              <w:t>17</w:t>
            </w:r>
          </w:p>
        </w:tc>
        <w:tc>
          <w:tcPr>
            <w:tcW w:w="997" w:type="dxa"/>
            <w:shd w:val="clear" w:color="auto" w:fill="DEEAF6" w:themeFill="accent1" w:themeFillTint="33"/>
            <w:vAlign w:val="center"/>
          </w:tcPr>
          <w:p w14:paraId="43F9A04C" w14:textId="58EE0605" w:rsidR="0019440F" w:rsidRPr="0017699B" w:rsidRDefault="0840C7CA" w:rsidP="66DE4C64">
            <w:pPr>
              <w:bidi/>
              <w:jc w:val="center"/>
              <w:rPr>
                <w:rFonts w:cs="Calibri"/>
                <w:b/>
                <w:bCs/>
                <w:sz w:val="16"/>
                <w:szCs w:val="16"/>
                <w:rtl/>
              </w:rPr>
            </w:pPr>
            <w:r w:rsidRPr="0017699B">
              <w:rPr>
                <w:rFonts w:cs="Calibri" w:hint="cs"/>
                <w:b/>
                <w:bCs/>
                <w:sz w:val="16"/>
                <w:szCs w:val="16"/>
                <w:rtl/>
              </w:rPr>
              <w:t>9</w:t>
            </w:r>
          </w:p>
        </w:tc>
        <w:tc>
          <w:tcPr>
            <w:tcW w:w="851" w:type="dxa"/>
            <w:shd w:val="clear" w:color="auto" w:fill="DEEAF6" w:themeFill="accent1" w:themeFillTint="33"/>
            <w:vAlign w:val="center"/>
          </w:tcPr>
          <w:p w14:paraId="5A876CE2" w14:textId="6A63E21B" w:rsidR="0019440F" w:rsidRPr="0017699B" w:rsidRDefault="1ED58F09" w:rsidP="66DE4C64">
            <w:pPr>
              <w:bidi/>
              <w:jc w:val="center"/>
              <w:rPr>
                <w:rFonts w:cs="Calibri"/>
                <w:b/>
                <w:bCs/>
                <w:sz w:val="16"/>
                <w:szCs w:val="16"/>
                <w:rtl/>
              </w:rPr>
            </w:pPr>
            <w:r w:rsidRPr="0017699B">
              <w:rPr>
                <w:rFonts w:cs="Calibri" w:hint="cs"/>
                <w:b/>
                <w:bCs/>
                <w:sz w:val="16"/>
                <w:szCs w:val="16"/>
                <w:rtl/>
              </w:rPr>
              <w:t>6</w:t>
            </w:r>
          </w:p>
        </w:tc>
        <w:tc>
          <w:tcPr>
            <w:tcW w:w="1164" w:type="dxa"/>
            <w:shd w:val="clear" w:color="auto" w:fill="DEEAF6" w:themeFill="accent1" w:themeFillTint="33"/>
            <w:vAlign w:val="center"/>
          </w:tcPr>
          <w:p w14:paraId="1868FBD0" w14:textId="561D6644" w:rsidR="0019440F" w:rsidRPr="0017699B" w:rsidRDefault="11BBA930" w:rsidP="66DE4C64">
            <w:pPr>
              <w:bidi/>
              <w:jc w:val="center"/>
              <w:rPr>
                <w:rFonts w:cs="Calibri"/>
                <w:b/>
                <w:bCs/>
                <w:sz w:val="16"/>
                <w:szCs w:val="16"/>
                <w:rtl/>
              </w:rPr>
            </w:pPr>
            <w:r w:rsidRPr="0017699B">
              <w:rPr>
                <w:rFonts w:cs="Calibri" w:hint="cs"/>
                <w:b/>
                <w:bCs/>
                <w:sz w:val="16"/>
                <w:szCs w:val="16"/>
                <w:rtl/>
              </w:rPr>
              <w:t>23</w:t>
            </w:r>
          </w:p>
        </w:tc>
        <w:tc>
          <w:tcPr>
            <w:tcW w:w="808" w:type="dxa"/>
            <w:shd w:val="clear" w:color="auto" w:fill="DEEAF6" w:themeFill="accent1" w:themeFillTint="33"/>
            <w:vAlign w:val="center"/>
          </w:tcPr>
          <w:p w14:paraId="0E9108A6" w14:textId="34E4AF3E" w:rsidR="0019440F" w:rsidRPr="0017699B" w:rsidRDefault="1585721E" w:rsidP="66DE4C64">
            <w:pPr>
              <w:bidi/>
              <w:jc w:val="center"/>
              <w:rPr>
                <w:rFonts w:cs="Calibri"/>
                <w:b/>
                <w:bCs/>
                <w:sz w:val="16"/>
                <w:szCs w:val="16"/>
                <w:rtl/>
              </w:rPr>
            </w:pPr>
            <w:r w:rsidRPr="0017699B">
              <w:rPr>
                <w:rFonts w:cs="Calibri" w:hint="cs"/>
                <w:b/>
                <w:bCs/>
                <w:sz w:val="16"/>
                <w:szCs w:val="16"/>
                <w:rtl/>
              </w:rPr>
              <w:t>88%</w:t>
            </w:r>
          </w:p>
        </w:tc>
        <w:tc>
          <w:tcPr>
            <w:tcW w:w="1140" w:type="dxa"/>
            <w:shd w:val="clear" w:color="auto" w:fill="DEEAF6" w:themeFill="accent1" w:themeFillTint="33"/>
            <w:vAlign w:val="center"/>
          </w:tcPr>
          <w:p w14:paraId="6D05709D" w14:textId="032B745D" w:rsidR="0019440F" w:rsidRPr="0017699B" w:rsidRDefault="13ED0B94" w:rsidP="66DE4C64">
            <w:pPr>
              <w:bidi/>
              <w:jc w:val="center"/>
              <w:rPr>
                <w:rFonts w:cs="Calibri"/>
                <w:b/>
                <w:bCs/>
                <w:sz w:val="16"/>
                <w:szCs w:val="16"/>
                <w:rtl/>
              </w:rPr>
            </w:pPr>
            <w:r w:rsidRPr="0017699B">
              <w:rPr>
                <w:rFonts w:cs="Calibri" w:hint="cs"/>
                <w:b/>
                <w:bCs/>
                <w:sz w:val="16"/>
                <w:szCs w:val="16"/>
                <w:rtl/>
              </w:rPr>
              <w:t>3</w:t>
            </w:r>
          </w:p>
        </w:tc>
        <w:tc>
          <w:tcPr>
            <w:tcW w:w="591" w:type="dxa"/>
            <w:gridSpan w:val="2"/>
            <w:shd w:val="clear" w:color="auto" w:fill="DEEAF6" w:themeFill="accent1" w:themeFillTint="33"/>
            <w:vAlign w:val="center"/>
          </w:tcPr>
          <w:p w14:paraId="04BE2C9A" w14:textId="058C35E6" w:rsidR="0019440F" w:rsidRPr="0017699B" w:rsidRDefault="407E7B4D" w:rsidP="66DE4C64">
            <w:pPr>
              <w:bidi/>
              <w:jc w:val="center"/>
              <w:rPr>
                <w:rFonts w:cs="Calibri"/>
                <w:b/>
                <w:bCs/>
                <w:sz w:val="16"/>
                <w:szCs w:val="16"/>
                <w:rtl/>
              </w:rPr>
            </w:pPr>
            <w:r w:rsidRPr="0017699B">
              <w:rPr>
                <w:rFonts w:cs="Calibri" w:hint="cs"/>
                <w:b/>
                <w:bCs/>
                <w:sz w:val="16"/>
                <w:szCs w:val="16"/>
                <w:rtl/>
              </w:rPr>
              <w:t>12%</w:t>
            </w:r>
          </w:p>
        </w:tc>
      </w:tr>
    </w:tbl>
    <w:p w14:paraId="67A47189" w14:textId="02500CCB" w:rsidR="001B1146" w:rsidRPr="0017699B" w:rsidRDefault="00B345CC" w:rsidP="00795D4A">
      <w:pPr>
        <w:pStyle w:val="LFARPara"/>
        <w:bidi/>
        <w:spacing w:before="120"/>
        <w:ind w:left="850" w:hanging="493"/>
        <w:rPr>
          <w:rFonts w:ascii="Arial" w:hAnsi="Arial" w:cs="Calibri"/>
          <w:rtl/>
        </w:rPr>
      </w:pPr>
      <w:r w:rsidRPr="0017699B">
        <w:rPr>
          <w:rFonts w:ascii="Arial" w:hAnsi="Arial" w:cs="Calibri" w:hint="cs"/>
          <w:rtl/>
        </w:rPr>
        <w:t>في نهاية مراجعة البيانات المالية للسنة المنتهية في 31 ديسمبر 2025، كانت 23 توصية (88%) من إجمالي 26 توصية من توصيات مراجعة حسابات السنة السابقة قد تم تنفيذها و/أو إغلاقها بالكامل.</w:t>
      </w:r>
    </w:p>
    <w:p w14:paraId="5B4F287D" w14:textId="0B104036" w:rsidR="00CD66EC" w:rsidRPr="001A6952" w:rsidRDefault="001D53EE" w:rsidP="001A6952">
      <w:pPr>
        <w:pStyle w:val="Heading3"/>
        <w:numPr>
          <w:ilvl w:val="0"/>
          <w:numId w:val="5"/>
        </w:numPr>
        <w:bidi/>
        <w:rPr>
          <w:rFonts w:ascii="Arial" w:hAnsi="Arial" w:cs="Calibri"/>
          <w:rtl/>
        </w:rPr>
      </w:pPr>
      <w:bookmarkStart w:id="56" w:name="_Toc227826024"/>
      <w:bookmarkStart w:id="57" w:name="_Toc230784717"/>
      <w:r w:rsidRPr="0017699B">
        <w:rPr>
          <w:rFonts w:ascii="Arial" w:hAnsi="Arial" w:cs="Calibri" w:hint="cs"/>
          <w:rtl/>
        </w:rPr>
        <w:t>استنتاجات ونتائج وتوصيات مراجعة الحسابات</w:t>
      </w:r>
      <w:bookmarkEnd w:id="56"/>
      <w:bookmarkEnd w:id="57"/>
    </w:p>
    <w:p w14:paraId="1EDBCA87" w14:textId="14D747D8" w:rsidR="00E35811" w:rsidRPr="0017699B" w:rsidRDefault="00E35811" w:rsidP="00662CC7">
      <w:pPr>
        <w:pStyle w:val="Heading4"/>
        <w:bidi/>
        <w:spacing w:before="120" w:after="120" w:line="280" w:lineRule="exact"/>
        <w:ind w:left="406" w:hanging="422"/>
        <w:rPr>
          <w:rFonts w:ascii="Arial" w:hAnsi="Arial" w:cs="Calibri"/>
          <w:rtl/>
        </w:rPr>
      </w:pPr>
      <w:bookmarkStart w:id="58" w:name="_Toc227826025"/>
      <w:bookmarkStart w:id="59" w:name="_Toc230784718"/>
      <w:r w:rsidRPr="0017699B">
        <w:rPr>
          <w:rFonts w:ascii="Arial" w:hAnsi="Arial" w:cs="Calibri" w:hint="cs"/>
          <w:rtl/>
        </w:rPr>
        <w:t>التدقيق المالي</w:t>
      </w:r>
      <w:bookmarkEnd w:id="58"/>
      <w:bookmarkEnd w:id="59"/>
    </w:p>
    <w:p w14:paraId="15E17AF5" w14:textId="7006A767" w:rsidR="001D53EE" w:rsidRPr="0017699B" w:rsidRDefault="005D6085" w:rsidP="00662CC7">
      <w:pPr>
        <w:pStyle w:val="Heading5"/>
        <w:bidi/>
        <w:spacing w:before="120" w:after="120" w:line="280" w:lineRule="exact"/>
        <w:ind w:left="378"/>
        <w:rPr>
          <w:rFonts w:ascii="Arial" w:hAnsi="Arial" w:cs="Calibri"/>
          <w:rtl/>
        </w:rPr>
      </w:pPr>
      <w:bookmarkStart w:id="60" w:name="_Toc227826026"/>
      <w:bookmarkStart w:id="61" w:name="_Toc230784719"/>
      <w:r w:rsidRPr="0017699B">
        <w:rPr>
          <w:rFonts w:ascii="Arial" w:hAnsi="Arial" w:cs="Calibri" w:hint="cs"/>
          <w:rtl/>
        </w:rPr>
        <w:t>خاتمة التدقيق</w:t>
      </w:r>
      <w:bookmarkEnd w:id="60"/>
      <w:bookmarkEnd w:id="61"/>
    </w:p>
    <w:p w14:paraId="494F0BCF" w14:textId="565BC424" w:rsidR="001D53EE" w:rsidRPr="0017699B" w:rsidRDefault="004B0C24" w:rsidP="0005774D">
      <w:pPr>
        <w:pStyle w:val="LFARPara"/>
        <w:bidi/>
        <w:spacing w:before="120"/>
        <w:ind w:left="851" w:hanging="491"/>
        <w:rPr>
          <w:rFonts w:ascii="Arial" w:hAnsi="Arial" w:cs="Calibri"/>
          <w:color w:val="0D0D0D" w:themeColor="text1" w:themeTint="F2"/>
          <w:rtl/>
        </w:rPr>
      </w:pPr>
      <w:r w:rsidRPr="0017699B">
        <w:rPr>
          <w:rFonts w:ascii="Arial" w:hAnsi="Arial" w:cs="Calibri" w:hint="cs"/>
          <w:rtl/>
        </w:rPr>
        <w:t>قام مكتب مراجعة الحسابات بمراجعة البيانات المالية للمنظمة للسنة المنتهية في 31 ديسمبر 2025، والتي تشمل بيان المركز المالي وبيان الأداء المالي وبيان التغيرات في صافي الأصول وبيان التدفقات النقدية وبيان المقارنة بين الميزانية والمبالغ الفعلية والملاحظات على البيانات المالية، والتي تم عرضها بنزاهة من جميع الجوانب الجوهرية وفقًا للمعايير المحاسبية الدولية للقطاع العام.</w:t>
      </w:r>
      <w:r w:rsidRPr="0017699B">
        <w:rPr>
          <w:rFonts w:ascii="Arial" w:hAnsi="Arial" w:cs="Calibri" w:hint="cs"/>
          <w:color w:val="0D0D0D" w:themeColor="text1" w:themeTint="F2"/>
          <w:rtl/>
        </w:rPr>
        <w:t xml:space="preserve"> علاوةً على ذلك، امتثلت جميع المعاملات الأساسية لمعايير الإبلاغ المالي الدولية.</w:t>
      </w:r>
      <w:r w:rsidRPr="0017699B">
        <w:rPr>
          <w:rFonts w:ascii="Arial" w:hAnsi="Arial" w:cs="Calibri" w:hint="cs"/>
          <w:rtl/>
        </w:rPr>
        <w:t xml:space="preserve"> </w:t>
      </w:r>
    </w:p>
    <w:p w14:paraId="56F2A9D3" w14:textId="14C9AA9B" w:rsidR="00DA26DE" w:rsidRPr="0017699B" w:rsidRDefault="00424775" w:rsidP="0005774D">
      <w:pPr>
        <w:pStyle w:val="LFARPara"/>
        <w:bidi/>
        <w:spacing w:before="120"/>
        <w:ind w:left="851" w:hanging="491"/>
        <w:rPr>
          <w:rFonts w:ascii="Arial" w:hAnsi="Arial" w:cs="Calibri"/>
          <w:rtl/>
        </w:rPr>
      </w:pPr>
      <w:r w:rsidRPr="0017699B">
        <w:rPr>
          <w:rFonts w:ascii="Arial" w:hAnsi="Arial" w:cs="Calibri" w:hint="cs"/>
          <w:rtl/>
        </w:rPr>
        <w:t xml:space="preserve">وقد طبقت المنظمة المعيارين «المعيار الدولي للمحاسبة في القطاع العام رقم 47: الإيرادات» و«المعيار الدولي للمحاسبة في القطاع العام رقم 48: مصروفات التحويل» قبل تاريخ سريانهما الإلزامي، وهو 1 يناير 2026. وقد تم تحديث تطبيق هذه المعايير في الملاحظات على السياسات المحاسبية الهامة للمنظمة. </w:t>
      </w:r>
    </w:p>
    <w:p w14:paraId="7674D9F3" w14:textId="532AE0C3" w:rsidR="0021444B" w:rsidRPr="0017699B" w:rsidRDefault="0021444B" w:rsidP="00C212C9">
      <w:pPr>
        <w:pStyle w:val="Heading5"/>
        <w:bidi/>
        <w:spacing w:before="120" w:after="120" w:line="280" w:lineRule="exact"/>
        <w:ind w:left="378"/>
        <w:rPr>
          <w:rFonts w:ascii="Arial" w:hAnsi="Arial" w:cs="Calibri"/>
          <w:rtl/>
        </w:rPr>
      </w:pPr>
      <w:bookmarkStart w:id="62" w:name="_Toc227826027"/>
      <w:bookmarkStart w:id="63" w:name="_Toc230784720"/>
      <w:r w:rsidRPr="0017699B">
        <w:rPr>
          <w:rFonts w:ascii="Arial" w:hAnsi="Arial" w:cs="Calibri" w:hint="cs"/>
          <w:rtl/>
        </w:rPr>
        <w:t>الاستنتاجات والتوصيات</w:t>
      </w:r>
      <w:bookmarkEnd w:id="62"/>
      <w:bookmarkEnd w:id="63"/>
    </w:p>
    <w:p w14:paraId="0780C8FC" w14:textId="4A2FDFCB" w:rsidR="00862B9C" w:rsidRPr="0017699B" w:rsidRDefault="004A5887" w:rsidP="00662CC7">
      <w:pPr>
        <w:pStyle w:val="Heading5"/>
        <w:bidi/>
        <w:spacing w:before="120" w:after="120" w:line="280" w:lineRule="exact"/>
        <w:ind w:left="378"/>
        <w:rPr>
          <w:rFonts w:ascii="Arial" w:hAnsi="Arial" w:cs="Calibri"/>
          <w:rtl/>
        </w:rPr>
      </w:pPr>
      <w:bookmarkStart w:id="64" w:name="_Toc227826028"/>
      <w:bookmarkStart w:id="65" w:name="_Toc230784721"/>
      <w:r w:rsidRPr="0017699B">
        <w:rPr>
          <w:rFonts w:ascii="Arial" w:hAnsi="Arial" w:cs="Calibri" w:hint="cs"/>
          <w:rtl/>
        </w:rPr>
        <w:t>الحوكمة</w:t>
      </w:r>
      <w:bookmarkEnd w:id="64"/>
      <w:bookmarkEnd w:id="65"/>
    </w:p>
    <w:p w14:paraId="7190E14A" w14:textId="36BB2916" w:rsidR="00ED5362" w:rsidRPr="0017699B" w:rsidRDefault="00746A00" w:rsidP="0005774D">
      <w:pPr>
        <w:pStyle w:val="LFARPara"/>
        <w:bidi/>
        <w:spacing w:before="120"/>
        <w:ind w:left="851" w:hanging="491"/>
        <w:rPr>
          <w:rFonts w:ascii="Arial" w:hAnsi="Arial" w:cs="Calibri"/>
          <w:rtl/>
        </w:rPr>
      </w:pPr>
      <w:r w:rsidRPr="0017699B">
        <w:rPr>
          <w:rFonts w:ascii="Arial" w:hAnsi="Arial" w:cs="Calibri" w:hint="cs"/>
          <w:rtl/>
        </w:rPr>
        <w:t xml:space="preserve">أظهرت الويبو تقدماً ملموساً في تعزيز حوكمتها التنظيمية. وضعت المنظمة مجموعة شاملة من اللوائح والسياسات لتوجيه عملياتها، بما في ذلك الأطر الرئيسية مثل سياسة الاستثمار وسياسة إدارة الممتلكات. وُضعت السياسة الخاصة بالاستثمارات لتنظيم سلطة المدير العام في القيام باستثمارات قصيرة الأجل للأموال غير اللازمة للمتطلبات الفورية وفقاً لسياسة الاستثمار في المنظمة على النحو الذي وافقت عليه الدول الأعضاء. وعلاوة على ذلك، تهدف سياسة إدارة الممتلكات إلى تعزيز المراقبة الداخلية والإبلاغ فيما يتعلق بالممتلكات المملوكة للمنظمة وتحقيق ما يلي بما يحقق مصلحة المنظمة مع الإقرار بفعالية اللوائح والسياسات القائمة، يعتقد مجلس </w:t>
      </w:r>
      <w:r w:rsidRPr="0017699B">
        <w:rPr>
          <w:rFonts w:ascii="Arial" w:hAnsi="Arial" w:cs="Calibri"/>
        </w:rPr>
        <w:t>BPK</w:t>
      </w:r>
      <w:r w:rsidRPr="0017699B">
        <w:rPr>
          <w:rFonts w:ascii="Arial" w:hAnsi="Arial" w:cs="Calibri" w:hint="cs"/>
          <w:rtl/>
        </w:rPr>
        <w:t xml:space="preserve"> أن هناك فرصًا لتعزيز الممارسات الحالية وبالتالي تقدم توصيات لزيادة تعزيز العمليات الحالية.</w:t>
      </w:r>
    </w:p>
    <w:p w14:paraId="4F51310C" w14:textId="2AEBD744" w:rsidR="00FD3861" w:rsidRPr="0017699B" w:rsidRDefault="00DF050F" w:rsidP="00662CC7">
      <w:pPr>
        <w:pStyle w:val="Heading5"/>
        <w:bidi/>
        <w:spacing w:before="120" w:after="120" w:line="280" w:lineRule="exact"/>
        <w:ind w:left="378"/>
        <w:rPr>
          <w:rFonts w:ascii="Arial" w:hAnsi="Arial" w:cs="Calibri"/>
          <w:rtl/>
        </w:rPr>
      </w:pPr>
      <w:bookmarkStart w:id="66" w:name="_Toc227826029"/>
      <w:bookmarkStart w:id="67" w:name="_Toc230784722"/>
      <w:r w:rsidRPr="0017699B">
        <w:rPr>
          <w:rFonts w:ascii="Arial" w:hAnsi="Arial" w:cs="Calibri" w:hint="cs"/>
          <w:rtl/>
        </w:rPr>
        <w:t>تحديث الإطار التنظيمي للاستثمار</w:t>
      </w:r>
      <w:bookmarkEnd w:id="66"/>
      <w:bookmarkEnd w:id="67"/>
      <w:r w:rsidRPr="0017699B">
        <w:rPr>
          <w:rFonts w:ascii="Arial" w:hAnsi="Arial" w:cs="Calibri" w:hint="cs"/>
          <w:rtl/>
        </w:rPr>
        <w:t xml:space="preserve"> </w:t>
      </w:r>
    </w:p>
    <w:p w14:paraId="48CEE78F" w14:textId="1BA60D71" w:rsidR="00F32C93" w:rsidRPr="0017699B" w:rsidRDefault="0B8E45EC" w:rsidP="0005774D">
      <w:pPr>
        <w:pStyle w:val="LFARPara"/>
        <w:bidi/>
        <w:spacing w:before="120"/>
        <w:ind w:left="851" w:hanging="491"/>
        <w:rPr>
          <w:rFonts w:ascii="Arial" w:hAnsi="Arial" w:cs="Calibri"/>
          <w:rtl/>
        </w:rPr>
      </w:pPr>
      <w:r w:rsidRPr="0017699B">
        <w:rPr>
          <w:rFonts w:ascii="Arial" w:hAnsi="Arial" w:cs="Calibri" w:hint="cs"/>
          <w:rtl/>
        </w:rPr>
        <w:t xml:space="preserve">تشير البيانات المالية إلى أن الويبو تمتلك استثمارات بقيمة 1.19 مليار فرنك سويسري، باستثناء أصول الخطة البالغة 326.0 مليون فرنك سويسري، في عام 2025. وتدير المنظمة العالمية للويبو استثماراتها استنادًا إلى السياسة المتعلقة بالاستثمارات، والتي وافقت عليها جمعيات المنظمة العالمية للويبو في السلسلة التاسعة والخمسين من الاجتماعات في عام 2019، وهي حاليًا في مرحلة المراجعة والتحديث. وعلى المستوى التشغيلي، تدير الويبو استثماراتها استناداً إلى المبادئ التوجيهية للاستثمار، التي تحدد الدور المناسب للجنة الاستشارية للاستثمارات في الإشراف على الأصول الاستثمارية للويبو ومراقبتها وإدارتها المستمرة.   </w:t>
      </w:r>
    </w:p>
    <w:p w14:paraId="57D67DAC" w14:textId="319232B7" w:rsidR="00F32C93" w:rsidRPr="0017699B" w:rsidRDefault="0B8E45EC" w:rsidP="0005774D">
      <w:pPr>
        <w:pStyle w:val="LFARPara"/>
        <w:bidi/>
        <w:spacing w:before="120"/>
        <w:ind w:left="851" w:hanging="491"/>
        <w:rPr>
          <w:rFonts w:ascii="Arial" w:hAnsi="Arial" w:cs="Calibri"/>
          <w:rtl/>
        </w:rPr>
      </w:pPr>
      <w:r w:rsidRPr="0017699B">
        <w:rPr>
          <w:rFonts w:ascii="Arial" w:hAnsi="Arial" w:cs="Calibri" w:hint="cs"/>
          <w:rtl/>
        </w:rPr>
        <w:t>أصدرت شعبة الرقابة الداخلية تقرير المراجعة الداخلية للحسابات عن إدارة الاستثمار بتاريخ 21 نوفمبر/تشرين الثاني 2025. يشير التقرير إلى العديد من القضايا المتعلقة بسياسة الاستثمار والمبادئ التوجيهية، بما في ذلك عدم وجود تحديث للسياسة منذ عام 2019. وبالإضافة إلى القضايا التي أثارها مكتب خدمات الرقابة الداخلية، كشف تحليل تنفيذ سياسة الاستثمار والمبادئ التوجيهية عن حاجة المنظمة إلى تعزيز الإطار التنظيمي الذي يحكم إدارة الاستثمار، على النحو المفصل في الفقرات التالية. نلاحظ أنه تم قبول جميع توصيات المراجعة الداخلية لمكتب خدمات الرقابة الداخلية، حيث تم تنفيذ معظمها بالفعل، ولم يكن هناك سوى توصيتين معلقتين وقت مراجعتنا للحسابات.</w:t>
      </w:r>
    </w:p>
    <w:p w14:paraId="42539B66" w14:textId="411B21B5" w:rsidR="00F32C93" w:rsidRPr="0017699B" w:rsidRDefault="0B8E45EC" w:rsidP="00662CC7">
      <w:pPr>
        <w:pStyle w:val="Heading5"/>
        <w:bidi/>
        <w:spacing w:before="120" w:after="120" w:line="280" w:lineRule="exact"/>
        <w:ind w:left="378"/>
        <w:rPr>
          <w:rFonts w:ascii="Arial" w:hAnsi="Arial" w:cs="Calibri"/>
          <w:i/>
          <w:iCs/>
          <w:rtl/>
        </w:rPr>
      </w:pPr>
      <w:bookmarkStart w:id="68" w:name="_Toc228871279"/>
      <w:bookmarkStart w:id="69" w:name="_Toc230784723"/>
      <w:r w:rsidRPr="0017699B">
        <w:rPr>
          <w:rFonts w:ascii="Arial" w:hAnsi="Arial" w:cs="Calibri" w:hint="cs"/>
          <w:i/>
          <w:iCs/>
          <w:rtl/>
        </w:rPr>
        <w:t>الوضوح في مشاركة مديري الصناديق الخارجية</w:t>
      </w:r>
      <w:bookmarkEnd w:id="68"/>
      <w:bookmarkEnd w:id="69"/>
    </w:p>
    <w:p w14:paraId="18E3B622" w14:textId="0B9C3E6E" w:rsidR="00F32C93" w:rsidRPr="0017699B" w:rsidRDefault="0B8E45EC" w:rsidP="0005774D">
      <w:pPr>
        <w:pStyle w:val="LFARPara"/>
        <w:bidi/>
        <w:spacing w:before="120"/>
        <w:ind w:left="851" w:hanging="491"/>
        <w:rPr>
          <w:rFonts w:ascii="Arial" w:hAnsi="Arial" w:cs="Calibri"/>
          <w:rtl/>
        </w:rPr>
      </w:pPr>
      <w:r w:rsidRPr="0017699B">
        <w:rPr>
          <w:rFonts w:ascii="Arial" w:hAnsi="Arial" w:cs="Calibri" w:hint="cs"/>
          <w:rtl/>
        </w:rPr>
        <w:t>كشفت مراجعة عملية إدارة الاستثمار أن الويبو لم تتعامل مع مدير صندوق خارجي، على الرغم من النص على دورها ومسؤوليتها في سياسة الاستثمار. أكدت الإدارة أن الويبو لم تتعاقد مع مدير صندوق خارجي لإدارة الاستثمارات منذ عام 2017، حيث اعتُبر ذلك أقل كفاءة. وفي غياب مدير الصندوق الخارجي، اضطلعت الويبو بأنشطتها الاستثمارية من خلال التعامل مع مديري الصناديق الاستثمارية المجمعة الذين لم يرد وصف أدوارهم ومسؤولياتهم في سياسة الاستثمارات والمبادئ التوجيهية للسياسة. قد تقدم الويبو توضيحات بشأن مشاركة مديري الصناديق الخارجية ومديري الصناديق المشتركة المجمعة.</w:t>
      </w:r>
    </w:p>
    <w:p w14:paraId="4546C6CF" w14:textId="4DC056C1" w:rsidR="00F32C93" w:rsidRPr="0017699B" w:rsidRDefault="0B8E45EC" w:rsidP="00662CC7">
      <w:pPr>
        <w:pStyle w:val="Heading5"/>
        <w:bidi/>
        <w:spacing w:before="120" w:after="120" w:line="280" w:lineRule="exact"/>
        <w:ind w:left="378"/>
        <w:rPr>
          <w:rFonts w:ascii="Arial" w:hAnsi="Arial" w:cs="Calibri"/>
          <w:i/>
          <w:iCs/>
          <w:rtl/>
        </w:rPr>
      </w:pPr>
      <w:bookmarkStart w:id="70" w:name="_Toc228871280"/>
      <w:bookmarkStart w:id="71" w:name="_Toc230784724"/>
      <w:r w:rsidRPr="0017699B">
        <w:rPr>
          <w:rFonts w:ascii="Arial" w:hAnsi="Arial" w:cs="Calibri" w:hint="cs"/>
          <w:i/>
          <w:iCs/>
          <w:rtl/>
        </w:rPr>
        <w:t>آلية الشراء للسندات أو السندات أو غيرها من الالتزامات ومنتجات الدخل الثابت الأخرى التي يتم الحصول عليها كأسهم في اختيار الصناديق المجمعة المتداولة في السوق</w:t>
      </w:r>
      <w:bookmarkEnd w:id="70"/>
      <w:bookmarkEnd w:id="71"/>
    </w:p>
    <w:p w14:paraId="457B85FC" w14:textId="5D1FFC90" w:rsidR="00980A07" w:rsidRPr="0017699B" w:rsidRDefault="00940324" w:rsidP="0005774D">
      <w:pPr>
        <w:pStyle w:val="LFARPara"/>
        <w:bidi/>
        <w:spacing w:before="120"/>
        <w:ind w:left="851" w:hanging="491"/>
        <w:rPr>
          <w:rFonts w:ascii="Arial" w:hAnsi="Arial" w:cs="Calibri"/>
          <w:rtl/>
        </w:rPr>
      </w:pPr>
      <w:r w:rsidRPr="0017699B">
        <w:rPr>
          <w:rFonts w:ascii="Arial" w:hAnsi="Arial" w:cs="Calibri" w:hint="cs"/>
          <w:rtl/>
        </w:rPr>
        <w:t>وقد كشف تحليل لآلية الشراء لاثنين من مديري الصناديق الاستثمارية المجمعة التي تحوز استثمارات المنظمة البالغة 245.60 1 مليون فرنك سويسري في نهاية العام، عن وجود انحراف عن ممارسات الشراء الموحدة للويبو في ثلاثة مجالات. أولاً، أُبرمت العقود لفترة غير محددة، خلافاً لما يشترطه دليل المشتريات من أطر زمنية محددة بفترات أولية تصل إلى ثلاث سنوات وتجديدات لا تتجاوز سبع سنوات. ثانياً، لم يحدد أي من العقدين مبلغاً إجمالياً للرسوم أو الحد الأقصى للالتزامات المالية للويبو كما هو مطلوب في الدليل، وبدلاً من ذلك تم احتساب الرسوم على أساس متغير مرتبط بحجم الاستثمار. ثالثا، لم تصدر الويبو أوامر شراء لرسوم إدارة الأموال، وهو ما لم يكن متوافقا مع متطلبات دليل المشتريات للعقود القياسية والاتفاقات الطويلة الأجل.</w:t>
      </w:r>
    </w:p>
    <w:p w14:paraId="6A5DB297" w14:textId="30A83D88" w:rsidR="004E3428" w:rsidRPr="0017699B" w:rsidRDefault="00E53C69" w:rsidP="0005774D">
      <w:pPr>
        <w:pStyle w:val="LFARPara"/>
        <w:bidi/>
        <w:spacing w:before="120"/>
        <w:ind w:left="851" w:hanging="491"/>
        <w:rPr>
          <w:rFonts w:ascii="Arial" w:hAnsi="Arial" w:cs="Calibri"/>
          <w:rtl/>
        </w:rPr>
      </w:pPr>
      <w:r w:rsidRPr="0017699B">
        <w:rPr>
          <w:rFonts w:ascii="Arial" w:hAnsi="Arial" w:cs="Calibri" w:hint="cs"/>
          <w:rtl/>
        </w:rPr>
        <w:t>وأوضحت الإدارة أن استثمارات الويبو كانت على المدى الطويل، حيث كانت متجددة لمدة 5 سنوات بالنسبة للمحفظة الأساسية و20 سنة بالنسبة للمحفظة الاستراتيجية، وقد يؤدي تحديد تاريخ استحقاق نهائي إلى عدم كفاءة كبيرة وخسائر مالية محتملة.</w:t>
      </w:r>
      <w:r w:rsidRPr="0017699B">
        <w:rPr>
          <w:rFonts w:ascii="Arial" w:hAnsi="Arial" w:cs="Calibri" w:hint="cs"/>
          <w:color w:val="0D0D0D" w:themeColor="text1" w:themeTint="F2"/>
          <w:rtl/>
        </w:rPr>
        <w:t xml:space="preserve"> </w:t>
      </w:r>
      <w:r w:rsidRPr="0017699B">
        <w:rPr>
          <w:rFonts w:ascii="Arial" w:hAnsi="Arial" w:cs="Calibri" w:hint="cs"/>
          <w:rtl/>
        </w:rPr>
        <w:t>وفيما يتعلق برسوم العقد المحددة، أشارت الإدارة إلى أنه لا يمكن تحديد مبلغ دقيق لرسوم الخدمة، حيث إنها تتوقف على حجم الاستثمارات. بالنسبة لإصدار أوامر الشراء، أضافت الإدارة أنه لم تكن هناك حاجة إلى ذلك حيث تم خصم رسوم الخدمات مباشرة من أموال الاستثمار.</w:t>
      </w:r>
    </w:p>
    <w:p w14:paraId="7BB0F459" w14:textId="77777777" w:rsidR="001A6952" w:rsidRDefault="001A6952">
      <w:pPr>
        <w:spacing w:after="160" w:line="259" w:lineRule="auto"/>
        <w:rPr>
          <w:rFonts w:eastAsia="Times New Roman" w:cs="Calibri"/>
          <w:rtl/>
        </w:rPr>
      </w:pPr>
      <w:r>
        <w:rPr>
          <w:rFonts w:cs="Calibri"/>
          <w:rtl/>
        </w:rPr>
        <w:br w:type="page"/>
      </w:r>
    </w:p>
    <w:p w14:paraId="1A0EF92B" w14:textId="640A56CD" w:rsidR="00922422" w:rsidRPr="0017699B" w:rsidRDefault="00D77552" w:rsidP="0005774D">
      <w:pPr>
        <w:pStyle w:val="LFARPara"/>
        <w:bidi/>
        <w:spacing w:before="120"/>
        <w:ind w:left="851" w:hanging="491"/>
        <w:rPr>
          <w:rFonts w:ascii="Arial" w:eastAsiaTheme="minorEastAsia" w:hAnsi="Arial" w:cs="Calibri"/>
          <w:rtl/>
        </w:rPr>
      </w:pPr>
      <w:r w:rsidRPr="0017699B">
        <w:rPr>
          <w:rFonts w:ascii="Arial" w:hAnsi="Arial" w:cs="Calibri" w:hint="cs"/>
          <w:rtl/>
        </w:rPr>
        <w:t>من الضروري مواءمة سياسة الاستثمار والمبادئ التوجيهية للاستثمار ودليل المشتريات مع الممارسات المطبقة حاليًا فيما يتعلق بنظام المشتريات لمديري صناديق الاستثمار المشترك المجمعة من خلال النظر في  (1) إضفاء مزيد من الوضوح على دور مديري الصناديق الخارجية ومديري الصناديق الاستثمارية المجمعة؛ (2) اتساق سياسة الاستثمار الجديدة مع دليل المشتريات من خلال التنسيق مع شعبة الخدمات المركزية.</w:t>
      </w:r>
    </w:p>
    <w:tbl>
      <w:tblPr>
        <w:tblStyle w:val="TableGrid"/>
        <w:tblpPr w:leftFromText="180" w:rightFromText="180" w:vertAnchor="text" w:horzAnchor="margin" w:tblpXSpec="right" w:tblpY="7"/>
        <w:bidiVisual/>
        <w:tblW w:w="8652" w:type="dxa"/>
        <w:tblLook w:val="04A0" w:firstRow="1" w:lastRow="0" w:firstColumn="1" w:lastColumn="0" w:noHBand="0" w:noVBand="1"/>
      </w:tblPr>
      <w:tblGrid>
        <w:gridCol w:w="8652"/>
      </w:tblGrid>
      <w:tr w:rsidR="009D07F4" w:rsidRPr="0017699B" w14:paraId="3D910DF9" w14:textId="77777777" w:rsidTr="00507A28">
        <w:tc>
          <w:tcPr>
            <w:tcW w:w="8652" w:type="dxa"/>
            <w:shd w:val="clear" w:color="auto" w:fill="BDD6EE" w:themeFill="accent1" w:themeFillTint="66"/>
          </w:tcPr>
          <w:p w14:paraId="173535F0" w14:textId="77777777" w:rsidR="008A5B8F" w:rsidRPr="0017699B" w:rsidRDefault="6B164870" w:rsidP="004728C8">
            <w:pPr>
              <w:keepNext/>
              <w:tabs>
                <w:tab w:val="left" w:pos="567"/>
              </w:tabs>
              <w:bidi/>
              <w:spacing w:before="120" w:after="120" w:line="280" w:lineRule="exact"/>
              <w:ind w:left="261"/>
              <w:jc w:val="both"/>
              <w:rPr>
                <w:rFonts w:eastAsia="Times New Roman" w:cs="Calibri"/>
                <w:b/>
                <w:bCs/>
                <w:rtl/>
              </w:rPr>
            </w:pPr>
            <w:r w:rsidRPr="0017699B">
              <w:rPr>
                <w:rFonts w:cs="Calibri" w:hint="cs"/>
                <w:b/>
                <w:bCs/>
                <w:rtl/>
              </w:rPr>
              <w:t>التوصية 1</w:t>
            </w:r>
          </w:p>
          <w:p w14:paraId="313AF335" w14:textId="64E03D26" w:rsidR="00736805" w:rsidRPr="0017699B" w:rsidRDefault="6B164870" w:rsidP="00201B9B">
            <w:pPr>
              <w:keepNext/>
              <w:tabs>
                <w:tab w:val="left" w:pos="567"/>
              </w:tabs>
              <w:bidi/>
              <w:spacing w:before="120" w:after="240" w:line="280" w:lineRule="exact"/>
              <w:ind w:left="261"/>
              <w:jc w:val="both"/>
              <w:rPr>
                <w:rFonts w:eastAsiaTheme="minorEastAsia" w:cs="Calibri"/>
                <w:rtl/>
              </w:rPr>
            </w:pPr>
            <w:r w:rsidRPr="0017699B">
              <w:rPr>
                <w:rFonts w:cs="Calibri" w:hint="cs"/>
                <w:rtl/>
              </w:rPr>
              <w:t>توصي اللجنة الاستشارية لشؤون الإدارة والميزانية بأن تقدم المنظمة مزيدًا من الوضوح بشأن دور مديري الصناديق والصناديق المشتركة المجمعة في مراجعتها الحالية الجارية لسياستها الاستثمارية وضمان الامتثال والتطبيق المتسق مع دليل المشتريات في المستقبل.</w:t>
            </w:r>
          </w:p>
        </w:tc>
      </w:tr>
      <w:tr w:rsidR="008C2980" w:rsidRPr="0017699B" w14:paraId="0DDEB9BC" w14:textId="77777777" w:rsidTr="00507A28">
        <w:trPr>
          <w:trHeight w:val="984"/>
        </w:trPr>
        <w:tc>
          <w:tcPr>
            <w:tcW w:w="8652" w:type="dxa"/>
            <w:shd w:val="clear" w:color="auto" w:fill="DEEAF6" w:themeFill="accent1" w:themeFillTint="33"/>
          </w:tcPr>
          <w:p w14:paraId="321818DB" w14:textId="2CEEC4E1" w:rsidR="16735439" w:rsidRPr="0017699B" w:rsidRDefault="004728C8" w:rsidP="00066E9B">
            <w:pPr>
              <w:keepNext/>
              <w:tabs>
                <w:tab w:val="left" w:pos="567"/>
              </w:tabs>
              <w:bidi/>
              <w:spacing w:before="120" w:after="120" w:line="280" w:lineRule="exact"/>
              <w:ind w:left="259"/>
              <w:jc w:val="both"/>
              <w:rPr>
                <w:rFonts w:cs="Calibri"/>
                <w:rtl/>
              </w:rPr>
            </w:pPr>
            <w:r w:rsidRPr="0017699B">
              <w:rPr>
                <w:rFonts w:cs="Calibri" w:hint="cs"/>
                <w:b/>
                <w:bCs/>
                <w:rtl/>
              </w:rPr>
              <w:t>رد الإدارة:</w:t>
            </w:r>
            <w:r w:rsidRPr="0017699B">
              <w:rPr>
                <w:rFonts w:cs="Calibri" w:hint="cs"/>
                <w:rtl/>
              </w:rPr>
              <w:t xml:space="preserve"> </w:t>
            </w:r>
          </w:p>
          <w:p w14:paraId="7ACE3DFE" w14:textId="73F86779" w:rsidR="00E11D4C" w:rsidRPr="0017699B" w:rsidRDefault="7DEFD879" w:rsidP="00A1248C">
            <w:pPr>
              <w:keepNext/>
              <w:tabs>
                <w:tab w:val="left" w:pos="567"/>
              </w:tabs>
              <w:bidi/>
              <w:spacing w:before="120" w:after="120" w:line="280" w:lineRule="exact"/>
              <w:ind w:left="259"/>
              <w:jc w:val="both"/>
              <w:rPr>
                <w:rFonts w:eastAsiaTheme="minorEastAsia" w:cs="Calibri"/>
                <w:rtl/>
              </w:rPr>
            </w:pPr>
            <w:r w:rsidRPr="0017699B">
              <w:rPr>
                <w:rFonts w:cs="Calibri" w:hint="cs"/>
                <w:rtl/>
              </w:rPr>
              <w:t>تتفق الإدارة مع التوصية وتكرر التأكيد على أن عملية التقييم لاختيار الأموال تتبع إطار المشتريات المعمول به في الويبو.  وتتوقع الإدارة تنفيذ التوصية بالكامل بحلول 30 سبتمبر/أيلول 2026، رهناً بموافقة جمعيات الويبو على السياسة الجديدة بشأن الاستثمارات.</w:t>
            </w:r>
          </w:p>
        </w:tc>
      </w:tr>
    </w:tbl>
    <w:p w14:paraId="52807B03" w14:textId="77777777" w:rsidR="009A2753" w:rsidRPr="0017699B" w:rsidRDefault="009A2753" w:rsidP="00111F86">
      <w:pPr>
        <w:bidi/>
        <w:rPr>
          <w:rFonts w:cs="Calibri"/>
          <w:rtl/>
        </w:rPr>
      </w:pPr>
      <w:bookmarkStart w:id="72" w:name="_Toc192095259"/>
      <w:bookmarkStart w:id="73" w:name="_Toc192095260"/>
      <w:bookmarkStart w:id="74" w:name="_Toc192095261"/>
      <w:bookmarkStart w:id="75" w:name="_Toc192095262"/>
      <w:bookmarkStart w:id="76" w:name="_Toc192095263"/>
      <w:bookmarkStart w:id="77" w:name="_Toc222750762"/>
      <w:bookmarkStart w:id="78" w:name="_Toc222750770"/>
      <w:bookmarkStart w:id="79" w:name="_Toc222750771"/>
      <w:bookmarkStart w:id="80" w:name="_Toc222750772"/>
      <w:bookmarkStart w:id="81" w:name="_Toc222750773"/>
      <w:bookmarkStart w:id="82" w:name="_Toc222750774"/>
      <w:bookmarkStart w:id="83" w:name="_Toc222750775"/>
      <w:bookmarkStart w:id="84" w:name="_Toc222750776"/>
      <w:bookmarkStart w:id="85" w:name="_Toc222750807"/>
      <w:bookmarkStart w:id="86" w:name="_Toc222750813"/>
      <w:bookmarkStart w:id="87" w:name="_Toc222750814"/>
      <w:bookmarkStart w:id="88" w:name="_Toc222750815"/>
      <w:bookmarkStart w:id="89" w:name="_Toc222750816"/>
      <w:bookmarkStart w:id="90" w:name="_Toc222750817"/>
      <w:bookmarkStart w:id="91" w:name="_Toc222750818"/>
      <w:bookmarkStart w:id="92" w:name="_Toc222750819"/>
      <w:bookmarkStart w:id="93" w:name="_Toc222750820"/>
      <w:bookmarkStart w:id="94" w:name="_Toc222750821"/>
      <w:bookmarkStart w:id="95" w:name="_Toc222750822"/>
      <w:bookmarkStart w:id="96" w:name="_Toc222750823"/>
      <w:bookmarkStart w:id="97" w:name="_Toc222750854"/>
      <w:bookmarkStart w:id="98" w:name="_Toc222750860"/>
      <w:bookmarkStart w:id="99" w:name="_Toc222750861"/>
      <w:bookmarkStart w:id="100" w:name="_Toc222750862"/>
      <w:bookmarkStart w:id="101" w:name="_Toc222750863"/>
      <w:bookmarkStart w:id="102" w:name="_Toc222750882"/>
      <w:bookmarkStart w:id="103" w:name="_Toc222750883"/>
      <w:bookmarkStart w:id="104" w:name="_Toc222750884"/>
      <w:bookmarkStart w:id="105" w:name="_Toc222750885"/>
      <w:bookmarkStart w:id="106" w:name="_Toc222750886"/>
      <w:bookmarkStart w:id="107" w:name="_Toc222750887"/>
      <w:bookmarkStart w:id="108" w:name="_Toc222750888"/>
      <w:bookmarkStart w:id="109" w:name="_Toc222750889"/>
      <w:bookmarkStart w:id="110" w:name="_Toc222750890"/>
      <w:bookmarkStart w:id="111" w:name="_Toc222750899"/>
      <w:bookmarkStart w:id="112" w:name="_Toc222750900"/>
      <w:bookmarkStart w:id="113" w:name="_Toc222750901"/>
      <w:bookmarkStart w:id="114" w:name="_Toc222750902"/>
      <w:bookmarkStart w:id="115" w:name="_Toc222750903"/>
      <w:bookmarkStart w:id="116" w:name="_Toc222750904"/>
      <w:bookmarkStart w:id="117" w:name="_Toc222750905"/>
      <w:bookmarkStart w:id="118" w:name="_Toc222750906"/>
      <w:bookmarkStart w:id="119" w:name="_Toc222750907"/>
      <w:bookmarkStart w:id="120" w:name="_Toc222750908"/>
      <w:bookmarkStart w:id="121" w:name="_Toc222750909"/>
      <w:bookmarkStart w:id="122" w:name="_Toc222750910"/>
      <w:bookmarkStart w:id="123" w:name="_Toc222750911"/>
      <w:bookmarkStart w:id="124" w:name="_Toc222750912"/>
      <w:bookmarkStart w:id="125" w:name="_Toc222750913"/>
      <w:bookmarkStart w:id="126" w:name="_Toc222750914"/>
      <w:bookmarkStart w:id="127" w:name="_Toc222750915"/>
      <w:bookmarkStart w:id="128" w:name="_Toc222750916"/>
      <w:bookmarkStart w:id="129" w:name="_Toc222750981"/>
      <w:bookmarkStart w:id="130" w:name="_Toc222750982"/>
      <w:bookmarkStart w:id="131" w:name="_Toc222750983"/>
      <w:bookmarkStart w:id="132" w:name="_Toc222750984"/>
      <w:bookmarkStart w:id="133" w:name="_Toc222750985"/>
      <w:bookmarkStart w:id="134" w:name="_Toc222750986"/>
      <w:bookmarkStart w:id="135" w:name="_Toc222750987"/>
      <w:bookmarkStart w:id="136" w:name="_Toc222750998"/>
      <w:bookmarkStart w:id="137" w:name="_Toc222750999"/>
      <w:bookmarkStart w:id="138" w:name="_Toc222751000"/>
      <w:bookmarkStart w:id="139" w:name="_Toc222751013"/>
      <w:bookmarkStart w:id="140" w:name="_Toc192095267"/>
      <w:bookmarkStart w:id="141" w:name="_Toc2227510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03473BA" w14:textId="24B79261" w:rsidR="00B42C93" w:rsidRPr="0017699B" w:rsidRDefault="008E6879" w:rsidP="00427B96">
      <w:pPr>
        <w:pStyle w:val="Heading6"/>
        <w:bidi/>
        <w:spacing w:before="120" w:after="120" w:line="280" w:lineRule="exact"/>
        <w:ind w:left="432"/>
        <w:rPr>
          <w:rFonts w:ascii="Arial" w:hAnsi="Arial" w:cs="Calibri"/>
          <w:rtl/>
        </w:rPr>
      </w:pPr>
      <w:bookmarkStart w:id="142" w:name="_Toc230784725"/>
      <w:r w:rsidRPr="0017699B">
        <w:rPr>
          <w:rFonts w:ascii="Arial" w:hAnsi="Arial" w:cs="Calibri" w:hint="cs"/>
          <w:rtl/>
        </w:rPr>
        <w:t>تحسين سجلات حفظ الأصول غير الملموسة في نظام إدارة معلومات الأصول غير الملموسة</w:t>
      </w:r>
      <w:bookmarkEnd w:id="142"/>
    </w:p>
    <w:p w14:paraId="6F493C0D" w14:textId="79A71F1B" w:rsidR="000C6337" w:rsidRPr="0017699B" w:rsidRDefault="004728C8" w:rsidP="00427B96">
      <w:pPr>
        <w:pStyle w:val="LFARPara"/>
        <w:bidi/>
        <w:spacing w:before="120"/>
        <w:ind w:left="851" w:hanging="491"/>
        <w:rPr>
          <w:rFonts w:ascii="Arial" w:hAnsi="Arial" w:cs="Calibri"/>
          <w:rtl/>
        </w:rPr>
      </w:pPr>
      <w:r w:rsidRPr="0017699B">
        <w:rPr>
          <w:rFonts w:ascii="Arial" w:hAnsi="Arial" w:cs="Calibri" w:hint="cs"/>
          <w:rtl/>
        </w:rPr>
        <w:t>وقد قامت الويبو برسملة برمجيات بقيمة 7.4 مليون فرنك سويسري، بما في ذلك البرمجيات التي تم الحصول عليها من الخارج والبرمجيات المطورة داخلياً والبرمجيات قيد التطوير. تُنظم إدارة الأصول غير الملموسة بموجب اللائحة التنظيمية للويبو للملكية الفكرية.</w:t>
      </w:r>
    </w:p>
    <w:p w14:paraId="09CAB926" w14:textId="77777777" w:rsidR="00B226D1" w:rsidRPr="0017699B" w:rsidRDefault="00B226D1" w:rsidP="00427B96">
      <w:pPr>
        <w:pStyle w:val="LFARPara"/>
        <w:bidi/>
        <w:spacing w:before="120"/>
        <w:ind w:left="851" w:hanging="491"/>
        <w:rPr>
          <w:rFonts w:ascii="Arial" w:hAnsi="Arial" w:cs="Calibri"/>
          <w:rtl/>
        </w:rPr>
      </w:pPr>
      <w:r w:rsidRPr="0017699B">
        <w:rPr>
          <w:rFonts w:ascii="Arial" w:hAnsi="Arial" w:cs="Calibri" w:hint="cs"/>
          <w:rtl/>
        </w:rPr>
        <w:t>يوفر تقرير الموارد المالية إطار عمل شامل لإدارة الممتلكات، بما في ذلك الأصول غير الملموسة. وتنص القاعدة 103-14 من قواعد النظام المالي والقواعد المالية على أن يتم تعيين الموظفين المسؤولين عن إدارة ممتلكات المنظمة من قبل المسؤول الرفيع المستوى المسؤول عن المشتريات. كما أن الموظف مسؤول أيضاً عن جميع الأنظمة التي تحكم الممتلكات، بما في ذلك استلامها وتسجيلها واستخدامها وحفظها وصيانتها والتخلص منها، بما في ذلك بيعها.</w:t>
      </w:r>
    </w:p>
    <w:p w14:paraId="37B84841" w14:textId="75E9FE86" w:rsidR="005426CE" w:rsidRPr="0017699B" w:rsidRDefault="00B226D1" w:rsidP="00427B96">
      <w:pPr>
        <w:pStyle w:val="LFARPara"/>
        <w:bidi/>
        <w:spacing w:before="120"/>
        <w:ind w:left="851" w:hanging="491"/>
        <w:rPr>
          <w:rFonts w:ascii="Arial" w:hAnsi="Arial" w:cs="Calibri"/>
          <w:rtl/>
        </w:rPr>
      </w:pPr>
      <w:r w:rsidRPr="0017699B">
        <w:rPr>
          <w:rFonts w:ascii="Arial" w:hAnsi="Arial" w:cs="Calibri" w:hint="cs"/>
          <w:rtl/>
        </w:rPr>
        <w:t xml:space="preserve">وأظهر استعراض لسجل الأصول في نظام إدارة المعلومات الإدارية أنه لم يتم تعيين أي أمين على أي أصول غير ملموسة في الخدمة حاليا. </w:t>
      </w:r>
    </w:p>
    <w:tbl>
      <w:tblPr>
        <w:bidiVisual/>
        <w:tblW w:w="8646" w:type="dxa"/>
        <w:tblInd w:w="421" w:type="dxa"/>
        <w:tblLook w:val="04A0" w:firstRow="1" w:lastRow="0" w:firstColumn="1" w:lastColumn="0" w:noHBand="0" w:noVBand="1"/>
      </w:tblPr>
      <w:tblGrid>
        <w:gridCol w:w="8646"/>
      </w:tblGrid>
      <w:tr w:rsidR="002C2A79" w:rsidRPr="0017699B" w14:paraId="3C2DE944" w14:textId="77777777" w:rsidTr="00507A28">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27B0A" w14:textId="4AFE4383" w:rsidR="002C2A79" w:rsidRPr="0017699B" w:rsidRDefault="5D797988" w:rsidP="004728C8">
            <w:pPr>
              <w:keepNext/>
              <w:widowControl w:val="0"/>
              <w:tabs>
                <w:tab w:val="left" w:pos="567"/>
              </w:tabs>
              <w:autoSpaceDE w:val="0"/>
              <w:autoSpaceDN w:val="0"/>
              <w:bidi/>
              <w:spacing w:before="120" w:after="120" w:line="280" w:lineRule="exact"/>
              <w:ind w:left="215"/>
              <w:jc w:val="both"/>
              <w:rPr>
                <w:rFonts w:eastAsia="Calibri" w:cs="Calibri"/>
                <w:b/>
                <w:bCs/>
                <w:rtl/>
              </w:rPr>
            </w:pPr>
            <w:r w:rsidRPr="0017699B">
              <w:rPr>
                <w:rFonts w:cs="Calibri" w:hint="cs"/>
                <w:b/>
                <w:bCs/>
                <w:rtl/>
              </w:rPr>
              <w:t>التوصية 2</w:t>
            </w:r>
          </w:p>
          <w:p w14:paraId="7BB725B1" w14:textId="5CCC1808" w:rsidR="002C2A79" w:rsidRPr="0017699B" w:rsidRDefault="7908F3BB" w:rsidP="00EE5F6D">
            <w:pPr>
              <w:widowControl w:val="0"/>
              <w:autoSpaceDE w:val="0"/>
              <w:autoSpaceDN w:val="0"/>
              <w:bidi/>
              <w:spacing w:after="120" w:line="280" w:lineRule="exact"/>
              <w:ind w:left="215"/>
              <w:jc w:val="both"/>
              <w:rPr>
                <w:rFonts w:eastAsia="Calibri" w:cs="Calibri"/>
                <w:rtl/>
              </w:rPr>
            </w:pPr>
            <w:r w:rsidRPr="0017699B">
              <w:rPr>
                <w:rFonts w:cs="Calibri" w:hint="cs"/>
                <w:rtl/>
              </w:rPr>
              <w:t>يوصي المكتب بأن تقوم المنظمة بتعيين أمناء لسجل الأصول غير الملموسة في نظام إدارة المعلومات الإدارية المتكامل لضمان الإشراف على سجلات الأصول وصيانتها على النحو السليم.</w:t>
            </w:r>
          </w:p>
        </w:tc>
      </w:tr>
      <w:tr w:rsidR="002C2A79" w:rsidRPr="0017699B" w14:paraId="20FCBE1C" w14:textId="77777777" w:rsidTr="00507A28">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5ABA2F" w14:textId="1C1D9CD0" w:rsidR="002C2A79" w:rsidRPr="0017699B" w:rsidRDefault="007429E5" w:rsidP="004728C8">
            <w:pPr>
              <w:widowControl w:val="0"/>
              <w:autoSpaceDE w:val="0"/>
              <w:autoSpaceDN w:val="0"/>
              <w:bidi/>
              <w:spacing w:before="120" w:after="120" w:line="280" w:lineRule="exact"/>
              <w:ind w:left="215"/>
              <w:jc w:val="both"/>
              <w:rPr>
                <w:rFonts w:eastAsia="Calibri" w:cs="Calibri"/>
                <w:b/>
                <w:bCs/>
                <w:rtl/>
              </w:rPr>
            </w:pPr>
            <w:r w:rsidRPr="0017699B">
              <w:rPr>
                <w:rFonts w:cs="Calibri" w:hint="cs"/>
                <w:b/>
                <w:bCs/>
                <w:rtl/>
              </w:rPr>
              <w:t>رد الإدارة:</w:t>
            </w:r>
            <w:r w:rsidRPr="0017699B">
              <w:rPr>
                <w:rFonts w:cs="Calibri" w:hint="cs"/>
                <w:rtl/>
              </w:rPr>
              <w:t xml:space="preserve"> </w:t>
            </w:r>
          </w:p>
          <w:p w14:paraId="7365BC7B" w14:textId="6AA08B66" w:rsidR="002C2A79" w:rsidRPr="0017699B" w:rsidRDefault="5D797988" w:rsidP="00EE5F6D">
            <w:pPr>
              <w:keepNext/>
              <w:widowControl w:val="0"/>
              <w:tabs>
                <w:tab w:val="left" w:pos="567"/>
              </w:tabs>
              <w:autoSpaceDE w:val="0"/>
              <w:autoSpaceDN w:val="0"/>
              <w:bidi/>
              <w:spacing w:after="120" w:line="280" w:lineRule="exact"/>
              <w:ind w:left="215"/>
              <w:jc w:val="both"/>
              <w:rPr>
                <w:rFonts w:eastAsia="Calibri" w:cs="Calibri"/>
                <w:rtl/>
              </w:rPr>
            </w:pPr>
            <w:r w:rsidRPr="0017699B">
              <w:rPr>
                <w:rFonts w:cs="Calibri" w:hint="cs"/>
                <w:rtl/>
              </w:rPr>
              <w:t>توافق الإدارة على التوصية وتتوقع تنفيذها كليا بحلول 31 ديسمبر 2026.</w:t>
            </w:r>
          </w:p>
        </w:tc>
      </w:tr>
    </w:tbl>
    <w:p w14:paraId="5D7F096B" w14:textId="639C8AF1" w:rsidR="002C2A79" w:rsidRPr="0017699B" w:rsidRDefault="002C2A79" w:rsidP="002C2A79">
      <w:pPr>
        <w:pStyle w:val="ListParagraph"/>
        <w:spacing w:after="120" w:line="280" w:lineRule="exact"/>
        <w:ind w:left="850"/>
        <w:contextualSpacing w:val="0"/>
        <w:jc w:val="both"/>
        <w:rPr>
          <w:rFonts w:cs="Calibri"/>
        </w:rPr>
      </w:pPr>
    </w:p>
    <w:p w14:paraId="5A3FF25D" w14:textId="2953B344" w:rsidR="00E00622" w:rsidRPr="0017699B" w:rsidRDefault="004728C8" w:rsidP="00795D4A">
      <w:pPr>
        <w:pStyle w:val="Heading6"/>
        <w:bidi/>
        <w:spacing w:before="120" w:after="120" w:line="280" w:lineRule="exact"/>
        <w:ind w:left="364"/>
        <w:jc w:val="both"/>
        <w:rPr>
          <w:rFonts w:ascii="Arial" w:hAnsi="Arial" w:cs="Calibri"/>
          <w:rtl/>
        </w:rPr>
      </w:pPr>
      <w:bookmarkStart w:id="143" w:name="_Toc227163665"/>
      <w:bookmarkStart w:id="144" w:name="_Toc227254959"/>
      <w:bookmarkStart w:id="145" w:name="_Toc227255012"/>
      <w:bookmarkStart w:id="146" w:name="_Toc227826031"/>
      <w:bookmarkStart w:id="147" w:name="_Toc230784726"/>
      <w:r w:rsidRPr="0017699B">
        <w:rPr>
          <w:rFonts w:ascii="Arial" w:hAnsi="Arial" w:cs="Calibri" w:hint="cs"/>
          <w:rtl/>
        </w:rPr>
        <w:t>تحسين الإطار التنظيمي للمباني والمنشآت التقنية التي تشكل جزءًا من البنية التحتية للمباني</w:t>
      </w:r>
      <w:bookmarkEnd w:id="143"/>
      <w:bookmarkEnd w:id="144"/>
      <w:bookmarkEnd w:id="145"/>
      <w:bookmarkEnd w:id="146"/>
      <w:bookmarkEnd w:id="147"/>
    </w:p>
    <w:p w14:paraId="72A62781" w14:textId="5B7791FA" w:rsidR="460F11BE" w:rsidRPr="0017699B" w:rsidRDefault="460F11BE" w:rsidP="00427B96">
      <w:pPr>
        <w:pStyle w:val="LFARPara"/>
        <w:bidi/>
        <w:spacing w:before="120"/>
        <w:ind w:left="851" w:hanging="491"/>
        <w:rPr>
          <w:rFonts w:ascii="Arial" w:hAnsi="Arial" w:cs="Calibri"/>
          <w:rtl/>
        </w:rPr>
      </w:pPr>
      <w:r w:rsidRPr="0017699B">
        <w:rPr>
          <w:rFonts w:ascii="Arial" w:hAnsi="Arial" w:cs="Calibri" w:hint="cs"/>
          <w:rtl/>
        </w:rPr>
        <w:t>ذكرت البيانات المالية للسنة المنتهية في 2025 أن قيمة مباني الويبو تبلغ 290.65 مليون فرنك سويسري. تطبق الإدارة سياسة الويبو بشأن إدارة الممتلكات (تعليمات المكتب/الأمر الإداري 06/2024) كأساس لإدارة الممتلكات. ومع ذلك، تستثني هذه السياسة صراحةً الأراضي والمباني والمنشآت الفنية التي تشكل جزءًا من البنية التحتية للمباني من نطاقها. تشير الاستفسارات الإضافية إلى أنه لا توجد وثيقة تنظيمية رسمية أخرى تحكم إدارة فئات الأصول المستثناة هذه. يتعارض هذا الغياب مع النظام المالي والقواعد المالية 103.14، التي تتطلب تعيينًا واضحًا لنظام إدارة الممتلكات.</w:t>
      </w:r>
    </w:p>
    <w:p w14:paraId="1D524613" w14:textId="2C585CEE" w:rsidR="460F11BE" w:rsidRPr="0017699B" w:rsidRDefault="460F11BE" w:rsidP="00427B96">
      <w:pPr>
        <w:pStyle w:val="LFARPara"/>
        <w:bidi/>
        <w:spacing w:before="120"/>
        <w:ind w:left="850" w:hanging="493"/>
        <w:rPr>
          <w:rFonts w:ascii="Arial" w:hAnsi="Arial" w:cs="Calibri"/>
          <w:rtl/>
        </w:rPr>
      </w:pPr>
      <w:r w:rsidRPr="0017699B">
        <w:rPr>
          <w:rFonts w:ascii="Arial" w:hAnsi="Arial" w:cs="Calibri" w:hint="cs"/>
          <w:rtl/>
        </w:rPr>
        <w:t>حدد تحليلنا للإطار التنظيمي مسألتين محددتين.</w:t>
      </w:r>
    </w:p>
    <w:p w14:paraId="7C85A07D" w14:textId="3CCBC145" w:rsidR="00E00622" w:rsidRPr="0017699B" w:rsidRDefault="01DE80F9" w:rsidP="00795D4A">
      <w:pPr>
        <w:bidi/>
        <w:spacing w:before="120" w:after="120"/>
        <w:ind w:left="336"/>
        <w:rPr>
          <w:rFonts w:cs="Calibri"/>
          <w:b/>
          <w:bCs/>
          <w:i/>
          <w:iCs/>
          <w:rtl/>
        </w:rPr>
      </w:pPr>
      <w:r w:rsidRPr="0017699B">
        <w:rPr>
          <w:rFonts w:cs="Calibri" w:hint="cs"/>
          <w:b/>
          <w:bCs/>
          <w:i/>
          <w:iCs/>
          <w:rtl/>
        </w:rPr>
        <w:t>عدم وجود اختصاصات وتكوين اللجنة التوجيهية ومجالس إدارة المشروع</w:t>
      </w:r>
    </w:p>
    <w:p w14:paraId="2A074D2A" w14:textId="468735D6" w:rsidR="01DE80F9" w:rsidRPr="0017699B" w:rsidRDefault="01DE80F9" w:rsidP="00427B96">
      <w:pPr>
        <w:pStyle w:val="LFARPara"/>
        <w:bidi/>
        <w:spacing w:before="120"/>
        <w:ind w:left="850" w:hanging="493"/>
        <w:rPr>
          <w:rFonts w:ascii="Arial" w:hAnsi="Arial" w:cs="Calibri"/>
          <w:rtl/>
        </w:rPr>
      </w:pPr>
      <w:r w:rsidRPr="0017699B">
        <w:rPr>
          <w:rFonts w:ascii="Arial" w:hAnsi="Arial" w:cs="Calibri" w:hint="cs"/>
          <w:rtl/>
        </w:rPr>
        <w:t>وضعت المنظمة ترتيبات الحوكمة للمشاريع المتعلقة بالمباني من خلال التعميم الإعلامي رقم 38/2022، الذي يحدد مسؤوليات اللجنة التوجيهية ومجالس إدارة المشاريع. وأشار التعميم إلى أنه سيتم إصدار الاختصاصات التفصيلية لهذه الهيئات وتكوينها من خلال الاجتماعات التشاورية الدولية اللاحقة. ومع ذلك، لم يتم إصدار الاختصاصات التفصيلية لتلك الأدوار.</w:t>
      </w:r>
    </w:p>
    <w:p w14:paraId="30A558D7" w14:textId="1FF91151" w:rsidR="44339281" w:rsidRPr="0017699B" w:rsidRDefault="44339281" w:rsidP="00427B96">
      <w:pPr>
        <w:pStyle w:val="LFARPara"/>
        <w:bidi/>
        <w:spacing w:before="120"/>
        <w:ind w:left="850" w:hanging="493"/>
        <w:rPr>
          <w:rFonts w:ascii="Arial" w:hAnsi="Arial" w:cs="Calibri"/>
          <w:rtl/>
        </w:rPr>
      </w:pPr>
      <w:r w:rsidRPr="0017699B">
        <w:rPr>
          <w:rFonts w:ascii="Arial" w:hAnsi="Arial" w:cs="Calibri" w:hint="cs"/>
          <w:rtl/>
        </w:rPr>
        <w:t xml:space="preserve">وقد أوضحت الإدارة أن الوثيقة </w:t>
      </w:r>
      <w:r w:rsidRPr="0017699B">
        <w:rPr>
          <w:rFonts w:ascii="Arial" w:hAnsi="Arial" w:cs="Calibri"/>
        </w:rPr>
        <w:t>IC 38/2022</w:t>
      </w:r>
      <w:r w:rsidRPr="0017699B">
        <w:rPr>
          <w:rFonts w:ascii="Arial" w:hAnsi="Arial" w:cs="Calibri" w:hint="cs"/>
          <w:rtl/>
        </w:rPr>
        <w:t xml:space="preserve"> كانت إطارًا انتقاليًا مصممًا لمشروعي المبنى الجديد وقاعة المؤتمرات، اللذين تم الانتهاء منهما منذ ذلك الحين، وأنه سيتم استبدالها باستراتيجية عقارية شاملة تعتمد منهجية </w:t>
      </w:r>
      <w:r w:rsidRPr="0017699B">
        <w:rPr>
          <w:rFonts w:ascii="Arial" w:hAnsi="Arial" w:cs="Calibri"/>
        </w:rPr>
        <w:t>PRINCE2</w:t>
      </w:r>
      <w:r w:rsidRPr="0017699B">
        <w:rPr>
          <w:rFonts w:ascii="Arial" w:hAnsi="Arial" w:cs="Calibri" w:hint="cs"/>
          <w:rtl/>
        </w:rPr>
        <w:t xml:space="preserve">. وقد التزمت الإدارة باستكمال مراجعة وتحديث الوثيقة </w:t>
      </w:r>
      <w:r w:rsidRPr="0017699B">
        <w:rPr>
          <w:rFonts w:ascii="Arial" w:hAnsi="Arial" w:cs="Calibri"/>
        </w:rPr>
        <w:t>IC 38/2022</w:t>
      </w:r>
      <w:r w:rsidRPr="0017699B">
        <w:rPr>
          <w:rFonts w:ascii="Arial" w:hAnsi="Arial" w:cs="Calibri" w:hint="cs"/>
          <w:rtl/>
        </w:rPr>
        <w:t xml:space="preserve"> بحلول الربع الرابع من عام 2026، والتي ستؤسس هياكل الحوكمة الرسمية للمشاريع المستقبلية المتعلقة بالمباني. وأشارت الإدارة كذلك إلى أنه منذ عام 2022، أصبحت المشاريع المتعلقة بالمباني التي تزيد قيمتها عن مليون فرنك سويسري تخضع لمنهجية </w:t>
      </w:r>
      <w:r w:rsidRPr="0017699B">
        <w:rPr>
          <w:rFonts w:ascii="Arial" w:hAnsi="Arial" w:cs="Calibri"/>
        </w:rPr>
        <w:t>PRINCE2</w:t>
      </w:r>
      <w:r w:rsidRPr="0017699B">
        <w:rPr>
          <w:rFonts w:ascii="Arial" w:hAnsi="Arial" w:cs="Calibri" w:hint="cs"/>
          <w:rtl/>
        </w:rPr>
        <w:t xml:space="preserve"> مع تحديد الأدوار والمسؤوليات وتكوين مجلس إدارة المشروع. سوف يراقب مجلس </w:t>
      </w:r>
      <w:r w:rsidRPr="0017699B">
        <w:rPr>
          <w:rFonts w:ascii="Arial" w:hAnsi="Arial" w:cs="Calibri"/>
        </w:rPr>
        <w:t>BPK</w:t>
      </w:r>
      <w:r w:rsidRPr="0017699B">
        <w:rPr>
          <w:rFonts w:ascii="Arial" w:hAnsi="Arial" w:cs="Calibri" w:hint="cs"/>
          <w:rtl/>
        </w:rPr>
        <w:t xml:space="preserve"> الانتهاء من هذا التحديث وتنفيذ ترتيبات الحوكمة للمشاريع المتعلقة بالمباني في عمليات المراجعة المستقبلية.</w:t>
      </w:r>
    </w:p>
    <w:p w14:paraId="6D7C73C0" w14:textId="58243C41" w:rsidR="00B56A7A" w:rsidRPr="0017699B" w:rsidRDefault="00621F55" w:rsidP="00795D4A">
      <w:pPr>
        <w:bidi/>
        <w:spacing w:before="120" w:after="120"/>
        <w:ind w:left="336"/>
        <w:rPr>
          <w:rFonts w:cs="Calibri"/>
          <w:b/>
          <w:bCs/>
          <w:i/>
          <w:iCs/>
          <w:rtl/>
        </w:rPr>
      </w:pPr>
      <w:r w:rsidRPr="0017699B">
        <w:rPr>
          <w:rFonts w:cs="Calibri" w:hint="cs"/>
          <w:b/>
          <w:bCs/>
          <w:i/>
          <w:iCs/>
          <w:rtl/>
        </w:rPr>
        <w:t>آلية التخلص من مكونات المبنى المستبدلة وإلغاء الاعتراف بها</w:t>
      </w:r>
    </w:p>
    <w:p w14:paraId="6DA42019" w14:textId="509A30BC" w:rsidR="00B56A7A" w:rsidRPr="0017699B" w:rsidRDefault="634D844A" w:rsidP="00427B96">
      <w:pPr>
        <w:pStyle w:val="LFARPara"/>
        <w:bidi/>
        <w:spacing w:before="120"/>
        <w:ind w:left="850" w:hanging="493"/>
        <w:rPr>
          <w:rFonts w:ascii="Arial" w:hAnsi="Arial" w:cs="Calibri"/>
          <w:rtl/>
        </w:rPr>
      </w:pPr>
      <w:r w:rsidRPr="0017699B">
        <w:rPr>
          <w:rFonts w:ascii="Arial" w:hAnsi="Arial" w:cs="Calibri" w:hint="cs"/>
          <w:rtl/>
        </w:rPr>
        <w:t>أظهرت ملاحظتنا في مشروع ترحيل نظام إدارة المباني الجديد (</w:t>
      </w:r>
      <w:r w:rsidRPr="0017699B">
        <w:rPr>
          <w:rFonts w:ascii="Arial" w:hAnsi="Arial" w:cs="Calibri"/>
        </w:rPr>
        <w:t>BMS</w:t>
      </w:r>
      <w:r w:rsidRPr="0017699B">
        <w:rPr>
          <w:rFonts w:ascii="Arial" w:hAnsi="Arial" w:cs="Calibri" w:hint="cs"/>
          <w:rtl/>
        </w:rPr>
        <w:t>) أن المكونات التي تشكل جزءًا من المبنى، بما في ذلك المصابيح والستائر، قد أزيلت أثناء عملية الترحيل. أظهرت مراجعة البيانات المالية لعام 2025 أنه تمت رسملة 2.26 مليون فرنك سويسري تتعلق بمشروع ترحيل نظام إدارة المباني دون إلغاء الاعتراف بالقيمة الدفترية لمكونات المبنى المستبدلة. يتطلب المعيار المحاسبي الدولي للقطاع العام 45، الفقرة 65، إلغاء الاعتراف بالقيمة الدفترية للجزء المستبدل في وقت رسملة تكلفة الاستبدال.</w:t>
      </w:r>
    </w:p>
    <w:p w14:paraId="507B86EC" w14:textId="4FBB7DE9" w:rsidR="00B56A7A" w:rsidRPr="0017699B" w:rsidRDefault="634D844A" w:rsidP="00427B96">
      <w:pPr>
        <w:pStyle w:val="LFARPara"/>
        <w:bidi/>
        <w:spacing w:before="120"/>
        <w:ind w:left="850" w:hanging="493"/>
        <w:rPr>
          <w:rFonts w:ascii="Arial" w:hAnsi="Arial" w:cs="Calibri"/>
          <w:rtl/>
        </w:rPr>
      </w:pPr>
      <w:r w:rsidRPr="0017699B">
        <w:rPr>
          <w:rFonts w:ascii="Arial" w:hAnsi="Arial" w:cs="Calibri" w:hint="cs"/>
          <w:rtl/>
        </w:rPr>
        <w:t>أشارت الإدارة إلى أن قيمة الأعمال الجارية المتعلقة بمشروع نظام إدارة المباني في نهاية العام لن تؤدي إلى إلغاء الاعتراف المادي، حيث سيتم استهلاك المكونات المستبدلة بشكل كبير، وسيتم تقييم إلغاء الاعتراف عند اكتمال المشروع أو في نهاية عام 2026. أشارت الإدارة إلى أن النهج السنوي لإلغاء الاعتراف مناسب لمشاريع التشييد الكبرى التي تمتد لعدة سنوات وتنطوي على عمليات هدم هيكلية كبيرة.</w:t>
      </w:r>
    </w:p>
    <w:tbl>
      <w:tblPr>
        <w:bidiVisual/>
        <w:tblW w:w="8646" w:type="dxa"/>
        <w:tblInd w:w="421" w:type="dxa"/>
        <w:tblLook w:val="04A0" w:firstRow="1" w:lastRow="0" w:firstColumn="1" w:lastColumn="0" w:noHBand="0" w:noVBand="1"/>
      </w:tblPr>
      <w:tblGrid>
        <w:gridCol w:w="8646"/>
      </w:tblGrid>
      <w:tr w:rsidR="00365CED" w:rsidRPr="0017699B" w14:paraId="691F975C" w14:textId="77777777" w:rsidTr="006125ED">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E616E" w14:textId="5D94386F" w:rsidR="00365CED" w:rsidRPr="0017699B" w:rsidRDefault="00E87C15" w:rsidP="00365CED">
            <w:pPr>
              <w:keepNext/>
              <w:widowControl w:val="0"/>
              <w:tabs>
                <w:tab w:val="left" w:pos="567"/>
              </w:tabs>
              <w:autoSpaceDE w:val="0"/>
              <w:autoSpaceDN w:val="0"/>
              <w:bidi/>
              <w:spacing w:before="120" w:after="120"/>
              <w:ind w:left="216"/>
              <w:jc w:val="both"/>
              <w:rPr>
                <w:rFonts w:eastAsia="Calibri" w:cs="Calibri"/>
                <w:b/>
                <w:bCs/>
                <w:rtl/>
              </w:rPr>
            </w:pPr>
            <w:r w:rsidRPr="0017699B">
              <w:rPr>
                <w:rFonts w:cs="Calibri" w:hint="cs"/>
                <w:b/>
                <w:bCs/>
                <w:rtl/>
              </w:rPr>
              <w:t>التوصية 3</w:t>
            </w:r>
          </w:p>
          <w:p w14:paraId="393CB604" w14:textId="3D870B24" w:rsidR="00365CED" w:rsidRPr="0017699B" w:rsidRDefault="4F7EDD07" w:rsidP="00365CED">
            <w:pPr>
              <w:widowControl w:val="0"/>
              <w:autoSpaceDE w:val="0"/>
              <w:autoSpaceDN w:val="0"/>
              <w:bidi/>
              <w:spacing w:before="120" w:after="120"/>
              <w:ind w:left="216"/>
              <w:jc w:val="both"/>
              <w:rPr>
                <w:rFonts w:eastAsia="Calibri" w:cs="Calibri"/>
                <w:rtl/>
              </w:rPr>
            </w:pPr>
            <w:r w:rsidRPr="0017699B">
              <w:rPr>
                <w:rFonts w:cs="Calibri" w:hint="cs"/>
                <w:rtl/>
              </w:rPr>
              <w:t>يوصي المكتب بأن تنقح المنظمة توجيهات السياسة التفصيلية لإعداد التقارير المالية الخاصة بالممتلكات والمنشآت والمعدات بحيث تتطلب إجراء مراجعات سنوية خلال فترة المشروع وعند الانتهاء من مشاريع تشييد المباني وتجديدها، لتحديد القيمة الدفترية للمكونات المادية التي يتم إزالتها أو استبدالها وإلغاء الاعتراف بها.</w:t>
            </w:r>
          </w:p>
        </w:tc>
      </w:tr>
      <w:tr w:rsidR="00365CED" w:rsidRPr="0017699B" w14:paraId="1658FEA3" w14:textId="77777777" w:rsidTr="006125ED">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FE9170" w14:textId="6E046D27" w:rsidR="00365CED" w:rsidRPr="0017699B" w:rsidRDefault="00E87C15" w:rsidP="66DE4C64">
            <w:pPr>
              <w:widowControl w:val="0"/>
              <w:autoSpaceDE w:val="0"/>
              <w:autoSpaceDN w:val="0"/>
              <w:bidi/>
              <w:spacing w:before="120" w:after="120"/>
              <w:ind w:left="216"/>
              <w:jc w:val="both"/>
              <w:rPr>
                <w:rFonts w:eastAsia="Calibri" w:cs="Calibri"/>
                <w:b/>
                <w:bCs/>
                <w:rtl/>
              </w:rPr>
            </w:pPr>
            <w:r w:rsidRPr="0017699B">
              <w:rPr>
                <w:rFonts w:cs="Calibri" w:hint="cs"/>
                <w:b/>
                <w:bCs/>
                <w:rtl/>
              </w:rPr>
              <w:t>رد الإدارة:</w:t>
            </w:r>
            <w:r w:rsidRPr="0017699B">
              <w:rPr>
                <w:rFonts w:cs="Calibri" w:hint="cs"/>
                <w:rtl/>
              </w:rPr>
              <w:t xml:space="preserve"> </w:t>
            </w:r>
          </w:p>
          <w:p w14:paraId="5D440AA3" w14:textId="2C10A5B7" w:rsidR="00365CED" w:rsidRPr="0017699B" w:rsidRDefault="00E87C15" w:rsidP="00365CED">
            <w:pPr>
              <w:keepNext/>
              <w:widowControl w:val="0"/>
              <w:tabs>
                <w:tab w:val="left" w:pos="567"/>
              </w:tabs>
              <w:autoSpaceDE w:val="0"/>
              <w:autoSpaceDN w:val="0"/>
              <w:bidi/>
              <w:spacing w:before="120" w:after="120"/>
              <w:ind w:left="216"/>
              <w:jc w:val="both"/>
              <w:rPr>
                <w:rFonts w:eastAsia="Calibri" w:cs="Calibri"/>
                <w:rtl/>
              </w:rPr>
            </w:pPr>
            <w:r w:rsidRPr="0017699B">
              <w:rPr>
                <w:rFonts w:cs="Calibri" w:hint="cs"/>
                <w:rtl/>
              </w:rPr>
              <w:t>توافق الإدارة على التوصية وتتوقع تنفيذها كليا بحلول 31 ديسمبر 2026.</w:t>
            </w:r>
          </w:p>
        </w:tc>
      </w:tr>
    </w:tbl>
    <w:p w14:paraId="503A9D2E" w14:textId="71F8B59A" w:rsidR="00B56A7A" w:rsidRPr="0017699B" w:rsidRDefault="00B56A7A">
      <w:pPr>
        <w:rPr>
          <w:rFonts w:cs="Calibri"/>
        </w:rPr>
      </w:pPr>
    </w:p>
    <w:p w14:paraId="2D1815D8" w14:textId="7E3013D3" w:rsidR="00847EAB" w:rsidRPr="0017699B" w:rsidRDefault="00847EAB" w:rsidP="00795D4A">
      <w:pPr>
        <w:pStyle w:val="Heading6"/>
        <w:bidi/>
        <w:spacing w:before="120" w:after="120" w:line="280" w:lineRule="exact"/>
        <w:ind w:left="364"/>
        <w:jc w:val="both"/>
        <w:rPr>
          <w:rFonts w:ascii="Arial" w:hAnsi="Arial" w:cs="Calibri"/>
          <w:b w:val="0"/>
          <w:bCs w:val="0"/>
          <w:rtl/>
        </w:rPr>
      </w:pPr>
      <w:bookmarkStart w:id="148" w:name="_Toc227224477"/>
      <w:bookmarkStart w:id="149" w:name="_Toc227254960"/>
      <w:bookmarkStart w:id="150" w:name="_Toc227255013"/>
      <w:bookmarkStart w:id="151" w:name="_Toc230784727"/>
      <w:r w:rsidRPr="0017699B">
        <w:rPr>
          <w:rFonts w:ascii="Arial" w:hAnsi="Arial" w:cs="Calibri" w:hint="cs"/>
          <w:rtl/>
        </w:rPr>
        <w:t>إدارة المشتريات</w:t>
      </w:r>
      <w:bookmarkEnd w:id="148"/>
      <w:bookmarkEnd w:id="149"/>
      <w:bookmarkEnd w:id="150"/>
      <w:bookmarkEnd w:id="151"/>
    </w:p>
    <w:p w14:paraId="5D1038C6" w14:textId="75D85BB8" w:rsidR="00A45870" w:rsidRPr="0017699B" w:rsidRDefault="00847EAB" w:rsidP="00A45870">
      <w:pPr>
        <w:pStyle w:val="LFARPara"/>
        <w:bidi/>
        <w:spacing w:before="120"/>
        <w:ind w:left="850" w:hanging="493"/>
        <w:rPr>
          <w:rFonts w:ascii="Arial" w:hAnsi="Arial" w:cs="Calibri"/>
          <w:rtl/>
        </w:rPr>
      </w:pPr>
      <w:r w:rsidRPr="0017699B">
        <w:rPr>
          <w:rFonts w:ascii="Arial" w:hAnsi="Arial" w:cs="Calibri" w:hint="cs"/>
          <w:rtl/>
        </w:rPr>
        <w:t>أبدت الويبو التزاماً جديراً بالثناء بتعزيز وظيفة الشراء لديها. وعلى مر السنين، حافظت الويبو على امتثالها لدليل المشتريات مع ضمان توافق عمليات الاستحواذ مع الاحتياجات التشغيلية للمنظمة ولوائحها. تعمل المنظمة بموجب دليل للمشتريات يضع توجيهات بشأن السياسات والإجراءات لجميع الأطراف المشاركة في أنشطة المشتريات في الويبو، بما في ذلك الموظفون ومقدمو الطلبات والمديرون والمتعاقدون والعاملون في الوكالات. يتعاون قسم الخدمات المركزية (</w:t>
      </w:r>
      <w:r w:rsidRPr="0017699B">
        <w:rPr>
          <w:rFonts w:ascii="Arial" w:hAnsi="Arial" w:cs="Calibri"/>
        </w:rPr>
        <w:t>CSD</w:t>
      </w:r>
      <w:r w:rsidRPr="0017699B">
        <w:rPr>
          <w:rFonts w:ascii="Arial" w:hAnsi="Arial" w:cs="Calibri" w:hint="cs"/>
          <w:rtl/>
        </w:rPr>
        <w:t xml:space="preserve">) بنشاط مع مقدمي طلبات الشراء ومديري المشاريع لتخطيط وتنفيذ مبادرات المشتريات، وغالباً ما يعمل القسم في إطار جداول زمنية صارمة. يدرك مجلس </w:t>
      </w:r>
      <w:r w:rsidRPr="0017699B">
        <w:rPr>
          <w:rFonts w:ascii="Arial" w:hAnsi="Arial" w:cs="Calibri"/>
        </w:rPr>
        <w:t>BPK</w:t>
      </w:r>
      <w:r w:rsidRPr="0017699B">
        <w:rPr>
          <w:rFonts w:ascii="Arial" w:hAnsi="Arial" w:cs="Calibri" w:hint="cs"/>
          <w:rtl/>
        </w:rPr>
        <w:t xml:space="preserve"> مزايا ممارسات الشراء الحالية مع تحديد نطاق التحسين وتقديم توصيات لتعزيز العمليات الحالية.</w:t>
      </w:r>
    </w:p>
    <w:p w14:paraId="092E952C" w14:textId="4BD06EAD" w:rsidR="00847EAB" w:rsidRPr="0017699B" w:rsidRDefault="00847EAB" w:rsidP="00795D4A">
      <w:pPr>
        <w:pStyle w:val="Heading6"/>
        <w:bidi/>
        <w:spacing w:before="120" w:after="120" w:line="280" w:lineRule="exact"/>
        <w:ind w:left="364"/>
        <w:jc w:val="both"/>
        <w:rPr>
          <w:rFonts w:ascii="Arial" w:hAnsi="Arial" w:cs="Calibri"/>
          <w:rtl/>
        </w:rPr>
      </w:pPr>
      <w:bookmarkStart w:id="152" w:name="_Toc227163666"/>
      <w:bookmarkStart w:id="153" w:name="_Toc227254961"/>
      <w:bookmarkStart w:id="154" w:name="_Toc227255014"/>
      <w:bookmarkStart w:id="155" w:name="_Toc227826034"/>
      <w:bookmarkStart w:id="156" w:name="_Toc230784728"/>
      <w:bookmarkEnd w:id="152"/>
      <w:r w:rsidRPr="0017699B">
        <w:rPr>
          <w:rFonts w:ascii="Arial" w:hAnsi="Arial" w:cs="Calibri" w:hint="cs"/>
          <w:rtl/>
        </w:rPr>
        <w:t>تحسين التوثيق المتعلق بتقييم أداء المقاول</w:t>
      </w:r>
      <w:bookmarkEnd w:id="153"/>
      <w:bookmarkEnd w:id="154"/>
      <w:bookmarkEnd w:id="155"/>
      <w:bookmarkEnd w:id="156"/>
      <w:r w:rsidRPr="0017699B">
        <w:rPr>
          <w:rFonts w:ascii="Arial" w:hAnsi="Arial" w:cs="Calibri" w:hint="cs"/>
          <w:rtl/>
        </w:rPr>
        <w:t xml:space="preserve"> </w:t>
      </w:r>
    </w:p>
    <w:p w14:paraId="3F1183CF" w14:textId="3571CD4E" w:rsidR="00E65A08" w:rsidRPr="0017699B" w:rsidRDefault="00621F55" w:rsidP="009957C8">
      <w:pPr>
        <w:pStyle w:val="LFARPara"/>
        <w:bidi/>
        <w:spacing w:before="120"/>
        <w:ind w:left="850" w:hanging="493"/>
        <w:rPr>
          <w:rFonts w:ascii="Arial" w:hAnsi="Arial" w:cs="Calibri"/>
          <w:rtl/>
        </w:rPr>
      </w:pPr>
      <w:r w:rsidRPr="0017699B">
        <w:rPr>
          <w:rFonts w:ascii="Arial" w:hAnsi="Arial" w:cs="Calibri" w:hint="cs"/>
          <w:rtl/>
        </w:rPr>
        <w:t>تُظهر البيانات المالية للسنة المنتهية في عام 2025 أن الويبو تكبدت نفقات خدمة تعاقدية بلغت 122.9 مليون فرنك سويسري. مصروفات الخدمات التعاقدية المتكبدة بناء على الاتفاقات التعاقدية بين الويبو والمقاولين. يتم تنظيم عملية الشراء بموجب دليل المشتريات للبائعين وتعليمات مكتب خدمة المتعاقدين الأفراد (</w:t>
      </w:r>
      <w:r w:rsidRPr="0017699B">
        <w:rPr>
          <w:rFonts w:ascii="Arial" w:hAnsi="Arial" w:cs="Calibri"/>
        </w:rPr>
        <w:t>ICS</w:t>
      </w:r>
      <w:r w:rsidRPr="0017699B">
        <w:rPr>
          <w:rFonts w:ascii="Arial" w:hAnsi="Arial" w:cs="Calibri" w:hint="cs"/>
          <w:rtl/>
        </w:rPr>
        <w:t xml:space="preserve">). </w:t>
      </w:r>
    </w:p>
    <w:p w14:paraId="35934E17" w14:textId="4D2CA676" w:rsidR="00606EFF" w:rsidRPr="0017699B" w:rsidRDefault="00662CC7" w:rsidP="009957C8">
      <w:pPr>
        <w:pStyle w:val="LFARPara"/>
        <w:bidi/>
        <w:spacing w:before="120"/>
        <w:ind w:left="850" w:hanging="493"/>
        <w:rPr>
          <w:rFonts w:ascii="Arial" w:hAnsi="Arial" w:cs="Calibri"/>
          <w:rtl/>
        </w:rPr>
      </w:pPr>
      <w:r w:rsidRPr="0017699B">
        <w:rPr>
          <w:rFonts w:ascii="Arial" w:hAnsi="Arial" w:cs="Calibri" w:hint="cs"/>
          <w:rtl/>
        </w:rPr>
        <w:t>يصنف دليل مشتريات الويبو العقود إلى ثلاثة أنواع: العقود الاستراتيجية الضرورية لعمليات القطاع، والعقود الحرجة التي من شأنها أن تعطل العمليات بشدة إذا لم تتوفر، والعقود غير الاستراتيجية/غير الحرجة. تتطلب العقود الاستراتيجية بطاقات أداء موثقة يعدها مدير العقود ويراجعها مسؤول المشتريات. يشير الدليل إلى أن العقود الحرجة تتبع نفس عملية بطاقة الأداء مع متطلبات إضافية لقيادات القطاع لوضع خطط استمرارية الأعمال كجزء من إطار عمل إدارة المخاطر.</w:t>
      </w:r>
    </w:p>
    <w:p w14:paraId="0D46874A" w14:textId="5D54775A" w:rsidR="007B02A0" w:rsidRPr="0017699B" w:rsidRDefault="007B02A0" w:rsidP="009957C8">
      <w:pPr>
        <w:pStyle w:val="LFARPara"/>
        <w:bidi/>
        <w:spacing w:before="120"/>
        <w:ind w:left="850" w:hanging="493"/>
        <w:rPr>
          <w:rFonts w:ascii="Arial" w:hAnsi="Arial" w:cs="Calibri"/>
          <w:rtl/>
        </w:rPr>
      </w:pPr>
      <w:r w:rsidRPr="0017699B">
        <w:rPr>
          <w:rFonts w:ascii="Arial" w:hAnsi="Arial" w:cs="Calibri" w:hint="cs"/>
          <w:rtl/>
        </w:rPr>
        <w:t>يشير الدليل إلى أنه ينبغي توثيق ومراقبة مراجعة أداء الموردين، استناداً إلى مؤشر الأداء الرئيسي (</w:t>
      </w:r>
      <w:r w:rsidRPr="0017699B">
        <w:rPr>
          <w:rFonts w:ascii="Arial" w:hAnsi="Arial" w:cs="Calibri"/>
        </w:rPr>
        <w:t>KPI</w:t>
      </w:r>
      <w:r w:rsidRPr="0017699B">
        <w:rPr>
          <w:rFonts w:ascii="Arial" w:hAnsi="Arial" w:cs="Calibri" w:hint="cs"/>
          <w:rtl/>
        </w:rPr>
        <w:t>) وبطاقة أداء مراجعة الأداء، كأساس لتقييم امتثال الموردين للالتزامات التعاقدية. علاوةً على ذلك، ينص الدليل على ضرورة تحديد مؤشرات الأداء الرئيسية هذه بوضوح في مستندات الالتماس والاتفاق عليها مع الموردين لمنع حدوث نزاعات. يقود مدير العقود عملية مراجعة الأداء، حيث يعمل مع مسؤول المشتريات لتحديد الفرص المتاحة ومعالجة المشاكل الإدارية.</w:t>
      </w:r>
    </w:p>
    <w:p w14:paraId="2635345A" w14:textId="50BAA4D0" w:rsidR="002806C2" w:rsidRPr="0017699B" w:rsidRDefault="00E65A08" w:rsidP="009957C8">
      <w:pPr>
        <w:pStyle w:val="LFARPara"/>
        <w:bidi/>
        <w:spacing w:before="120"/>
        <w:ind w:left="850" w:hanging="493"/>
        <w:rPr>
          <w:rFonts w:ascii="Arial" w:hAnsi="Arial" w:cs="Calibri"/>
          <w:rtl/>
        </w:rPr>
      </w:pPr>
      <w:r w:rsidRPr="0017699B">
        <w:rPr>
          <w:rFonts w:ascii="Arial" w:hAnsi="Arial" w:cs="Calibri" w:hint="cs"/>
          <w:rtl/>
        </w:rPr>
        <w:t>حدد تحليلنا لوثائق مراجعة أداء المقاول مسألتين محددتين.</w:t>
      </w:r>
    </w:p>
    <w:p w14:paraId="40EADB63" w14:textId="2B70212C" w:rsidR="00A45870" w:rsidRPr="0017699B" w:rsidRDefault="00A45870" w:rsidP="00A45870">
      <w:pPr>
        <w:widowControl w:val="0"/>
        <w:autoSpaceDE w:val="0"/>
        <w:autoSpaceDN w:val="0"/>
        <w:bidi/>
        <w:spacing w:before="120" w:after="120" w:line="280" w:lineRule="exact"/>
        <w:ind w:left="378"/>
        <w:jc w:val="both"/>
        <w:rPr>
          <w:rFonts w:eastAsia="Times New Roman" w:cs="Calibri"/>
          <w:b/>
          <w:bCs/>
          <w:i/>
          <w:iCs/>
          <w:rtl/>
        </w:rPr>
      </w:pPr>
      <w:r w:rsidRPr="0017699B">
        <w:rPr>
          <w:rFonts w:cs="Calibri" w:hint="cs"/>
          <w:b/>
          <w:bCs/>
          <w:i/>
          <w:iCs/>
          <w:rtl/>
        </w:rPr>
        <w:t>الخدمات التعاقدية الفردية للترجمة التحريرية (</w:t>
      </w:r>
      <w:r w:rsidRPr="0017699B">
        <w:rPr>
          <w:rFonts w:cs="Calibri"/>
          <w:b/>
          <w:bCs/>
          <w:i/>
          <w:iCs/>
        </w:rPr>
        <w:t>ICS</w:t>
      </w:r>
      <w:r w:rsidRPr="0017699B">
        <w:rPr>
          <w:rFonts w:cs="Calibri" w:hint="cs"/>
          <w:rtl/>
        </w:rPr>
        <w:t xml:space="preserve"> </w:t>
      </w:r>
      <w:r w:rsidR="001A6952">
        <w:rPr>
          <w:rFonts w:cs="Calibri" w:hint="cs"/>
          <w:rtl/>
        </w:rPr>
        <w:t>)</w:t>
      </w:r>
    </w:p>
    <w:p w14:paraId="0CEF463A" w14:textId="77777777" w:rsidR="00A45870" w:rsidRPr="0017699B" w:rsidRDefault="00A45870" w:rsidP="00A45870">
      <w:pPr>
        <w:pStyle w:val="LFARPara"/>
        <w:bidi/>
        <w:spacing w:before="120"/>
        <w:ind w:left="850" w:hanging="493"/>
        <w:rPr>
          <w:rFonts w:ascii="Arial" w:hAnsi="Arial" w:cs="Calibri"/>
          <w:rtl/>
        </w:rPr>
      </w:pPr>
      <w:r w:rsidRPr="0017699B">
        <w:rPr>
          <w:rFonts w:ascii="Arial" w:hAnsi="Arial" w:cs="Calibri" w:hint="cs"/>
          <w:rtl/>
        </w:rPr>
        <w:t xml:space="preserve">تعرّف السياسة المتعلقة بنظام خدمات الرقابة الداخلية (رقم 03/2024) المتعاقدين الأفراد بأنهم أفراد ليسوا من موظفي الويبو وتم التعاقد معهم وفقاً للأحكام المنصوص عليها لتقديم خدمات إلى الويبو مقابل أجر. وتنص السياسة على أن تخضع جميع العقود التي تزيد قيمتها التراكمية عن 20,000 فرنك سويسري في فترة 12 شهراً لتقييم أداء المتعاقد الفردي. يجب على قادة القطاعات التأكد من إكمال تقييم الأداء في غضون أسبوعين بعد انتهاء كل عقد، على النموذج الذي تحدده إدارة الخدمات اللوجستية. </w:t>
      </w:r>
    </w:p>
    <w:p w14:paraId="5265C9B4" w14:textId="77777777" w:rsidR="00A45870" w:rsidRPr="0017699B" w:rsidRDefault="00A45870" w:rsidP="00A45870">
      <w:pPr>
        <w:pStyle w:val="LFARPara"/>
        <w:bidi/>
        <w:spacing w:before="120"/>
        <w:ind w:left="850" w:hanging="493"/>
        <w:rPr>
          <w:rFonts w:ascii="Arial" w:hAnsi="Arial" w:cs="Calibri"/>
          <w:rtl/>
        </w:rPr>
      </w:pPr>
      <w:r w:rsidRPr="0017699B">
        <w:rPr>
          <w:rFonts w:ascii="Arial" w:hAnsi="Arial" w:cs="Calibri" w:hint="cs"/>
          <w:rtl/>
        </w:rPr>
        <w:t xml:space="preserve">وأظهر تحليل لخمسة من مراكز الخدمة المدنية الدولية التي تبلغ مدفوعاتها التراكمية أكثر من 20,000 فرنك سويسري، أي ما يعادل 0.28 مليون فرنك سويسري، أن تقييم أداء مراكز الخدمة المدنية الدولية تم توثيقه في المذكرة الداخلية بشأن إعادة اعتماد مترجمي مراكز الخدمة المدنية الدولية بدلاً من توثيقه في النموذج الذي حددته إدارة خدمات الدعم المركزية. </w:t>
      </w:r>
    </w:p>
    <w:p w14:paraId="25F7E5CB" w14:textId="77777777" w:rsidR="00A45870" w:rsidRPr="0017699B" w:rsidRDefault="00A45870" w:rsidP="00A45870">
      <w:pPr>
        <w:pStyle w:val="LFARPara"/>
        <w:bidi/>
        <w:spacing w:before="120"/>
        <w:ind w:left="850" w:hanging="493"/>
        <w:rPr>
          <w:rFonts w:ascii="Arial" w:hAnsi="Arial" w:cs="Calibri"/>
          <w:rtl/>
        </w:rPr>
      </w:pPr>
      <w:r w:rsidRPr="0017699B">
        <w:rPr>
          <w:rFonts w:ascii="Arial" w:hAnsi="Arial" w:cs="Calibri" w:hint="cs"/>
          <w:rtl/>
        </w:rPr>
        <w:t xml:space="preserve">أوضحت الإدارة أنه بالنسبة للترجمة التحريرية لمراكز الخدمات العامة والترجمة التحريرية لم تنطبق وثائق النموذج المحدد من قبل إدارة خدمات الدعم المركزية على مركز الخدمات المتكاملة، الذي حصل على تجديد العقد، حيث أن مذكرة إعادة الاعتماد بمثابة أساس لمراجعة الأداء. ومن الملاحظ أن النموذج الذي حددته إدارة خدمات الدعم المركزي لم يوثق إلا في حالة نظام الخدمة المدنية الدولية بعقد غير مجدد. وأضافت الإدارة أن أداء </w:t>
      </w:r>
      <w:r w:rsidRPr="0017699B">
        <w:rPr>
          <w:rFonts w:ascii="Arial" w:hAnsi="Arial" w:cs="Calibri"/>
        </w:rPr>
        <w:t>ICS</w:t>
      </w:r>
      <w:r w:rsidRPr="0017699B">
        <w:rPr>
          <w:rFonts w:ascii="Arial" w:hAnsi="Arial" w:cs="Calibri" w:hint="cs"/>
          <w:rtl/>
        </w:rPr>
        <w:t xml:space="preserve"> كان يخضع لمراقبة شديدة طوال فترة العقد من خلال عملية المراجعة الشهرية. وبالإضافة إلى ذلك، لاحظت الإدارة أنه في الحالات التي تم تسليط الضوء عليها، لم ينشأ الالتزام باستكمال نموذج التقييم الذي حددته لجنة الخدمة المدنية الدولية لأن العقود كانت لا تزال جارية.</w:t>
      </w:r>
    </w:p>
    <w:p w14:paraId="24807DBC" w14:textId="2934C21F" w:rsidR="00A45870" w:rsidRPr="0017699B" w:rsidRDefault="00A45870" w:rsidP="00A45870">
      <w:pPr>
        <w:pStyle w:val="LFARPara"/>
        <w:bidi/>
        <w:spacing w:before="120"/>
        <w:ind w:left="850" w:hanging="493"/>
        <w:rPr>
          <w:rFonts w:ascii="Arial" w:hAnsi="Arial" w:cs="Calibri"/>
          <w:rtl/>
        </w:rPr>
      </w:pPr>
      <w:r w:rsidRPr="0017699B">
        <w:rPr>
          <w:rFonts w:ascii="Arial" w:hAnsi="Arial" w:cs="Calibri" w:hint="cs"/>
          <w:rtl/>
        </w:rPr>
        <w:t>و</w:t>
      </w:r>
      <w:r w:rsidR="00AD0F26">
        <w:rPr>
          <w:rFonts w:ascii="Arial" w:hAnsi="Arial" w:cs="Calibri" w:hint="cs"/>
          <w:rtl/>
        </w:rPr>
        <w:t>ي</w:t>
      </w:r>
      <w:r w:rsidRPr="0017699B">
        <w:rPr>
          <w:rFonts w:ascii="Arial" w:hAnsi="Arial" w:cs="Calibri" w:hint="cs"/>
          <w:rtl/>
        </w:rPr>
        <w:t xml:space="preserve">رى </w:t>
      </w:r>
      <w:r w:rsidRPr="0017699B">
        <w:rPr>
          <w:rFonts w:ascii="Arial" w:hAnsi="Arial" w:cs="Calibri"/>
        </w:rPr>
        <w:t>BPK</w:t>
      </w:r>
      <w:r w:rsidRPr="0017699B">
        <w:rPr>
          <w:rFonts w:ascii="Arial" w:hAnsi="Arial" w:cs="Calibri" w:hint="cs"/>
          <w:rtl/>
        </w:rPr>
        <w:t xml:space="preserve"> أنه ينبغي إجراء مراجعة موحدة ودورية، سنوياً على الأقل، للأداء بالنسبة لنظام المقاصة الدولي بقيمة تراكمية تزيد عن 20,000 فرنك سويسري في فترة 12 شهراً. وبالنظر إلى مدة الخمس سنوات التي يستغرقها عقد نظام خدمات الرقابة الداخلية، فإن الانتظار حتى اكتمال العقد لإجراء تقييم للأداء سيؤدي إلى تقييمات قديمة لا ترصد اتجاهات الأداء المستمرة. سيؤدي إجراء مراجعة سنوية للأداء مع التوثيق المناسب إلى تحسين الإشراف والرقابة على إدارة خدمات المركز الدولي للخدمات الإدارية.</w:t>
      </w:r>
    </w:p>
    <w:p w14:paraId="116C8CD6" w14:textId="55F18F98" w:rsidR="00847EAB" w:rsidRPr="0017699B" w:rsidRDefault="00C13FCF" w:rsidP="00BE31A8">
      <w:pPr>
        <w:widowControl w:val="0"/>
        <w:autoSpaceDE w:val="0"/>
        <w:autoSpaceDN w:val="0"/>
        <w:bidi/>
        <w:spacing w:before="120" w:after="120" w:line="280" w:lineRule="exact"/>
        <w:ind w:left="336"/>
        <w:jc w:val="both"/>
        <w:rPr>
          <w:rFonts w:eastAsia="Times New Roman" w:cs="Calibri"/>
          <w:b/>
          <w:bCs/>
          <w:i/>
          <w:iCs/>
          <w:rtl/>
        </w:rPr>
      </w:pPr>
      <w:r w:rsidRPr="0017699B">
        <w:rPr>
          <w:rFonts w:cs="Calibri" w:hint="cs"/>
          <w:b/>
          <w:bCs/>
          <w:i/>
          <w:iCs/>
          <w:rtl/>
        </w:rPr>
        <w:t>مراجعة أداء المتعاقدين الاستراتيجيين والمقاولين المهمين</w:t>
      </w:r>
    </w:p>
    <w:p w14:paraId="3D4BFAA7" w14:textId="5BC65DA0" w:rsidR="00E2094D" w:rsidRPr="0017699B" w:rsidRDefault="0046035D" w:rsidP="00923A25">
      <w:pPr>
        <w:pStyle w:val="LFARPara"/>
        <w:bidi/>
        <w:spacing w:before="120"/>
        <w:ind w:left="850" w:hanging="493"/>
        <w:rPr>
          <w:rFonts w:ascii="Arial" w:hAnsi="Arial" w:cs="Calibri"/>
          <w:rtl/>
        </w:rPr>
      </w:pPr>
      <w:r w:rsidRPr="0017699B">
        <w:rPr>
          <w:rFonts w:ascii="Arial" w:hAnsi="Arial" w:cs="Calibri" w:hint="cs"/>
          <w:rtl/>
        </w:rPr>
        <w:t xml:space="preserve">أظهر تحليل النفقات المتكبدة والبالغة 1.78 مليون فرنك سويسري خلال عام 2025 لعقد استراتيجي وحاسم مع الشركة (أ) أن موارد البرنامج الخاصة للعقد لم يتم توثيقها. وعلاوة على ذلك، لاحظنا أن مؤشر الأداء الرئيسي وبطاقة أداء مراجعة الأداء للعقد لم يتم تحديدهما في العقد. </w:t>
      </w:r>
    </w:p>
    <w:p w14:paraId="672544AA" w14:textId="61CE78D8" w:rsidR="000A1009" w:rsidRPr="0017699B" w:rsidRDefault="00865B8D" w:rsidP="009957C8">
      <w:pPr>
        <w:pStyle w:val="LFARPara"/>
        <w:bidi/>
        <w:spacing w:before="120"/>
        <w:ind w:left="850" w:hanging="493"/>
        <w:rPr>
          <w:rFonts w:ascii="Arial" w:hAnsi="Arial" w:cs="Calibri"/>
          <w:rtl/>
        </w:rPr>
      </w:pPr>
      <w:r w:rsidRPr="0017699B">
        <w:rPr>
          <w:rFonts w:ascii="Arial" w:hAnsi="Arial" w:cs="Calibri" w:hint="cs"/>
          <w:rtl/>
        </w:rPr>
        <w:t xml:space="preserve">أكدت الإدارة أنه لم يتم تنفيذ تقرير الأداء الاستراتيجي وأوضحت أن مدفوعات هذه الفواتير تتعلق بالخدمات المهنية التي لم تقم المنظمة بتتبعها حاليًا من خلال مؤشرات الأداء الرئيسية. وبدلاً من ذلك، تُعد شهادات القبول بمثابة دليل على أن الخدمات قد تم تسليمها وفقًا لمعايير مقبولة وفقًا للعقد، في حين تم الاحتفاظ بقائمة منفصلة بالمسائل المعلقة لحلها. </w:t>
      </w:r>
    </w:p>
    <w:p w14:paraId="53F9A263" w14:textId="77777777" w:rsidR="001A6952" w:rsidRDefault="001A6952">
      <w:pPr>
        <w:spacing w:after="160" w:line="259" w:lineRule="auto"/>
        <w:rPr>
          <w:rFonts w:eastAsia="Times New Roman" w:cs="Calibri"/>
          <w:rtl/>
        </w:rPr>
      </w:pPr>
      <w:r>
        <w:rPr>
          <w:rFonts w:cs="Calibri"/>
          <w:rtl/>
        </w:rPr>
        <w:br w:type="page"/>
      </w:r>
    </w:p>
    <w:p w14:paraId="21A653A4" w14:textId="07B55E91" w:rsidR="00A14F79" w:rsidRPr="0017699B" w:rsidRDefault="000A1009" w:rsidP="009957C8">
      <w:pPr>
        <w:pStyle w:val="LFARPara"/>
        <w:bidi/>
        <w:spacing w:before="120"/>
        <w:ind w:left="850" w:hanging="493"/>
        <w:rPr>
          <w:rFonts w:ascii="Arial" w:hAnsi="Arial" w:cs="Calibri"/>
          <w:rtl/>
        </w:rPr>
      </w:pPr>
      <w:r w:rsidRPr="0017699B">
        <w:rPr>
          <w:rFonts w:ascii="Arial" w:hAnsi="Arial" w:cs="Calibri" w:hint="cs"/>
          <w:rtl/>
        </w:rPr>
        <w:t>وأضافت الإدارة أن استعراض أداء البائعين للمتعهد سيجري رسميا في الأشهر المقبلة، وأن عقد الخدمات المهنية للشركة "أ" له هيكل حوكمة راسخ، بما في ذلك إنشاء عملية للرصد المنتظم للأداء وتصعيد المشاكل لحلها في الوقت المناسب. وهذا يعني أن مراجعة الأداء لا تتم على أساس سنوي فقط، بل يتم تناولها عند ظهور المشكلات.</w:t>
      </w:r>
    </w:p>
    <w:tbl>
      <w:tblPr>
        <w:bidiVisual/>
        <w:tblW w:w="8798" w:type="dxa"/>
        <w:tblInd w:w="279" w:type="dxa"/>
        <w:tblLook w:val="04A0" w:firstRow="1" w:lastRow="0" w:firstColumn="1" w:lastColumn="0" w:noHBand="0" w:noVBand="1"/>
      </w:tblPr>
      <w:tblGrid>
        <w:gridCol w:w="8798"/>
      </w:tblGrid>
      <w:tr w:rsidR="004321BD" w:rsidRPr="0017699B" w14:paraId="545BEEA3" w14:textId="77777777" w:rsidTr="006125ED">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AE8D9" w14:textId="77777777" w:rsidR="004321BD" w:rsidRPr="0017699B" w:rsidRDefault="2AEE73EA" w:rsidP="00177ECD">
            <w:pPr>
              <w:keepNext/>
              <w:tabs>
                <w:tab w:val="left" w:pos="567"/>
              </w:tabs>
              <w:bidi/>
              <w:spacing w:after="120" w:line="280" w:lineRule="exact"/>
              <w:ind w:left="215"/>
              <w:rPr>
                <w:rFonts w:eastAsia="Calibri" w:cs="Calibri"/>
                <w:b/>
                <w:bCs/>
                <w:rtl/>
              </w:rPr>
            </w:pPr>
            <w:r w:rsidRPr="0017699B">
              <w:rPr>
                <w:rFonts w:cs="Calibri" w:hint="cs"/>
                <w:b/>
                <w:bCs/>
                <w:rtl/>
              </w:rPr>
              <w:t>التوصية 4</w:t>
            </w:r>
          </w:p>
          <w:p w14:paraId="44F3B462" w14:textId="2B8641B9" w:rsidR="004321BD" w:rsidRPr="0017699B" w:rsidRDefault="001A6952" w:rsidP="00526F28">
            <w:pPr>
              <w:bidi/>
              <w:spacing w:after="120" w:line="280" w:lineRule="exact"/>
              <w:ind w:left="215"/>
              <w:jc w:val="both"/>
              <w:rPr>
                <w:rFonts w:eastAsia="Calibri" w:cs="Calibri"/>
                <w:rtl/>
              </w:rPr>
            </w:pPr>
            <w:r>
              <w:rPr>
                <w:rFonts w:cs="Calibri" w:hint="cs"/>
                <w:rtl/>
              </w:rPr>
              <w:t>ي</w:t>
            </w:r>
            <w:r w:rsidR="2AEE73EA" w:rsidRPr="0017699B">
              <w:rPr>
                <w:rFonts w:cs="Calibri" w:hint="cs"/>
                <w:rtl/>
              </w:rPr>
              <w:t xml:space="preserve">وصي </w:t>
            </w:r>
            <w:r w:rsidR="2AEE73EA" w:rsidRPr="0017699B">
              <w:rPr>
                <w:rFonts w:cs="Calibri"/>
              </w:rPr>
              <w:t>BPK</w:t>
            </w:r>
            <w:r w:rsidR="2AEE73EA" w:rsidRPr="0017699B">
              <w:rPr>
                <w:rFonts w:cs="Calibri" w:hint="cs"/>
                <w:rtl/>
              </w:rPr>
              <w:t xml:space="preserve"> بأن تكفل المنظمة وضع جميع العقود الاستراتيجية والحاسمة، بما في ذلك بطاقة الأداء الخاصة بموارد البرنامج الخاصة المكتملة في أقرب وقت ممكن في ملف لكل دورة مراجعة سنوية.</w:t>
            </w:r>
          </w:p>
        </w:tc>
      </w:tr>
      <w:tr w:rsidR="004321BD" w:rsidRPr="0017699B" w14:paraId="02612A0E" w14:textId="77777777" w:rsidTr="006125ED">
        <w:trPr>
          <w:trHeight w:val="70"/>
        </w:trPr>
        <w:tc>
          <w:tcPr>
            <w:tcW w:w="87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DED7A7" w14:textId="3CF9DFF9" w:rsidR="004321BD" w:rsidRPr="0017699B" w:rsidRDefault="007429E5" w:rsidP="007429E5">
            <w:pPr>
              <w:bidi/>
              <w:spacing w:before="120" w:after="120" w:line="280" w:lineRule="exact"/>
              <w:ind w:left="215"/>
              <w:rPr>
                <w:rFonts w:eastAsia="Calibri" w:cs="Calibri"/>
                <w:b/>
                <w:bCs/>
                <w:rtl/>
              </w:rPr>
            </w:pPr>
            <w:r w:rsidRPr="0017699B">
              <w:rPr>
                <w:rFonts w:cs="Calibri" w:hint="cs"/>
                <w:b/>
                <w:bCs/>
                <w:rtl/>
              </w:rPr>
              <w:t>رد الإدارة:</w:t>
            </w:r>
            <w:r w:rsidRPr="0017699B">
              <w:rPr>
                <w:rFonts w:cs="Calibri" w:hint="cs"/>
                <w:rtl/>
              </w:rPr>
              <w:t xml:space="preserve"> </w:t>
            </w:r>
          </w:p>
          <w:p w14:paraId="310405D9" w14:textId="15B23945" w:rsidR="004321BD" w:rsidRPr="0017699B" w:rsidRDefault="2AEE73EA" w:rsidP="00526F28">
            <w:pPr>
              <w:keepNext/>
              <w:tabs>
                <w:tab w:val="left" w:pos="567"/>
              </w:tabs>
              <w:bidi/>
              <w:spacing w:after="120" w:line="280" w:lineRule="exact"/>
              <w:ind w:left="215"/>
              <w:jc w:val="both"/>
              <w:rPr>
                <w:rFonts w:eastAsia="Calibri" w:cs="Calibri"/>
                <w:rtl/>
              </w:rPr>
            </w:pPr>
            <w:r w:rsidRPr="0017699B">
              <w:rPr>
                <w:rFonts w:cs="Calibri" w:hint="cs"/>
                <w:rtl/>
              </w:rPr>
              <w:t>توافق الإدارة على التوصية وتتوقع تنفيذها بحلول 31 ديسمبر 2026.</w:t>
            </w:r>
          </w:p>
        </w:tc>
      </w:tr>
    </w:tbl>
    <w:p w14:paraId="7EEC4E7F" w14:textId="085F795E" w:rsidR="0068650E" w:rsidRPr="0017699B" w:rsidRDefault="0068650E" w:rsidP="00FB6582">
      <w:pPr>
        <w:pStyle w:val="LFARPara"/>
        <w:numPr>
          <w:ilvl w:val="0"/>
          <w:numId w:val="0"/>
        </w:numPr>
        <w:spacing w:before="120"/>
        <w:ind w:left="786" w:hanging="360"/>
        <w:rPr>
          <w:rFonts w:ascii="Arial" w:hAnsi="Arial" w:cs="Calibri"/>
        </w:rPr>
      </w:pPr>
    </w:p>
    <w:p w14:paraId="6152A55F" w14:textId="160100DD" w:rsidR="00225515" w:rsidRPr="0017699B" w:rsidRDefault="00225515" w:rsidP="009957C8">
      <w:pPr>
        <w:pStyle w:val="Heading6"/>
        <w:bidi/>
        <w:spacing w:before="120" w:after="120" w:line="280" w:lineRule="exact"/>
        <w:ind w:left="350"/>
        <w:rPr>
          <w:rFonts w:ascii="Arial" w:hAnsi="Arial" w:cs="Calibri"/>
          <w:rtl/>
        </w:rPr>
      </w:pPr>
      <w:bookmarkStart w:id="157" w:name="_Toc227254962"/>
      <w:bookmarkStart w:id="158" w:name="_Toc227255015"/>
      <w:bookmarkStart w:id="159" w:name="_Toc227826035"/>
      <w:bookmarkStart w:id="160" w:name="_Toc230784729"/>
      <w:r w:rsidRPr="0017699B">
        <w:rPr>
          <w:rFonts w:ascii="Arial" w:hAnsi="Arial" w:cs="Calibri" w:hint="cs"/>
          <w:rtl/>
        </w:rPr>
        <w:t>تكنولوجيا المعلومات لإعداد التقارير المالية</w:t>
      </w:r>
      <w:bookmarkEnd w:id="157"/>
      <w:bookmarkEnd w:id="158"/>
      <w:bookmarkEnd w:id="159"/>
      <w:bookmarkEnd w:id="160"/>
    </w:p>
    <w:p w14:paraId="3A9F271F" w14:textId="6A44BEE5" w:rsidR="00225515" w:rsidRPr="0017699B" w:rsidRDefault="00225515" w:rsidP="009957C8">
      <w:pPr>
        <w:pStyle w:val="LFARPara"/>
        <w:bidi/>
        <w:spacing w:before="120"/>
        <w:ind w:left="850" w:hanging="493"/>
        <w:rPr>
          <w:rFonts w:ascii="Arial" w:hAnsi="Arial" w:cs="Calibri"/>
          <w:rtl/>
        </w:rPr>
      </w:pPr>
      <w:r w:rsidRPr="0017699B">
        <w:rPr>
          <w:rFonts w:ascii="Arial" w:hAnsi="Arial" w:cs="Calibri" w:hint="cs"/>
          <w:rtl/>
        </w:rPr>
        <w:t xml:space="preserve">دأبت الويبو على تطوير بنيتها التحتية لتكنولوجيا المعلومات باعتبارها العمود الفقري لعملياتها، بما في ذلك إعداد التقارير المالية. وقد عملت فرق تكنولوجيا المعلومات وفرق الشؤون المالية ذات الصلة بالتعاون الوثيق مع أصحاب الأعمال وأصحاب المصلحة في المشروع في تخطيط وتنفيذ مبادرات النظام، بما في ذلك تنفيذ نظام بيبول سوفت لإدارة المعلومات الإدارية والمالية وترابطه مع النظم الأخرى في الويبو، مثل نظام معاهدة التعاون بشأن البراءات. وتماشيًا مع هذه الجهود، حددت إدارة عمليات حفظ السلام فرصًا قيّمة لتعزيز بيئة الرقابة الحالية على تكنولوجيا المعلومات وتعزيز قدرات الويبو في مجال تكنولوجيا المعلومات. </w:t>
      </w:r>
      <w:r w:rsidR="00AD0F26">
        <w:rPr>
          <w:rFonts w:ascii="Arial" w:hAnsi="Arial" w:cs="Calibri" w:hint="cs"/>
          <w:rtl/>
        </w:rPr>
        <w:t>ي</w:t>
      </w:r>
      <w:r w:rsidRPr="0017699B">
        <w:rPr>
          <w:rFonts w:ascii="Arial" w:hAnsi="Arial" w:cs="Calibri" w:hint="cs"/>
          <w:rtl/>
        </w:rPr>
        <w:t xml:space="preserve">قدر </w:t>
      </w:r>
      <w:r w:rsidRPr="0017699B">
        <w:rPr>
          <w:rFonts w:ascii="Arial" w:hAnsi="Arial" w:cs="Calibri"/>
        </w:rPr>
        <w:t>BPK</w:t>
      </w:r>
      <w:r w:rsidRPr="0017699B">
        <w:rPr>
          <w:rFonts w:ascii="Arial" w:hAnsi="Arial" w:cs="Calibri" w:hint="cs"/>
          <w:rtl/>
        </w:rPr>
        <w:t xml:space="preserve"> فعالية ممارسات الشراء الحالية ولكنها تحدد مجالات التحسين وتقدم توصيات لتحسين العمليات الحالية.</w:t>
      </w:r>
    </w:p>
    <w:p w14:paraId="06ACA289" w14:textId="0AA6841D" w:rsidR="00225515" w:rsidRPr="0017699B" w:rsidRDefault="006125ED" w:rsidP="00BE31A8">
      <w:pPr>
        <w:pStyle w:val="Heading6"/>
        <w:bidi/>
        <w:spacing w:before="120" w:after="120" w:line="280" w:lineRule="exact"/>
        <w:ind w:left="378"/>
        <w:rPr>
          <w:rFonts w:ascii="Arial" w:hAnsi="Arial" w:cs="Calibri"/>
          <w:rtl/>
        </w:rPr>
      </w:pPr>
      <w:bookmarkStart w:id="161" w:name="_Toc227163667"/>
      <w:bookmarkStart w:id="162" w:name="_Toc227254963"/>
      <w:bookmarkStart w:id="163" w:name="_Toc227255016"/>
      <w:bookmarkStart w:id="164" w:name="_Toc227826036"/>
      <w:bookmarkStart w:id="165" w:name="_Toc230784730"/>
      <w:r w:rsidRPr="0017699B">
        <w:rPr>
          <w:rFonts w:ascii="Arial" w:hAnsi="Arial" w:cs="Calibri" w:hint="cs"/>
          <w:rtl/>
        </w:rPr>
        <w:t>تحسين عملية تبادل البيانات لنظام معاهدة التعاون بشأن البراءات ونظام إدارة المعلومات الإدارية المتكامل</w:t>
      </w:r>
      <w:bookmarkEnd w:id="161"/>
      <w:bookmarkEnd w:id="162"/>
      <w:bookmarkEnd w:id="163"/>
      <w:bookmarkEnd w:id="164"/>
      <w:bookmarkEnd w:id="165"/>
    </w:p>
    <w:p w14:paraId="4F7D8F71" w14:textId="2ABE5866" w:rsidR="009B7273" w:rsidRPr="0017699B" w:rsidRDefault="004066B4" w:rsidP="009957C8">
      <w:pPr>
        <w:pStyle w:val="LFARPara"/>
        <w:bidi/>
        <w:spacing w:before="120"/>
        <w:ind w:left="850" w:hanging="493"/>
        <w:rPr>
          <w:rFonts w:ascii="Arial" w:hAnsi="Arial" w:cs="Calibri"/>
          <w:rtl/>
        </w:rPr>
      </w:pPr>
      <w:r w:rsidRPr="0017699B">
        <w:rPr>
          <w:rFonts w:ascii="Arial" w:hAnsi="Arial" w:cs="Calibri" w:hint="cs"/>
          <w:rtl/>
        </w:rPr>
        <w:t xml:space="preserve">أظهرت البيانات المالية للويبو للسنة المنتهية في عام 2025 أن المنظمة حققت رسوم نظام معاهدة التعاون بشأن البراءات بلغت 371.3 مليون فرنك سويسري. تنطوي عملية المحاسبة الخاصة بالرسوم على عملية مبسطة من قسم خدمات معاهدة التعاون بشأن البراءات إلى قسم الشؤون المالية من خلال عملية واجهة البيانات، مما يؤدي إلى إعداد التقارير المالية. </w:t>
      </w:r>
    </w:p>
    <w:p w14:paraId="172C7E9D" w14:textId="26AEB4EB" w:rsidR="005359EE" w:rsidRPr="0017699B" w:rsidRDefault="009B7273" w:rsidP="009957C8">
      <w:pPr>
        <w:pStyle w:val="LFARPara"/>
        <w:bidi/>
        <w:spacing w:before="120"/>
        <w:ind w:left="850" w:hanging="493"/>
        <w:rPr>
          <w:rFonts w:ascii="Arial" w:hAnsi="Arial" w:cs="Calibri"/>
          <w:rtl/>
        </w:rPr>
      </w:pPr>
      <w:r w:rsidRPr="0017699B">
        <w:rPr>
          <w:rFonts w:ascii="Arial" w:hAnsi="Arial" w:cs="Calibri" w:hint="cs"/>
          <w:rtl/>
        </w:rPr>
        <w:t xml:space="preserve">في سبتمبر/أيلول 2025، طبقت المنظمة العالمية للويبو نظامًا جديدًا للتكامل بين الملف الإلكتروني ونظام إدارة المعلومات الإدارية المتكامل من خلال منصة تكامل مصممة لمزامنة البيانات عبر كلا النظامين وأتمتة سير عمل التعرف على الحسابات. قبل دمج النظام، كانت محاسبة الويبو لرسوم نظام معاهدة التعاون بشأن البراءات يدوية إلى حد كبير، وكان القيد الرئيسي في ذلك هو عدم القدرة على تتبع الطلبات المحددة لمعاهدة التعاون بشأن البراءات للطلبات الواردة من المكتب المتلقي. </w:t>
      </w:r>
    </w:p>
    <w:p w14:paraId="2A3D009C" w14:textId="7AAD1457" w:rsidR="00695549" w:rsidRPr="0017699B" w:rsidRDefault="004C01A2" w:rsidP="009957C8">
      <w:pPr>
        <w:pStyle w:val="LFARPara"/>
        <w:bidi/>
        <w:spacing w:before="120"/>
        <w:ind w:left="850" w:hanging="493"/>
        <w:rPr>
          <w:rFonts w:ascii="Arial" w:hAnsi="Arial" w:cs="Calibri"/>
          <w:rtl/>
        </w:rPr>
      </w:pPr>
      <w:r w:rsidRPr="0017699B">
        <w:rPr>
          <w:rFonts w:ascii="Arial" w:hAnsi="Arial" w:cs="Calibri" w:hint="cs"/>
          <w:rtl/>
        </w:rPr>
        <w:t xml:space="preserve">أظهر تحليل سجلات الواجهة البينية لتبادل البيانات بين معاهدة التعاون بشأن البراءات ونظام إدارة المعلومات الإدارية المتكامل في عام 2025 أنه تم تسجيل أخطاء في واجهة البيانات لعملية إعداد الفواتير وإنشاء القسائم واسترداد الأموال. أشارت الأخطاء إلى وجود عدم تطابق في إعداد الرموز المستخدمة بين نظامي </w:t>
      </w:r>
      <w:r w:rsidRPr="0017699B">
        <w:rPr>
          <w:rFonts w:ascii="Arial" w:hAnsi="Arial" w:cs="Calibri"/>
        </w:rPr>
        <w:t>PCT</w:t>
      </w:r>
      <w:r w:rsidRPr="0017699B">
        <w:rPr>
          <w:rFonts w:ascii="Arial" w:hAnsi="Arial" w:cs="Calibri" w:hint="cs"/>
          <w:rtl/>
        </w:rPr>
        <w:t xml:space="preserve"> و </w:t>
      </w:r>
      <w:r w:rsidRPr="0017699B">
        <w:rPr>
          <w:rFonts w:ascii="Arial" w:hAnsi="Arial" w:cs="Calibri"/>
        </w:rPr>
        <w:t>AIMS</w:t>
      </w:r>
      <w:r w:rsidRPr="0017699B">
        <w:rPr>
          <w:rFonts w:ascii="Arial" w:hAnsi="Arial" w:cs="Calibri" w:hint="cs"/>
          <w:rtl/>
        </w:rPr>
        <w:t xml:space="preserve"> في عدة مجالات، بما في ذلك رمز البلد ورمز العملة وما إلى ذلك، والتي تم حلها أو معالجتها لاحقًا من قبل الإدارة. فيما يتعلق بمعالجة استرداد الأموال، أشارت الأخطاء إلى وجود تأخر في مزامنة البيانات بين نظام معاهدة التعاون بشأن البراءات ونظام إدارة المعلومات الإدارية المتكامل، حيث تم تقديم طلبات الاسترداد قبل نشر تحديثات الرصيد المقابلة. ويرجع ذلك إلى اختلاف التوقيت، وقد تم إصدار طلب مفتوح مع الفريق الفني الداخلي المعني لمعالجة هذه المشكلة.</w:t>
      </w:r>
    </w:p>
    <w:p w14:paraId="376B7D06" w14:textId="737885D4" w:rsidR="00277396" w:rsidRPr="0017699B" w:rsidRDefault="00277396" w:rsidP="009957C8">
      <w:pPr>
        <w:pStyle w:val="LFARPara"/>
        <w:bidi/>
        <w:spacing w:before="120"/>
        <w:ind w:left="850" w:hanging="493"/>
        <w:rPr>
          <w:rFonts w:ascii="Arial" w:hAnsi="Arial" w:cs="Calibri"/>
          <w:color w:val="0D0D0D" w:themeColor="text1" w:themeTint="F2"/>
          <w:rtl/>
        </w:rPr>
      </w:pPr>
      <w:r w:rsidRPr="0017699B">
        <w:rPr>
          <w:rFonts w:ascii="Arial" w:hAnsi="Arial" w:cs="Calibri" w:hint="cs"/>
          <w:rtl/>
        </w:rPr>
        <w:t>وأشارت الإدارة إلى أن ظهور رموز الأخطاء يدل على أن نظام المراجعة ومنع التكرار يعمل وفقًا للتصميم المحدد.</w:t>
      </w:r>
      <w:r w:rsidRPr="0017699B">
        <w:rPr>
          <w:rFonts w:ascii="Arial" w:hAnsi="Arial" w:cs="Calibri" w:hint="cs"/>
          <w:color w:val="0D0D0D" w:themeColor="text1" w:themeTint="F2"/>
          <w:rtl/>
        </w:rPr>
        <w:t xml:space="preserve"> </w:t>
      </w:r>
      <w:r w:rsidRPr="0017699B">
        <w:rPr>
          <w:rFonts w:ascii="Arial" w:hAnsi="Arial" w:cs="Calibri" w:hint="cs"/>
          <w:rtl/>
        </w:rPr>
        <w:t xml:space="preserve">الأخطاء ليست عيوبًا، بل هي إجراء رقابي يهدف إلى التأكد من أن عملية إعداد العناصر والكيانات الجديدة في هذه الواجهة تسير على النحو المطلوب، ومن الممكن إجراء تحسينات على مراقبة رسائل الخطأ في المستقبل. </w:t>
      </w:r>
    </w:p>
    <w:p w14:paraId="4B286892" w14:textId="3427C697" w:rsidR="00225515" w:rsidRPr="0017699B" w:rsidRDefault="00225515" w:rsidP="009957C8">
      <w:pPr>
        <w:pStyle w:val="LFARPara"/>
        <w:bidi/>
        <w:spacing w:before="120"/>
        <w:ind w:left="850" w:hanging="493"/>
        <w:rPr>
          <w:rFonts w:ascii="Arial" w:hAnsi="Arial" w:cs="Calibri"/>
          <w:rtl/>
        </w:rPr>
      </w:pPr>
      <w:r w:rsidRPr="0017699B">
        <w:rPr>
          <w:rFonts w:ascii="Arial" w:hAnsi="Arial" w:cs="Calibri"/>
          <w:color w:val="0D0D0D" w:themeColor="text1" w:themeTint="F2"/>
        </w:rPr>
        <w:t>BPK</w:t>
      </w:r>
      <w:r w:rsidRPr="0017699B">
        <w:rPr>
          <w:rFonts w:ascii="Arial" w:hAnsi="Arial" w:cs="Calibri" w:hint="cs"/>
          <w:rtl/>
        </w:rPr>
        <w:t xml:space="preserve"> يقر بأن رموز الخطأ ضرورية للحفاظ على وظائف النظام. يمكن تحسين هذه الميزة من خلال آلية مراقبة وإشراف منظمة لتوفير تحديثات حول الإجراءات المتخذة لمعالجة الخطأ واستنتاج ما إذا كان الخطأ قد تم حله.</w:t>
      </w:r>
    </w:p>
    <w:tbl>
      <w:tblPr>
        <w:bidiVisual/>
        <w:tblW w:w="8664" w:type="dxa"/>
        <w:tblInd w:w="421" w:type="dxa"/>
        <w:tblLook w:val="04A0" w:firstRow="1" w:lastRow="0" w:firstColumn="1" w:lastColumn="0" w:noHBand="0" w:noVBand="1"/>
      </w:tblPr>
      <w:tblGrid>
        <w:gridCol w:w="8664"/>
      </w:tblGrid>
      <w:tr w:rsidR="00225515" w:rsidRPr="0017699B" w14:paraId="3604CAB8" w14:textId="77777777" w:rsidTr="002F07D8">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098AE" w14:textId="5F5D4616" w:rsidR="00225515" w:rsidRPr="0017699B" w:rsidRDefault="00225515" w:rsidP="00225515">
            <w:pPr>
              <w:keepNext/>
              <w:widowControl w:val="0"/>
              <w:tabs>
                <w:tab w:val="left" w:pos="567"/>
              </w:tabs>
              <w:autoSpaceDE w:val="0"/>
              <w:autoSpaceDN w:val="0"/>
              <w:bidi/>
              <w:spacing w:before="120" w:after="120" w:line="280" w:lineRule="exact"/>
              <w:ind w:left="216"/>
              <w:jc w:val="both"/>
              <w:rPr>
                <w:rFonts w:eastAsia="Calibri" w:cs="Calibri"/>
                <w:b/>
                <w:bCs/>
                <w:rtl/>
              </w:rPr>
            </w:pPr>
            <w:r w:rsidRPr="0017699B">
              <w:rPr>
                <w:rFonts w:cs="Calibri" w:hint="cs"/>
                <w:b/>
                <w:bCs/>
                <w:rtl/>
              </w:rPr>
              <w:t>التوصية 5</w:t>
            </w:r>
          </w:p>
          <w:p w14:paraId="112E3DC8" w14:textId="6C3F31D5" w:rsidR="00225515" w:rsidRPr="0017699B" w:rsidRDefault="170948EA" w:rsidP="00614F4C">
            <w:pPr>
              <w:widowControl w:val="0"/>
              <w:autoSpaceDE w:val="0"/>
              <w:autoSpaceDN w:val="0"/>
              <w:bidi/>
              <w:spacing w:before="120" w:after="120" w:line="280" w:lineRule="exact"/>
              <w:ind w:left="216"/>
              <w:jc w:val="both"/>
              <w:rPr>
                <w:rFonts w:eastAsia="Calibri" w:cs="Calibri"/>
                <w:rtl/>
              </w:rPr>
            </w:pPr>
            <w:r w:rsidRPr="0017699B">
              <w:rPr>
                <w:rFonts w:cs="Calibri" w:hint="cs"/>
                <w:rtl/>
              </w:rPr>
              <w:t xml:space="preserve">يوصي مجلس </w:t>
            </w:r>
            <w:r w:rsidRPr="0017699B">
              <w:rPr>
                <w:rFonts w:cs="Calibri"/>
              </w:rPr>
              <w:t>BPK</w:t>
            </w:r>
            <w:r w:rsidRPr="0017699B">
              <w:rPr>
                <w:rFonts w:cs="Calibri" w:hint="cs"/>
                <w:rtl/>
              </w:rPr>
              <w:t xml:space="preserve"> بأن تقوم المنظمة بتسوية تكوين توقيت المعالجة بين معاهدة التعاون بشأن البراءات ونظام إدارة المعلومات الإدارية المتكامل من خلال متابعة طلب التغيير المعلق، مع إيلاء الاعتبار الواجب لعمليات الأعمال المعمول بها.</w:t>
            </w:r>
          </w:p>
        </w:tc>
      </w:tr>
      <w:tr w:rsidR="00225515" w:rsidRPr="0017699B" w14:paraId="77F7CCE7" w14:textId="77777777" w:rsidTr="002F07D8">
        <w:trPr>
          <w:trHeight w:val="70"/>
        </w:trPr>
        <w:tc>
          <w:tcPr>
            <w:tcW w:w="86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E1BCFF" w14:textId="0B4E3A4C" w:rsidR="00225515" w:rsidRPr="0017699B" w:rsidRDefault="00507A28" w:rsidP="66DE4C64">
            <w:pPr>
              <w:widowControl w:val="0"/>
              <w:autoSpaceDE w:val="0"/>
              <w:autoSpaceDN w:val="0"/>
              <w:bidi/>
              <w:spacing w:before="120" w:after="120" w:line="280" w:lineRule="exact"/>
              <w:ind w:left="216"/>
              <w:jc w:val="both"/>
              <w:rPr>
                <w:rFonts w:eastAsia="Calibri" w:cs="Calibri"/>
                <w:b/>
                <w:bCs/>
                <w:rtl/>
              </w:rPr>
            </w:pPr>
            <w:r w:rsidRPr="0017699B">
              <w:rPr>
                <w:rFonts w:cs="Calibri" w:hint="cs"/>
                <w:b/>
                <w:bCs/>
                <w:rtl/>
              </w:rPr>
              <w:t>رد الإدارة:</w:t>
            </w:r>
            <w:r w:rsidRPr="0017699B">
              <w:rPr>
                <w:rFonts w:cs="Calibri" w:hint="cs"/>
                <w:rtl/>
              </w:rPr>
              <w:t xml:space="preserve"> </w:t>
            </w:r>
          </w:p>
          <w:p w14:paraId="235E693B" w14:textId="549C06B0" w:rsidR="00225515" w:rsidRPr="0017699B" w:rsidRDefault="00F01B98" w:rsidP="00225515">
            <w:pPr>
              <w:keepNext/>
              <w:widowControl w:val="0"/>
              <w:tabs>
                <w:tab w:val="left" w:pos="567"/>
              </w:tabs>
              <w:autoSpaceDE w:val="0"/>
              <w:autoSpaceDN w:val="0"/>
              <w:bidi/>
              <w:spacing w:before="120" w:after="120" w:line="280" w:lineRule="exact"/>
              <w:ind w:left="216"/>
              <w:jc w:val="both"/>
              <w:rPr>
                <w:rFonts w:eastAsia="Calibri" w:cs="Calibri"/>
                <w:rtl/>
              </w:rPr>
            </w:pPr>
            <w:r w:rsidRPr="0017699B">
              <w:rPr>
                <w:rFonts w:cs="Calibri" w:hint="cs"/>
                <w:rtl/>
              </w:rPr>
              <w:t>توافق الإدارة على التوصية وتتوقع تنفيذها بحلول 31 ديسمبر 2026.</w:t>
            </w:r>
          </w:p>
        </w:tc>
      </w:tr>
    </w:tbl>
    <w:p w14:paraId="015A293A" w14:textId="77777777" w:rsidR="004B109E" w:rsidRPr="0017699B" w:rsidRDefault="004B109E" w:rsidP="00061609">
      <w:pPr>
        <w:spacing w:before="120" w:after="120" w:line="280" w:lineRule="exact"/>
        <w:rPr>
          <w:rFonts w:cs="Calibri"/>
        </w:rPr>
      </w:pPr>
    </w:p>
    <w:p w14:paraId="4FEE4A27" w14:textId="08787039" w:rsidR="5C976A70" w:rsidRPr="0017699B" w:rsidRDefault="00507A28" w:rsidP="00BE31A8">
      <w:pPr>
        <w:pStyle w:val="Heading4"/>
        <w:bidi/>
        <w:spacing w:before="120" w:after="120" w:line="280" w:lineRule="exact"/>
        <w:ind w:left="378" w:hanging="378"/>
        <w:rPr>
          <w:rFonts w:ascii="Arial" w:hAnsi="Arial" w:cs="Calibri"/>
          <w:rtl/>
        </w:rPr>
      </w:pPr>
      <w:bookmarkStart w:id="166" w:name="_Toc227826037"/>
      <w:bookmarkStart w:id="167" w:name="_Toc230784731"/>
      <w:r w:rsidRPr="0017699B">
        <w:rPr>
          <w:rFonts w:ascii="Arial" w:hAnsi="Arial" w:cs="Calibri" w:hint="cs"/>
          <w:rtl/>
        </w:rPr>
        <w:t>مراجعة الأداء</w:t>
      </w:r>
      <w:bookmarkEnd w:id="166"/>
      <w:bookmarkEnd w:id="167"/>
    </w:p>
    <w:p w14:paraId="7F4800C1" w14:textId="74426E1D" w:rsidR="5C976A70" w:rsidRPr="0017699B" w:rsidRDefault="5C976A70" w:rsidP="00BE31A8">
      <w:pPr>
        <w:pStyle w:val="Heading5"/>
        <w:bidi/>
        <w:spacing w:before="120" w:after="120" w:line="280" w:lineRule="exact"/>
        <w:ind w:left="378"/>
        <w:rPr>
          <w:rFonts w:ascii="Arial" w:hAnsi="Arial" w:cs="Calibri"/>
          <w:rtl/>
        </w:rPr>
      </w:pPr>
      <w:bookmarkStart w:id="168" w:name="_Toc227826038"/>
      <w:bookmarkStart w:id="169" w:name="_Toc230784732"/>
      <w:r w:rsidRPr="0017699B">
        <w:rPr>
          <w:rFonts w:ascii="Arial" w:hAnsi="Arial" w:cs="Calibri" w:hint="cs"/>
          <w:rtl/>
        </w:rPr>
        <w:t>خاتمة التدقيق</w:t>
      </w:r>
      <w:bookmarkEnd w:id="168"/>
      <w:bookmarkEnd w:id="169"/>
    </w:p>
    <w:p w14:paraId="3269085A" w14:textId="6A5C39DF" w:rsidR="2CA52919" w:rsidRPr="0017699B" w:rsidRDefault="0059148A" w:rsidP="00061609">
      <w:pPr>
        <w:pStyle w:val="LFARPara"/>
        <w:bidi/>
        <w:spacing w:before="120"/>
        <w:ind w:left="850" w:hanging="493"/>
        <w:rPr>
          <w:rFonts w:ascii="Arial" w:hAnsi="Arial" w:cs="Calibri"/>
          <w:rtl/>
        </w:rPr>
      </w:pPr>
      <w:r w:rsidRPr="0017699B">
        <w:rPr>
          <w:rFonts w:ascii="Arial" w:hAnsi="Arial" w:cs="Calibri" w:hint="cs"/>
          <w:rtl/>
        </w:rPr>
        <w:t xml:space="preserve">في مراجعة الأداء السابقة، فحص مكتب مراجعة الأداء الركيزة 1 والركيزة 2 من الخطة الاستراتيجية المتوسطة الأجل للويبو 2022-2026. ولضمان الاستمرارية في الرقابة، ركز </w:t>
      </w:r>
      <w:r w:rsidRPr="0017699B">
        <w:rPr>
          <w:rFonts w:ascii="Arial" w:hAnsi="Arial" w:cs="Calibri"/>
        </w:rPr>
        <w:t>BPK</w:t>
      </w:r>
      <w:r w:rsidRPr="0017699B">
        <w:rPr>
          <w:rFonts w:ascii="Arial" w:hAnsi="Arial" w:cs="Calibri" w:hint="cs"/>
          <w:rtl/>
        </w:rPr>
        <w:t xml:space="preserve"> على مراجعة حسابات عام 2025 على الركيزة 3 من الخطة الاستراتيجية المتوسطة الأجل. تشدد هذه الركيزة على تعزيز خدمات الملكية الفكرية العالمية التي تقدمها الويبو لضمان بقائها فعالة وموثوقة ومستجيبة لاحتياجات المستخدمين. ويشمل تحسينات على أنظمة التسجيل الدولية للويبو - التي تغطي العلامات التجارية والبراءات والتصاميم الصناعية - بالإضافة إلى تحسينات على موارد بيانات الملكية الفكرية العالمية التي تدعم الابتكار وصنع السياسات القائمة على الأدلة. وتماشياً مع هذا التفويض، ركزت المراجعة على أداء سجل مدريد وقواعد البيانات العالمية.</w:t>
      </w:r>
    </w:p>
    <w:p w14:paraId="15BF2919" w14:textId="77777777" w:rsidR="00712B26" w:rsidRPr="0017699B" w:rsidRDefault="00712B26" w:rsidP="00352816">
      <w:pPr>
        <w:pStyle w:val="LFARPara"/>
        <w:bidi/>
        <w:spacing w:before="120"/>
        <w:ind w:left="850" w:hanging="493"/>
        <w:rPr>
          <w:rFonts w:ascii="Arial" w:hAnsi="Arial" w:cs="Calibri"/>
          <w:rtl/>
        </w:rPr>
      </w:pPr>
      <w:r w:rsidRPr="0017699B">
        <w:rPr>
          <w:rFonts w:ascii="Arial" w:hAnsi="Arial" w:cs="Calibri" w:hint="cs"/>
          <w:rtl/>
        </w:rPr>
        <w:t xml:space="preserve">وتستخدم المنظمة العالمية للويبو إطار الإدارة القائمة على النتائج لتوجيه تقديم خدماتها العالمية في مجال الملكية الفكرية، بما في ذلك الخدمات التي تدار من خلال سجل مدريد وقواعد البيانات العالمية. وبموجب هذا الإطار، يدير سجل مدريد عملية تسجيل العلامات التجارية الدولية من البداية إلى النهاية، بما يشمل استلام وفحص الطلبات المقدمة من مكاتب المنشأ، وتسجيل التسجيلات الدولية ونشرها، وإخطار الأطراف المتعاقدة المعينة، ومعالجة التسميات اللاحقة والتجديدات والتعديلات والتغييرات الأخرى التي تؤثر على العلامات المسجلة. </w:t>
      </w:r>
    </w:p>
    <w:p w14:paraId="45914A72" w14:textId="57624B5D" w:rsidR="00712B26" w:rsidRPr="0017699B" w:rsidRDefault="00662CC7" w:rsidP="00352816">
      <w:pPr>
        <w:pStyle w:val="LFARPara"/>
        <w:bidi/>
        <w:spacing w:before="120"/>
        <w:ind w:left="850" w:hanging="493"/>
        <w:rPr>
          <w:rFonts w:ascii="Arial" w:hAnsi="Arial" w:cs="Calibri"/>
          <w:rtl/>
        </w:rPr>
      </w:pPr>
      <w:r w:rsidRPr="0017699B">
        <w:rPr>
          <w:rFonts w:ascii="Arial" w:hAnsi="Arial" w:cs="Calibri" w:hint="cs"/>
          <w:rtl/>
        </w:rPr>
        <w:t>وتوفر قواعد البيانات العالمية - التي تضم قاعدة بيانات براءات الاختراع وقاعدة بيانات العلامات التجارية العالمية وقاعدة بيانات التصاميم العالمية - مستودعات متاحة للجمهور تجمع معلومات براءات الاختراع والعلامات التجارية والتصاميم من المكاتب الوطنية والإقليمية للملكية الفكرية في جميع أنحاء العالم. وتدعم قواعد البيانات هذه مجموعة واسعة من وظائف البحث والتحليل، مما يتيح للمستخدمين الوصول إلى معلومات الملكية الفكرية العالمية من خلال حقول بحث متعددة، بما في ذلك الكلمات المفتاحية والأسماء والأرقام والتصنيفات والتواريخ وتفاصيل الأولوية. وتمثل هذه الخدمات مجتمعةً عنصراً أساسياً من عناصر ولاية الويبو في إطار الركيزة الاستراتيجية 3، وهي توفير خدمات ومعارف وبيانات عالية الجودة في مجال الملكية الفكرية للمستخدمين في جميع أنحاء العالم.</w:t>
      </w:r>
    </w:p>
    <w:p w14:paraId="0E59F7E0" w14:textId="519F1C88" w:rsidR="2CA52919" w:rsidRPr="0017699B" w:rsidRDefault="2CA52919" w:rsidP="00352816">
      <w:pPr>
        <w:pStyle w:val="LFARPara"/>
        <w:bidi/>
        <w:spacing w:before="120"/>
        <w:ind w:left="850" w:hanging="493"/>
        <w:rPr>
          <w:rFonts w:ascii="Arial" w:hAnsi="Arial" w:cs="Calibri"/>
          <w:rtl/>
        </w:rPr>
      </w:pPr>
      <w:r w:rsidRPr="0017699B">
        <w:rPr>
          <w:rFonts w:ascii="Arial" w:hAnsi="Arial" w:cs="Calibri" w:hint="cs"/>
          <w:rtl/>
        </w:rPr>
        <w:t>وخلصت المراجعة إلى أن الويبو قد أدارت نظام مدريد وقواعد البيانات العالمية بفعالية في تحسين جودة خدماتها وسهولة الوصول إليها لأصحاب المصلحة خلال الفترة التي خضعت للمراجعة. يوفر نظام مدريد آلية مركزية لتسجيل العلامات التجارية الدولية مع تغطية عالمية واسعة، وتحسين توقيت المعالجة وزيادة الكفاءة التشغيلية من خلال الأتمتة والرقمنة. وفي موازاة ذلك، تعمل قواعد البيانات العالمية كمستودعات شاملة ومتعددة الاختصاصات القضائية تعزز الشفافية وتدعم اتخاذ القرارات المستنيرة وتسهل الوصول إلى معلومات الملكية الفكرية في جميع أنحاء العالم.</w:t>
      </w:r>
    </w:p>
    <w:p w14:paraId="1E28FD05" w14:textId="3F40D3FA" w:rsidR="1D20BE29" w:rsidRPr="0017699B" w:rsidRDefault="2CA52919" w:rsidP="00352816">
      <w:pPr>
        <w:pStyle w:val="LFARPara"/>
        <w:bidi/>
        <w:spacing w:before="120"/>
        <w:ind w:left="850" w:hanging="493"/>
        <w:rPr>
          <w:rFonts w:ascii="Arial" w:hAnsi="Arial" w:cs="Calibri"/>
          <w:rtl/>
        </w:rPr>
      </w:pPr>
      <w:r w:rsidRPr="0017699B">
        <w:rPr>
          <w:rFonts w:ascii="Arial" w:hAnsi="Arial" w:cs="Calibri" w:hint="cs"/>
          <w:rtl/>
        </w:rPr>
        <w:t>ومع ذلك، حددت المراجعة مجالات للتحسين من أجل تعزيز فعالية واستدامة خدمات الويبو العالمية للملكية الفكرية على المدى الطويل.</w:t>
      </w:r>
    </w:p>
    <w:p w14:paraId="7C1FBD01" w14:textId="2AA62159" w:rsidR="5F3E43ED" w:rsidRPr="0017699B" w:rsidRDefault="5C976A70" w:rsidP="00BE31A8">
      <w:pPr>
        <w:pStyle w:val="Heading5"/>
        <w:bidi/>
        <w:spacing w:before="120" w:after="120" w:line="280" w:lineRule="exact"/>
        <w:ind w:left="392"/>
        <w:rPr>
          <w:rFonts w:ascii="Arial" w:hAnsi="Arial" w:cs="Calibri"/>
          <w:rtl/>
        </w:rPr>
      </w:pPr>
      <w:bookmarkStart w:id="170" w:name="_Toc227826039"/>
      <w:bookmarkStart w:id="171" w:name="_Toc230784733"/>
      <w:r w:rsidRPr="0017699B">
        <w:rPr>
          <w:rFonts w:ascii="Arial" w:hAnsi="Arial" w:cs="Calibri" w:hint="cs"/>
          <w:rtl/>
        </w:rPr>
        <w:t>الاستنتاجات والتوصيات</w:t>
      </w:r>
      <w:bookmarkEnd w:id="170"/>
      <w:bookmarkEnd w:id="171"/>
    </w:p>
    <w:p w14:paraId="2BD3B5A8" w14:textId="20B940C7" w:rsidR="11E205B5" w:rsidRPr="0017699B" w:rsidRDefault="11E205B5" w:rsidP="002F07D8">
      <w:pPr>
        <w:pStyle w:val="Heading5"/>
        <w:bidi/>
        <w:spacing w:before="120" w:after="120" w:line="280" w:lineRule="exact"/>
        <w:ind w:left="392"/>
        <w:rPr>
          <w:rFonts w:ascii="Arial" w:hAnsi="Arial" w:cs="Calibri"/>
          <w:rtl/>
        </w:rPr>
      </w:pPr>
      <w:bookmarkStart w:id="172" w:name="_Toc227826040"/>
      <w:bookmarkStart w:id="173" w:name="_Toc230784734"/>
      <w:r w:rsidRPr="0017699B">
        <w:rPr>
          <w:rFonts w:ascii="Arial" w:hAnsi="Arial" w:cs="Calibri" w:hint="cs"/>
          <w:rtl/>
        </w:rPr>
        <w:t>سجل مدريد</w:t>
      </w:r>
      <w:bookmarkEnd w:id="172"/>
      <w:bookmarkEnd w:id="173"/>
    </w:p>
    <w:p w14:paraId="17EB0957" w14:textId="0CEC8E4B" w:rsidR="7A78B0F2" w:rsidRPr="0017699B" w:rsidRDefault="7A78B0F2" w:rsidP="00352816">
      <w:pPr>
        <w:pStyle w:val="LFARPara"/>
        <w:bidi/>
        <w:spacing w:before="120"/>
        <w:ind w:left="850" w:hanging="493"/>
        <w:rPr>
          <w:rFonts w:ascii="Arial" w:hAnsi="Arial" w:cs="Calibri"/>
          <w:rtl/>
        </w:rPr>
      </w:pPr>
      <w:r w:rsidRPr="0017699B">
        <w:rPr>
          <w:rFonts w:ascii="Arial" w:hAnsi="Arial" w:cs="Calibri" w:hint="cs"/>
          <w:rtl/>
        </w:rPr>
        <w:t>تدير الويبو سجل مدريد، وهو بمثابة الهيئة المركزية المسؤولة عن إدارة تسجيلات العلامات التجارية الدولية في إطار نظام مدريد. يفحص سجل مدريد الطلبات الواردة من مكاتب المنشأ، ويسجل التسجيلات الدولية، وينشرها في جريدة الويبو للعلامات الدولية، ويخطر الأطراف المتعاقدة المعينة. كما أنها تعالج التعيينات اللاحقة والتجديدات والتقييدات والتحويلات والتغييرات الأخرى التي تؤثر على التسجيلات الدولية. من خلال هذه الآلية المركزية، يمكن لمالكي العلامات التجارية التماس الحماية في ولايات قضائية متعددة من خلال تقديم طلب دولي واحد بلغة واحدة ودفع مجموعة واحدة من الرسوم.</w:t>
      </w:r>
    </w:p>
    <w:p w14:paraId="287D3C70" w14:textId="29DE9D9B" w:rsidR="7A78B0F2" w:rsidRPr="0017699B" w:rsidRDefault="7A78B0F2" w:rsidP="00352816">
      <w:pPr>
        <w:pStyle w:val="LFARPara"/>
        <w:bidi/>
        <w:spacing w:before="120"/>
        <w:ind w:left="850" w:hanging="493"/>
        <w:rPr>
          <w:rFonts w:ascii="Arial" w:hAnsi="Arial" w:cs="Calibri"/>
          <w:rtl/>
        </w:rPr>
      </w:pPr>
      <w:r w:rsidRPr="0017699B">
        <w:rPr>
          <w:rFonts w:ascii="Arial" w:hAnsi="Arial" w:cs="Calibri" w:hint="cs"/>
          <w:rtl/>
        </w:rPr>
        <w:t>تحكم نظام مدريد معاهدتان: اتفاقية مدريد بشأن التسجيل الدولي للعلامات (اتفاقية مدريد) والبروتوكول المتعلق باتفاقية مدريد بشأن التسجيل الدولي للعلامات (بروتوكول مدريد). أنشأت اتفاقية مدريد، التي اعتُمدت في عام 1891، الإطار الأصلي للتسجيل الدولي للعلامات، وذلك في المقام الأول بين مجموعة محدودة من البلدان. وقد أدخل بروتوكول مدريد، الذي اعتُمد في عام 1989، أحكاماً أكثر مرونة - مثل إمكانية تأسيس طلب دولي على طلب وطني (وليس فقط تسجيل)، وفترات رفض أطول، وخيار الرسوم الفردية - مما يجعل النظام أكثر جاذبية لمجموعة أوسع من البلدان. واليوم، أصبح جميع الأعضاء أطرافاً في بروتوكول مدريد، الذي أصبح المعاهدة التنفيذية الوحيدة داخل المنظومة.</w:t>
      </w:r>
    </w:p>
    <w:p w14:paraId="7DFA9954" w14:textId="49B52C68" w:rsidR="7A78B0F2" w:rsidRPr="0017699B" w:rsidRDefault="7A78B0F2" w:rsidP="00352816">
      <w:pPr>
        <w:pStyle w:val="LFARPara"/>
        <w:bidi/>
        <w:spacing w:before="120"/>
        <w:ind w:left="850" w:hanging="493"/>
        <w:rPr>
          <w:rFonts w:ascii="Arial" w:eastAsiaTheme="minorEastAsia" w:hAnsi="Arial" w:cs="Calibri"/>
          <w:rtl/>
        </w:rPr>
      </w:pPr>
      <w:r w:rsidRPr="0017699B">
        <w:rPr>
          <w:rFonts w:ascii="Arial" w:hAnsi="Arial" w:cs="Calibri" w:hint="cs"/>
          <w:rtl/>
        </w:rPr>
        <w:t>ويعمل سجل مدريد من خلال سير عمل رقمي للغاية تدعمه منصات تكنولوجيا المعلومات التابعة للويبو، بما في ذلك الإيداع الإلكتروني في مدريد، ومرصد مدريد، وبوابة مكتب مدريد، وبوابة مدريد الإلكترونية، ونظام مدريد لمعلومات التسجيلات الدولية (</w:t>
      </w:r>
      <w:r w:rsidRPr="0017699B">
        <w:rPr>
          <w:rFonts w:ascii="Arial" w:hAnsi="Arial" w:cs="Calibri"/>
        </w:rPr>
        <w:t>MIRIS</w:t>
      </w:r>
      <w:r w:rsidRPr="0017699B">
        <w:rPr>
          <w:rFonts w:ascii="Arial" w:hAnsi="Arial" w:cs="Calibri" w:hint="cs"/>
          <w:rtl/>
        </w:rPr>
        <w:t>). يفحص سجل مدريد الطلبات المرسلة إلكترونياً من المكاتب الوطنية أو الإقليمية للملكية الفكرية. وفي حال الامتثال، يتم تسجيل العلامة في السجل الدولي ونشرها، وبعد ذلك تقوم المكاتب المعينة بإجراء الفحوصات الموضوعية وفقاً لقوانينها المحلية. ويعتمد النظام على اتصالات إلكترونية موحدة وقواعد بيانات مركزية لضمان الكفاءة والشفافية وتتبع الحالة في الوقت الفعلي لمقدمي الطلبات والمكاتب في جميع أنحاء العالم.</w:t>
      </w:r>
    </w:p>
    <w:p w14:paraId="3693EB22" w14:textId="5B300A91" w:rsidR="47F2A432" w:rsidRPr="0017699B" w:rsidRDefault="7A78B0F2" w:rsidP="00352816">
      <w:pPr>
        <w:pStyle w:val="LFARPara"/>
        <w:bidi/>
        <w:spacing w:before="120"/>
        <w:ind w:left="850" w:hanging="493"/>
        <w:rPr>
          <w:rFonts w:ascii="Arial" w:hAnsi="Arial" w:cs="Calibri"/>
          <w:rtl/>
        </w:rPr>
      </w:pPr>
      <w:r w:rsidRPr="0017699B">
        <w:rPr>
          <w:rFonts w:ascii="Arial" w:hAnsi="Arial" w:cs="Calibri" w:hint="cs"/>
          <w:rtl/>
        </w:rPr>
        <w:t>على مر السنين، استمر نظام مدريد في تقديم قيمة كبيرة لكل من المستخدمين ومكاتب الملكية الفكرية الوطنية. يوفر عملية مركزية وفعالة من حيث التكلفة ومبسطة لحماية العلامات التجارية الدولية. وتشكل نقاط القوة هذه أساسًا متينًا يمكن البناء عليه لإدخال المزيد من التحسينات، لا سيما مع استمرار نمو الطلب على الحماية الدولية للعلامات التجارية. ومع ذلك، واستناداً إلى تحليل وثائق التخطيط والمقابلات التي أجريت مع إدارة الويبو، حددت المراجعة فرص التحسين في مجالات تكنولوجيا المعلومات ومؤشرات الأداء والمنشورات في نظام مدريد على النحو التالي</w:t>
      </w:r>
    </w:p>
    <w:p w14:paraId="49669E22" w14:textId="06349C27" w:rsidR="35F7566F" w:rsidRPr="0017699B" w:rsidRDefault="00507A28" w:rsidP="00BE31A8">
      <w:pPr>
        <w:pStyle w:val="Heading6"/>
        <w:bidi/>
        <w:spacing w:before="120" w:after="120" w:line="280" w:lineRule="exact"/>
        <w:ind w:left="378"/>
        <w:rPr>
          <w:rFonts w:ascii="Arial" w:hAnsi="Arial" w:cs="Calibri"/>
          <w:rtl/>
        </w:rPr>
      </w:pPr>
      <w:bookmarkStart w:id="174" w:name="_Toc227826041"/>
      <w:bookmarkStart w:id="175" w:name="_Toc230784735"/>
      <w:r w:rsidRPr="0017699B">
        <w:rPr>
          <w:rFonts w:ascii="Arial" w:hAnsi="Arial" w:cs="Calibri" w:hint="cs"/>
          <w:rtl/>
        </w:rPr>
        <w:t>ضمان التكامل بين نظام السجل في مدريد ونظام شعبة الشؤون المالية</w:t>
      </w:r>
      <w:bookmarkEnd w:id="174"/>
      <w:bookmarkEnd w:id="175"/>
    </w:p>
    <w:p w14:paraId="3254DC4A" w14:textId="7371D7CC" w:rsidR="60F71FD8" w:rsidRPr="0017699B" w:rsidRDefault="3DB24394" w:rsidP="00352816">
      <w:pPr>
        <w:pStyle w:val="LFARPara"/>
        <w:bidi/>
        <w:spacing w:before="120"/>
        <w:ind w:left="850" w:hanging="493"/>
        <w:rPr>
          <w:rFonts w:ascii="Arial" w:hAnsi="Arial" w:cs="Calibri"/>
          <w:rtl/>
        </w:rPr>
      </w:pPr>
      <w:r w:rsidRPr="0017699B">
        <w:rPr>
          <w:rFonts w:ascii="Arial" w:hAnsi="Arial" w:cs="Calibri" w:hint="cs"/>
          <w:rtl/>
        </w:rPr>
        <w:t xml:space="preserve">نظام </w:t>
      </w:r>
      <w:r w:rsidRPr="0017699B">
        <w:rPr>
          <w:rFonts w:ascii="Arial" w:hAnsi="Arial" w:cs="Calibri"/>
        </w:rPr>
        <w:t>MIRIS</w:t>
      </w:r>
      <w:r w:rsidRPr="0017699B">
        <w:rPr>
          <w:rFonts w:ascii="Arial" w:hAnsi="Arial" w:cs="Calibri" w:hint="cs"/>
          <w:rtl/>
        </w:rPr>
        <w:t xml:space="preserve">، الذي تم نشره منذ عام 2016، هو تطبيق يُستخدم في سجل مدريد لدعم عملية تقديم طلبات العلامات التجارية الدولية وتسجيلها. يقوم نظام </w:t>
      </w:r>
      <w:r w:rsidRPr="0017699B">
        <w:rPr>
          <w:rFonts w:ascii="Arial" w:hAnsi="Arial" w:cs="Calibri"/>
        </w:rPr>
        <w:t>MIRIS</w:t>
      </w:r>
      <w:r w:rsidRPr="0017699B">
        <w:rPr>
          <w:rFonts w:ascii="Arial" w:hAnsi="Arial" w:cs="Calibri" w:hint="cs"/>
          <w:rtl/>
        </w:rPr>
        <w:t xml:space="preserve"> بمعالجة بيانات الطلبات ويعمل بمثابة العمود الفقري لسير عمل الفحص والإخطار بالمخالفات والنشر في نظام مدريد. </w:t>
      </w:r>
    </w:p>
    <w:p w14:paraId="54BBE8CF" w14:textId="05D8EF15" w:rsidR="60F71FD8" w:rsidRPr="0017699B" w:rsidRDefault="3DB24394" w:rsidP="00352816">
      <w:pPr>
        <w:pStyle w:val="LFARPara"/>
        <w:bidi/>
        <w:spacing w:before="120"/>
        <w:ind w:left="850" w:hanging="493"/>
        <w:rPr>
          <w:rFonts w:ascii="Arial" w:hAnsi="Arial" w:cs="Calibri"/>
          <w:rtl/>
        </w:rPr>
      </w:pPr>
      <w:r w:rsidRPr="0017699B">
        <w:rPr>
          <w:rFonts w:ascii="Arial" w:hAnsi="Arial" w:cs="Calibri" w:hint="cs"/>
          <w:rtl/>
        </w:rPr>
        <w:t xml:space="preserve">وفي موازاة ذلك، تُدار العمليات المالية للويبو من خلال نظام تخطيط موارد المؤسسة، أي نظام إدارة المعلومات الإدارية المتكامل، الذي أُطلق في عام 2011. يدعم نظام إدارة المعلومات الإدارية المتكامل وظائف الإدارة المالية للويبو، من تحصيل الرسوم ومعالجة المدفوعات (بما في ذلك الحساب الجاري وبطاقات الائتمان والتحويلات المصرفية) والمحاسبة. </w:t>
      </w:r>
    </w:p>
    <w:p w14:paraId="5995CF4F" w14:textId="3EB5D4E1" w:rsidR="60F71FD8" w:rsidRPr="0017699B" w:rsidRDefault="3DB24394" w:rsidP="00352816">
      <w:pPr>
        <w:pStyle w:val="LFARPara"/>
        <w:bidi/>
        <w:spacing w:before="120"/>
        <w:ind w:left="850" w:hanging="493"/>
        <w:rPr>
          <w:rFonts w:ascii="Arial" w:hAnsi="Arial" w:cs="Calibri"/>
          <w:rtl/>
        </w:rPr>
      </w:pPr>
      <w:r w:rsidRPr="0017699B">
        <w:rPr>
          <w:rFonts w:ascii="Arial" w:hAnsi="Arial" w:cs="Calibri" w:hint="cs"/>
          <w:rtl/>
        </w:rPr>
        <w:t xml:space="preserve">يخدم كل من </w:t>
      </w:r>
      <w:r w:rsidRPr="0017699B">
        <w:rPr>
          <w:rFonts w:ascii="Arial" w:hAnsi="Arial" w:cs="Calibri"/>
        </w:rPr>
        <w:t>MIRIS</w:t>
      </w:r>
      <w:r w:rsidRPr="0017699B">
        <w:rPr>
          <w:rFonts w:ascii="Arial" w:hAnsi="Arial" w:cs="Calibri" w:hint="cs"/>
          <w:rtl/>
        </w:rPr>
        <w:t xml:space="preserve"> و </w:t>
      </w:r>
      <w:r w:rsidRPr="0017699B">
        <w:rPr>
          <w:rFonts w:ascii="Arial" w:hAnsi="Arial" w:cs="Calibri"/>
        </w:rPr>
        <w:t>AIMS</w:t>
      </w:r>
      <w:r w:rsidRPr="0017699B">
        <w:rPr>
          <w:rFonts w:ascii="Arial" w:hAnsi="Arial" w:cs="Calibri" w:hint="cs"/>
          <w:rtl/>
        </w:rPr>
        <w:t xml:space="preserve"> وظائف أساسية مختلفة. يركز نظام المعلومات الإدارية المتكامل في المقام الأول على الإدارة التشغيلية في نظام مدريد، بينما يركز نظام المعلومات الإدارية المتكامل بشكل أكبر على الجوانب المالية والمحاسبية لدعم شعبة الشؤون المالية. ومن الناحية العملية، فإن كلا النظامين مترابطان من الناحية التشغيلية، حيث أن معظم معاملات طلبات العلامات التجارية الدولية ومعاملات التسجيل في نظام معلومات تسجيل العلامات التجارية الدولية مرتبطة بالرسوم (مثل إيداع الطلب أو تجديده)، بينما يتولى نظام إدارة معلومات العلامات التجارية الدولية الجوانب المالية للمعاملة (مثل الإيرادات والمدفوعات والمبالغ المستردة). </w:t>
      </w:r>
    </w:p>
    <w:p w14:paraId="5DB5EE44" w14:textId="1E643247" w:rsidR="46C16E5E" w:rsidRPr="0017699B" w:rsidRDefault="3DB24394" w:rsidP="00352816">
      <w:pPr>
        <w:pStyle w:val="LFARPara"/>
        <w:bidi/>
        <w:spacing w:before="120"/>
        <w:ind w:left="850" w:hanging="493"/>
        <w:rPr>
          <w:rFonts w:ascii="Arial" w:eastAsiaTheme="minorEastAsia" w:hAnsi="Arial" w:cs="Calibri"/>
          <w:rtl/>
        </w:rPr>
      </w:pPr>
      <w:r w:rsidRPr="0017699B">
        <w:rPr>
          <w:rFonts w:ascii="Arial" w:hAnsi="Arial" w:cs="Calibri" w:hint="cs"/>
          <w:rtl/>
        </w:rPr>
        <w:t xml:space="preserve">بالإضافة إلى ذلك، يجب الربط بين النظامين، على سبيل المثال، فيما يتعلق بعملية التخلي في سجل مدريد واسترداد المدفوعات في قسم الشؤون المالية. يُعتبر الطلب أو الطلب الدولي المقدم بموجب نظام مدريد مهجورًا إذا لم يتم معالجة المخالفات التي أبلغ بها المكتب الدولي في غضون المهلة الزمنية المحددة، أو إذا لم يتم دفع الرسوم المطلوبة. عندما يتم التخلي عن الطلب، يتم استرداد الرسوم التي دفعها مقدم الطلب بعد خصم مبلغ معين من المال. </w:t>
      </w:r>
    </w:p>
    <w:p w14:paraId="1290FF5C" w14:textId="44155862" w:rsidR="60F71FD8" w:rsidRPr="0017699B" w:rsidRDefault="00507A28" w:rsidP="00352816">
      <w:pPr>
        <w:pStyle w:val="LFARPara"/>
        <w:bidi/>
        <w:spacing w:before="120"/>
        <w:ind w:left="850" w:hanging="493"/>
        <w:rPr>
          <w:rFonts w:ascii="Arial" w:eastAsiaTheme="minorEastAsia" w:hAnsi="Arial" w:cs="Calibri"/>
          <w:rtl/>
        </w:rPr>
      </w:pPr>
      <w:r w:rsidRPr="0017699B">
        <w:rPr>
          <w:rFonts w:ascii="Arial" w:hAnsi="Arial" w:cs="Calibri" w:hint="cs"/>
          <w:rtl/>
        </w:rPr>
        <w:t>وجدت المراجعة أنه لم ينتج عن جميع الطلبات أو الطلبات المتروكة استرداد الأموال. لا يسري استرداد الأموال على الطلبات أو الطلبات التي لم تُدفع عنها رسوم أو تلك الطلبات التي لم تُدفع عنها رسوم. لم تكن هناك آلية مباشرة بين نظام المعلومات الإدارية المتكامل ونظام المعلومات الإدارية المتكامل لتتبع الطلبات والطلبات المتروكة في نظام مدريد ودفع المبالغ المستردة في نظام التمويل. قامت المنظمة بإجراء تسوية شهرية وغير متزامنة بين النظامين عبر آلية تبادل الملفات. زادت هذه الآلية اليدوية وغير المباشرة لتبادل البيانات من مخاطر التناقضات والتأخير في تحديد المعاملات غير المتطابقة بين الطلبات المتروكة والمبالغ المستردة ذات الصلة.</w:t>
      </w:r>
    </w:p>
    <w:p w14:paraId="7D2FCB64" w14:textId="5D12E83D" w:rsidR="60F71FD8" w:rsidRPr="0017699B" w:rsidRDefault="3DB24394" w:rsidP="00352816">
      <w:pPr>
        <w:pStyle w:val="LFARPara"/>
        <w:bidi/>
        <w:spacing w:before="120"/>
        <w:ind w:left="850" w:hanging="493"/>
        <w:rPr>
          <w:rFonts w:ascii="Arial" w:eastAsiaTheme="minorEastAsia" w:hAnsi="Arial" w:cs="Calibri"/>
          <w:rtl/>
        </w:rPr>
      </w:pPr>
      <w:r w:rsidRPr="0017699B">
        <w:rPr>
          <w:rFonts w:ascii="Arial" w:hAnsi="Arial" w:cs="Calibri" w:hint="cs"/>
          <w:rtl/>
        </w:rPr>
        <w:t xml:space="preserve">يستخدم كلا النظامين النظام القديم. يعمل سجل مدريد وشعبة الشؤون المالية على تحديث الأنظمة بالتوازي منذ نهاية عام 2025، حيث تركز المرحلة الحالية على تطوير نظام المكاتب الخلفية. لقد كانت هناك بعض المقاربات والمناقشات لتحسين المواءمة بين هذين النظامين، لكنها لا تزال في المراحل الأولى. </w:t>
      </w:r>
    </w:p>
    <w:p w14:paraId="09E3619F" w14:textId="3CE3A8B4" w:rsidR="60F71FD8" w:rsidRPr="0017699B" w:rsidRDefault="3DB24394" w:rsidP="00352816">
      <w:pPr>
        <w:pStyle w:val="LFARPara"/>
        <w:bidi/>
        <w:spacing w:before="120"/>
        <w:ind w:left="850" w:hanging="493"/>
        <w:rPr>
          <w:rFonts w:ascii="Arial" w:hAnsi="Arial" w:cs="Calibri"/>
          <w:rtl/>
        </w:rPr>
      </w:pPr>
      <w:r w:rsidRPr="0017699B">
        <w:rPr>
          <w:rFonts w:ascii="Arial" w:hAnsi="Arial" w:cs="Calibri" w:hint="cs"/>
          <w:rtl/>
        </w:rPr>
        <w:t>هناك حاجة إلى أنظمة متكاملة ومترابطة في سجل مدريد وقسم الشؤون المالية. وينبغي أن يكون نظام سجل مدريد قادراً على تتبع التقدم الكامل لعملية تقديم طلبات العلامات التجارية الدولية، بما في ذلك الجوانب المالية في جميع المراحل (على سبيل المثال، الإيرادات من الطلبات الأولية والتجديدات، وحساب رسوم الإخطارات بالمخالفات، والمبالغ المستردة في حالة التخلي عن الطلبات)، في حين ينبغي أن يراقب نظام إدارة المعلومات الإدارية المتكاملة عملية سجل مدريد، والتي لها تأثير على الإدارة المالية.</w:t>
      </w:r>
    </w:p>
    <w:p w14:paraId="06F2A002" w14:textId="01EC7502" w:rsidR="35F7566F" w:rsidRPr="0017699B" w:rsidRDefault="3DB24394" w:rsidP="00352816">
      <w:pPr>
        <w:pStyle w:val="LFARPara"/>
        <w:bidi/>
        <w:spacing w:before="120"/>
        <w:ind w:left="850" w:hanging="493"/>
        <w:rPr>
          <w:rFonts w:ascii="Arial" w:hAnsi="Arial" w:cs="Calibri"/>
          <w:rtl/>
        </w:rPr>
      </w:pPr>
      <w:r w:rsidRPr="0017699B">
        <w:rPr>
          <w:rFonts w:ascii="Arial" w:hAnsi="Arial" w:cs="Calibri" w:hint="cs"/>
          <w:rtl/>
        </w:rPr>
        <w:t>نظراً لضخامة المشروع، فمن الضروري ضمان تكامل النظامين بنجاح. بدون نهج منسق وتعاوني، قد تستمر الثغرات الموجودة في التتبع والمراقبة والتسوية حتى بعد إطلاق الأنظمة الجديدة.</w:t>
      </w:r>
    </w:p>
    <w:tbl>
      <w:tblPr>
        <w:tblStyle w:val="TableGrid"/>
        <w:bidiVisual/>
        <w:tblW w:w="8664" w:type="dxa"/>
        <w:tblInd w:w="421" w:type="dxa"/>
        <w:tblLook w:val="04A0" w:firstRow="1" w:lastRow="0" w:firstColumn="1" w:lastColumn="0" w:noHBand="0" w:noVBand="1"/>
      </w:tblPr>
      <w:tblGrid>
        <w:gridCol w:w="8664"/>
      </w:tblGrid>
      <w:tr w:rsidR="1EE163BA" w:rsidRPr="0017699B" w14:paraId="1EFD1296" w14:textId="77777777" w:rsidTr="60334402">
        <w:trPr>
          <w:trHeight w:val="300"/>
        </w:trPr>
        <w:tc>
          <w:tcPr>
            <w:tcW w:w="8664" w:type="dxa"/>
            <w:shd w:val="clear" w:color="auto" w:fill="BDD6EE" w:themeFill="accent1" w:themeFillTint="66"/>
          </w:tcPr>
          <w:p w14:paraId="0842A03D" w14:textId="56A2B05E" w:rsidR="1EE163BA" w:rsidRPr="0017699B" w:rsidRDefault="00507A28" w:rsidP="000079BF">
            <w:pPr>
              <w:keepNext/>
              <w:tabs>
                <w:tab w:val="left" w:pos="567"/>
              </w:tabs>
              <w:bidi/>
              <w:spacing w:before="120" w:after="120" w:line="280" w:lineRule="exact"/>
              <w:jc w:val="both"/>
              <w:rPr>
                <w:rFonts w:eastAsia="Calibri" w:cs="Calibri"/>
                <w:b/>
                <w:bCs/>
                <w:rtl/>
              </w:rPr>
            </w:pPr>
            <w:r w:rsidRPr="0017699B">
              <w:rPr>
                <w:rFonts w:cs="Calibri" w:hint="cs"/>
                <w:b/>
                <w:bCs/>
                <w:rtl/>
              </w:rPr>
              <w:t>التوصية 6</w:t>
            </w:r>
          </w:p>
          <w:p w14:paraId="28E1C56C" w14:textId="0078B3B8" w:rsidR="1EE163BA" w:rsidRPr="0017699B" w:rsidRDefault="00AD0F26" w:rsidP="000079BF">
            <w:pPr>
              <w:bidi/>
              <w:spacing w:before="120" w:after="120" w:line="280" w:lineRule="exact"/>
              <w:jc w:val="both"/>
              <w:rPr>
                <w:rFonts w:eastAsia="Times New Roman" w:cs="Calibri"/>
                <w:rtl/>
              </w:rPr>
            </w:pPr>
            <w:r>
              <w:rPr>
                <w:rFonts w:cs="Calibri" w:hint="cs"/>
                <w:rtl/>
              </w:rPr>
              <w:t>ي</w:t>
            </w:r>
            <w:r w:rsidR="4675B5A2" w:rsidRPr="0017699B">
              <w:rPr>
                <w:rFonts w:cs="Calibri" w:hint="cs"/>
                <w:rtl/>
              </w:rPr>
              <w:t xml:space="preserve">وصي </w:t>
            </w:r>
            <w:r w:rsidR="4675B5A2" w:rsidRPr="0017699B">
              <w:rPr>
                <w:rFonts w:cs="Calibri"/>
              </w:rPr>
              <w:t>BPK</w:t>
            </w:r>
            <w:r w:rsidR="4675B5A2" w:rsidRPr="0017699B">
              <w:rPr>
                <w:rFonts w:cs="Calibri" w:hint="cs"/>
                <w:rtl/>
              </w:rPr>
              <w:t xml:space="preserve"> بأن تضع المنظمة استراتيجية شاملة أو خارطة طريق لضمان أن توفر النظم في قسم السجل والشؤون المالية في مدريد عمليات مبسطة وآليات رقابة قوية وتكامل سلس.</w:t>
            </w:r>
          </w:p>
        </w:tc>
      </w:tr>
      <w:tr w:rsidR="1EE163BA" w:rsidRPr="0017699B" w14:paraId="7769DF7D" w14:textId="77777777" w:rsidTr="60334402">
        <w:trPr>
          <w:trHeight w:val="60"/>
        </w:trPr>
        <w:tc>
          <w:tcPr>
            <w:tcW w:w="8664" w:type="dxa"/>
            <w:shd w:val="clear" w:color="auto" w:fill="DEEAF6" w:themeFill="accent1" w:themeFillTint="33"/>
          </w:tcPr>
          <w:p w14:paraId="49132C2E" w14:textId="161883D2" w:rsidR="1EE163BA" w:rsidRPr="0017699B" w:rsidRDefault="00507A28" w:rsidP="000079BF">
            <w:pPr>
              <w:keepNext/>
              <w:bidi/>
              <w:spacing w:before="120" w:after="120" w:line="280" w:lineRule="exact"/>
              <w:jc w:val="both"/>
              <w:rPr>
                <w:rFonts w:eastAsia="Times New Roman" w:cs="Calibri"/>
                <w:b/>
                <w:bCs/>
                <w:rtl/>
              </w:rPr>
            </w:pPr>
            <w:r w:rsidRPr="0017699B">
              <w:rPr>
                <w:rFonts w:cs="Calibri" w:hint="cs"/>
                <w:b/>
                <w:bCs/>
                <w:rtl/>
              </w:rPr>
              <w:t>رد الإدارة:</w:t>
            </w:r>
          </w:p>
          <w:p w14:paraId="0F083D36" w14:textId="714BD319" w:rsidR="1EE163BA" w:rsidRPr="0017699B" w:rsidRDefault="00FA1CF1" w:rsidP="000079BF">
            <w:pPr>
              <w:keepNext/>
              <w:bidi/>
              <w:spacing w:before="120" w:after="120" w:line="280" w:lineRule="exact"/>
              <w:jc w:val="both"/>
              <w:rPr>
                <w:rFonts w:cs="Calibri"/>
                <w:rtl/>
              </w:rPr>
            </w:pPr>
            <w:r w:rsidRPr="0017699B">
              <w:rPr>
                <w:rFonts w:cs="Calibri" w:hint="cs"/>
                <w:rtl/>
              </w:rPr>
              <w:t>توافق الإدارة على التوصية.</w:t>
            </w:r>
          </w:p>
          <w:p w14:paraId="4A1E9AD3" w14:textId="28B82B86" w:rsidR="1EE163BA" w:rsidRPr="0017699B" w:rsidRDefault="5BD0D0F8" w:rsidP="60334402">
            <w:pPr>
              <w:keepNext/>
              <w:tabs>
                <w:tab w:val="left" w:pos="567"/>
              </w:tabs>
              <w:bidi/>
              <w:spacing w:before="120" w:after="120" w:line="280" w:lineRule="exact"/>
              <w:jc w:val="both"/>
              <w:rPr>
                <w:rFonts w:cs="Calibri"/>
                <w:rtl/>
              </w:rPr>
            </w:pPr>
            <w:r w:rsidRPr="0017699B">
              <w:rPr>
                <w:rFonts w:cs="Calibri" w:hint="cs"/>
                <w:rtl/>
              </w:rPr>
              <w:t>عقد فريقا الشؤون المالية ومدريد المعنيان عدة اجتماعات ومناقشات بشأن الآثار العملية المترتبة على مواءمة النظامين الجديدين.</w:t>
            </w:r>
          </w:p>
          <w:p w14:paraId="2D29A2AF" w14:textId="75F66A48" w:rsidR="1EE163BA" w:rsidRPr="0017699B" w:rsidRDefault="5BD0D0F8" w:rsidP="60334402">
            <w:pPr>
              <w:keepNext/>
              <w:tabs>
                <w:tab w:val="left" w:pos="567"/>
              </w:tabs>
              <w:bidi/>
              <w:spacing w:before="120" w:after="120" w:line="280" w:lineRule="exact"/>
              <w:jc w:val="both"/>
              <w:rPr>
                <w:rFonts w:cs="Calibri"/>
                <w:rtl/>
              </w:rPr>
            </w:pPr>
            <w:r w:rsidRPr="0017699B">
              <w:rPr>
                <w:rFonts w:cs="Calibri" w:hint="cs"/>
                <w:rtl/>
              </w:rPr>
              <w:t>إن تحولات كلا النظامين عميقة في نطاقها ومواءمة مشاريع إدارة المحتوى في النظامين لمعالجة قدرات العملية والتحكم والتكامل في كلا النظامين هي أولوية حاسمة للإدارة.</w:t>
            </w:r>
          </w:p>
          <w:p w14:paraId="5D9A75F1" w14:textId="09584000" w:rsidR="1EE163BA" w:rsidRPr="0017699B" w:rsidRDefault="5BD0D0F8" w:rsidP="60334402">
            <w:pPr>
              <w:keepNext/>
              <w:tabs>
                <w:tab w:val="left" w:pos="567"/>
              </w:tabs>
              <w:bidi/>
              <w:spacing w:before="120" w:after="120" w:line="280" w:lineRule="exact"/>
              <w:jc w:val="both"/>
              <w:rPr>
                <w:rFonts w:cs="Calibri"/>
                <w:rtl/>
              </w:rPr>
            </w:pPr>
            <w:r w:rsidRPr="0017699B">
              <w:rPr>
                <w:rFonts w:cs="Calibri" w:hint="cs"/>
                <w:rtl/>
              </w:rPr>
              <w:t>سيتم وضع استراتيجية لمعالجة مجالات التركيز هذه.</w:t>
            </w:r>
          </w:p>
          <w:p w14:paraId="70C82AD6" w14:textId="199BEC96" w:rsidR="1EE163BA" w:rsidRPr="0017699B" w:rsidRDefault="5BD0D0F8" w:rsidP="000079BF">
            <w:pPr>
              <w:keepNext/>
              <w:tabs>
                <w:tab w:val="left" w:pos="567"/>
              </w:tabs>
              <w:bidi/>
              <w:spacing w:before="120" w:after="120" w:line="280" w:lineRule="exact"/>
              <w:jc w:val="both"/>
              <w:rPr>
                <w:rFonts w:cs="Calibri"/>
                <w:rtl/>
              </w:rPr>
            </w:pPr>
            <w:r w:rsidRPr="0017699B">
              <w:rPr>
                <w:rFonts w:cs="Calibri" w:hint="cs"/>
                <w:rtl/>
              </w:rPr>
              <w:t>من المتوقع أن تُنفذ الإدارة التوصية كاملة بحلول 30 سبتمبر 2026.</w:t>
            </w:r>
          </w:p>
        </w:tc>
      </w:tr>
    </w:tbl>
    <w:p w14:paraId="5387DB79" w14:textId="0325C2F3" w:rsidR="6679F302" w:rsidRPr="0017699B" w:rsidRDefault="6679F302" w:rsidP="56FBB274">
      <w:pPr>
        <w:ind w:left="851"/>
        <w:rPr>
          <w:rFonts w:eastAsia="Times New Roman" w:cs="Calibri"/>
          <w:smallCaps/>
          <w:sz w:val="24"/>
          <w:szCs w:val="24"/>
        </w:rPr>
      </w:pPr>
    </w:p>
    <w:p w14:paraId="7909F6A7" w14:textId="640835CA" w:rsidR="316211C0" w:rsidRPr="0017699B" w:rsidRDefault="316211C0" w:rsidP="00352816">
      <w:pPr>
        <w:pStyle w:val="Heading6"/>
        <w:bidi/>
        <w:spacing w:before="120" w:after="120" w:line="280" w:lineRule="exact"/>
        <w:ind w:left="378"/>
        <w:rPr>
          <w:rFonts w:ascii="Arial" w:hAnsi="Arial" w:cs="Calibri"/>
          <w:rtl/>
        </w:rPr>
      </w:pPr>
      <w:bookmarkStart w:id="176" w:name="_Toc227826042"/>
      <w:bookmarkStart w:id="177" w:name="_Toc230784736"/>
      <w:r w:rsidRPr="0017699B">
        <w:rPr>
          <w:rFonts w:ascii="Arial" w:hAnsi="Arial" w:cs="Calibri" w:hint="cs"/>
          <w:rtl/>
        </w:rPr>
        <w:t>تعزيز مؤشرات الأداء الرئيسية لسجل مدريد</w:t>
      </w:r>
      <w:bookmarkEnd w:id="176"/>
      <w:bookmarkEnd w:id="177"/>
    </w:p>
    <w:p w14:paraId="25BFCAF6" w14:textId="59283D65" w:rsidR="316211C0" w:rsidRPr="0017699B" w:rsidRDefault="316211C0" w:rsidP="00352816">
      <w:pPr>
        <w:pStyle w:val="LFARPara"/>
        <w:bidi/>
        <w:spacing w:before="120"/>
        <w:ind w:left="850" w:hanging="493"/>
        <w:rPr>
          <w:rStyle w:val="LFARParaChar"/>
          <w:rFonts w:ascii="Arial" w:hAnsi="Arial" w:cs="Calibri"/>
          <w:rtl/>
        </w:rPr>
      </w:pPr>
      <w:r w:rsidRPr="0017699B">
        <w:rPr>
          <w:rFonts w:ascii="Arial" w:hAnsi="Arial" w:cs="Calibri" w:hint="cs"/>
          <w:rtl/>
        </w:rPr>
        <w:t>في وثائق برنامج العمل والميزانية للفترة 2024/2025، يبلغ خط الأساس لمؤشر إجمالي عدد الأعضاء 114 عضوًا، مع استهداف انضمام 6 دول أعضاء جديدة.</w:t>
      </w:r>
      <w:r w:rsidRPr="0017699B">
        <w:rPr>
          <w:rStyle w:val="LFARParaChar"/>
          <w:rFonts w:ascii="Arial" w:hAnsi="Arial" w:cs="Calibri" w:hint="cs"/>
          <w:rtl/>
        </w:rPr>
        <w:t xml:space="preserve"> استنادًا إلى قائمة حالة عضوية نظام مدريد في وثيقة 5 ديسمبر 2025، فإن العضو الجديد الوحيد لفترة السنتين 2024/25 هو قطر، التي انضمت إلى نظام مدريد في 3 أغسطس 2024. في حين أن غرناطة أودعت صك انضمامها في 15 ديسمبر 2025، وسيدخل البروتوكول حيز النفاذ بالنسبة لغرناطة في 15 مارس 2026.</w:t>
      </w:r>
    </w:p>
    <w:p w14:paraId="3553A2F4" w14:textId="1C8DF7FB" w:rsidR="316211C0" w:rsidRPr="0017699B" w:rsidRDefault="007429E5" w:rsidP="009E0FEF">
      <w:pPr>
        <w:pStyle w:val="ListParagraph"/>
        <w:numPr>
          <w:ilvl w:val="0"/>
          <w:numId w:val="25"/>
        </w:numPr>
        <w:bidi/>
        <w:spacing w:before="120" w:after="120" w:line="280" w:lineRule="exact"/>
        <w:ind w:hanging="450"/>
        <w:contextualSpacing w:val="0"/>
        <w:jc w:val="both"/>
        <w:rPr>
          <w:rFonts w:eastAsia="Times New Roman" w:cs="Calibri"/>
          <w:b/>
          <w:bCs/>
          <w:i/>
          <w:iCs/>
          <w:rtl/>
        </w:rPr>
      </w:pPr>
      <w:r w:rsidRPr="0017699B">
        <w:rPr>
          <w:rFonts w:cs="Calibri" w:hint="cs"/>
          <w:b/>
          <w:bCs/>
          <w:i/>
          <w:iCs/>
          <w:rtl/>
        </w:rPr>
        <w:t>إضافة مناطق إلى مؤشر أداء عضوية مدريد في مؤشر أداء عضوية مدريد</w:t>
      </w:r>
    </w:p>
    <w:p w14:paraId="097DD708" w14:textId="74468690" w:rsidR="316211C0" w:rsidRPr="0017699B" w:rsidRDefault="316211C0" w:rsidP="00352816">
      <w:pPr>
        <w:pStyle w:val="LFARPara"/>
        <w:bidi/>
        <w:spacing w:before="120"/>
        <w:ind w:left="850" w:hanging="493"/>
        <w:rPr>
          <w:rFonts w:ascii="Arial" w:eastAsiaTheme="minorEastAsia" w:hAnsi="Arial" w:cs="Calibri"/>
          <w:rtl/>
        </w:rPr>
      </w:pPr>
      <w:r w:rsidRPr="0017699B">
        <w:rPr>
          <w:rFonts w:ascii="Arial" w:hAnsi="Arial" w:cs="Calibri" w:hint="cs"/>
          <w:rtl/>
        </w:rPr>
        <w:t>يغطي نظام مدريد حاليًا 132 دولة أو 72.9% من أعضاء اتفاقية باريس (181 دولة). ولذلك، فإن 49 عضوًا من أعضاء اتفاقية باريس غير مشمولين بعد بنظام مدريد. وفقًا للبيانات الصادرة عن سجل مدريد، بلغ العدد الإجمالي لطلبات تسجيل العلامات التجارية المباشرة في الخارج في عام 2024، المقدمة من 49 دولة غير عضو في نظام مدريد، 51,285 طلبًا. تمثل الدول العشر التي سجلت أعلى عدد من إيداعات العلامات التجارية 36,504 إيداع للعلامات التجارية، أي ما يعادل 71.2% من جميع إيداعات العلامات التجارية من غير أعضاء مدريد في عام 2024.</w:t>
      </w:r>
    </w:p>
    <w:p w14:paraId="16522818" w14:textId="5E9E82C4" w:rsidR="316211C0" w:rsidRPr="0017699B" w:rsidRDefault="316211C0" w:rsidP="00352816">
      <w:pPr>
        <w:pStyle w:val="LFARPara"/>
        <w:bidi/>
        <w:spacing w:before="120"/>
        <w:ind w:left="850" w:hanging="493"/>
        <w:rPr>
          <w:rFonts w:ascii="Arial" w:eastAsiaTheme="minorEastAsia" w:hAnsi="Arial" w:cs="Calibri"/>
          <w:rtl/>
        </w:rPr>
      </w:pPr>
      <w:r w:rsidRPr="0017699B">
        <w:rPr>
          <w:rFonts w:ascii="Arial" w:hAnsi="Arial" w:cs="Calibri" w:hint="cs"/>
          <w:rtl/>
        </w:rPr>
        <w:t>ومع ذلك، لم يتم تقسيم مؤشر الأداء الرئيسي لإجمالي العضوية في نظام مدريد حسب المنطقة. ينص على الهدف المتوقع لعدد الأعضاء الجدد، بغض النظر عن المنطقة. كشفت المقابلات التي أجريت مع جهات التنسيق أنه عندما يكون التركيز على الانضمام على الكم فقط، سيكون من الأسهل تحقيق الهدف من خلال الاقتراب من البلدان الصغيرة كأعضاء جدد في نظام مدريد. وعلى الرغم من اعتراف سجل مدريد بأهمية عدد الأعضاء الجدد، إلا أن سجل مدريد ردد أيضًا أن دمج العوامل الإقليمية من شأنه أن يعزز التركيز الاستراتيجي للانضمام. وبالنظر إلى الكمية الكبيرة من إيداعات العلامات التجارية لتلك البلدان، فإن انضمامها سيكون له تأثير إيجابي وسيشجع البلدان المجاورة على الانضمام إلى نظام مدريد. ونحن نرى أنه يمكن لسجل مدريد تفصيل مؤشر أدائه من خلال إدراج المناطق المستهدفة في تقرير الانضمامات الفصلي لمدريد.</w:t>
      </w:r>
    </w:p>
    <w:p w14:paraId="6DE5B876" w14:textId="7EEFACC6" w:rsidR="316211C0" w:rsidRPr="0017699B" w:rsidRDefault="007429E5" w:rsidP="00662CC7">
      <w:pPr>
        <w:pStyle w:val="ListParagraph"/>
        <w:numPr>
          <w:ilvl w:val="0"/>
          <w:numId w:val="25"/>
        </w:numPr>
        <w:bidi/>
        <w:spacing w:before="120" w:after="120" w:line="280" w:lineRule="exact"/>
        <w:ind w:hanging="450"/>
        <w:contextualSpacing w:val="0"/>
        <w:jc w:val="both"/>
        <w:rPr>
          <w:rFonts w:eastAsia="Times New Roman" w:cs="Calibri"/>
          <w:b/>
          <w:bCs/>
          <w:i/>
          <w:iCs/>
          <w:rtl/>
        </w:rPr>
      </w:pPr>
      <w:r w:rsidRPr="0017699B">
        <w:rPr>
          <w:rFonts w:cs="Calibri" w:hint="cs"/>
          <w:b/>
          <w:bCs/>
          <w:i/>
          <w:iCs/>
          <w:rtl/>
        </w:rPr>
        <w:t>إضافة اعتماد الإيداع الإلكتروني في مدريد كمؤشر جديد للأداء</w:t>
      </w:r>
    </w:p>
    <w:p w14:paraId="5C666B0A" w14:textId="6B1A9300" w:rsidR="316211C0" w:rsidRPr="0017699B" w:rsidRDefault="316211C0" w:rsidP="00352816">
      <w:pPr>
        <w:pStyle w:val="LFARPara"/>
        <w:bidi/>
        <w:spacing w:before="120"/>
        <w:ind w:left="850" w:hanging="493"/>
        <w:rPr>
          <w:rFonts w:ascii="Arial" w:eastAsiaTheme="minorEastAsia" w:hAnsi="Arial" w:cs="Calibri"/>
          <w:rtl/>
        </w:rPr>
      </w:pPr>
      <w:r w:rsidRPr="0017699B">
        <w:rPr>
          <w:rFonts w:ascii="Arial" w:hAnsi="Arial" w:cs="Calibri" w:hint="cs"/>
          <w:rtl/>
        </w:rPr>
        <w:t xml:space="preserve">وقد طورت الويبو أيضاً أداة الإيداع الإلكتروني في مدريد كأداة إلكترونية تدعم إيداع طلبات العلامات التجارية الدولية من خلال مكاتب الملكية الفكرية الوطنية أو الإقليمية (مكاتب المنشأ). وتتيح هذه الأداة لمقدمي الطلبات تقديم طلبات العلامات التجارية الدولية الجديدة إلى مكتب المنشأ الذي يتبعون له وتمكن المكتب من مراجعتها ومعالجتها قبل إحالتها إلى الويبو. بدأ العمل بالإيداع الإلكتروني في مدريد في عام 2014، وكان مكتب بنيلوكس للملكية الفكرية أول مكتب يعتمده. اعتبارًا من 31 ديسمبر 2025، اعتمد 39 مكتبًا من مكاتب الملكية الفكرية في مدريد الإيداع الإلكتروني لعملائها. </w:t>
      </w:r>
    </w:p>
    <w:p w14:paraId="5633D974" w14:textId="77E90DF7" w:rsidR="316211C0" w:rsidRPr="0017699B" w:rsidRDefault="316211C0" w:rsidP="00352816">
      <w:pPr>
        <w:pStyle w:val="LFARPara"/>
        <w:bidi/>
        <w:spacing w:before="120"/>
        <w:ind w:left="850" w:hanging="493"/>
        <w:rPr>
          <w:rFonts w:ascii="Arial" w:eastAsiaTheme="minorEastAsia" w:hAnsi="Arial" w:cs="Calibri"/>
          <w:rtl/>
        </w:rPr>
      </w:pPr>
      <w:r w:rsidRPr="0017699B">
        <w:rPr>
          <w:rFonts w:ascii="Arial" w:hAnsi="Arial" w:cs="Calibri" w:hint="cs"/>
          <w:rtl/>
        </w:rPr>
        <w:t>ويتيح معدل التبني هذا الفرصة للويبو للتواصل مع مكاتب الملكية الفكرية لتشجيعها على اعتماد نظام مدريد للإيداع الإلكتروني. وكشفت المناقشات مع جهات التنسيق أن اعتماد الإيداع الإلكتروني من قبل عدد أكبر من مكاتب الملكية الفكرية سيوفر فوائد رئيسية في المراحل النهائية لأن المكتب الدولي سيتلقى تدفقات بيانات أكثر تنظيماً واتساقاً منذ بداية العملية (إيداع الطلب الدولي). تُعد هذه البيانات المنظمة أمرًا حيويًا لتحقيق الكفاءة التشغيلية وتقديم خدمات عالية الجودة للمستخدمين. ونحن نرى أنه يمكن للمنظمة أن تستفيد من إضافة العدد الإجمالي لمكاتب الملكية الفكرية التي اعتمدت نظام مدريد للإيداع الإلكتروني كمؤشر أداء جديد. وبالإضافة إلى ذلك، يمكن لسجل مدريد أن ينظر في إجراء استقصاء منظم لجمع تعليقات من المكاتب الوطنية للملكية الفكرية باعتبارها المستخدمين الرئيسيين للإيداع الإلكتروني في مدريد. ومن شأن مثل هذا الاستطلاع أن يوفر رؤى قيمة حول خبراتهم العملية والتحديات والتوقعات المتعلقة بالإيداع الإلكتروني في مدريد. ويمكن استخدام النتائج لتحسين استراتيجية مدريد للتوعية والدعم في مجال الإيداع الإلكتروني في مدريد لتلبية احتياجات مكاتب الملكية الفكرية.</w:t>
      </w:r>
    </w:p>
    <w:tbl>
      <w:tblPr>
        <w:bidiVisual/>
        <w:tblW w:w="8768"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8"/>
      </w:tblGrid>
      <w:tr w:rsidR="56FBB274" w:rsidRPr="0017699B" w14:paraId="16CD0783" w14:textId="77777777" w:rsidTr="00BE31A8">
        <w:trPr>
          <w:trHeight w:val="75"/>
        </w:trPr>
        <w:tc>
          <w:tcPr>
            <w:tcW w:w="8768" w:type="dxa"/>
            <w:shd w:val="clear" w:color="auto" w:fill="BDD6EE" w:themeFill="accent1" w:themeFillTint="66"/>
            <w:tcMar>
              <w:left w:w="108" w:type="dxa"/>
              <w:right w:w="108" w:type="dxa"/>
            </w:tcMar>
          </w:tcPr>
          <w:p w14:paraId="4E1F3D6F" w14:textId="09E915A1" w:rsidR="56FBB274" w:rsidRPr="0017699B" w:rsidRDefault="5DAED50B" w:rsidP="000079BF">
            <w:pPr>
              <w:tabs>
                <w:tab w:val="left" w:pos="567"/>
              </w:tabs>
              <w:bidi/>
              <w:spacing w:before="120" w:after="120" w:line="280" w:lineRule="exact"/>
              <w:jc w:val="both"/>
              <w:rPr>
                <w:rFonts w:eastAsia="Times New Roman" w:cs="Calibri"/>
                <w:b/>
                <w:bCs/>
                <w:rtl/>
              </w:rPr>
            </w:pPr>
            <w:r w:rsidRPr="0017699B">
              <w:rPr>
                <w:rFonts w:cs="Calibri" w:hint="cs"/>
                <w:b/>
                <w:bCs/>
                <w:rtl/>
              </w:rPr>
              <w:t>التوصية 7</w:t>
            </w:r>
          </w:p>
          <w:p w14:paraId="198C9553" w14:textId="2ABE9D10" w:rsidR="56FBB274" w:rsidRPr="0017699B" w:rsidRDefault="00AD0F26" w:rsidP="000079BF">
            <w:pPr>
              <w:bidi/>
              <w:spacing w:before="120" w:after="120" w:line="280" w:lineRule="exact"/>
              <w:jc w:val="both"/>
              <w:rPr>
                <w:rFonts w:eastAsia="Times New Roman" w:cs="Calibri"/>
                <w:rtl/>
              </w:rPr>
            </w:pPr>
            <w:r>
              <w:rPr>
                <w:rFonts w:cs="Calibri" w:hint="cs"/>
                <w:rtl/>
              </w:rPr>
              <w:t>ي</w:t>
            </w:r>
            <w:r w:rsidR="5DAED50B" w:rsidRPr="0017699B">
              <w:rPr>
                <w:rFonts w:cs="Calibri" w:hint="cs"/>
                <w:rtl/>
              </w:rPr>
              <w:t xml:space="preserve">وصي </w:t>
            </w:r>
            <w:r w:rsidR="5DAED50B" w:rsidRPr="0017699B">
              <w:rPr>
                <w:rFonts w:cs="Calibri"/>
              </w:rPr>
              <w:t>BPK</w:t>
            </w:r>
            <w:r w:rsidR="5DAED50B" w:rsidRPr="0017699B">
              <w:rPr>
                <w:rFonts w:cs="Calibri" w:hint="cs"/>
                <w:rtl/>
              </w:rPr>
              <w:t xml:space="preserve"> بأن تقوم المنظمة بما يلي:</w:t>
            </w:r>
          </w:p>
          <w:p w14:paraId="7FEB52DD" w14:textId="3A9FDD5D" w:rsidR="56FBB274" w:rsidRPr="0017699B" w:rsidRDefault="5DAED50B" w:rsidP="000079BF">
            <w:pPr>
              <w:pStyle w:val="ListParagraph"/>
              <w:numPr>
                <w:ilvl w:val="0"/>
                <w:numId w:val="15"/>
              </w:numPr>
              <w:bidi/>
              <w:spacing w:before="120" w:after="120" w:line="280" w:lineRule="exact"/>
              <w:ind w:left="357" w:hanging="357"/>
              <w:contextualSpacing w:val="0"/>
              <w:jc w:val="both"/>
              <w:rPr>
                <w:rFonts w:eastAsia="Times New Roman" w:cs="Calibri"/>
                <w:rtl/>
              </w:rPr>
            </w:pPr>
            <w:r w:rsidRPr="0017699B">
              <w:rPr>
                <w:rFonts w:cs="Calibri" w:hint="cs"/>
                <w:rtl/>
              </w:rPr>
              <w:t>إضافة مناطق الأعضاء الجدد المستهدفين إلى مؤشر أدائها في تقرير الانضمام الفصلي في مدريد للتركيز بشكل أفضل على أولوية الأعضاء المحتملين.</w:t>
            </w:r>
          </w:p>
          <w:p w14:paraId="00EFFB4F" w14:textId="1469F70A" w:rsidR="56FBB274" w:rsidRPr="0017699B" w:rsidRDefault="5DAED50B" w:rsidP="000079BF">
            <w:pPr>
              <w:pStyle w:val="ListParagraph"/>
              <w:numPr>
                <w:ilvl w:val="0"/>
                <w:numId w:val="15"/>
              </w:numPr>
              <w:bidi/>
              <w:spacing w:before="120" w:after="120" w:line="280" w:lineRule="exact"/>
              <w:ind w:left="357" w:hanging="357"/>
              <w:contextualSpacing w:val="0"/>
              <w:jc w:val="both"/>
              <w:rPr>
                <w:rFonts w:eastAsia="Times New Roman" w:cs="Calibri"/>
                <w:rtl/>
              </w:rPr>
            </w:pPr>
            <w:r w:rsidRPr="0017699B">
              <w:rPr>
                <w:rFonts w:cs="Calibri" w:hint="cs"/>
                <w:rtl/>
              </w:rPr>
              <w:t>إدراج إجمالي اعتماد مكتب الإيداع الإلكتروني في مدريد كمؤشر أداء جديد في برنامج العمل والميزانية للفترة 2028/29.</w:t>
            </w:r>
          </w:p>
          <w:p w14:paraId="31FA14A3" w14:textId="1F8ACE76" w:rsidR="56FBB274" w:rsidRPr="0017699B" w:rsidRDefault="5DAED50B" w:rsidP="000079BF">
            <w:pPr>
              <w:pStyle w:val="ListParagraph"/>
              <w:numPr>
                <w:ilvl w:val="0"/>
                <w:numId w:val="15"/>
              </w:numPr>
              <w:bidi/>
              <w:spacing w:before="120" w:after="120" w:line="280" w:lineRule="exact"/>
              <w:ind w:left="357" w:hanging="357"/>
              <w:contextualSpacing w:val="0"/>
              <w:jc w:val="both"/>
              <w:rPr>
                <w:rFonts w:eastAsia="Times New Roman" w:cs="Calibri"/>
                <w:rtl/>
              </w:rPr>
            </w:pPr>
            <w:r w:rsidRPr="0017699B">
              <w:rPr>
                <w:rFonts w:cs="Calibri" w:hint="cs"/>
                <w:rtl/>
              </w:rPr>
              <w:t>إجراء استبيان منظم حول الإيداع الإلكتروني في مدريد لمكاتب الملكية الفكرية الوطنية لجمع التعليقات ذات الصلة بهدف زيادة اعتماد المكاتب.</w:t>
            </w:r>
          </w:p>
        </w:tc>
      </w:tr>
      <w:tr w:rsidR="56FBB274" w:rsidRPr="0017699B" w14:paraId="52FFA918" w14:textId="77777777" w:rsidTr="00BE31A8">
        <w:trPr>
          <w:trHeight w:val="75"/>
        </w:trPr>
        <w:tc>
          <w:tcPr>
            <w:tcW w:w="8768" w:type="dxa"/>
            <w:shd w:val="clear" w:color="auto" w:fill="DEEAF6" w:themeFill="accent1" w:themeFillTint="33"/>
            <w:tcMar>
              <w:left w:w="108" w:type="dxa"/>
              <w:right w:w="108" w:type="dxa"/>
            </w:tcMar>
          </w:tcPr>
          <w:p w14:paraId="1E329DE5" w14:textId="2D5A7FEC" w:rsidR="56FBB274" w:rsidRPr="0017699B" w:rsidRDefault="5DAED50B" w:rsidP="000079BF">
            <w:pPr>
              <w:bidi/>
              <w:spacing w:before="120" w:after="120" w:line="280" w:lineRule="exact"/>
              <w:rPr>
                <w:rFonts w:eastAsia="Times New Roman" w:cs="Calibri"/>
                <w:b/>
                <w:bCs/>
                <w:rtl/>
              </w:rPr>
            </w:pPr>
            <w:r w:rsidRPr="0017699B">
              <w:rPr>
                <w:rFonts w:cs="Calibri" w:hint="cs"/>
                <w:b/>
                <w:bCs/>
                <w:rtl/>
              </w:rPr>
              <w:t>رد الإدارة:</w:t>
            </w:r>
            <w:r w:rsidRPr="0017699B">
              <w:rPr>
                <w:rFonts w:cs="Calibri" w:hint="cs"/>
                <w:rtl/>
              </w:rPr>
              <w:t xml:space="preserve"> </w:t>
            </w:r>
          </w:p>
          <w:p w14:paraId="11E13882" w14:textId="04EE476B" w:rsidR="56FBB274" w:rsidRPr="0017699B" w:rsidRDefault="0022575A" w:rsidP="000079BF">
            <w:pPr>
              <w:tabs>
                <w:tab w:val="left" w:pos="567"/>
              </w:tabs>
              <w:bidi/>
              <w:spacing w:before="120" w:after="120" w:line="280" w:lineRule="exact"/>
              <w:jc w:val="both"/>
              <w:rPr>
                <w:rFonts w:eastAsia="Times New Roman" w:cs="Calibri"/>
                <w:color w:val="333333"/>
                <w:rtl/>
              </w:rPr>
            </w:pPr>
            <w:r w:rsidRPr="0017699B">
              <w:rPr>
                <w:rFonts w:cs="Calibri" w:hint="cs"/>
                <w:color w:val="333333"/>
                <w:rtl/>
              </w:rPr>
              <w:t>توافق الإدارة على التوصية.</w:t>
            </w:r>
            <w:r w:rsidRPr="0017699B">
              <w:rPr>
                <w:rFonts w:cs="Calibri" w:hint="cs"/>
                <w:rtl/>
              </w:rPr>
              <w:t xml:space="preserve"> </w:t>
            </w:r>
          </w:p>
          <w:p w14:paraId="72630CDE" w14:textId="4A8F5B7C" w:rsidR="56FBB274" w:rsidRPr="0017699B" w:rsidRDefault="007429E5" w:rsidP="000079BF">
            <w:pPr>
              <w:tabs>
                <w:tab w:val="left" w:pos="567"/>
              </w:tabs>
              <w:bidi/>
              <w:spacing w:before="120" w:after="120" w:line="280" w:lineRule="exact"/>
              <w:jc w:val="both"/>
              <w:rPr>
                <w:rFonts w:eastAsia="Times New Roman" w:cs="Calibri"/>
                <w:color w:val="333333"/>
                <w:rtl/>
              </w:rPr>
            </w:pPr>
            <w:r w:rsidRPr="0017699B">
              <w:rPr>
                <w:rFonts w:cs="Calibri" w:hint="cs"/>
                <w:b/>
                <w:bCs/>
                <w:color w:val="333333"/>
                <w:rtl/>
              </w:rPr>
              <w:t>التوصية 7-أ:</w:t>
            </w:r>
            <w:r w:rsidRPr="0017699B">
              <w:rPr>
                <w:rFonts w:cs="Calibri" w:hint="cs"/>
                <w:color w:val="333333"/>
                <w:rtl/>
              </w:rPr>
              <w:t xml:space="preserve"> </w:t>
            </w:r>
            <w:r w:rsidRPr="0017699B">
              <w:rPr>
                <w:rFonts w:cs="Calibri" w:hint="cs"/>
                <w:rtl/>
              </w:rPr>
              <w:t xml:space="preserve">سيتم إدراج مؤشر الأداء المحدث في نسخة الربع الثالث من عام 2026 من تقرير مدريد الفصلي للانضمامات. </w:t>
            </w:r>
          </w:p>
          <w:p w14:paraId="12A735FD" w14:textId="3E3AB9CF" w:rsidR="56FBB274" w:rsidRPr="0017699B" w:rsidRDefault="007429E5" w:rsidP="000079BF">
            <w:pPr>
              <w:tabs>
                <w:tab w:val="left" w:pos="567"/>
              </w:tabs>
              <w:bidi/>
              <w:spacing w:before="120" w:after="120" w:line="280" w:lineRule="exact"/>
              <w:jc w:val="both"/>
              <w:rPr>
                <w:rFonts w:eastAsia="Times New Roman" w:cs="Calibri"/>
                <w:rtl/>
              </w:rPr>
            </w:pPr>
            <w:r w:rsidRPr="0017699B">
              <w:rPr>
                <w:rFonts w:cs="Calibri" w:hint="cs"/>
                <w:b/>
                <w:bCs/>
                <w:rtl/>
              </w:rPr>
              <w:t>التوصية 7-ب:</w:t>
            </w:r>
            <w:r w:rsidRPr="0017699B">
              <w:rPr>
                <w:rFonts w:cs="Calibri" w:hint="cs"/>
                <w:rtl/>
              </w:rPr>
              <w:t xml:space="preserve"> سيتم اقتراح مؤشر أداء جديد بشأن إجمالي اعتماد مكتب الإيداع الإلكتروني في مدريد في مشروع برنامج العمل والميزانية للفترة 2028/29.</w:t>
            </w:r>
          </w:p>
          <w:p w14:paraId="7A8B6DF0" w14:textId="2A9BFA3E" w:rsidR="56FBB274" w:rsidRPr="0017699B" w:rsidRDefault="5DAED50B" w:rsidP="000079BF">
            <w:pPr>
              <w:tabs>
                <w:tab w:val="left" w:pos="567"/>
              </w:tabs>
              <w:bidi/>
              <w:spacing w:before="120" w:after="120" w:line="280" w:lineRule="exact"/>
              <w:jc w:val="both"/>
              <w:rPr>
                <w:rFonts w:eastAsia="Times New Roman" w:cs="Calibri"/>
                <w:rtl/>
              </w:rPr>
            </w:pPr>
            <w:r w:rsidRPr="0017699B">
              <w:rPr>
                <w:rFonts w:cs="Calibri" w:hint="cs"/>
                <w:b/>
                <w:bCs/>
                <w:rtl/>
              </w:rPr>
              <w:t>التوصية 7-ج:</w:t>
            </w:r>
            <w:r w:rsidRPr="0017699B">
              <w:rPr>
                <w:rFonts w:cs="Calibri" w:hint="cs"/>
                <w:rtl/>
              </w:rPr>
              <w:t xml:space="preserve"> سيتم إجراء مسح منظم بين مكاتب الملكية الفكرية الوطنية حول الإيداع الإلكتروني في مدريد بحلول نهاية سبتمبر 2026.</w:t>
            </w:r>
          </w:p>
        </w:tc>
      </w:tr>
    </w:tbl>
    <w:p w14:paraId="45685562" w14:textId="76BA4B53" w:rsidR="316211C0" w:rsidRPr="0017699B" w:rsidRDefault="316211C0" w:rsidP="56FBB274">
      <w:pPr>
        <w:bidi/>
        <w:spacing w:line="257" w:lineRule="auto"/>
        <w:jc w:val="both"/>
        <w:rPr>
          <w:rFonts w:eastAsia="Times New Roman" w:cs="Calibri"/>
          <w:rtl/>
        </w:rPr>
      </w:pPr>
      <w:r w:rsidRPr="0017699B">
        <w:rPr>
          <w:rFonts w:cs="Calibri" w:hint="cs"/>
          <w:rtl/>
        </w:rPr>
        <w:t xml:space="preserve"> </w:t>
      </w:r>
    </w:p>
    <w:p w14:paraId="7CC591B7" w14:textId="77777777" w:rsidR="001A6952" w:rsidRDefault="001A6952">
      <w:pPr>
        <w:spacing w:after="160" w:line="259" w:lineRule="auto"/>
        <w:rPr>
          <w:rFonts w:eastAsiaTheme="majorEastAsia" w:cs="Calibri"/>
          <w:b/>
          <w:bCs/>
          <w:rtl/>
        </w:rPr>
      </w:pPr>
      <w:r>
        <w:rPr>
          <w:rFonts w:cs="Calibri"/>
          <w:rtl/>
        </w:rPr>
        <w:br w:type="page"/>
      </w:r>
    </w:p>
    <w:p w14:paraId="328C3C9B" w14:textId="3806ED2C" w:rsidR="316211C0" w:rsidRPr="0017699B" w:rsidRDefault="007429E5" w:rsidP="00352816">
      <w:pPr>
        <w:pStyle w:val="Heading6"/>
        <w:bidi/>
        <w:spacing w:before="120" w:after="120" w:line="280" w:lineRule="exact"/>
        <w:ind w:left="322"/>
        <w:rPr>
          <w:rFonts w:ascii="Arial" w:eastAsia="Times New Roman" w:hAnsi="Arial" w:cs="Calibri"/>
          <w:smallCaps/>
          <w:sz w:val="24"/>
          <w:szCs w:val="24"/>
          <w:rtl/>
        </w:rPr>
      </w:pPr>
      <w:bookmarkStart w:id="178" w:name="_Toc230784737"/>
      <w:r w:rsidRPr="0017699B">
        <w:rPr>
          <w:rFonts w:ascii="Arial" w:hAnsi="Arial" w:cs="Calibri" w:hint="cs"/>
          <w:rtl/>
        </w:rPr>
        <w:t>تحسين إعداد التقارير الداخلية في سجل مدريد</w:t>
      </w:r>
      <w:bookmarkEnd w:id="178"/>
    </w:p>
    <w:p w14:paraId="3D7744F4" w14:textId="26DCB87E"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وقد أصدر سجل مدريد بانتظام العديد من التقارير الداخلية كجزء من حوكمة نظام مدريد ورصده وتقييمه. تهدف هذه التقارير، بما في ذلك تقارير الأداء الشهرية لمدريد وتقارير الانضمام الفصلية لمدريد، إلى تزويد القراء بآخر المستجدات حول الأداء التشغيلي وإدارة عبء العمل والاتجاهات المالية والتقدم المحرز في انضمام أعضاء جدد. تعمل التقارير كأداة لدعم الشفافية ورصد الكفاءة وتقييم تقديم الخدمات، وبالتالي تعزيز وتحسين نظام مدريد.</w:t>
      </w:r>
    </w:p>
    <w:p w14:paraId="60FC3A71" w14:textId="7E99C43F" w:rsidR="316211C0" w:rsidRPr="0017699B" w:rsidRDefault="316211C0" w:rsidP="00BE31A8">
      <w:pPr>
        <w:pStyle w:val="ListParagraph"/>
        <w:numPr>
          <w:ilvl w:val="0"/>
          <w:numId w:val="24"/>
        </w:numPr>
        <w:bidi/>
        <w:spacing w:before="120" w:after="120" w:line="280" w:lineRule="exact"/>
        <w:ind w:hanging="422"/>
        <w:contextualSpacing w:val="0"/>
        <w:jc w:val="both"/>
        <w:rPr>
          <w:rFonts w:eastAsia="Times New Roman" w:cs="Calibri"/>
          <w:b/>
          <w:bCs/>
          <w:i/>
          <w:iCs/>
          <w:rtl/>
        </w:rPr>
      </w:pPr>
      <w:r w:rsidRPr="0017699B">
        <w:rPr>
          <w:rFonts w:cs="Calibri" w:hint="cs"/>
          <w:b/>
          <w:bCs/>
          <w:i/>
          <w:iCs/>
          <w:rtl/>
        </w:rPr>
        <w:t>تقارير الأداء الشهرية لمدريد</w:t>
      </w:r>
    </w:p>
    <w:p w14:paraId="5964D1D9" w14:textId="661F995B"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أظهر تحليلنا لتقارير الأداء الشهرية الصادرة في مدريد للفترة من 2024 إلى 2025 أن أهداف التأخير للطلبات الدولية والتجديدات والتعيينات اللاحقة والتعديلات وقرارات الطرف المتعاقد المعين والتصحيحات ظلت ثابتة في عامي 2024 و2025. في حين أن بعض أهداف الانتظار قد تكون لا تزال ذات صلة، إلا أن أهداف التجديدات والقرارات من قبل الطرف المتعاقد هي إلى حد ما أعلى بكثير من الوقت الفعلي اللازم لهذه الأنشطة.</w:t>
      </w:r>
    </w:p>
    <w:p w14:paraId="2BD6E290" w14:textId="74F88E18"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وعلاوة على ذلك، تم تحليل عبء العمل المعلق لـ 7 معاملات في التقرير بما في ذلك الطلبات الدولية والتجديدات والتعيينات اللاحقة والتعديلات وقرارات الطرف المتعاقد المعين والتصحيحات والتمويل. كشف هذا التحليل أن سجل مدريد كان ناجحًا جدًا في تقليل أعباء العمل المعلقة في بعض المجالات. ومع ذلك، فإن أعباء العمل المستهدفة المعلقة لأنشطة التجديد والقرار كانت أيضًا أعلى بكثير من أعباء العمل الفعلية المعلقة.</w:t>
      </w:r>
    </w:p>
    <w:p w14:paraId="357D7208" w14:textId="11DC4C60"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 xml:space="preserve">كشفت المناقشة مع جهات التنسيق أن الأتمتة وعمليات تكنولوجيا المعلومات المبسطة قد ساعدت في تقليل الوقت المطلوب وأعباء العمل المعلقة، لا سيما بالنسبة للتجديد والقرارات التي يتخذها الطرف المتعاقد المعين. ومع ذلك، فإن الهدف المذكور في تقرير الأداء لم يتم تحديثه ليعكس الوضع الحالي، مما يحد من أهمية المقارنة المقدمة. على الرغم من إقرارنا وتقديرنا للجهود التي يبذلها سجل مدريد لتقليل وقت الانتظار وأعباء العمل المعلقة في نظام مدريد، إلا أنه كانت هناك بعض المجالات التي تحتاج إلى التحسين، مثل وضع أهداف أكثر ملاءمة لضمان مقارنات أوضح وأحدث للقراء. </w:t>
      </w:r>
    </w:p>
    <w:p w14:paraId="28B25F67" w14:textId="30C85738" w:rsidR="316211C0" w:rsidRPr="0017699B" w:rsidRDefault="00736805" w:rsidP="00662CC7">
      <w:pPr>
        <w:pStyle w:val="ListParagraph"/>
        <w:numPr>
          <w:ilvl w:val="0"/>
          <w:numId w:val="24"/>
        </w:numPr>
        <w:bidi/>
        <w:spacing w:before="120" w:after="120" w:line="280" w:lineRule="exact"/>
        <w:ind w:hanging="422"/>
        <w:contextualSpacing w:val="0"/>
        <w:jc w:val="both"/>
        <w:rPr>
          <w:rFonts w:eastAsia="Times New Roman" w:cs="Calibri"/>
          <w:b/>
          <w:bCs/>
          <w:i/>
          <w:iCs/>
          <w:rtl/>
        </w:rPr>
      </w:pPr>
      <w:r w:rsidRPr="0017699B">
        <w:rPr>
          <w:rFonts w:cs="Calibri" w:hint="cs"/>
          <w:b/>
          <w:bCs/>
          <w:i/>
          <w:iCs/>
          <w:rtl/>
        </w:rPr>
        <w:t>تقارير انضمام مدريد الفصلية</w:t>
      </w:r>
    </w:p>
    <w:p w14:paraId="24919D0A" w14:textId="67F00973"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أظهر تحليلنا لتقارير انضمام مدريد الفصلية للفترة من 2022 إلى 2025 أن سجل مدريد يحدد بالفعل بعض الدول كأعضاء جدد محتملين في نظام مدريد. ومع ذلك، أشارت مراجعتنا إلى أن 50% فقط من أكبر 10 دول لديها أكبر عدد من إيداعات العلامات التجارية المباشرة في الخارج قد تم تضمينها في تقارير الانضمام من 2022 إلى 2025. ومن بين الأعضاء الجدد المحتملين الآخرين المدرجين في تقرير الانضمام الأخير (الربع الرابع من عام 2025) دول ذات أعداد متفاوتة من إيداعات العلامات التجارية، بما في ذلك بعض الدول التي لديها أقل من 10 إيداعات.</w:t>
      </w:r>
    </w:p>
    <w:p w14:paraId="13218216" w14:textId="06A426DD"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علاوةً على ذلك، كشف تقرير مدريد الأخير للانضمام (الربع الرابع 2025) عن بعض التقدم الذي عفا عليه الزمن وعدم وجود تحديث للتقدم الحالي في بعض البلدان، حيث كانت آخر تحديثات في الفترة 2017-2021. ونظراً لعدم إحرازها تقدماً في الآونة الأخيرة، فإن إدراج هذه الدول في تقرير الانضمام لعام 2025 لن يوفر للقراء معلومات ذات صلة ومحدثة.</w:t>
      </w:r>
    </w:p>
    <w:p w14:paraId="3C4C8814" w14:textId="0B8ADBF3"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 xml:space="preserve">كانت هناك خطة عمل لشعبة الشؤون القانونية في مدريد في عام 2026، مرتبطة بالتقدم المحرز في انضمام مدريد، والتي تهدف إلى تقديم تعليقات على التشريعات المحلية لجعلها متوافقة مع مدريد (للأعضاء الحاليين والمستقبليين). وتغطي خطة العمل هذه 29 دولة مستفيدة، بما في ذلك 4 أعضاء حاليين في مدريد و25 عضوًا في المستقبل. ومع ذلك، لم يكن هناك تزامن بين قائمة الأعضاء الجدد المحتملين في تقرير انضمام مدريد وقائمة البلدان المستفيدة في خطة العمل. بعض الدول غير الأعضاء في مدريد مذكورة في خطة العمل ولكنها غير مذكورة في تقارير الانضمام. من ناحية أخرى، هناك بعض الدول المذكورة في تقارير الانضمام ولكنها لم تُذكر في خطة عمل 2026. </w:t>
      </w:r>
    </w:p>
    <w:p w14:paraId="60159F72" w14:textId="74DFC10C"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كشفت المناقشات مع نقاط الاتصال أن النهج والاستراتيجية لكل بلد محتمل يختلفان ويعتمدان على الظروف السياسية والاقتصادية والثقافية للبلد. واستناداً إلى التجربة، قد تحتاج بعض البلدان إلى سنوات لإحراز تقدم طفيف في عملية الانضمام، بينما قد تحتاج بلدان أخرى إلى إحراز تقدم كبير في غضون أشهر فقط. ومع ذلك، لا تزال بعض البلدان مذكورة في التقارير لتمكين القراء من تتبع التقدم المحرز في انضمامها، على الرغم من عدم وجود تحديثات في السنوات القليلة الماضية.</w:t>
      </w:r>
    </w:p>
    <w:p w14:paraId="73A33748" w14:textId="59B5DC6E" w:rsidR="316211C0" w:rsidRPr="0017699B" w:rsidRDefault="00973EA0" w:rsidP="00352816">
      <w:pPr>
        <w:pStyle w:val="LFARPara"/>
        <w:bidi/>
        <w:spacing w:before="120"/>
        <w:ind w:left="850" w:hanging="493"/>
        <w:rPr>
          <w:rFonts w:ascii="Arial" w:hAnsi="Arial" w:cs="Calibri"/>
          <w:rtl/>
        </w:rPr>
      </w:pPr>
      <w:r w:rsidRPr="0017699B">
        <w:rPr>
          <w:rFonts w:ascii="Arial" w:hAnsi="Arial" w:cs="Calibri" w:hint="cs"/>
          <w:rtl/>
        </w:rPr>
        <w:t xml:space="preserve">وقد أعربنا عن تقديرنا وإعجابنا بجهود سجل مدريد في تقديم آخر المستجدات بشأن انضمام أعضاء جدد في التقرير الفصلي. ومع ذلك، كانت هناك بعض المجالات التي يمكن تحسينها لتزويد القراء بالبيانات والمعلومات ذات الصلة بشكل أفضل. </w:t>
      </w:r>
    </w:p>
    <w:tbl>
      <w:tblPr>
        <w:bidiVisual/>
        <w:tblW w:w="866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4"/>
      </w:tblGrid>
      <w:tr w:rsidR="56FBB274" w:rsidRPr="0017699B" w14:paraId="619FCC8F" w14:textId="77777777" w:rsidTr="00BE31A8">
        <w:trPr>
          <w:trHeight w:val="75"/>
        </w:trPr>
        <w:tc>
          <w:tcPr>
            <w:tcW w:w="8664" w:type="dxa"/>
            <w:shd w:val="clear" w:color="auto" w:fill="BDD6EE" w:themeFill="accent1" w:themeFillTint="66"/>
            <w:tcMar>
              <w:left w:w="108" w:type="dxa"/>
              <w:right w:w="108" w:type="dxa"/>
            </w:tcMar>
          </w:tcPr>
          <w:p w14:paraId="54C32633" w14:textId="1A0CC164" w:rsidR="56FBB274" w:rsidRPr="0017699B" w:rsidRDefault="5DAED50B" w:rsidP="000079BF">
            <w:pPr>
              <w:tabs>
                <w:tab w:val="left" w:pos="567"/>
              </w:tabs>
              <w:bidi/>
              <w:spacing w:before="120" w:after="120" w:line="280" w:lineRule="exact"/>
              <w:jc w:val="both"/>
              <w:rPr>
                <w:rFonts w:eastAsia="Times New Roman" w:cs="Calibri"/>
                <w:b/>
                <w:bCs/>
                <w:rtl/>
              </w:rPr>
            </w:pPr>
            <w:r w:rsidRPr="0017699B">
              <w:rPr>
                <w:rFonts w:cs="Calibri" w:hint="cs"/>
                <w:b/>
                <w:bCs/>
                <w:rtl/>
              </w:rPr>
              <w:t>التوصية 8</w:t>
            </w:r>
          </w:p>
          <w:p w14:paraId="19233768" w14:textId="3E4DEEC0" w:rsidR="56FBB274" w:rsidRPr="0017699B" w:rsidRDefault="00AD0F26" w:rsidP="000079BF">
            <w:pPr>
              <w:bidi/>
              <w:spacing w:before="120" w:after="120" w:line="280" w:lineRule="exact"/>
              <w:jc w:val="both"/>
              <w:rPr>
                <w:rFonts w:eastAsia="Times New Roman" w:cs="Calibri"/>
                <w:rtl/>
              </w:rPr>
            </w:pPr>
            <w:r>
              <w:rPr>
                <w:rFonts w:cs="Calibri" w:hint="cs"/>
                <w:rtl/>
              </w:rPr>
              <w:t>ي</w:t>
            </w:r>
            <w:r w:rsidR="5DAED50B" w:rsidRPr="0017699B">
              <w:rPr>
                <w:rFonts w:cs="Calibri" w:hint="cs"/>
                <w:rtl/>
              </w:rPr>
              <w:t xml:space="preserve">وصي </w:t>
            </w:r>
            <w:r w:rsidR="5DAED50B" w:rsidRPr="0017699B">
              <w:rPr>
                <w:rFonts w:cs="Calibri"/>
              </w:rPr>
              <w:t>BPK</w:t>
            </w:r>
            <w:r w:rsidR="5DAED50B" w:rsidRPr="0017699B">
              <w:rPr>
                <w:rFonts w:cs="Calibri" w:hint="cs"/>
                <w:rtl/>
              </w:rPr>
              <w:t xml:space="preserve"> بأن يقوم سجل مدريد بما يلي:</w:t>
            </w:r>
          </w:p>
          <w:p w14:paraId="3DFBE072" w14:textId="6F54E520" w:rsidR="56FBB274" w:rsidRPr="0017699B" w:rsidRDefault="5DAED50B" w:rsidP="000079BF">
            <w:pPr>
              <w:pStyle w:val="ListParagraph"/>
              <w:numPr>
                <w:ilvl w:val="0"/>
                <w:numId w:val="13"/>
              </w:numPr>
              <w:bidi/>
              <w:spacing w:before="120" w:after="120" w:line="280" w:lineRule="exact"/>
              <w:ind w:left="357" w:hanging="357"/>
              <w:contextualSpacing w:val="0"/>
              <w:jc w:val="both"/>
              <w:rPr>
                <w:rFonts w:eastAsia="Times New Roman" w:cs="Calibri"/>
                <w:rtl/>
              </w:rPr>
            </w:pPr>
            <w:r w:rsidRPr="0017699B">
              <w:rPr>
                <w:rFonts w:cs="Calibri" w:hint="cs"/>
                <w:rtl/>
              </w:rPr>
              <w:t>تحديث أهداف عبء العمل المعلقة والمعلقة المستخدمة في تقرير الأداء الشهري لمدريد لتعكس بشكل أفضل مستويات الإنتاجية الحالية.</w:t>
            </w:r>
          </w:p>
          <w:p w14:paraId="4FEFD0D0" w14:textId="67661776" w:rsidR="56FBB274" w:rsidRPr="0017699B" w:rsidRDefault="5DAED50B" w:rsidP="000079BF">
            <w:pPr>
              <w:pStyle w:val="ListParagraph"/>
              <w:numPr>
                <w:ilvl w:val="0"/>
                <w:numId w:val="13"/>
              </w:numPr>
              <w:bidi/>
              <w:spacing w:before="120" w:after="120" w:line="280" w:lineRule="exact"/>
              <w:ind w:left="357" w:hanging="357"/>
              <w:contextualSpacing w:val="0"/>
              <w:jc w:val="both"/>
              <w:rPr>
                <w:rFonts w:eastAsia="Times New Roman" w:cs="Calibri"/>
                <w:rtl/>
              </w:rPr>
            </w:pPr>
            <w:r w:rsidRPr="0017699B">
              <w:rPr>
                <w:rFonts w:cs="Calibri" w:hint="cs"/>
                <w:rtl/>
              </w:rPr>
              <w:t>تطوير نسخة محدثة شاملة من تقارير الانضمام الفصلية لسجل مدريد من خلال استبعاد البلدان التي ليس لديها تحديثات ذات صلة، بما في ذلك مؤشر الأداء الرئيسي للانضمام الإقليمي (كما نوقش أعلاه في القسم المعنون "تعزيز مؤشرات الأداء الرئيسية لسجل مدريد") وكذلك النظر في كمية بيانات إيداعات العلامات التجارية الدولية وقائمة البلدان المستفيدة في خطة عمل سجل مدريد كاعتبارات لاختيار البلدان المذكورة في تقارير الانضمام.</w:t>
            </w:r>
          </w:p>
        </w:tc>
      </w:tr>
      <w:tr w:rsidR="56FBB274" w:rsidRPr="0017699B" w14:paraId="1BE87AEC" w14:textId="77777777" w:rsidTr="00BE31A8">
        <w:trPr>
          <w:trHeight w:val="75"/>
        </w:trPr>
        <w:tc>
          <w:tcPr>
            <w:tcW w:w="8664" w:type="dxa"/>
            <w:shd w:val="clear" w:color="auto" w:fill="DEEAF6" w:themeFill="accent1" w:themeFillTint="33"/>
            <w:tcMar>
              <w:left w:w="108" w:type="dxa"/>
              <w:right w:w="108" w:type="dxa"/>
            </w:tcMar>
          </w:tcPr>
          <w:p w14:paraId="4D26964F" w14:textId="7C66E81E" w:rsidR="56FBB274" w:rsidRPr="0017699B" w:rsidRDefault="5DAED50B" w:rsidP="000079BF">
            <w:pPr>
              <w:bidi/>
              <w:spacing w:before="120" w:after="120" w:line="280" w:lineRule="exact"/>
              <w:rPr>
                <w:rFonts w:eastAsia="Times New Roman" w:cs="Calibri"/>
                <w:b/>
                <w:bCs/>
                <w:rtl/>
              </w:rPr>
            </w:pPr>
            <w:r w:rsidRPr="0017699B">
              <w:rPr>
                <w:rFonts w:cs="Calibri" w:hint="cs"/>
                <w:b/>
                <w:bCs/>
                <w:rtl/>
              </w:rPr>
              <w:t>رد الإدارة:</w:t>
            </w:r>
            <w:r w:rsidRPr="0017699B">
              <w:rPr>
                <w:rFonts w:cs="Calibri" w:hint="cs"/>
                <w:rtl/>
              </w:rPr>
              <w:t xml:space="preserve"> </w:t>
            </w:r>
          </w:p>
          <w:p w14:paraId="022718F3" w14:textId="30D65FEC" w:rsidR="56FBB274" w:rsidRPr="0017699B" w:rsidRDefault="0022575A" w:rsidP="000079BF">
            <w:pPr>
              <w:tabs>
                <w:tab w:val="left" w:pos="567"/>
              </w:tabs>
              <w:bidi/>
              <w:spacing w:before="120" w:after="120" w:line="280" w:lineRule="exact"/>
              <w:jc w:val="both"/>
              <w:rPr>
                <w:rFonts w:eastAsia="Times New Roman" w:cs="Calibri"/>
                <w:color w:val="333333"/>
                <w:rtl/>
              </w:rPr>
            </w:pPr>
            <w:r w:rsidRPr="0017699B">
              <w:rPr>
                <w:rFonts w:cs="Calibri" w:hint="cs"/>
                <w:color w:val="333333"/>
                <w:rtl/>
              </w:rPr>
              <w:t>توافق الإدارة على التوصية.</w:t>
            </w:r>
          </w:p>
          <w:p w14:paraId="2F639310" w14:textId="16BFA724" w:rsidR="56FBB274" w:rsidRPr="0017699B" w:rsidRDefault="00736805" w:rsidP="000079BF">
            <w:pPr>
              <w:tabs>
                <w:tab w:val="left" w:pos="567"/>
              </w:tabs>
              <w:bidi/>
              <w:spacing w:before="120" w:after="120" w:line="280" w:lineRule="exact"/>
              <w:jc w:val="both"/>
              <w:rPr>
                <w:rFonts w:eastAsia="Times New Roman" w:cs="Calibri"/>
                <w:color w:val="333333"/>
                <w:rtl/>
              </w:rPr>
            </w:pPr>
            <w:r w:rsidRPr="0017699B">
              <w:rPr>
                <w:rFonts w:cs="Calibri" w:hint="cs"/>
                <w:b/>
                <w:bCs/>
                <w:color w:val="333333"/>
                <w:rtl/>
              </w:rPr>
              <w:t>التوصية 8-أ:</w:t>
            </w:r>
            <w:r w:rsidRPr="0017699B">
              <w:rPr>
                <w:rFonts w:cs="Calibri" w:hint="cs"/>
                <w:color w:val="333333"/>
                <w:rtl/>
              </w:rPr>
              <w:t xml:space="preserve">  </w:t>
            </w:r>
            <w:r w:rsidRPr="0017699B">
              <w:rPr>
                <w:rFonts w:cs="Calibri" w:hint="cs"/>
                <w:rtl/>
              </w:rPr>
              <w:t xml:space="preserve">سيتم تحديث أهداف عبء العمل المعلقة في إصدار أكتوبر 2026 من تقرير الأداء الشهري لمدريد. </w:t>
            </w:r>
          </w:p>
          <w:p w14:paraId="78929612" w14:textId="654F0F6A" w:rsidR="56FBB274" w:rsidRPr="0017699B" w:rsidRDefault="00736805" w:rsidP="000079BF">
            <w:pPr>
              <w:tabs>
                <w:tab w:val="left" w:pos="567"/>
              </w:tabs>
              <w:bidi/>
              <w:spacing w:before="120" w:after="120" w:line="280" w:lineRule="exact"/>
              <w:jc w:val="both"/>
              <w:rPr>
                <w:rFonts w:eastAsia="Times New Roman" w:cs="Calibri"/>
                <w:rtl/>
              </w:rPr>
            </w:pPr>
            <w:r w:rsidRPr="0017699B">
              <w:rPr>
                <w:rFonts w:cs="Calibri" w:hint="cs"/>
                <w:b/>
                <w:bCs/>
                <w:color w:val="333333"/>
                <w:rtl/>
              </w:rPr>
              <w:t>التوصية 8-ب:</w:t>
            </w:r>
            <w:r w:rsidRPr="0017699B">
              <w:rPr>
                <w:rFonts w:cs="Calibri" w:hint="cs"/>
                <w:color w:val="333333"/>
                <w:rtl/>
              </w:rPr>
              <w:t xml:space="preserve"> </w:t>
            </w:r>
            <w:r w:rsidRPr="0017699B">
              <w:rPr>
                <w:rFonts w:cs="Calibri" w:hint="cs"/>
                <w:rtl/>
              </w:rPr>
              <w:t xml:space="preserve">سيتم إعداد نسخة محدثة شاملة من تقرير انضمام مدريد ربع السنوي للربع الثالث من عام 2026. </w:t>
            </w:r>
          </w:p>
        </w:tc>
      </w:tr>
    </w:tbl>
    <w:p w14:paraId="0DAD0AB1" w14:textId="45C61BDB" w:rsidR="316211C0" w:rsidRPr="0017699B" w:rsidRDefault="316211C0" w:rsidP="009033FA">
      <w:pPr>
        <w:bidi/>
        <w:spacing w:before="120" w:after="120" w:line="280" w:lineRule="exact"/>
        <w:ind w:left="426"/>
        <w:jc w:val="both"/>
        <w:rPr>
          <w:rFonts w:eastAsia="Times New Roman" w:cs="Calibri"/>
          <w:rtl/>
        </w:rPr>
      </w:pPr>
      <w:r w:rsidRPr="0017699B">
        <w:rPr>
          <w:rFonts w:cs="Calibri" w:hint="cs"/>
          <w:rtl/>
        </w:rPr>
        <w:t xml:space="preserve"> </w:t>
      </w:r>
    </w:p>
    <w:p w14:paraId="6F380C57" w14:textId="2B1FEDD0" w:rsidR="316211C0" w:rsidRPr="0017699B" w:rsidRDefault="00BA31D8" w:rsidP="002F07D8">
      <w:pPr>
        <w:pStyle w:val="Heading5"/>
        <w:bidi/>
        <w:spacing w:before="120" w:after="120" w:line="280" w:lineRule="exact"/>
        <w:ind w:left="360"/>
        <w:rPr>
          <w:rFonts w:ascii="Arial" w:hAnsi="Arial" w:cs="Calibri"/>
          <w:rtl/>
        </w:rPr>
      </w:pPr>
      <w:bookmarkStart w:id="179" w:name="_Toc230784738"/>
      <w:r w:rsidRPr="0017699B">
        <w:rPr>
          <w:rFonts w:ascii="Arial" w:hAnsi="Arial" w:cs="Calibri" w:hint="cs"/>
          <w:rtl/>
        </w:rPr>
        <w:t>قواعد البيانات العالمية</w:t>
      </w:r>
      <w:bookmarkEnd w:id="179"/>
    </w:p>
    <w:p w14:paraId="1064D360" w14:textId="77777777" w:rsidR="00E473D1" w:rsidRPr="0017699B" w:rsidRDefault="00E473D1" w:rsidP="00352816">
      <w:pPr>
        <w:pStyle w:val="LFARPara"/>
        <w:bidi/>
        <w:spacing w:before="120"/>
        <w:ind w:left="850" w:hanging="493"/>
        <w:rPr>
          <w:rFonts w:ascii="Arial" w:hAnsi="Arial" w:cs="Calibri"/>
          <w:rtl/>
        </w:rPr>
      </w:pPr>
      <w:r w:rsidRPr="0017699B">
        <w:rPr>
          <w:rFonts w:ascii="Arial" w:hAnsi="Arial" w:cs="Calibri" w:hint="cs"/>
          <w:rtl/>
        </w:rPr>
        <w:t xml:space="preserve">تحتفظ الويبو بثلاث قواعد بيانات عالمية أساسية (قاعدة بيانات براءات الاختراع وقاعدة بيانات العلامات التجارية العالمية وقاعدة بيانات التصاميم العالمية) التي تعمل كمستودعات رئيسية متاحة للجمهور للمعلومات المتعلقة بالملكية الفكرية، وتجمع السجلات المستمدة من المكاتب الوطنية والإقليمية للملكية الفكرية في جميع أنحاء العالم. وتؤدي كل قاعدة بيانات وظيفة متميزة ولكنها مكملة لوظيفة أخرى داخل النظام البيئي العالمي لمعلومات الملكية الفكرية. </w:t>
      </w:r>
    </w:p>
    <w:p w14:paraId="070DC539" w14:textId="7B308550" w:rsidR="00E473D1" w:rsidRPr="0017699B" w:rsidRDefault="00E473D1" w:rsidP="00352816">
      <w:pPr>
        <w:pStyle w:val="LFARPara"/>
        <w:bidi/>
        <w:spacing w:before="120"/>
        <w:ind w:left="850" w:hanging="493"/>
        <w:rPr>
          <w:rFonts w:ascii="Arial" w:hAnsi="Arial" w:cs="Calibri"/>
          <w:rtl/>
        </w:rPr>
      </w:pPr>
      <w:r w:rsidRPr="0017699B">
        <w:rPr>
          <w:rFonts w:ascii="Arial" w:hAnsi="Arial" w:cs="Calibri" w:hint="cs"/>
          <w:rtl/>
        </w:rPr>
        <w:t xml:space="preserve">توفر قاعدة بيانات </w:t>
      </w:r>
      <w:r w:rsidRPr="0017699B">
        <w:rPr>
          <w:rFonts w:ascii="Arial" w:hAnsi="Arial" w:cs="Calibri"/>
        </w:rPr>
        <w:t>PATENTSCOPE</w:t>
      </w:r>
      <w:r w:rsidRPr="0017699B">
        <w:rPr>
          <w:rFonts w:ascii="Arial" w:hAnsi="Arial" w:cs="Calibri" w:hint="cs"/>
          <w:rtl/>
        </w:rPr>
        <w:t xml:space="preserve"> إمكانية الوصول إلى طلبات معاهدة التعاون بشأن البراءات الدولية المنشورة بنصها الكامل في يوم النشر، ووثائق البراءات من المكاتب الوطنية والإقليمية المشاركة، والمؤلفات غير المتعلقة بالبراءات. تغطي قاعدة البيانات ما يقدر بـ 126 مليون سجل براءة اختراع حتى أوائل عام 2026، مما يجعلها واحدة من أكثر منصات البحث عن براءات الاختراع شمولاً. توفر قاعدة بيانات العلامات التجارية العالمية (</w:t>
      </w:r>
      <w:r w:rsidRPr="0017699B">
        <w:rPr>
          <w:rFonts w:ascii="Arial" w:hAnsi="Arial" w:cs="Calibri"/>
        </w:rPr>
        <w:t>GBD</w:t>
      </w:r>
      <w:r w:rsidRPr="0017699B">
        <w:rPr>
          <w:rFonts w:ascii="Arial" w:hAnsi="Arial" w:cs="Calibri" w:hint="cs"/>
          <w:rtl/>
        </w:rPr>
        <w:t>) إمكانية الوصول إلى مجموعات من العلامات التجارية الدولية في إطار نظام مدريد والعلامات التجارية من المكاتب الوطنية والمكاتب الإقليمية المشاركة. كما يغطي أيضًا تسميات المنشأ المسجلة بموجب نظام لشبونة، وشعارات المادة 6 ثالثًا، والأسماء الدولية غير المسجلة الملكية لمنظمة الصحة العالمية. توفر قاعدة بيانات التصاميم العالمية (</w:t>
      </w:r>
      <w:r w:rsidRPr="0017699B">
        <w:rPr>
          <w:rFonts w:ascii="Arial" w:hAnsi="Arial" w:cs="Calibri"/>
        </w:rPr>
        <w:t>GDD</w:t>
      </w:r>
      <w:r w:rsidRPr="0017699B">
        <w:rPr>
          <w:rFonts w:ascii="Arial" w:hAnsi="Arial" w:cs="Calibri" w:hint="cs"/>
          <w:rtl/>
        </w:rPr>
        <w:t>) إمكانية الوصول إلى التصاميم الدولية في إطار نظام لاهاي من المكاتب الوطنية والمكاتب الإقليمية المشاركة. تدعم قواعد البيانات البحث عن المجموعات عن طريق العديد من حقول البحث المختلفة - الكلمات الرئيسية، والأسماء، والأرقام، والتصنيف، والتواريخ، والبلد، والأولوية، ومجموعات من هذه الحقول.</w:t>
      </w:r>
    </w:p>
    <w:p w14:paraId="3653C9CA" w14:textId="77777777" w:rsidR="00E473D1" w:rsidRPr="0017699B" w:rsidRDefault="00E473D1" w:rsidP="00352816">
      <w:pPr>
        <w:pStyle w:val="LFARPara"/>
        <w:bidi/>
        <w:spacing w:before="120"/>
        <w:ind w:left="850" w:hanging="493"/>
        <w:rPr>
          <w:rFonts w:ascii="Arial" w:hAnsi="Arial" w:cs="Calibri"/>
          <w:rtl/>
        </w:rPr>
      </w:pPr>
      <w:r w:rsidRPr="0017699B">
        <w:rPr>
          <w:rFonts w:ascii="Arial" w:hAnsi="Arial" w:cs="Calibri" w:hint="cs"/>
          <w:rtl/>
        </w:rPr>
        <w:t xml:space="preserve">على مر السنين، واصلت كل من </w:t>
      </w:r>
      <w:r w:rsidRPr="0017699B">
        <w:rPr>
          <w:rFonts w:ascii="Arial" w:hAnsi="Arial" w:cs="Calibri"/>
        </w:rPr>
        <w:t>PATENTSCOPE</w:t>
      </w:r>
      <w:r w:rsidRPr="0017699B">
        <w:rPr>
          <w:rFonts w:ascii="Arial" w:hAnsi="Arial" w:cs="Calibri" w:hint="cs"/>
          <w:rtl/>
        </w:rPr>
        <w:t xml:space="preserve"> و</w:t>
      </w:r>
      <w:r w:rsidRPr="0017699B">
        <w:rPr>
          <w:rFonts w:ascii="Arial" w:hAnsi="Arial" w:cs="Calibri"/>
        </w:rPr>
        <w:t>GPATENTSCOPE</w:t>
      </w:r>
      <w:r w:rsidRPr="0017699B">
        <w:rPr>
          <w:rFonts w:ascii="Arial" w:hAnsi="Arial" w:cs="Calibri" w:hint="cs"/>
          <w:rtl/>
        </w:rPr>
        <w:t xml:space="preserve"> و</w:t>
      </w:r>
      <w:r w:rsidRPr="0017699B">
        <w:rPr>
          <w:rFonts w:ascii="Arial" w:hAnsi="Arial" w:cs="Calibri"/>
        </w:rPr>
        <w:t>GBDD</w:t>
      </w:r>
      <w:r w:rsidRPr="0017699B">
        <w:rPr>
          <w:rFonts w:ascii="Arial" w:hAnsi="Arial" w:cs="Calibri" w:hint="cs"/>
          <w:rtl/>
        </w:rPr>
        <w:t xml:space="preserve"> و</w:t>
      </w:r>
      <w:r w:rsidRPr="0017699B">
        <w:rPr>
          <w:rFonts w:ascii="Arial" w:hAnsi="Arial" w:cs="Calibri"/>
        </w:rPr>
        <w:t>GDD</w:t>
      </w:r>
      <w:r w:rsidRPr="0017699B">
        <w:rPr>
          <w:rFonts w:ascii="Arial" w:hAnsi="Arial" w:cs="Calibri" w:hint="cs"/>
          <w:rtl/>
        </w:rPr>
        <w:t xml:space="preserve"> تقديم قيمة كبيرة لكل من المستخدمين ومكاتب الملكية الفكرية الوطنية. وتمثل قواعد البيانات الثلاث استثمارا مؤسسيا كبيرا من قبل الويبو وتعكس سنوات من التطوير التقني والمفاوضات الثنائية مع مكاتب الملكية الفكرية والتواصل مع السلطات الوطنية في جميع أنحاء العالم.</w:t>
      </w:r>
    </w:p>
    <w:p w14:paraId="6D43970D" w14:textId="31774357" w:rsidR="00E473D1" w:rsidRPr="0017699B" w:rsidRDefault="00A92222" w:rsidP="00352816">
      <w:pPr>
        <w:pStyle w:val="LFARPara"/>
        <w:bidi/>
        <w:spacing w:before="120"/>
        <w:ind w:left="850" w:hanging="493"/>
        <w:rPr>
          <w:rFonts w:ascii="Arial" w:hAnsi="Arial" w:cs="Calibri"/>
          <w:rtl/>
        </w:rPr>
      </w:pPr>
      <w:r w:rsidRPr="0017699B">
        <w:rPr>
          <w:rFonts w:ascii="Arial" w:hAnsi="Arial" w:cs="Calibri" w:hint="cs"/>
          <w:rtl/>
        </w:rPr>
        <w:t>حددت المراجعة فرص التحسين في مجالات ترتيبات تبادل البيانات ومراقبة التغطية عبر ثلاث قواعد بيانات على النحو التالي.</w:t>
      </w:r>
    </w:p>
    <w:p w14:paraId="655E26EC" w14:textId="34D6AC6F" w:rsidR="316211C0" w:rsidRPr="0017699B" w:rsidRDefault="00161889" w:rsidP="00BE31A8">
      <w:pPr>
        <w:pStyle w:val="Heading6"/>
        <w:bidi/>
        <w:spacing w:before="120" w:after="120" w:line="280" w:lineRule="exact"/>
        <w:ind w:left="336"/>
        <w:rPr>
          <w:rFonts w:ascii="Arial" w:eastAsia="Times New Roman" w:hAnsi="Arial" w:cs="Calibri"/>
          <w:rtl/>
        </w:rPr>
      </w:pPr>
      <w:bookmarkStart w:id="180" w:name="_Toc230784739"/>
      <w:r w:rsidRPr="0017699B">
        <w:rPr>
          <w:rFonts w:ascii="Arial" w:hAnsi="Arial" w:cs="Calibri" w:hint="cs"/>
          <w:rtl/>
        </w:rPr>
        <w:t>مواءمة ترتيبات الويبو لتبادل البيانات مع مكاتب الملكية الفكرية</w:t>
      </w:r>
      <w:bookmarkEnd w:id="180"/>
    </w:p>
    <w:p w14:paraId="23F90BD6" w14:textId="472BE542"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وتجمع قواعد البيانات العالمية للويبو بيانات الملكية الفكرية من المكاتب الوطنية للملكية الفكرية في جميع أنحاء العالم، وهي بمثابة مورد لأصحاب المصلحة في مجال الملكية الفكرية. وتماشيا مع الركيزة الاستراتيجية 3، التي تهدف إلى توفير خدمات ومعارف وبيانات عالية الجودة في مجال الملكية الفكرية، تتعاون المنظمة مع المكاتب الوطنية للملكية الفكرية على أساس طوعي لبناء موارد معلومات عالمية شاملة عن الملكية الفكرية. وتعتمد جودة البيانات في قواعد البيانات هذه واكتمالها ودقة توقيتها على الترتيبات التعاونية التي وضعتها الويبو مع المكاتب الوطنية للملكية الفكرية المساهمة. وبالنظر إلى الطبيعة الطوعية للترتيب ووضعه غير الإلزامي، فإن المنظمة تلعب دورًا حاسمًا في تيسير وتشجيع ودعم تبادل البيانات.</w:t>
      </w:r>
    </w:p>
    <w:p w14:paraId="7DC53959" w14:textId="5AB5B938"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ولاحظت المراجعة أن ترتيبات تبادل البيانات بين الويبو ومكاتب الملكية الفكرية قد تباينت. وقد عملت بعض المكاتب بموجب اتفاقات رسمية (مذكرة تفاهم، وخطة تعاون، واتفاق تعاون، واتفاق تعاون تقني، واتفاق تعاون تقني، واتفاق تبادل البيانات)، بينما ساهمت مكاتب أخرى للملكية الفكرية من خلال ترتيبات غير رسمية (البريد الإلكتروني والبيانات المفتوحة). ويعكس تنوع هذه الترتيبات الطبيعة الطوعية للمشاركة، والقدرات المختلفة، وأولويات المكاتب الوطنية. ومع ذلك، فقد أتاح أيضًا فرصًا للمنظمة لتعزيز تغطية وموثوقية البيانات في قواعد البيانات العالمية.</w:t>
      </w:r>
    </w:p>
    <w:p w14:paraId="465C5876" w14:textId="5553F85F" w:rsidR="316211C0" w:rsidRPr="0017699B" w:rsidRDefault="316211C0" w:rsidP="00352816">
      <w:pPr>
        <w:pStyle w:val="LFARPara"/>
        <w:bidi/>
        <w:spacing w:before="120"/>
        <w:ind w:left="850" w:hanging="493"/>
        <w:rPr>
          <w:rFonts w:ascii="Arial" w:hAnsi="Arial" w:cs="Calibri"/>
          <w:rtl/>
        </w:rPr>
      </w:pPr>
      <w:r w:rsidRPr="0017699B">
        <w:rPr>
          <w:rFonts w:ascii="Arial" w:hAnsi="Arial" w:cs="Calibri" w:hint="cs"/>
          <w:rtl/>
        </w:rPr>
        <w:t>أظهر أحدث نموذج لاتفاقية تبادل البيانات الذي قدمته جهة الاتصال أن المكتب سيقدم تحديثات منتظمة حول بيانات التبادل. ولكن لم تكن هناك معلومات أو شروط تتعلق بالتحديثات المنتظمة. وعلاوة على ذلك، أظهرت الاتفاقيات باللغة الإنجليزية أن معظم الوثائق لم تحدد تواتر التحديث أو الجداول الزمنية للتقديم أو توقعات جودة البيانات. في حين أن شرط تقديم تحديثات منتظمة كان متاحًا، إلا أنها كانت عادةً غير ملزمة. وقد تم تنفيذ الاتفاقيات التي وقعها الطرفان على مر السنين بمستويات متفاوتة من الالتزام والفعالية في مختلف مكاتب الملكية الفكرية.</w:t>
      </w:r>
    </w:p>
    <w:p w14:paraId="5F6C1E93" w14:textId="475F2F35" w:rsidR="316211C0" w:rsidRPr="0017699B" w:rsidRDefault="00A92222" w:rsidP="00662CC7">
      <w:pPr>
        <w:pStyle w:val="LFARPara"/>
        <w:bidi/>
        <w:spacing w:before="120" w:after="240"/>
        <w:ind w:left="850" w:hanging="493"/>
        <w:rPr>
          <w:rFonts w:ascii="Arial" w:hAnsi="Arial" w:cs="Calibri"/>
          <w:rtl/>
        </w:rPr>
      </w:pPr>
      <w:r w:rsidRPr="0017699B">
        <w:rPr>
          <w:rFonts w:ascii="Arial" w:hAnsi="Arial" w:cs="Calibri" w:hint="cs"/>
          <w:rtl/>
        </w:rPr>
        <w:t>وقد يكفل وضع إطار اتفاق موحد أن تكون علاقة الويبو مع جميع المكاتب الوطنية للملكية الفكرية على نفس المستوى من الرسمية والالتزام. وقد يضمن هذا الشرط اتساق البيانات ويعزز مكانة الويبو في النظام العالمي للملكية الفكرية. ومن المعترف به أن قدرة الويبو على توحيد هذه الترتيبات وإضفاء الطابع الرسمي عليها مقيدة بطبيعة التعاون الذي يقوم على أحكام وشروط متفق عليها بشكل متبادل، مع تقاسم المسؤولية عن تنفيذ المشاريع، وبهدف نهائي هو الاستدامة على المدى الطويل.</w:t>
      </w:r>
    </w:p>
    <w:tbl>
      <w:tblPr>
        <w:bidiVisual/>
        <w:tblW w:w="86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9"/>
      </w:tblGrid>
      <w:tr w:rsidR="56FBB274" w:rsidRPr="0017699B" w14:paraId="1AAA261D" w14:textId="77777777" w:rsidTr="00BE31A8">
        <w:trPr>
          <w:trHeight w:val="75"/>
        </w:trPr>
        <w:tc>
          <w:tcPr>
            <w:tcW w:w="8659" w:type="dxa"/>
            <w:shd w:val="clear" w:color="auto" w:fill="BDD6EE" w:themeFill="accent1" w:themeFillTint="66"/>
            <w:tcMar>
              <w:left w:w="108" w:type="dxa"/>
              <w:right w:w="108" w:type="dxa"/>
            </w:tcMar>
          </w:tcPr>
          <w:p w14:paraId="31A983C4" w14:textId="1F8C36D7" w:rsidR="56FBB274" w:rsidRPr="0017699B" w:rsidRDefault="5DAED50B" w:rsidP="000079BF">
            <w:pPr>
              <w:tabs>
                <w:tab w:val="left" w:pos="567"/>
              </w:tabs>
              <w:bidi/>
              <w:spacing w:before="120" w:after="120" w:line="280" w:lineRule="exact"/>
              <w:jc w:val="both"/>
              <w:rPr>
                <w:rFonts w:eastAsia="Times New Roman" w:cs="Calibri"/>
                <w:b/>
                <w:bCs/>
                <w:rtl/>
              </w:rPr>
            </w:pPr>
            <w:r w:rsidRPr="0017699B">
              <w:rPr>
                <w:rFonts w:cs="Calibri" w:hint="cs"/>
                <w:b/>
                <w:bCs/>
                <w:rtl/>
              </w:rPr>
              <w:t>التوصية 9</w:t>
            </w:r>
          </w:p>
          <w:p w14:paraId="39FD112A" w14:textId="2D3ACE19" w:rsidR="56FBB274" w:rsidRPr="0017699B" w:rsidRDefault="00AD0F26" w:rsidP="000079BF">
            <w:pPr>
              <w:bidi/>
              <w:spacing w:before="120" w:after="120" w:line="280" w:lineRule="exact"/>
              <w:jc w:val="both"/>
              <w:rPr>
                <w:rFonts w:eastAsia="Times New Roman" w:cs="Calibri"/>
                <w:rtl/>
              </w:rPr>
            </w:pPr>
            <w:r>
              <w:rPr>
                <w:rFonts w:cs="Calibri" w:hint="cs"/>
                <w:rtl/>
              </w:rPr>
              <w:t>ي</w:t>
            </w:r>
            <w:r w:rsidR="5DAED50B" w:rsidRPr="0017699B">
              <w:rPr>
                <w:rFonts w:cs="Calibri" w:hint="cs"/>
                <w:rtl/>
              </w:rPr>
              <w:t xml:space="preserve">وصي </w:t>
            </w:r>
            <w:r w:rsidR="5DAED50B" w:rsidRPr="0017699B">
              <w:rPr>
                <w:rFonts w:cs="Calibri"/>
              </w:rPr>
              <w:t>BPK</w:t>
            </w:r>
            <w:r w:rsidR="5DAED50B" w:rsidRPr="0017699B">
              <w:rPr>
                <w:rFonts w:cs="Calibri" w:hint="cs"/>
                <w:rtl/>
              </w:rPr>
              <w:t xml:space="preserve"> بأن تقوم المنظمة بما يلي:</w:t>
            </w:r>
          </w:p>
          <w:p w14:paraId="599B2589" w14:textId="5A1E1338" w:rsidR="56FBB274" w:rsidRPr="0017699B" w:rsidRDefault="5DAED50B" w:rsidP="000079BF">
            <w:pPr>
              <w:pStyle w:val="ListParagraph"/>
              <w:numPr>
                <w:ilvl w:val="0"/>
                <w:numId w:val="12"/>
              </w:numPr>
              <w:bidi/>
              <w:spacing w:before="120" w:after="120" w:line="280" w:lineRule="exact"/>
              <w:ind w:left="360"/>
              <w:contextualSpacing w:val="0"/>
              <w:jc w:val="both"/>
              <w:rPr>
                <w:rFonts w:eastAsia="Times New Roman" w:cs="Calibri"/>
                <w:rtl/>
              </w:rPr>
            </w:pPr>
            <w:r w:rsidRPr="0017699B">
              <w:rPr>
                <w:rFonts w:cs="Calibri" w:hint="cs"/>
                <w:rtl/>
              </w:rPr>
              <w:t>تطوير نموذج اتفاقية تبادل بيانات موحد معزز وموحد مع الحفاظ على قابليته للتكيف مع احتياجات كل مكتب. يجب أن يشمل النموذج، على سبيل المثال لا الحصر، التوقعات التشغيلية، بما في ذلك تواتر التحديث المتفق عليه بشكل متبادل والجداول الزمنية للتقديم.</w:t>
            </w:r>
          </w:p>
          <w:p w14:paraId="1DC20E06" w14:textId="2027D7E1" w:rsidR="00662CC7" w:rsidRPr="0017699B" w:rsidRDefault="5DAED50B" w:rsidP="003C5A16">
            <w:pPr>
              <w:pStyle w:val="ListParagraph"/>
              <w:numPr>
                <w:ilvl w:val="0"/>
                <w:numId w:val="12"/>
              </w:numPr>
              <w:bidi/>
              <w:spacing w:before="120" w:after="120" w:line="280" w:lineRule="exact"/>
              <w:ind w:left="357" w:hanging="357"/>
              <w:contextualSpacing w:val="0"/>
              <w:jc w:val="both"/>
              <w:rPr>
                <w:rFonts w:eastAsia="Times New Roman" w:cs="Calibri"/>
                <w:rtl/>
              </w:rPr>
            </w:pPr>
            <w:r w:rsidRPr="0017699B">
              <w:rPr>
                <w:rFonts w:cs="Calibri" w:hint="cs"/>
                <w:rtl/>
              </w:rPr>
              <w:t>مراجعة الاتفاقيات القائمة لإعطاء الأولوية للمشاركة مع مكاتب الملكية الفكرية لتوسيع نطاق تغطية حقوق الملكية الفكرية، أي براءات الاختراع والعلامات التجارية والتصاميم الصناعية.</w:t>
            </w:r>
          </w:p>
        </w:tc>
      </w:tr>
      <w:tr w:rsidR="56FBB274" w:rsidRPr="0017699B" w14:paraId="7B0CC166" w14:textId="77777777" w:rsidTr="00BE31A8">
        <w:trPr>
          <w:trHeight w:val="75"/>
        </w:trPr>
        <w:tc>
          <w:tcPr>
            <w:tcW w:w="8659" w:type="dxa"/>
            <w:shd w:val="clear" w:color="auto" w:fill="DEEAF6" w:themeFill="accent1" w:themeFillTint="33"/>
            <w:tcMar>
              <w:left w:w="108" w:type="dxa"/>
              <w:right w:w="108" w:type="dxa"/>
            </w:tcMar>
          </w:tcPr>
          <w:p w14:paraId="443B97DE" w14:textId="411AAFA7" w:rsidR="56FBB274" w:rsidRPr="0017699B" w:rsidRDefault="5DAED50B" w:rsidP="000079BF">
            <w:pPr>
              <w:bidi/>
              <w:spacing w:before="120" w:after="120" w:line="280" w:lineRule="exact"/>
              <w:rPr>
                <w:rFonts w:eastAsia="Times New Roman" w:cs="Calibri"/>
                <w:b/>
                <w:bCs/>
                <w:rtl/>
              </w:rPr>
            </w:pPr>
            <w:r w:rsidRPr="0017699B">
              <w:rPr>
                <w:rFonts w:cs="Calibri" w:hint="cs"/>
                <w:b/>
                <w:bCs/>
                <w:rtl/>
              </w:rPr>
              <w:t>رد الإدارة:</w:t>
            </w:r>
            <w:r w:rsidRPr="0017699B">
              <w:rPr>
                <w:rFonts w:cs="Calibri" w:hint="cs"/>
                <w:rtl/>
              </w:rPr>
              <w:t xml:space="preserve"> </w:t>
            </w:r>
          </w:p>
          <w:p w14:paraId="31C4BB9E" w14:textId="427D3581" w:rsidR="56FBB274" w:rsidRPr="0017699B" w:rsidRDefault="00B65778" w:rsidP="000079BF">
            <w:pPr>
              <w:tabs>
                <w:tab w:val="left" w:pos="567"/>
              </w:tabs>
              <w:bidi/>
              <w:spacing w:before="120" w:after="120" w:line="280" w:lineRule="exact"/>
              <w:jc w:val="both"/>
              <w:rPr>
                <w:rFonts w:eastAsia="Times New Roman" w:cs="Calibri"/>
                <w:color w:val="333333"/>
                <w:rtl/>
              </w:rPr>
            </w:pPr>
            <w:r w:rsidRPr="0017699B">
              <w:rPr>
                <w:rFonts w:cs="Calibri" w:hint="cs"/>
                <w:color w:val="333333"/>
                <w:rtl/>
              </w:rPr>
              <w:t>توافق الإدارة على التوصية.</w:t>
            </w:r>
          </w:p>
          <w:p w14:paraId="0B75BC39" w14:textId="3CDBD339" w:rsidR="56FBB274" w:rsidRPr="0017699B" w:rsidRDefault="00161889" w:rsidP="000079BF">
            <w:pPr>
              <w:tabs>
                <w:tab w:val="left" w:pos="567"/>
              </w:tabs>
              <w:bidi/>
              <w:spacing w:before="120" w:after="120" w:line="280" w:lineRule="exact"/>
              <w:jc w:val="both"/>
              <w:rPr>
                <w:rFonts w:eastAsia="Times New Roman" w:cs="Calibri"/>
                <w:color w:val="333333"/>
                <w:rtl/>
              </w:rPr>
            </w:pPr>
            <w:r w:rsidRPr="0017699B">
              <w:rPr>
                <w:rFonts w:cs="Calibri" w:hint="cs"/>
                <w:b/>
                <w:bCs/>
                <w:color w:val="333333"/>
                <w:rtl/>
              </w:rPr>
              <w:t>التوصية 9-أ:</w:t>
            </w:r>
            <w:r w:rsidRPr="0017699B">
              <w:rPr>
                <w:rFonts w:cs="Calibri" w:hint="cs"/>
                <w:color w:val="333333"/>
                <w:rtl/>
              </w:rPr>
              <w:t xml:space="preserve"> سنقوم بمراجعة نموذج اتفاقية تبادل البيانات ليشمل المزيد من المواصفات التشغيلية بحلول الربع الرابع من عام 2026.</w:t>
            </w:r>
          </w:p>
          <w:p w14:paraId="149CD136" w14:textId="5842FC1C" w:rsidR="56FBB274" w:rsidRPr="0017699B" w:rsidRDefault="00161889" w:rsidP="000079BF">
            <w:pPr>
              <w:tabs>
                <w:tab w:val="left" w:pos="567"/>
              </w:tabs>
              <w:bidi/>
              <w:spacing w:before="120" w:after="120" w:line="280" w:lineRule="exact"/>
              <w:jc w:val="both"/>
              <w:rPr>
                <w:rFonts w:eastAsia="Times New Roman" w:cs="Calibri"/>
                <w:color w:val="333333"/>
                <w:rtl/>
              </w:rPr>
            </w:pPr>
            <w:r w:rsidRPr="0017699B">
              <w:rPr>
                <w:rFonts w:cs="Calibri" w:hint="cs"/>
                <w:b/>
                <w:bCs/>
                <w:color w:val="333333"/>
                <w:rtl/>
              </w:rPr>
              <w:t>التوصية 9-ب:</w:t>
            </w:r>
            <w:r w:rsidRPr="0017699B">
              <w:rPr>
                <w:rFonts w:cs="Calibri" w:hint="cs"/>
                <w:color w:val="333333"/>
                <w:rtl/>
              </w:rPr>
              <w:t xml:space="preserve"> ومن المتوقع أن تكون مراجعة الاتفاقات القائمة مع مكاتب الملكية الفكرية جهداً طويل الأجل بسبب عدد الاتفاقات المعنية والقدرة المحدودة للعديد من مكاتب الملكية الفكرية على تقديم تحليل قانوني إضافي في الأجل القصير. من المتوقع أن تتم هذه المراجعة من الربع الرابع من عام 2026 حتى نهاية عام 2027.</w:t>
            </w:r>
          </w:p>
        </w:tc>
      </w:tr>
    </w:tbl>
    <w:p w14:paraId="1EE319E6" w14:textId="3C4DE2D5" w:rsidR="316211C0" w:rsidRPr="0017699B" w:rsidRDefault="316211C0" w:rsidP="56FBB274">
      <w:pPr>
        <w:bidi/>
        <w:spacing w:line="257" w:lineRule="auto"/>
        <w:jc w:val="both"/>
        <w:rPr>
          <w:rFonts w:eastAsia="Times New Roman" w:cs="Calibri"/>
          <w:rtl/>
        </w:rPr>
      </w:pPr>
      <w:r w:rsidRPr="0017699B">
        <w:rPr>
          <w:rFonts w:cs="Calibri" w:hint="cs"/>
          <w:rtl/>
        </w:rPr>
        <w:t xml:space="preserve"> </w:t>
      </w:r>
    </w:p>
    <w:p w14:paraId="6B5DD995" w14:textId="10E2DA43" w:rsidR="316211C0" w:rsidRPr="0017699B" w:rsidRDefault="00BE31A8" w:rsidP="00BE31A8">
      <w:pPr>
        <w:pStyle w:val="Heading6"/>
        <w:bidi/>
        <w:spacing w:before="120" w:after="120" w:line="280" w:lineRule="exact"/>
        <w:ind w:left="378"/>
        <w:rPr>
          <w:rFonts w:ascii="Arial" w:eastAsia="Times New Roman" w:hAnsi="Arial" w:cs="Calibri"/>
          <w:rtl/>
        </w:rPr>
      </w:pPr>
      <w:bookmarkStart w:id="181" w:name="_Toc230784740"/>
      <w:r w:rsidRPr="0017699B">
        <w:rPr>
          <w:rFonts w:ascii="Arial" w:hAnsi="Arial" w:cs="Calibri" w:hint="cs"/>
          <w:rtl/>
        </w:rPr>
        <w:t>تعزيز تغطية البيانات لقواعد البيانات العالمية للويبو</w:t>
      </w:r>
      <w:bookmarkEnd w:id="181"/>
    </w:p>
    <w:p w14:paraId="24B53226" w14:textId="1F57F503" w:rsidR="316211C0" w:rsidRPr="0017699B" w:rsidRDefault="316211C0" w:rsidP="00161889">
      <w:pPr>
        <w:pStyle w:val="LFARPara"/>
        <w:bidi/>
        <w:spacing w:before="120"/>
        <w:ind w:left="850" w:hanging="493"/>
        <w:rPr>
          <w:rFonts w:ascii="Arial" w:hAnsi="Arial" w:cs="Calibri"/>
          <w:rtl/>
        </w:rPr>
      </w:pPr>
      <w:r w:rsidRPr="0017699B">
        <w:rPr>
          <w:rFonts w:ascii="Arial" w:hAnsi="Arial" w:cs="Calibri" w:hint="cs"/>
          <w:rtl/>
        </w:rPr>
        <w:t>تجمع قواعد البيانات العالمية للويبو (قواعد بيانات الويبو العالمية (</w:t>
      </w:r>
      <w:r w:rsidRPr="0017699B">
        <w:rPr>
          <w:rFonts w:ascii="Arial" w:hAnsi="Arial" w:cs="Calibri"/>
        </w:rPr>
        <w:t>PATENTSCOPE</w:t>
      </w:r>
      <w:r w:rsidRPr="0017699B">
        <w:rPr>
          <w:rFonts w:ascii="Arial" w:hAnsi="Arial" w:cs="Calibri" w:hint="cs"/>
          <w:rtl/>
        </w:rPr>
        <w:t>، وقاعدة بيانات العلامات التجارية العالمية/</w:t>
      </w:r>
      <w:r w:rsidRPr="0017699B">
        <w:rPr>
          <w:rFonts w:ascii="Arial" w:hAnsi="Arial" w:cs="Calibri"/>
        </w:rPr>
        <w:t>GBD</w:t>
      </w:r>
      <w:r w:rsidRPr="0017699B">
        <w:rPr>
          <w:rFonts w:ascii="Arial" w:hAnsi="Arial" w:cs="Calibri" w:hint="cs"/>
          <w:rtl/>
        </w:rPr>
        <w:t>، وقاعدة بيانات التصاميم العالمية/</w:t>
      </w:r>
      <w:r w:rsidRPr="0017699B">
        <w:rPr>
          <w:rFonts w:ascii="Arial" w:hAnsi="Arial" w:cs="Calibri"/>
        </w:rPr>
        <w:t>GBD</w:t>
      </w:r>
      <w:r w:rsidRPr="0017699B">
        <w:rPr>
          <w:rFonts w:ascii="Arial" w:hAnsi="Arial" w:cs="Calibri" w:hint="cs"/>
          <w:rtl/>
        </w:rPr>
        <w:t>) سجلات الملكية الفكرية من جميع أنحاء العالم، مما يجعلها أدوات لا تقدر بثمن للفاحصين ومكاتب الملكية الفكرية والباحثين وغيرهم من المستخدمين. وقد احتفظت براءات الاختراع (</w:t>
      </w:r>
      <w:r w:rsidRPr="0017699B">
        <w:rPr>
          <w:rFonts w:ascii="Arial" w:hAnsi="Arial" w:cs="Calibri"/>
        </w:rPr>
        <w:t>PATENTSCOPE</w:t>
      </w:r>
      <w:r w:rsidRPr="0017699B">
        <w:rPr>
          <w:rFonts w:ascii="Arial" w:hAnsi="Arial" w:cs="Calibri" w:hint="cs"/>
          <w:rtl/>
        </w:rPr>
        <w:t xml:space="preserve">) و </w:t>
      </w:r>
      <w:r w:rsidRPr="0017699B">
        <w:rPr>
          <w:rFonts w:ascii="Arial" w:hAnsi="Arial" w:cs="Calibri"/>
        </w:rPr>
        <w:t>GBD</w:t>
      </w:r>
      <w:r w:rsidRPr="0017699B">
        <w:rPr>
          <w:rFonts w:ascii="Arial" w:hAnsi="Arial" w:cs="Calibri" w:hint="cs"/>
          <w:rtl/>
        </w:rPr>
        <w:t xml:space="preserve"> و </w:t>
      </w:r>
      <w:r w:rsidRPr="0017699B">
        <w:rPr>
          <w:rFonts w:ascii="Arial" w:hAnsi="Arial" w:cs="Calibri"/>
        </w:rPr>
        <w:t>GDD</w:t>
      </w:r>
      <w:r w:rsidRPr="0017699B">
        <w:rPr>
          <w:rFonts w:ascii="Arial" w:hAnsi="Arial" w:cs="Calibri" w:hint="cs"/>
          <w:rtl/>
        </w:rPr>
        <w:t xml:space="preserve"> على التوالي بـ 126 مليون سجل براءة اختراع من معاهدة التعاون بشأن البراءات و 84 مصدرًا؛ و 72 مليون سجل علامة تجارية من 88 مصدرًا (بما في ذلك المادة 6 ثالثًا من اتفاقية باريس، والنظام الدولي لتسميات المنشأ، ونظام مدريد للحماية الدولية للعلامات التجارية التابع للمنظمة العالمية للملكية الفكرية (الويبو) ونظام لاهاي للحماية الدولية للعلامات التجارية، ومنظمة الصحة العالمية للأسماء الدولية غير المملوكة)؛ و 18 مليون سجل تصميم من 41 مصدرًا (بما في ذلك نظام لاهاي للحماية الدولية للتصميمات التابع للمنظمة العالمية للملكية الفكرية). وتكتسي دقة البيانات الواردة واكتمالها وحسن توقيتها أهمية بالغة بالنسبة للمستخدمين، بما يتماشى مع الركيزة الاستراتيجية 3 للويبو، وهي توفير خدمات ومعارف وبيانات عالية الجودة في مجال الملكية الفكرية تقدم قيمة للمستخدمين في جميع أنحاء العالم.</w:t>
      </w:r>
    </w:p>
    <w:p w14:paraId="677E90A9" w14:textId="73045C20" w:rsidR="316211C0" w:rsidRPr="0017699B" w:rsidRDefault="316211C0" w:rsidP="00161889">
      <w:pPr>
        <w:pStyle w:val="LFARPara"/>
        <w:bidi/>
        <w:spacing w:before="120"/>
        <w:ind w:left="850" w:hanging="493"/>
        <w:rPr>
          <w:rFonts w:ascii="Arial" w:hAnsi="Arial" w:cs="Calibri"/>
          <w:rtl/>
        </w:rPr>
      </w:pPr>
      <w:r w:rsidRPr="0017699B">
        <w:rPr>
          <w:rFonts w:ascii="Arial" w:hAnsi="Arial" w:cs="Calibri" w:hint="cs"/>
          <w:rtl/>
        </w:rPr>
        <w:t xml:space="preserve">وحددت المراجعة مجالات محتملة للتحسين من أجل تعزيز استخدام قواعد البيانات العالمية للويبو، على النحو التالي: </w:t>
      </w:r>
    </w:p>
    <w:p w14:paraId="2E1FE5A3" w14:textId="01C1D064" w:rsidR="316211C0" w:rsidRPr="0017699B" w:rsidRDefault="316211C0" w:rsidP="6ADD5045">
      <w:pPr>
        <w:pStyle w:val="ListParagraph"/>
        <w:numPr>
          <w:ilvl w:val="0"/>
          <w:numId w:val="26"/>
        </w:numPr>
        <w:bidi/>
        <w:spacing w:before="120" w:after="120" w:line="280" w:lineRule="exact"/>
        <w:contextualSpacing w:val="0"/>
        <w:jc w:val="both"/>
        <w:rPr>
          <w:rFonts w:eastAsia="Times New Roman" w:cs="Calibri"/>
          <w:b/>
          <w:bCs/>
          <w:i/>
          <w:iCs/>
          <w:rtl/>
        </w:rPr>
      </w:pPr>
      <w:r w:rsidRPr="0017699B">
        <w:rPr>
          <w:rFonts w:cs="Calibri" w:hint="cs"/>
          <w:b/>
          <w:bCs/>
          <w:i/>
          <w:iCs/>
          <w:rtl/>
        </w:rPr>
        <w:t>تعزيز تغطية البيانات</w:t>
      </w:r>
    </w:p>
    <w:p w14:paraId="40B79263" w14:textId="0F44B35C" w:rsidR="316211C0" w:rsidRPr="0017699B" w:rsidRDefault="00FC5D7E" w:rsidP="00FC5D7E">
      <w:pPr>
        <w:bidi/>
        <w:spacing w:before="120" w:after="120" w:line="280" w:lineRule="exact"/>
        <w:ind w:firstLine="420"/>
        <w:jc w:val="both"/>
        <w:rPr>
          <w:rFonts w:eastAsia="Times New Roman" w:cs="Calibri"/>
          <w:b/>
          <w:i/>
          <w:rtl/>
        </w:rPr>
      </w:pPr>
      <w:r w:rsidRPr="0017699B">
        <w:rPr>
          <w:rFonts w:cs="Calibri" w:hint="cs"/>
          <w:b/>
          <w:bCs/>
          <w:i/>
          <w:iCs/>
          <w:rtl/>
        </w:rPr>
        <w:t>1) بعض المجموعات لم يتم تحديثها منذ سنوات</w:t>
      </w:r>
    </w:p>
    <w:p w14:paraId="72D5E407" w14:textId="77777777" w:rsidR="00121B6D" w:rsidRPr="0017699B" w:rsidRDefault="316211C0" w:rsidP="00161889">
      <w:pPr>
        <w:pStyle w:val="LFARPara"/>
        <w:bidi/>
        <w:spacing w:before="120"/>
        <w:ind w:left="850" w:hanging="493"/>
        <w:rPr>
          <w:rFonts w:ascii="Arial" w:hAnsi="Arial" w:cs="Calibri"/>
          <w:rtl/>
        </w:rPr>
      </w:pPr>
      <w:r w:rsidRPr="0017699B">
        <w:rPr>
          <w:rFonts w:ascii="Arial" w:hAnsi="Arial" w:cs="Calibri" w:hint="cs"/>
          <w:rtl/>
        </w:rPr>
        <w:t xml:space="preserve">حددت مراجعة صفحة تغطية بيانات </w:t>
      </w:r>
      <w:r w:rsidRPr="0017699B">
        <w:rPr>
          <w:rFonts w:ascii="Arial" w:hAnsi="Arial" w:cs="Calibri"/>
        </w:rPr>
        <w:t>PATENTSCOPE</w:t>
      </w:r>
      <w:r w:rsidRPr="0017699B">
        <w:rPr>
          <w:rFonts w:ascii="Arial" w:hAnsi="Arial" w:cs="Calibri" w:hint="cs"/>
          <w:rtl/>
        </w:rPr>
        <w:t xml:space="preserve"> والمعلومات المتاحة في قاعدة البيانات العالمية للبيانات العامة وقاعدة البيانات العالمية للبيانات العديد من المجموعات الوطنية التي لم تتلق تحديثات للبيانات لفترات طويلة، وفي بعض الحالات لمدة عقد أو أكثر. يقدم الجدول أدناه أمثلة توضيحية.</w:t>
      </w:r>
    </w:p>
    <w:p w14:paraId="16E6BA8E" w14:textId="0CD56F7E" w:rsidR="005B4F82" w:rsidRPr="0017699B" w:rsidRDefault="005B4F82" w:rsidP="00EE62C3">
      <w:pPr>
        <w:pStyle w:val="Caption"/>
        <w:bidi/>
        <w:rPr>
          <w:rFonts w:cs="Calibri"/>
          <w:rtl/>
        </w:rPr>
      </w:pPr>
      <w:bookmarkStart w:id="182" w:name="_Toc227253898"/>
      <w:bookmarkStart w:id="183" w:name="_Toc227254538"/>
      <w:bookmarkStart w:id="184" w:name="_Toc227254984"/>
      <w:bookmarkStart w:id="185" w:name="_Toc228101643"/>
      <w:r w:rsidRPr="0017699B">
        <w:rPr>
          <w:rFonts w:cs="Calibri" w:hint="cs"/>
          <w:rtl/>
        </w:rPr>
        <w:t xml:space="preserve">الجدول </w:t>
      </w:r>
      <w:r w:rsidRPr="0017699B">
        <w:rPr>
          <w:rFonts w:cs="Calibri"/>
        </w:rPr>
        <w:fldChar w:fldCharType="begin"/>
      </w:r>
      <w:r w:rsidRPr="0017699B">
        <w:rPr>
          <w:rFonts w:cs="Calibri"/>
          <w:rtl/>
        </w:rPr>
        <w:instrText xml:space="preserve"> </w:instrText>
      </w:r>
      <w:r w:rsidRPr="0017699B">
        <w:rPr>
          <w:rFonts w:cs="Calibri"/>
        </w:rPr>
        <w:instrText xml:space="preserve">SEQ Table \* ARABIC </w:instrText>
      </w:r>
      <w:r w:rsidRPr="0017699B">
        <w:rPr>
          <w:rFonts w:cs="Calibri"/>
        </w:rPr>
        <w:fldChar w:fldCharType="separate"/>
      </w:r>
      <w:r w:rsidR="009258BE" w:rsidRPr="0017699B">
        <w:rPr>
          <w:rFonts w:cs="Calibri" w:hint="cs"/>
          <w:rtl/>
        </w:rPr>
        <w:t>3</w:t>
      </w:r>
      <w:r w:rsidRPr="0017699B">
        <w:rPr>
          <w:rFonts w:cs="Calibri"/>
        </w:rPr>
        <w:fldChar w:fldCharType="end"/>
      </w:r>
      <w:r w:rsidRPr="0017699B">
        <w:rPr>
          <w:rFonts w:cs="Calibri" w:hint="cs"/>
          <w:rtl/>
        </w:rPr>
        <w:t>.</w:t>
      </w:r>
      <w:bookmarkEnd w:id="182"/>
      <w:r w:rsidRPr="0017699B">
        <w:rPr>
          <w:rFonts w:cs="Calibri" w:hint="cs"/>
          <w:rtl/>
        </w:rPr>
        <w:tab/>
        <w:t>مجموعات مكاتب الملكية الفكرية مع تحديثات غير منتظمة</w:t>
      </w:r>
      <w:bookmarkEnd w:id="183"/>
      <w:bookmarkEnd w:id="184"/>
      <w:bookmarkEnd w:id="185"/>
    </w:p>
    <w:tbl>
      <w:tblPr>
        <w:bidiVisual/>
        <w:tblW w:w="8149" w:type="dxa"/>
        <w:tblInd w:w="895" w:type="dxa"/>
        <w:tblLook w:val="04A0" w:firstRow="1" w:lastRow="0" w:firstColumn="1" w:lastColumn="0" w:noHBand="0" w:noVBand="1"/>
      </w:tblPr>
      <w:tblGrid>
        <w:gridCol w:w="716"/>
        <w:gridCol w:w="1660"/>
        <w:gridCol w:w="1823"/>
        <w:gridCol w:w="1144"/>
        <w:gridCol w:w="998"/>
        <w:gridCol w:w="1808"/>
      </w:tblGrid>
      <w:tr w:rsidR="008C233D" w:rsidRPr="0017699B" w14:paraId="698BB74A" w14:textId="77777777" w:rsidTr="66DE4C64">
        <w:trPr>
          <w:trHeight w:val="300"/>
          <w:tblHeader/>
        </w:trPr>
        <w:tc>
          <w:tcPr>
            <w:tcW w:w="716" w:type="dxa"/>
            <w:tcBorders>
              <w:top w:val="single" w:sz="4" w:space="0" w:color="auto"/>
              <w:left w:val="single" w:sz="4" w:space="0" w:color="auto"/>
              <w:bottom w:val="single" w:sz="4" w:space="0" w:color="auto"/>
              <w:right w:val="single" w:sz="4" w:space="0" w:color="auto"/>
            </w:tcBorders>
            <w:shd w:val="clear" w:color="auto" w:fill="D4E1FC"/>
            <w:noWrap/>
            <w:vAlign w:val="center"/>
          </w:tcPr>
          <w:p w14:paraId="124DB8BB" w14:textId="77777777" w:rsidR="008C233D" w:rsidRPr="0017699B" w:rsidRDefault="7B3E807B" w:rsidP="006B226A">
            <w:pPr>
              <w:bidi/>
              <w:jc w:val="center"/>
              <w:rPr>
                <w:rFonts w:cs="Calibri"/>
                <w:b/>
                <w:bCs/>
                <w:color w:val="000000"/>
                <w:sz w:val="16"/>
                <w:szCs w:val="16"/>
                <w:rtl/>
              </w:rPr>
            </w:pPr>
            <w:r w:rsidRPr="0017699B">
              <w:rPr>
                <w:rFonts w:cs="Calibri" w:hint="cs"/>
                <w:b/>
                <w:bCs/>
                <w:sz w:val="16"/>
                <w:szCs w:val="16"/>
                <w:rtl/>
              </w:rPr>
              <w:t>الرقم</w:t>
            </w:r>
          </w:p>
        </w:tc>
        <w:tc>
          <w:tcPr>
            <w:tcW w:w="1660"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4AB4A3C4" w14:textId="2627C790" w:rsidR="008C233D" w:rsidRPr="0017699B" w:rsidRDefault="00161889" w:rsidP="006B226A">
            <w:pPr>
              <w:bidi/>
              <w:jc w:val="center"/>
              <w:rPr>
                <w:rFonts w:cs="Calibri"/>
                <w:b/>
                <w:bCs/>
                <w:color w:val="000000"/>
                <w:sz w:val="16"/>
                <w:szCs w:val="16"/>
                <w:rtl/>
              </w:rPr>
            </w:pPr>
            <w:r w:rsidRPr="0017699B">
              <w:rPr>
                <w:rFonts w:cs="Calibri" w:hint="cs"/>
                <w:b/>
                <w:bCs/>
                <w:sz w:val="16"/>
                <w:szCs w:val="16"/>
                <w:rtl/>
              </w:rPr>
              <w:t>مكتب ملكية فكرية</w:t>
            </w:r>
          </w:p>
        </w:tc>
        <w:tc>
          <w:tcPr>
            <w:tcW w:w="1823"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0EFB7B23" w14:textId="3BFCDB5D" w:rsidR="008C233D" w:rsidRPr="0017699B" w:rsidRDefault="7B3E807B" w:rsidP="00161889">
            <w:pPr>
              <w:bidi/>
              <w:jc w:val="center"/>
              <w:rPr>
                <w:rFonts w:cs="Calibri"/>
                <w:b/>
                <w:bCs/>
                <w:color w:val="000000"/>
                <w:sz w:val="16"/>
                <w:szCs w:val="16"/>
                <w:rtl/>
              </w:rPr>
            </w:pPr>
            <w:r w:rsidRPr="0017699B">
              <w:rPr>
                <w:rFonts w:cs="Calibri" w:hint="cs"/>
                <w:b/>
                <w:bCs/>
                <w:sz w:val="16"/>
                <w:szCs w:val="16"/>
                <w:rtl/>
              </w:rPr>
              <w:t>قواعد البيانات العالمية</w:t>
            </w:r>
          </w:p>
        </w:tc>
        <w:tc>
          <w:tcPr>
            <w:tcW w:w="1144"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60AF9487" w14:textId="7A4FB94A" w:rsidR="008C233D" w:rsidRPr="0017699B" w:rsidRDefault="00161889" w:rsidP="006B226A">
            <w:pPr>
              <w:bidi/>
              <w:jc w:val="center"/>
              <w:rPr>
                <w:rFonts w:cs="Calibri"/>
                <w:b/>
                <w:bCs/>
                <w:color w:val="000000"/>
                <w:sz w:val="16"/>
                <w:szCs w:val="16"/>
                <w:rtl/>
              </w:rPr>
            </w:pPr>
            <w:r w:rsidRPr="0017699B">
              <w:rPr>
                <w:rFonts w:cs="Calibri" w:hint="cs"/>
                <w:b/>
                <w:bCs/>
                <w:sz w:val="16"/>
                <w:szCs w:val="16"/>
                <w:rtl/>
              </w:rPr>
              <w:t>التغطية الأخيرة</w:t>
            </w:r>
          </w:p>
        </w:tc>
        <w:tc>
          <w:tcPr>
            <w:tcW w:w="998"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4AE1DC54" w14:textId="6AE55546" w:rsidR="008C233D" w:rsidRPr="0017699B" w:rsidRDefault="00161889" w:rsidP="006B226A">
            <w:pPr>
              <w:bidi/>
              <w:jc w:val="center"/>
              <w:rPr>
                <w:rFonts w:cs="Calibri"/>
                <w:b/>
                <w:bCs/>
                <w:color w:val="000000"/>
                <w:sz w:val="16"/>
                <w:szCs w:val="16"/>
                <w:rtl/>
              </w:rPr>
            </w:pPr>
            <w:r w:rsidRPr="0017699B">
              <w:rPr>
                <w:rFonts w:cs="Calibri" w:hint="cs"/>
                <w:b/>
                <w:bCs/>
                <w:sz w:val="16"/>
                <w:szCs w:val="16"/>
                <w:rtl/>
              </w:rPr>
              <w:t>آخر السجلات</w:t>
            </w:r>
          </w:p>
        </w:tc>
        <w:tc>
          <w:tcPr>
            <w:tcW w:w="1808" w:type="dxa"/>
            <w:tcBorders>
              <w:top w:val="single" w:sz="4" w:space="0" w:color="auto"/>
              <w:left w:val="none" w:sz="4" w:space="0" w:color="000000" w:themeColor="text1"/>
              <w:bottom w:val="single" w:sz="4" w:space="0" w:color="auto"/>
              <w:right w:val="single" w:sz="4" w:space="0" w:color="auto"/>
            </w:tcBorders>
            <w:shd w:val="clear" w:color="auto" w:fill="D4E1FC"/>
            <w:noWrap/>
            <w:vAlign w:val="center"/>
          </w:tcPr>
          <w:p w14:paraId="55CE61D3" w14:textId="77777777" w:rsidR="008C233D" w:rsidRPr="0017699B" w:rsidRDefault="7B3E807B" w:rsidP="006B226A">
            <w:pPr>
              <w:bidi/>
              <w:jc w:val="center"/>
              <w:rPr>
                <w:rFonts w:cs="Calibri"/>
                <w:b/>
                <w:bCs/>
                <w:color w:val="000000"/>
                <w:sz w:val="16"/>
                <w:szCs w:val="16"/>
                <w:rtl/>
              </w:rPr>
            </w:pPr>
            <w:r w:rsidRPr="0017699B">
              <w:rPr>
                <w:rFonts w:cs="Calibri" w:hint="cs"/>
                <w:b/>
                <w:bCs/>
                <w:sz w:val="16"/>
                <w:szCs w:val="16"/>
                <w:rtl/>
              </w:rPr>
              <w:t>ملاحظات</w:t>
            </w:r>
          </w:p>
        </w:tc>
      </w:tr>
      <w:tr w:rsidR="008C233D" w:rsidRPr="0017699B" w14:paraId="15E028E6"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0037158"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0F20002F" w14:textId="77777777" w:rsidR="008C233D" w:rsidRPr="0017699B" w:rsidRDefault="7B3E807B" w:rsidP="006B226A">
            <w:pPr>
              <w:bidi/>
              <w:rPr>
                <w:rFonts w:cs="Calibri"/>
                <w:color w:val="000000"/>
                <w:sz w:val="16"/>
                <w:szCs w:val="16"/>
                <w:rtl/>
              </w:rPr>
            </w:pPr>
            <w:r w:rsidRPr="0017699B">
              <w:rPr>
                <w:rFonts w:cs="Calibri" w:hint="cs"/>
                <w:sz w:val="16"/>
                <w:szCs w:val="16"/>
                <w:rtl/>
              </w:rPr>
              <w:t>غواتيمالا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59B3BBED"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ركن البراءات </w:t>
            </w:r>
            <w:r w:rsidRPr="0017699B">
              <w:rPr>
                <w:rFonts w:cs="Calibri"/>
                <w:sz w:val="16"/>
                <w:szCs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5F3D5D6B"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13/11/2019</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5035C868"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7,906</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3A562542"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 غير محدثة &gt; 5 سنوات</w:t>
            </w:r>
            <w:r w:rsidRPr="0017699B">
              <w:rPr>
                <w:rFonts w:cs="Calibri" w:hint="cs"/>
                <w:rtl/>
              </w:rPr>
              <w:t xml:space="preserve"> </w:t>
            </w:r>
          </w:p>
        </w:tc>
      </w:tr>
      <w:tr w:rsidR="008C233D" w:rsidRPr="0017699B" w14:paraId="73856FE5"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538DC3D0"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2</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009DEE9D" w14:textId="77777777" w:rsidR="008C233D" w:rsidRPr="0017699B" w:rsidRDefault="7B3E807B" w:rsidP="006B226A">
            <w:pPr>
              <w:bidi/>
              <w:rPr>
                <w:rFonts w:cs="Calibri"/>
                <w:color w:val="000000"/>
                <w:sz w:val="16"/>
                <w:szCs w:val="16"/>
                <w:rtl/>
              </w:rPr>
            </w:pPr>
            <w:r w:rsidRPr="0017699B">
              <w:rPr>
                <w:rFonts w:cs="Calibri" w:hint="cs"/>
                <w:sz w:val="16"/>
                <w:szCs w:val="16"/>
                <w:rtl/>
              </w:rPr>
              <w:t>هندوراس</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5D7ADAA"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ركن البراءات </w:t>
            </w:r>
            <w:r w:rsidRPr="0017699B">
              <w:rPr>
                <w:rFonts w:cs="Calibri"/>
                <w:sz w:val="16"/>
                <w:szCs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E2E282C"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27/04/2015</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4BC82E59"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407</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59A6EAAA"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 غير محدثة &gt; 10 سنوات</w:t>
            </w:r>
            <w:r w:rsidRPr="0017699B">
              <w:rPr>
                <w:rFonts w:cs="Calibri" w:hint="cs"/>
                <w:rtl/>
              </w:rPr>
              <w:t xml:space="preserve"> </w:t>
            </w:r>
          </w:p>
        </w:tc>
      </w:tr>
      <w:tr w:rsidR="008C233D" w:rsidRPr="0017699B" w14:paraId="7B6970F4"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612292DC"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3</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0668E6B4" w14:textId="77777777" w:rsidR="008C233D" w:rsidRPr="0017699B" w:rsidRDefault="7B3E807B" w:rsidP="006B226A">
            <w:pPr>
              <w:bidi/>
              <w:rPr>
                <w:rFonts w:cs="Calibri"/>
                <w:color w:val="000000"/>
                <w:sz w:val="16"/>
                <w:szCs w:val="16"/>
                <w:rtl/>
              </w:rPr>
            </w:pPr>
            <w:r w:rsidRPr="0017699B">
              <w:rPr>
                <w:rFonts w:cs="Calibri" w:hint="cs"/>
                <w:sz w:val="16"/>
                <w:szCs w:val="16"/>
                <w:rtl/>
              </w:rPr>
              <w:t>بنما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16746A2"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ركن البراءات </w:t>
            </w:r>
            <w:r w:rsidRPr="0017699B">
              <w:rPr>
                <w:rFonts w:cs="Calibri"/>
                <w:sz w:val="16"/>
                <w:szCs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20D7403"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29/10/2013</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09289C04"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2,943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75F60D4E"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 غير محدثة &gt; 10 سنوات</w:t>
            </w:r>
            <w:r w:rsidRPr="0017699B">
              <w:rPr>
                <w:rFonts w:cs="Calibri" w:hint="cs"/>
                <w:rtl/>
              </w:rPr>
              <w:t xml:space="preserve"> </w:t>
            </w:r>
          </w:p>
        </w:tc>
      </w:tr>
      <w:tr w:rsidR="008C233D" w:rsidRPr="0017699B" w14:paraId="25C70E55"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71F3827"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4</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23B9FF38" w14:textId="77777777" w:rsidR="008C233D" w:rsidRPr="0017699B" w:rsidRDefault="7B3E807B" w:rsidP="006B226A">
            <w:pPr>
              <w:bidi/>
              <w:rPr>
                <w:rFonts w:cs="Calibri"/>
                <w:color w:val="000000"/>
                <w:sz w:val="16"/>
                <w:szCs w:val="16"/>
                <w:rtl/>
              </w:rPr>
            </w:pPr>
            <w:r w:rsidRPr="0017699B">
              <w:rPr>
                <w:rFonts w:cs="Calibri" w:hint="cs"/>
                <w:sz w:val="16"/>
                <w:szCs w:val="16"/>
                <w:rtl/>
              </w:rPr>
              <w:t>جنوب أفريقيا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3180D306"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ركن البراءات </w:t>
            </w:r>
            <w:r w:rsidRPr="0017699B">
              <w:rPr>
                <w:rFonts w:cs="Calibri"/>
                <w:sz w:val="16"/>
                <w:szCs w:val="16"/>
              </w:rPr>
              <w:t>PATENTSCOPE</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362C5231"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29/07/2015</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5D59E070"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151,921</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5C042332"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 غير محدثة &gt; 10 سنوات</w:t>
            </w:r>
            <w:r w:rsidRPr="0017699B">
              <w:rPr>
                <w:rFonts w:cs="Calibri" w:hint="cs"/>
                <w:rtl/>
              </w:rPr>
              <w:t xml:space="preserve"> </w:t>
            </w:r>
          </w:p>
        </w:tc>
      </w:tr>
      <w:tr w:rsidR="008C233D" w:rsidRPr="0017699B" w14:paraId="66D8A32E" w14:textId="77777777" w:rsidTr="66DE4C64">
        <w:trPr>
          <w:trHeight w:val="300"/>
        </w:trPr>
        <w:tc>
          <w:tcPr>
            <w:tcW w:w="716" w:type="dxa"/>
            <w:tcBorders>
              <w:top w:val="single" w:sz="4" w:space="0" w:color="auto"/>
              <w:left w:val="single" w:sz="4" w:space="0" w:color="auto"/>
              <w:bottom w:val="single" w:sz="4" w:space="0" w:color="auto"/>
              <w:right w:val="single" w:sz="4" w:space="0" w:color="auto"/>
            </w:tcBorders>
            <w:noWrap/>
            <w:vAlign w:val="center"/>
          </w:tcPr>
          <w:p w14:paraId="607D8C33"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5</w:t>
            </w:r>
          </w:p>
        </w:tc>
        <w:tc>
          <w:tcPr>
            <w:tcW w:w="1660" w:type="dxa"/>
            <w:tcBorders>
              <w:top w:val="single" w:sz="4" w:space="0" w:color="auto"/>
              <w:left w:val="none" w:sz="4" w:space="0" w:color="000000" w:themeColor="text1"/>
              <w:bottom w:val="single" w:sz="4" w:space="0" w:color="auto"/>
              <w:right w:val="single" w:sz="4" w:space="0" w:color="auto"/>
            </w:tcBorders>
            <w:noWrap/>
            <w:vAlign w:val="center"/>
          </w:tcPr>
          <w:p w14:paraId="4B7858A5" w14:textId="77777777" w:rsidR="008C233D" w:rsidRPr="0017699B" w:rsidRDefault="7B3E807B" w:rsidP="006B226A">
            <w:pPr>
              <w:bidi/>
              <w:rPr>
                <w:rFonts w:cs="Calibri"/>
                <w:color w:val="000000"/>
                <w:sz w:val="16"/>
                <w:szCs w:val="16"/>
                <w:rtl/>
              </w:rPr>
            </w:pPr>
            <w:r w:rsidRPr="0017699B">
              <w:rPr>
                <w:rFonts w:cs="Calibri" w:hint="cs"/>
                <w:sz w:val="16"/>
                <w:szCs w:val="16"/>
                <w:rtl/>
              </w:rPr>
              <w:t>الإمارات العربية المتحدة</w:t>
            </w:r>
          </w:p>
        </w:tc>
        <w:tc>
          <w:tcPr>
            <w:tcW w:w="1823" w:type="dxa"/>
            <w:tcBorders>
              <w:top w:val="single" w:sz="4" w:space="0" w:color="auto"/>
              <w:left w:val="none" w:sz="4" w:space="0" w:color="000000" w:themeColor="text1"/>
              <w:bottom w:val="single" w:sz="4" w:space="0" w:color="auto"/>
              <w:right w:val="single" w:sz="4" w:space="0" w:color="auto"/>
            </w:tcBorders>
            <w:noWrap/>
            <w:vAlign w:val="center"/>
          </w:tcPr>
          <w:p w14:paraId="62ED7CCB"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ركن البراءات </w:t>
            </w:r>
            <w:r w:rsidRPr="0017699B">
              <w:rPr>
                <w:rFonts w:cs="Calibri"/>
                <w:sz w:val="16"/>
                <w:szCs w:val="16"/>
              </w:rPr>
              <w:t>PATENTSCOPE</w:t>
            </w:r>
          </w:p>
        </w:tc>
        <w:tc>
          <w:tcPr>
            <w:tcW w:w="1144" w:type="dxa"/>
            <w:tcBorders>
              <w:top w:val="single" w:sz="4" w:space="0" w:color="auto"/>
              <w:left w:val="none" w:sz="4" w:space="0" w:color="000000" w:themeColor="text1"/>
              <w:bottom w:val="single" w:sz="4" w:space="0" w:color="auto"/>
              <w:right w:val="single" w:sz="4" w:space="0" w:color="auto"/>
            </w:tcBorders>
            <w:noWrap/>
            <w:vAlign w:val="center"/>
          </w:tcPr>
          <w:p w14:paraId="4BD96331"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02/01/2013</w:t>
            </w:r>
          </w:p>
        </w:tc>
        <w:tc>
          <w:tcPr>
            <w:tcW w:w="998" w:type="dxa"/>
            <w:tcBorders>
              <w:top w:val="single" w:sz="4" w:space="0" w:color="auto"/>
              <w:left w:val="none" w:sz="4" w:space="0" w:color="000000" w:themeColor="text1"/>
              <w:bottom w:val="single" w:sz="4" w:space="0" w:color="auto"/>
              <w:right w:val="single" w:sz="4" w:space="0" w:color="auto"/>
            </w:tcBorders>
            <w:noWrap/>
            <w:vAlign w:val="center"/>
          </w:tcPr>
          <w:p w14:paraId="6DBF3AC5"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234</w:t>
            </w:r>
          </w:p>
        </w:tc>
        <w:tc>
          <w:tcPr>
            <w:tcW w:w="1808" w:type="dxa"/>
            <w:tcBorders>
              <w:top w:val="single" w:sz="4" w:space="0" w:color="auto"/>
              <w:left w:val="none" w:sz="4" w:space="0" w:color="000000" w:themeColor="text1"/>
              <w:bottom w:val="single" w:sz="4" w:space="0" w:color="auto"/>
              <w:right w:val="single" w:sz="4" w:space="0" w:color="auto"/>
            </w:tcBorders>
            <w:noWrap/>
            <w:vAlign w:val="center"/>
          </w:tcPr>
          <w:p w14:paraId="5C3E8DF4"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 غير محدثة &gt; 10 سنوات</w:t>
            </w:r>
            <w:r w:rsidRPr="0017699B">
              <w:rPr>
                <w:rFonts w:cs="Calibri" w:hint="cs"/>
                <w:rtl/>
              </w:rPr>
              <w:t xml:space="preserve"> </w:t>
            </w:r>
          </w:p>
        </w:tc>
      </w:tr>
      <w:tr w:rsidR="008C233D" w:rsidRPr="0017699B" w14:paraId="6869D7CD" w14:textId="77777777" w:rsidTr="66DE4C64">
        <w:trPr>
          <w:trHeight w:val="300"/>
        </w:trPr>
        <w:tc>
          <w:tcPr>
            <w:tcW w:w="716" w:type="dxa"/>
            <w:tcBorders>
              <w:top w:val="single" w:sz="4" w:space="0" w:color="auto"/>
              <w:left w:val="single" w:sz="4" w:space="0" w:color="auto"/>
              <w:bottom w:val="single" w:sz="4" w:space="0" w:color="auto"/>
              <w:right w:val="single" w:sz="4" w:space="0" w:color="auto"/>
            </w:tcBorders>
            <w:noWrap/>
            <w:vAlign w:val="center"/>
          </w:tcPr>
          <w:p w14:paraId="1FF8F7E0"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6</w:t>
            </w:r>
          </w:p>
        </w:tc>
        <w:tc>
          <w:tcPr>
            <w:tcW w:w="1660" w:type="dxa"/>
            <w:tcBorders>
              <w:top w:val="single" w:sz="4" w:space="0" w:color="auto"/>
              <w:left w:val="none" w:sz="4" w:space="0" w:color="000000" w:themeColor="text1"/>
              <w:bottom w:val="single" w:sz="4" w:space="0" w:color="auto"/>
              <w:right w:val="single" w:sz="4" w:space="0" w:color="auto"/>
            </w:tcBorders>
            <w:noWrap/>
            <w:vAlign w:val="center"/>
          </w:tcPr>
          <w:p w14:paraId="2D4A0FE3" w14:textId="77777777" w:rsidR="008C233D" w:rsidRPr="0017699B" w:rsidRDefault="7B3E807B" w:rsidP="006B226A">
            <w:pPr>
              <w:bidi/>
              <w:rPr>
                <w:rFonts w:cs="Calibri"/>
                <w:color w:val="000000"/>
                <w:sz w:val="16"/>
                <w:szCs w:val="16"/>
                <w:rtl/>
              </w:rPr>
            </w:pPr>
            <w:r w:rsidRPr="0017699B">
              <w:rPr>
                <w:rFonts w:cs="Calibri" w:hint="cs"/>
                <w:sz w:val="16"/>
                <w:szCs w:val="16"/>
                <w:rtl/>
              </w:rPr>
              <w:t>شيلي</w:t>
            </w:r>
          </w:p>
        </w:tc>
        <w:tc>
          <w:tcPr>
            <w:tcW w:w="1823" w:type="dxa"/>
            <w:tcBorders>
              <w:top w:val="single" w:sz="4" w:space="0" w:color="auto"/>
              <w:left w:val="none" w:sz="4" w:space="0" w:color="000000" w:themeColor="text1"/>
              <w:bottom w:val="single" w:sz="4" w:space="0" w:color="auto"/>
              <w:right w:val="single" w:sz="4" w:space="0" w:color="auto"/>
            </w:tcBorders>
            <w:noWrap/>
            <w:vAlign w:val="center"/>
          </w:tcPr>
          <w:p w14:paraId="0D504432"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للعلامات</w:t>
            </w:r>
          </w:p>
        </w:tc>
        <w:tc>
          <w:tcPr>
            <w:tcW w:w="1144" w:type="dxa"/>
            <w:tcBorders>
              <w:top w:val="single" w:sz="4" w:space="0" w:color="auto"/>
              <w:left w:val="none" w:sz="4" w:space="0" w:color="000000" w:themeColor="text1"/>
              <w:bottom w:val="single" w:sz="4" w:space="0" w:color="auto"/>
              <w:right w:val="single" w:sz="4" w:space="0" w:color="auto"/>
            </w:tcBorders>
            <w:noWrap/>
            <w:vAlign w:val="center"/>
          </w:tcPr>
          <w:p w14:paraId="5B54E5A3"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28/08/2018</w:t>
            </w:r>
          </w:p>
        </w:tc>
        <w:tc>
          <w:tcPr>
            <w:tcW w:w="998" w:type="dxa"/>
            <w:tcBorders>
              <w:top w:val="single" w:sz="4" w:space="0" w:color="auto"/>
              <w:left w:val="none" w:sz="4" w:space="0" w:color="000000" w:themeColor="text1"/>
              <w:bottom w:val="single" w:sz="4" w:space="0" w:color="auto"/>
              <w:right w:val="single" w:sz="4" w:space="0" w:color="auto"/>
            </w:tcBorders>
            <w:noWrap/>
            <w:vAlign w:val="center"/>
          </w:tcPr>
          <w:p w14:paraId="62FA9640"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602,514</w:t>
            </w:r>
          </w:p>
        </w:tc>
        <w:tc>
          <w:tcPr>
            <w:tcW w:w="1808" w:type="dxa"/>
            <w:tcBorders>
              <w:top w:val="single" w:sz="4" w:space="0" w:color="auto"/>
              <w:left w:val="none" w:sz="4" w:space="0" w:color="000000" w:themeColor="text1"/>
              <w:bottom w:val="single" w:sz="4" w:space="0" w:color="auto"/>
              <w:right w:val="single" w:sz="4" w:space="0" w:color="auto"/>
            </w:tcBorders>
            <w:noWrap/>
            <w:vAlign w:val="center"/>
          </w:tcPr>
          <w:p w14:paraId="4262EEA4" w14:textId="77777777" w:rsidR="008C233D" w:rsidRPr="0017699B" w:rsidRDefault="7B3E807B" w:rsidP="006B226A">
            <w:pPr>
              <w:bidi/>
              <w:rPr>
                <w:rFonts w:cs="Calibri"/>
                <w:color w:val="000000"/>
                <w:sz w:val="16"/>
                <w:szCs w:val="16"/>
                <w:rtl/>
              </w:rPr>
            </w:pPr>
            <w:r w:rsidRPr="0017699B">
              <w:rPr>
                <w:rFonts w:cs="Calibri" w:hint="cs"/>
                <w:sz w:val="16"/>
                <w:szCs w:val="16"/>
                <w:rtl/>
              </w:rPr>
              <w:t xml:space="preserve"> غير محدثة &gt; 5 سنوات</w:t>
            </w:r>
            <w:r w:rsidRPr="0017699B">
              <w:rPr>
                <w:rFonts w:cs="Calibri" w:hint="cs"/>
                <w:rtl/>
              </w:rPr>
              <w:t xml:space="preserve"> </w:t>
            </w:r>
          </w:p>
        </w:tc>
      </w:tr>
      <w:tr w:rsidR="008C233D" w:rsidRPr="0017699B" w14:paraId="011C774F"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F88C597"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7</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D10FDD4" w14:textId="77777777" w:rsidR="008C233D" w:rsidRPr="0017699B" w:rsidRDefault="7B3E807B" w:rsidP="006B226A">
            <w:pPr>
              <w:bidi/>
              <w:rPr>
                <w:rFonts w:cs="Calibri"/>
                <w:color w:val="000000"/>
                <w:sz w:val="16"/>
                <w:szCs w:val="16"/>
                <w:rtl/>
              </w:rPr>
            </w:pPr>
            <w:r w:rsidRPr="0017699B">
              <w:rPr>
                <w:rFonts w:cs="Calibri" w:hint="cs"/>
                <w:sz w:val="16"/>
                <w:szCs w:val="16"/>
                <w:rtl/>
              </w:rPr>
              <w:t>إسواتيني</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FE6B544"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للعلامات</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20C49FF0"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24/04/2018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2387070"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20,541</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3A3E3FA5"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17C27FA0"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C19C76C"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8</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44045D24" w14:textId="77777777" w:rsidR="008C233D" w:rsidRPr="0017699B" w:rsidRDefault="7B3E807B" w:rsidP="006B226A">
            <w:pPr>
              <w:bidi/>
              <w:rPr>
                <w:rFonts w:cs="Calibri"/>
                <w:color w:val="000000"/>
                <w:sz w:val="16"/>
                <w:szCs w:val="16"/>
                <w:rtl/>
              </w:rPr>
            </w:pPr>
            <w:r w:rsidRPr="0017699B">
              <w:rPr>
                <w:rFonts w:cs="Calibri" w:hint="cs"/>
                <w:sz w:val="16"/>
                <w:szCs w:val="16"/>
                <w:rtl/>
              </w:rPr>
              <w:t>غامبيا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76760A63"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للعلامات</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29796FC7"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31/12/2018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2C1E9DA"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8,707</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543531C0"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40734143"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BA6CDAE"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9</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692D5AA9" w14:textId="77777777" w:rsidR="008C233D" w:rsidRPr="0017699B" w:rsidRDefault="7B3E807B" w:rsidP="006B226A">
            <w:pPr>
              <w:bidi/>
              <w:rPr>
                <w:rFonts w:cs="Calibri"/>
                <w:color w:val="000000"/>
                <w:sz w:val="16"/>
                <w:szCs w:val="16"/>
                <w:rtl/>
              </w:rPr>
            </w:pPr>
            <w:r w:rsidRPr="0017699B">
              <w:rPr>
                <w:rFonts w:cs="Calibri" w:hint="cs"/>
                <w:sz w:val="16"/>
                <w:szCs w:val="16"/>
                <w:rtl/>
              </w:rPr>
              <w:t>غانا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BFBE60E"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للعلامات</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59B566B3"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04/09/2018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1F31C309"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31,335</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5313FA39"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2D8746AD"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209B780A"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10</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0758E32A" w14:textId="77777777" w:rsidR="008C233D" w:rsidRPr="0017699B" w:rsidRDefault="7B3E807B" w:rsidP="006B226A">
            <w:pPr>
              <w:bidi/>
              <w:rPr>
                <w:rFonts w:cs="Calibri"/>
                <w:color w:val="000000"/>
                <w:sz w:val="16"/>
                <w:szCs w:val="16"/>
                <w:rtl/>
              </w:rPr>
            </w:pPr>
            <w:r w:rsidRPr="0017699B">
              <w:rPr>
                <w:rFonts w:cs="Calibri" w:hint="cs"/>
                <w:sz w:val="16"/>
                <w:szCs w:val="16"/>
                <w:rtl/>
              </w:rPr>
              <w:t>الكويت</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780F7954"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للعلامات</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04AE78C4"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28/01/2018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45BA463"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33,213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3ABE31BF"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7E12E3B3"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9AF2FF8"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11</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10CFFDC3" w14:textId="77777777" w:rsidR="008C233D" w:rsidRPr="0017699B" w:rsidRDefault="7B3E807B" w:rsidP="006B226A">
            <w:pPr>
              <w:bidi/>
              <w:rPr>
                <w:rFonts w:cs="Calibri"/>
                <w:color w:val="000000"/>
                <w:sz w:val="16"/>
                <w:szCs w:val="16"/>
                <w:rtl/>
              </w:rPr>
            </w:pPr>
            <w:r w:rsidRPr="0017699B">
              <w:rPr>
                <w:rFonts w:cs="Calibri" w:hint="cs"/>
                <w:sz w:val="16"/>
                <w:szCs w:val="16"/>
                <w:rtl/>
              </w:rPr>
              <w:t>السودان</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646CBF4"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للعلامات</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350B0644"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05/12/2017</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02FC2225"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23,762</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1DB684D7"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663C15D1"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35B658B1"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12</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2F755226" w14:textId="77777777" w:rsidR="008C233D" w:rsidRPr="0017699B" w:rsidRDefault="7B3E807B" w:rsidP="006B226A">
            <w:pPr>
              <w:bidi/>
              <w:rPr>
                <w:rFonts w:cs="Calibri"/>
                <w:color w:val="000000"/>
                <w:sz w:val="16"/>
                <w:szCs w:val="16"/>
                <w:rtl/>
              </w:rPr>
            </w:pPr>
            <w:r w:rsidRPr="0017699B">
              <w:rPr>
                <w:rFonts w:cs="Calibri" w:hint="cs"/>
                <w:sz w:val="16"/>
                <w:szCs w:val="16"/>
                <w:rtl/>
              </w:rPr>
              <w:t>بوتسوانا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2DD3919"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3BE43DE3"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24/05/2018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E270415"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203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79D47291"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4C9B5DA1"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2A1DD78E"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13</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55E33A40" w14:textId="77777777" w:rsidR="008C233D" w:rsidRPr="0017699B" w:rsidRDefault="7B3E807B" w:rsidP="006B226A">
            <w:pPr>
              <w:bidi/>
              <w:rPr>
                <w:rFonts w:cs="Calibri"/>
                <w:color w:val="000000"/>
                <w:sz w:val="16"/>
                <w:szCs w:val="16"/>
                <w:rtl/>
              </w:rPr>
            </w:pPr>
            <w:r w:rsidRPr="0017699B">
              <w:rPr>
                <w:rFonts w:cs="Calibri" w:hint="cs"/>
                <w:sz w:val="16"/>
                <w:szCs w:val="16"/>
                <w:rtl/>
              </w:rPr>
              <w:t>بروني دار السلام</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93E9706"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413478A0"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05/03/2019</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15047BDA"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191</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681018FC"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65E4E06F"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7F63BA68"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14</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2FF32E94" w14:textId="77777777" w:rsidR="008C233D" w:rsidRPr="0017699B" w:rsidRDefault="7B3E807B" w:rsidP="006B226A">
            <w:pPr>
              <w:bidi/>
              <w:rPr>
                <w:rFonts w:cs="Calibri"/>
                <w:color w:val="000000"/>
                <w:sz w:val="16"/>
                <w:szCs w:val="16"/>
                <w:rtl/>
              </w:rPr>
            </w:pPr>
            <w:r w:rsidRPr="0017699B">
              <w:rPr>
                <w:rFonts w:cs="Calibri" w:hint="cs"/>
                <w:sz w:val="16"/>
                <w:szCs w:val="16"/>
                <w:rtl/>
              </w:rPr>
              <w:t>اليابان</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F4EB4EA"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297F43FC"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26/02/2020</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125FDF42"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598,850</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0304B01C"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4B697F2C"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883005C"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15</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4B18177" w14:textId="77777777" w:rsidR="008C233D" w:rsidRPr="0017699B" w:rsidRDefault="7B3E807B" w:rsidP="006B226A">
            <w:pPr>
              <w:bidi/>
              <w:rPr>
                <w:rFonts w:cs="Calibri"/>
                <w:color w:val="000000"/>
                <w:sz w:val="16"/>
                <w:szCs w:val="16"/>
                <w:rtl/>
              </w:rPr>
            </w:pPr>
            <w:r w:rsidRPr="0017699B">
              <w:rPr>
                <w:rFonts w:cs="Calibri" w:hint="cs"/>
                <w:sz w:val="16"/>
                <w:szCs w:val="16"/>
                <w:rtl/>
              </w:rPr>
              <w:t>الأردن</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58C0AD56"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72C6A6DD"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30/03/2018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49FC5855"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2,193</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70D58C05"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03D5F5BC"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29408F6E"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16</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2CCB3DA3" w14:textId="77777777" w:rsidR="008C233D" w:rsidRPr="0017699B" w:rsidRDefault="7B3E807B" w:rsidP="006B226A">
            <w:pPr>
              <w:bidi/>
              <w:rPr>
                <w:rFonts w:cs="Calibri"/>
                <w:color w:val="000000"/>
                <w:sz w:val="16"/>
                <w:szCs w:val="16"/>
                <w:rtl/>
              </w:rPr>
            </w:pPr>
            <w:r w:rsidRPr="0017699B">
              <w:rPr>
                <w:rFonts w:cs="Calibri" w:hint="cs"/>
                <w:sz w:val="16"/>
                <w:szCs w:val="16"/>
                <w:rtl/>
              </w:rPr>
              <w:t>كينيا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0C08656B"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39276D1F"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18/08/2018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38922165"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1,225</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5917DF14"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50D89452"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4240DD40"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17</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4D74C3AE" w14:textId="77777777" w:rsidR="008C233D" w:rsidRPr="0017699B" w:rsidRDefault="7B3E807B" w:rsidP="006B226A">
            <w:pPr>
              <w:bidi/>
              <w:rPr>
                <w:rFonts w:cs="Calibri"/>
                <w:color w:val="000000"/>
                <w:sz w:val="16"/>
                <w:szCs w:val="16"/>
                <w:rtl/>
              </w:rPr>
            </w:pPr>
            <w:r w:rsidRPr="0017699B">
              <w:rPr>
                <w:rFonts w:cs="Calibri" w:hint="cs"/>
                <w:sz w:val="16"/>
                <w:szCs w:val="16"/>
                <w:rtl/>
              </w:rPr>
              <w:t>منغوليا</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1383C57A"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413B95F0"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10/11/2020</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25F3F001"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3,008</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1A4B2BB6"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r w:rsidR="008C233D" w:rsidRPr="0017699B" w14:paraId="43A02947" w14:textId="77777777" w:rsidTr="66DE4C64">
        <w:trPr>
          <w:trHeight w:val="300"/>
        </w:trPr>
        <w:tc>
          <w:tcPr>
            <w:tcW w:w="716" w:type="dxa"/>
            <w:tcBorders>
              <w:top w:val="none" w:sz="4" w:space="0" w:color="000000" w:themeColor="text1"/>
              <w:left w:val="single" w:sz="4" w:space="0" w:color="auto"/>
              <w:bottom w:val="single" w:sz="4" w:space="0" w:color="auto"/>
              <w:right w:val="single" w:sz="4" w:space="0" w:color="auto"/>
            </w:tcBorders>
            <w:noWrap/>
            <w:vAlign w:val="center"/>
          </w:tcPr>
          <w:p w14:paraId="1FBEF844" w14:textId="77777777" w:rsidR="008C233D" w:rsidRPr="0017699B" w:rsidRDefault="7B3E807B" w:rsidP="006B226A">
            <w:pPr>
              <w:bidi/>
              <w:jc w:val="center"/>
              <w:rPr>
                <w:rFonts w:cs="Calibri"/>
                <w:color w:val="000000"/>
                <w:sz w:val="16"/>
                <w:szCs w:val="16"/>
                <w:rtl/>
              </w:rPr>
            </w:pPr>
            <w:r w:rsidRPr="0017699B">
              <w:rPr>
                <w:rFonts w:cs="Calibri" w:hint="cs"/>
                <w:sz w:val="16"/>
                <w:szCs w:val="16"/>
                <w:rtl/>
              </w:rPr>
              <w:t>18</w:t>
            </w:r>
          </w:p>
        </w:tc>
        <w:tc>
          <w:tcPr>
            <w:tcW w:w="1660" w:type="dxa"/>
            <w:tcBorders>
              <w:top w:val="none" w:sz="4" w:space="0" w:color="000000" w:themeColor="text1"/>
              <w:left w:val="none" w:sz="4" w:space="0" w:color="000000" w:themeColor="text1"/>
              <w:bottom w:val="single" w:sz="4" w:space="0" w:color="auto"/>
              <w:right w:val="single" w:sz="4" w:space="0" w:color="auto"/>
            </w:tcBorders>
            <w:noWrap/>
            <w:vAlign w:val="center"/>
          </w:tcPr>
          <w:p w14:paraId="7C470072" w14:textId="77777777" w:rsidR="008C233D" w:rsidRPr="0017699B" w:rsidRDefault="7B3E807B" w:rsidP="006B226A">
            <w:pPr>
              <w:bidi/>
              <w:rPr>
                <w:rFonts w:cs="Calibri"/>
                <w:color w:val="000000"/>
                <w:sz w:val="16"/>
                <w:szCs w:val="16"/>
                <w:rtl/>
              </w:rPr>
            </w:pPr>
            <w:r w:rsidRPr="0017699B">
              <w:rPr>
                <w:rFonts w:cs="Calibri" w:hint="cs"/>
                <w:sz w:val="16"/>
                <w:szCs w:val="16"/>
                <w:rtl/>
              </w:rPr>
              <w:t>موزامبيق</w:t>
            </w:r>
          </w:p>
        </w:tc>
        <w:tc>
          <w:tcPr>
            <w:tcW w:w="1823" w:type="dxa"/>
            <w:tcBorders>
              <w:top w:val="none" w:sz="4" w:space="0" w:color="000000" w:themeColor="text1"/>
              <w:left w:val="none" w:sz="4" w:space="0" w:color="000000" w:themeColor="text1"/>
              <w:bottom w:val="single" w:sz="4" w:space="0" w:color="auto"/>
              <w:right w:val="single" w:sz="4" w:space="0" w:color="auto"/>
            </w:tcBorders>
            <w:noWrap/>
            <w:vAlign w:val="center"/>
          </w:tcPr>
          <w:p w14:paraId="4AE91B03" w14:textId="77777777" w:rsidR="008C233D" w:rsidRPr="0017699B" w:rsidRDefault="7B3E807B" w:rsidP="006B226A">
            <w:pPr>
              <w:bidi/>
              <w:rPr>
                <w:rFonts w:cs="Calibri"/>
                <w:color w:val="000000"/>
                <w:sz w:val="16"/>
                <w:szCs w:val="16"/>
                <w:rtl/>
              </w:rPr>
            </w:pPr>
            <w:r w:rsidRPr="0017699B">
              <w:rPr>
                <w:rFonts w:cs="Calibri" w:hint="cs"/>
                <w:sz w:val="16"/>
                <w:szCs w:val="16"/>
                <w:rtl/>
              </w:rPr>
              <w:t>قاعدة البيانات العالمية للتصاميم</w:t>
            </w:r>
          </w:p>
        </w:tc>
        <w:tc>
          <w:tcPr>
            <w:tcW w:w="1144" w:type="dxa"/>
            <w:tcBorders>
              <w:top w:val="none" w:sz="4" w:space="0" w:color="000000" w:themeColor="text1"/>
              <w:left w:val="none" w:sz="4" w:space="0" w:color="000000" w:themeColor="text1"/>
              <w:bottom w:val="single" w:sz="4" w:space="0" w:color="auto"/>
              <w:right w:val="single" w:sz="4" w:space="0" w:color="auto"/>
            </w:tcBorders>
            <w:noWrap/>
            <w:vAlign w:val="center"/>
          </w:tcPr>
          <w:p w14:paraId="6BBE16D5"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16/05/2018</w:t>
            </w:r>
          </w:p>
        </w:tc>
        <w:tc>
          <w:tcPr>
            <w:tcW w:w="998" w:type="dxa"/>
            <w:tcBorders>
              <w:top w:val="none" w:sz="4" w:space="0" w:color="000000" w:themeColor="text1"/>
              <w:left w:val="none" w:sz="4" w:space="0" w:color="000000" w:themeColor="text1"/>
              <w:bottom w:val="single" w:sz="4" w:space="0" w:color="auto"/>
              <w:right w:val="single" w:sz="4" w:space="0" w:color="auto"/>
            </w:tcBorders>
            <w:noWrap/>
            <w:vAlign w:val="center"/>
          </w:tcPr>
          <w:p w14:paraId="767ED3ED" w14:textId="77777777" w:rsidR="008C233D" w:rsidRPr="0017699B" w:rsidRDefault="7B3E807B" w:rsidP="006B226A">
            <w:pPr>
              <w:bidi/>
              <w:jc w:val="right"/>
              <w:rPr>
                <w:rFonts w:cs="Calibri"/>
                <w:color w:val="000000"/>
                <w:sz w:val="16"/>
                <w:szCs w:val="16"/>
                <w:rtl/>
              </w:rPr>
            </w:pPr>
            <w:r w:rsidRPr="0017699B">
              <w:rPr>
                <w:rFonts w:cs="Calibri" w:hint="cs"/>
                <w:sz w:val="16"/>
                <w:szCs w:val="16"/>
                <w:rtl/>
              </w:rPr>
              <w:t>185</w:t>
            </w:r>
          </w:p>
        </w:tc>
        <w:tc>
          <w:tcPr>
            <w:tcW w:w="1808" w:type="dxa"/>
            <w:tcBorders>
              <w:top w:val="none" w:sz="4" w:space="0" w:color="000000" w:themeColor="text1"/>
              <w:left w:val="none" w:sz="4" w:space="0" w:color="000000" w:themeColor="text1"/>
              <w:bottom w:val="single" w:sz="4" w:space="0" w:color="auto"/>
              <w:right w:val="single" w:sz="4" w:space="0" w:color="auto"/>
            </w:tcBorders>
            <w:noWrap/>
            <w:vAlign w:val="center"/>
          </w:tcPr>
          <w:p w14:paraId="7A951053" w14:textId="77777777" w:rsidR="008C233D" w:rsidRPr="0017699B" w:rsidRDefault="7B3E807B" w:rsidP="006B226A">
            <w:pPr>
              <w:bidi/>
              <w:rPr>
                <w:rFonts w:cs="Calibri"/>
                <w:color w:val="000000"/>
                <w:sz w:val="16"/>
                <w:szCs w:val="16"/>
                <w:rtl/>
              </w:rPr>
            </w:pPr>
            <w:r w:rsidRPr="0017699B">
              <w:rPr>
                <w:rFonts w:cs="Calibri" w:hint="cs"/>
                <w:sz w:val="16"/>
                <w:szCs w:val="16"/>
                <w:rtl/>
              </w:rPr>
              <w:t>غير محدثة &gt; 5 سنوات</w:t>
            </w:r>
          </w:p>
        </w:tc>
      </w:tr>
    </w:tbl>
    <w:p w14:paraId="12132715" w14:textId="77777777" w:rsidR="00AE4F13" w:rsidRPr="0017699B" w:rsidRDefault="00AE4F13" w:rsidP="00161889">
      <w:pPr>
        <w:pStyle w:val="LFARPara"/>
        <w:bidi/>
        <w:spacing w:before="120"/>
        <w:ind w:left="850" w:hanging="493"/>
        <w:rPr>
          <w:rFonts w:ascii="Arial" w:hAnsi="Arial" w:cs="Calibri"/>
          <w:rtl/>
        </w:rPr>
      </w:pPr>
      <w:r w:rsidRPr="0017699B">
        <w:rPr>
          <w:rFonts w:ascii="Arial" w:hAnsi="Arial" w:cs="Calibri" w:hint="cs"/>
          <w:rtl/>
        </w:rPr>
        <w:t>استناداً إلى البيانات المذكورة أعلاه، قد يكون من الضروري إجراء تمرين منهجي لمعرفة على وجه التحديد نقص تحديثات المجموعات؛ والتمييز بين المكاتب التي تفتقر إلى القدرة وتلك التي قد تكون واجهت حالات أخرى؛ وتحديد العوامل الأخرى التي قد تكون ساهمت في المشكلة.</w:t>
      </w:r>
    </w:p>
    <w:p w14:paraId="03CF10D9" w14:textId="3998FB24" w:rsidR="00AE4F13" w:rsidRPr="0017699B" w:rsidRDefault="00AE4F13" w:rsidP="00BE31A8">
      <w:pPr>
        <w:bidi/>
        <w:spacing w:before="120" w:after="120" w:line="280" w:lineRule="exact"/>
        <w:ind w:left="851" w:hanging="473"/>
        <w:jc w:val="both"/>
        <w:rPr>
          <w:rFonts w:cs="Calibri"/>
          <w:b/>
          <w:bCs/>
          <w:i/>
          <w:iCs/>
          <w:rtl/>
        </w:rPr>
      </w:pPr>
      <w:r w:rsidRPr="0017699B">
        <w:rPr>
          <w:rFonts w:cs="Calibri" w:hint="cs"/>
          <w:b/>
          <w:bCs/>
          <w:i/>
          <w:iCs/>
          <w:rtl/>
        </w:rPr>
        <w:t>2) التحديات المتعلقة بتقييم اكتمال مجموعات الملكية الفكرية الوطنية/الإقليمية</w:t>
      </w:r>
    </w:p>
    <w:p w14:paraId="39C5FB7F" w14:textId="4EA94F9F" w:rsidR="00AE4F13" w:rsidRPr="0017699B" w:rsidRDefault="00AE4F13" w:rsidP="00161889">
      <w:pPr>
        <w:pStyle w:val="LFARPara"/>
        <w:bidi/>
        <w:spacing w:before="120"/>
        <w:ind w:left="850" w:hanging="493"/>
        <w:rPr>
          <w:rFonts w:ascii="Arial" w:hAnsi="Arial" w:cs="Calibri"/>
          <w:rtl/>
        </w:rPr>
      </w:pPr>
      <w:r w:rsidRPr="0017699B">
        <w:rPr>
          <w:rFonts w:ascii="Arial" w:hAnsi="Arial" w:cs="Calibri" w:hint="cs"/>
          <w:rtl/>
        </w:rPr>
        <w:t>من أجل قياس مدى اكتمال مجموعة البيانات، يلزم وجود مرجع موثوق به. ويوجد مثل هذا المرجع جزئياً بالنسبة لبراءات الاختراع في شكل ملفات مرجعية محددة في المعيار 37 للويبو، والتي تعدها مكاتب البراءات الوطنية/الإقليمية، وتجمعها/ينشرها الويبو. لم تكن مثل هذه المراجع الموثوقة متاحة للعلامات التجارية والتصاميم الصناعية.</w:t>
      </w:r>
    </w:p>
    <w:p w14:paraId="7B4E067C" w14:textId="77777777" w:rsidR="00AE4F13" w:rsidRPr="0017699B" w:rsidRDefault="00AE4F13" w:rsidP="0059435C">
      <w:pPr>
        <w:pStyle w:val="LFARPara"/>
        <w:bidi/>
        <w:spacing w:before="120"/>
        <w:ind w:left="850" w:hanging="493"/>
        <w:rPr>
          <w:rFonts w:ascii="Arial" w:hAnsi="Arial" w:cs="Calibri"/>
          <w:rtl/>
        </w:rPr>
      </w:pPr>
      <w:r w:rsidRPr="0017699B">
        <w:rPr>
          <w:rFonts w:ascii="Arial" w:hAnsi="Arial" w:cs="Calibri" w:hint="cs"/>
          <w:rtl/>
        </w:rPr>
        <w:t>تحتفظ جميع قواعد البيانات العالمية بتغطية محدثة متاحة للجمهور لمستخدميها النهائيين. وفي حين أن معلومات التغطية هذه مهمة جدا لفهم نطاق السجلات التي يمكن البحث عنها في قواعد البيانات العالمية، إلا أنها لا توفر معلومات مفصلة عن ثغرات البيانات فيما يتعلق بمرجع موثوق ومستقل مقدم من مكاتب الملكية الفكرية المصدر.</w:t>
      </w:r>
    </w:p>
    <w:p w14:paraId="7B5BAA98" w14:textId="77777777" w:rsidR="00AE4F13" w:rsidRPr="0017699B" w:rsidRDefault="00AE4F13" w:rsidP="0059435C">
      <w:pPr>
        <w:pStyle w:val="LFARPara"/>
        <w:bidi/>
        <w:spacing w:before="120"/>
        <w:ind w:left="850" w:hanging="493"/>
        <w:rPr>
          <w:rFonts w:ascii="Arial" w:hAnsi="Arial" w:cs="Calibri"/>
          <w:rtl/>
        </w:rPr>
      </w:pPr>
      <w:r w:rsidRPr="0017699B">
        <w:rPr>
          <w:rFonts w:ascii="Arial" w:hAnsi="Arial" w:cs="Calibri" w:hint="cs"/>
          <w:rtl/>
        </w:rPr>
        <w:t xml:space="preserve">ولتوضيح صعوبة تقييم الاكتمال ومعالجة الثغرات في البيانات، حددت مقارنة بين البيانات الواردة في قواعد البيانات العالمية للويبو وسجل الملكية الفكرية لرابطة أمم جنوب شرق آسيا، وهي قاعدة بيانات إقليمية تغطي العلامات التجارية والبراءات والتصاميم الصناعية في جميع الدول العشر الأعضاء في الرابطة، وجود تباينات ملحوظة ووجدت اختلافات في ولايات قضائية متعددة. </w:t>
      </w:r>
    </w:p>
    <w:p w14:paraId="393EACE4" w14:textId="06AC8AA0" w:rsidR="00AE4F13" w:rsidRPr="0017699B" w:rsidRDefault="00AE4F13" w:rsidP="00662CC7">
      <w:pPr>
        <w:pStyle w:val="LFARPara"/>
        <w:bidi/>
        <w:spacing w:before="120" w:after="240"/>
        <w:ind w:left="850" w:hanging="493"/>
        <w:rPr>
          <w:rFonts w:ascii="Arial" w:hAnsi="Arial" w:cs="Calibri"/>
          <w:rtl/>
        </w:rPr>
      </w:pPr>
      <w:r w:rsidRPr="0017699B">
        <w:rPr>
          <w:rFonts w:ascii="Arial" w:hAnsi="Arial" w:cs="Calibri" w:hint="cs"/>
          <w:rtl/>
        </w:rPr>
        <w:t>ويقارن الجدول أدناه بين العدد الإجمالي للسجلات بين سجل الملكية الفكرية لرابطة أمم جنوب شرق آسيا وقواعد البيانات العالمية للويبو.</w:t>
      </w:r>
    </w:p>
    <w:p w14:paraId="563142B3" w14:textId="0559B1A0" w:rsidR="00D244A8" w:rsidRPr="0017699B" w:rsidRDefault="00D244A8" w:rsidP="00EE62C3">
      <w:pPr>
        <w:pStyle w:val="Caption"/>
        <w:bidi/>
        <w:rPr>
          <w:rFonts w:cs="Calibri"/>
          <w:rtl/>
        </w:rPr>
      </w:pPr>
      <w:bookmarkStart w:id="186" w:name="_Toc227253899"/>
      <w:bookmarkStart w:id="187" w:name="_Toc227254539"/>
      <w:bookmarkStart w:id="188" w:name="_Toc227254985"/>
      <w:bookmarkStart w:id="189" w:name="_Toc228101644"/>
      <w:r w:rsidRPr="0017699B">
        <w:rPr>
          <w:rFonts w:cs="Calibri" w:hint="cs"/>
          <w:rtl/>
        </w:rPr>
        <w:t xml:space="preserve">الجدول </w:t>
      </w:r>
      <w:r w:rsidRPr="0017699B">
        <w:rPr>
          <w:rFonts w:cs="Calibri"/>
        </w:rPr>
        <w:fldChar w:fldCharType="begin"/>
      </w:r>
      <w:r w:rsidRPr="0017699B">
        <w:rPr>
          <w:rFonts w:cs="Calibri"/>
          <w:rtl/>
        </w:rPr>
        <w:instrText xml:space="preserve"> </w:instrText>
      </w:r>
      <w:r w:rsidRPr="0017699B">
        <w:rPr>
          <w:rFonts w:cs="Calibri"/>
        </w:rPr>
        <w:instrText xml:space="preserve">SEQ Table \* ARABIC </w:instrText>
      </w:r>
      <w:r w:rsidRPr="0017699B">
        <w:rPr>
          <w:rFonts w:cs="Calibri"/>
        </w:rPr>
        <w:fldChar w:fldCharType="separate"/>
      </w:r>
      <w:r w:rsidR="009258BE" w:rsidRPr="0017699B">
        <w:rPr>
          <w:rFonts w:cs="Calibri" w:hint="cs"/>
          <w:rtl/>
        </w:rPr>
        <w:t>4</w:t>
      </w:r>
      <w:bookmarkEnd w:id="186"/>
      <w:bookmarkEnd w:id="187"/>
      <w:r w:rsidRPr="0017699B">
        <w:rPr>
          <w:rFonts w:cs="Calibri"/>
        </w:rPr>
        <w:fldChar w:fldCharType="end"/>
      </w:r>
      <w:r w:rsidRPr="0017699B">
        <w:rPr>
          <w:rFonts w:cs="Calibri" w:hint="cs"/>
          <w:rtl/>
        </w:rPr>
        <w:t>.</w:t>
      </w:r>
      <w:r w:rsidRPr="0017699B">
        <w:rPr>
          <w:rFonts w:cs="Calibri" w:hint="cs"/>
          <w:rtl/>
        </w:rPr>
        <w:tab/>
        <w:t>مقارنة التغطية بين مكاتب رابطة أمم جنوب شرق آسيا وقواعد البيانات العالمية للويبو</w:t>
      </w:r>
      <w:bookmarkEnd w:id="188"/>
      <w:bookmarkEnd w:id="189"/>
    </w:p>
    <w:tbl>
      <w:tblPr>
        <w:bidiVisual/>
        <w:tblW w:w="8838" w:type="dxa"/>
        <w:tblInd w:w="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
        <w:gridCol w:w="903"/>
        <w:gridCol w:w="853"/>
        <w:gridCol w:w="795"/>
        <w:gridCol w:w="804"/>
        <w:gridCol w:w="853"/>
        <w:gridCol w:w="795"/>
        <w:gridCol w:w="721"/>
        <w:gridCol w:w="977"/>
        <w:gridCol w:w="928"/>
        <w:gridCol w:w="721"/>
      </w:tblGrid>
      <w:tr w:rsidR="00FC0217" w:rsidRPr="0017699B" w14:paraId="52A7F2A5" w14:textId="77777777" w:rsidTr="000B1425">
        <w:trPr>
          <w:trHeight w:val="300"/>
          <w:tblHeader/>
        </w:trPr>
        <w:tc>
          <w:tcPr>
            <w:tcW w:w="0" w:type="auto"/>
            <w:vMerge w:val="restart"/>
            <w:shd w:val="clear" w:color="auto" w:fill="D4E1FC"/>
            <w:vAlign w:val="center"/>
          </w:tcPr>
          <w:p w14:paraId="304BA507"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الرقم</w:t>
            </w:r>
          </w:p>
        </w:tc>
        <w:tc>
          <w:tcPr>
            <w:tcW w:w="0" w:type="auto"/>
            <w:vMerge w:val="restart"/>
            <w:shd w:val="clear" w:color="auto" w:fill="D4E1FC"/>
            <w:vAlign w:val="center"/>
          </w:tcPr>
          <w:p w14:paraId="6E486059" w14:textId="77777777" w:rsidR="000B1425" w:rsidRPr="0017699B" w:rsidRDefault="000B1425" w:rsidP="005B4600">
            <w:pPr>
              <w:jc w:val="center"/>
              <w:rPr>
                <w:rFonts w:cs="Calibri"/>
                <w:b/>
                <w:bCs/>
                <w:sz w:val="16"/>
                <w:szCs w:val="16"/>
              </w:rPr>
            </w:pPr>
          </w:p>
          <w:p w14:paraId="6106D9DA" w14:textId="34A30D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مكتب ملكية فكرية</w:t>
            </w:r>
          </w:p>
          <w:p w14:paraId="5EE07801" w14:textId="77777777" w:rsidR="00FC0217" w:rsidRPr="0017699B" w:rsidRDefault="3673165E" w:rsidP="005B4600">
            <w:pPr>
              <w:bidi/>
              <w:jc w:val="center"/>
              <w:rPr>
                <w:rFonts w:cs="Calibri"/>
                <w:b/>
                <w:bCs/>
                <w:color w:val="000000"/>
                <w:sz w:val="16"/>
                <w:szCs w:val="16"/>
                <w:rtl/>
              </w:rPr>
            </w:pPr>
            <w:r w:rsidRPr="0017699B">
              <w:rPr>
                <w:rFonts w:cs="Calibri" w:hint="cs"/>
                <w:sz w:val="16"/>
                <w:szCs w:val="16"/>
                <w:rtl/>
              </w:rPr>
              <w:t> </w:t>
            </w:r>
          </w:p>
        </w:tc>
        <w:tc>
          <w:tcPr>
            <w:tcW w:w="0" w:type="auto"/>
            <w:gridSpan w:val="3"/>
            <w:shd w:val="clear" w:color="auto" w:fill="D4E1FC"/>
            <w:vAlign w:val="center"/>
          </w:tcPr>
          <w:p w14:paraId="6468A936"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براءات الاختراع</w:t>
            </w:r>
          </w:p>
        </w:tc>
        <w:tc>
          <w:tcPr>
            <w:tcW w:w="0" w:type="auto"/>
            <w:gridSpan w:val="3"/>
            <w:shd w:val="clear" w:color="auto" w:fill="D4E1FC"/>
            <w:vAlign w:val="center"/>
          </w:tcPr>
          <w:p w14:paraId="1E305735"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التصاميم</w:t>
            </w:r>
          </w:p>
        </w:tc>
        <w:tc>
          <w:tcPr>
            <w:tcW w:w="0" w:type="auto"/>
            <w:gridSpan w:val="3"/>
            <w:shd w:val="clear" w:color="auto" w:fill="D4E1FC"/>
            <w:vAlign w:val="center"/>
          </w:tcPr>
          <w:p w14:paraId="3F8E56E2"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العلامات التجارية</w:t>
            </w:r>
          </w:p>
        </w:tc>
      </w:tr>
      <w:tr w:rsidR="00FC0217" w:rsidRPr="0017699B" w14:paraId="1E19BEF2" w14:textId="77777777" w:rsidTr="000B1425">
        <w:trPr>
          <w:trHeight w:val="300"/>
          <w:tblHeader/>
        </w:trPr>
        <w:tc>
          <w:tcPr>
            <w:tcW w:w="0" w:type="auto"/>
            <w:vMerge/>
            <w:vAlign w:val="center"/>
          </w:tcPr>
          <w:p w14:paraId="101475EB" w14:textId="77777777" w:rsidR="00FC0217" w:rsidRPr="0017699B" w:rsidRDefault="00FC0217" w:rsidP="005B4600">
            <w:pPr>
              <w:rPr>
                <w:rFonts w:cs="Calibri"/>
                <w:b/>
                <w:bCs/>
                <w:color w:val="000000"/>
                <w:sz w:val="16"/>
                <w:szCs w:val="16"/>
                <w:lang w:eastAsia="en-ID"/>
              </w:rPr>
            </w:pPr>
          </w:p>
        </w:tc>
        <w:tc>
          <w:tcPr>
            <w:tcW w:w="0" w:type="auto"/>
            <w:vMerge/>
            <w:vAlign w:val="center"/>
          </w:tcPr>
          <w:p w14:paraId="7BFC60E7" w14:textId="77777777" w:rsidR="00FC0217" w:rsidRPr="0017699B" w:rsidRDefault="00FC0217" w:rsidP="005B4600">
            <w:pPr>
              <w:rPr>
                <w:rFonts w:cs="Calibri"/>
                <w:b/>
                <w:bCs/>
                <w:color w:val="000000"/>
                <w:sz w:val="16"/>
                <w:szCs w:val="16"/>
                <w:lang w:eastAsia="en-ID"/>
              </w:rPr>
            </w:pPr>
          </w:p>
        </w:tc>
        <w:tc>
          <w:tcPr>
            <w:tcW w:w="0" w:type="auto"/>
            <w:shd w:val="clear" w:color="auto" w:fill="D4E1FC"/>
            <w:vAlign w:val="center"/>
          </w:tcPr>
          <w:p w14:paraId="1C1E8863"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رابطة أمم جنوب شرق آسيا</w:t>
            </w:r>
          </w:p>
        </w:tc>
        <w:tc>
          <w:tcPr>
            <w:tcW w:w="0" w:type="auto"/>
            <w:shd w:val="clear" w:color="auto" w:fill="D4E1FC"/>
            <w:vAlign w:val="center"/>
          </w:tcPr>
          <w:p w14:paraId="5A630B37"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الويبو</w:t>
            </w:r>
          </w:p>
        </w:tc>
        <w:tc>
          <w:tcPr>
            <w:tcW w:w="0" w:type="auto"/>
            <w:shd w:val="clear" w:color="auto" w:fill="D4E1FC"/>
            <w:vAlign w:val="center"/>
          </w:tcPr>
          <w:p w14:paraId="24B2213D"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 الفجوة</w:t>
            </w:r>
          </w:p>
        </w:tc>
        <w:tc>
          <w:tcPr>
            <w:tcW w:w="0" w:type="auto"/>
            <w:shd w:val="clear" w:color="auto" w:fill="D4E1FC"/>
            <w:vAlign w:val="center"/>
          </w:tcPr>
          <w:p w14:paraId="60B1D5FC"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رابطة أمم جنوب شرق آسيا</w:t>
            </w:r>
          </w:p>
        </w:tc>
        <w:tc>
          <w:tcPr>
            <w:tcW w:w="0" w:type="auto"/>
            <w:shd w:val="clear" w:color="auto" w:fill="D4E1FC"/>
            <w:vAlign w:val="center"/>
          </w:tcPr>
          <w:p w14:paraId="216B0090"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الويبو</w:t>
            </w:r>
          </w:p>
        </w:tc>
        <w:tc>
          <w:tcPr>
            <w:tcW w:w="0" w:type="auto"/>
            <w:shd w:val="clear" w:color="auto" w:fill="D4E1FC"/>
            <w:vAlign w:val="center"/>
          </w:tcPr>
          <w:p w14:paraId="210149E3"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 الفجوة</w:t>
            </w:r>
          </w:p>
        </w:tc>
        <w:tc>
          <w:tcPr>
            <w:tcW w:w="0" w:type="auto"/>
            <w:shd w:val="clear" w:color="auto" w:fill="D4E1FC"/>
            <w:vAlign w:val="center"/>
          </w:tcPr>
          <w:p w14:paraId="497C5E6F"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رابطة أمم جنوب شرق آسيا</w:t>
            </w:r>
          </w:p>
        </w:tc>
        <w:tc>
          <w:tcPr>
            <w:tcW w:w="0" w:type="auto"/>
            <w:shd w:val="clear" w:color="auto" w:fill="D4E1FC"/>
            <w:vAlign w:val="center"/>
          </w:tcPr>
          <w:p w14:paraId="433FA16A"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الويبو</w:t>
            </w:r>
          </w:p>
        </w:tc>
        <w:tc>
          <w:tcPr>
            <w:tcW w:w="0" w:type="auto"/>
            <w:shd w:val="clear" w:color="auto" w:fill="D4E1FC"/>
            <w:vAlign w:val="center"/>
          </w:tcPr>
          <w:p w14:paraId="7B203838" w14:textId="77777777" w:rsidR="00FC0217" w:rsidRPr="0017699B" w:rsidRDefault="3673165E" w:rsidP="005B4600">
            <w:pPr>
              <w:bidi/>
              <w:jc w:val="center"/>
              <w:rPr>
                <w:rFonts w:cs="Calibri"/>
                <w:b/>
                <w:bCs/>
                <w:color w:val="000000"/>
                <w:sz w:val="16"/>
                <w:szCs w:val="16"/>
                <w:rtl/>
              </w:rPr>
            </w:pPr>
            <w:r w:rsidRPr="0017699B">
              <w:rPr>
                <w:rFonts w:cs="Calibri" w:hint="cs"/>
                <w:b/>
                <w:bCs/>
                <w:sz w:val="16"/>
                <w:szCs w:val="16"/>
                <w:rtl/>
              </w:rPr>
              <w:t>+/- الفجوة</w:t>
            </w:r>
          </w:p>
        </w:tc>
      </w:tr>
      <w:tr w:rsidR="00FC0217" w:rsidRPr="0017699B" w14:paraId="662E3443" w14:textId="77777777" w:rsidTr="000B1425">
        <w:trPr>
          <w:trHeight w:val="300"/>
        </w:trPr>
        <w:tc>
          <w:tcPr>
            <w:tcW w:w="0" w:type="auto"/>
            <w:shd w:val="clear" w:color="auto" w:fill="FFFFFF" w:themeFill="background1"/>
            <w:vAlign w:val="center"/>
          </w:tcPr>
          <w:p w14:paraId="5CBF1477"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1</w:t>
            </w:r>
          </w:p>
        </w:tc>
        <w:tc>
          <w:tcPr>
            <w:tcW w:w="0" w:type="auto"/>
            <w:shd w:val="clear" w:color="auto" w:fill="FFFFFF" w:themeFill="background1"/>
            <w:vAlign w:val="center"/>
          </w:tcPr>
          <w:p w14:paraId="29810F2B" w14:textId="77777777" w:rsidR="00FC0217" w:rsidRPr="0017699B" w:rsidRDefault="3673165E" w:rsidP="005B4600">
            <w:pPr>
              <w:bidi/>
              <w:rPr>
                <w:rFonts w:cs="Calibri"/>
                <w:color w:val="000000"/>
                <w:sz w:val="16"/>
                <w:szCs w:val="16"/>
                <w:rtl/>
              </w:rPr>
            </w:pPr>
            <w:r w:rsidRPr="0017699B">
              <w:rPr>
                <w:rFonts w:cs="Calibri" w:hint="cs"/>
                <w:sz w:val="16"/>
                <w:szCs w:val="16"/>
                <w:rtl/>
              </w:rPr>
              <w:t>بروناي</w:t>
            </w:r>
          </w:p>
        </w:tc>
        <w:tc>
          <w:tcPr>
            <w:tcW w:w="0" w:type="auto"/>
            <w:shd w:val="clear" w:color="auto" w:fill="FFFFFF" w:themeFill="background1"/>
            <w:vAlign w:val="center"/>
          </w:tcPr>
          <w:p w14:paraId="572FBAB6"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1,521</w:t>
            </w:r>
          </w:p>
        </w:tc>
        <w:tc>
          <w:tcPr>
            <w:tcW w:w="0" w:type="auto"/>
            <w:shd w:val="clear" w:color="auto" w:fill="FFFFFF" w:themeFill="background1"/>
            <w:vAlign w:val="center"/>
          </w:tcPr>
          <w:p w14:paraId="5D1ACD01"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1,654</w:t>
            </w:r>
          </w:p>
        </w:tc>
        <w:tc>
          <w:tcPr>
            <w:tcW w:w="0" w:type="auto"/>
            <w:shd w:val="clear" w:color="auto" w:fill="FFFFFF" w:themeFill="background1"/>
            <w:vAlign w:val="center"/>
          </w:tcPr>
          <w:p w14:paraId="683786FD"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(133)</w:t>
            </w:r>
          </w:p>
        </w:tc>
        <w:tc>
          <w:tcPr>
            <w:tcW w:w="0" w:type="auto"/>
            <w:shd w:val="clear" w:color="auto" w:fill="FFFFFF" w:themeFill="background1"/>
            <w:vAlign w:val="center"/>
          </w:tcPr>
          <w:p w14:paraId="354279C4"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199</w:t>
            </w:r>
          </w:p>
        </w:tc>
        <w:tc>
          <w:tcPr>
            <w:tcW w:w="0" w:type="auto"/>
            <w:shd w:val="clear" w:color="auto" w:fill="FFFFFF" w:themeFill="background1"/>
            <w:vAlign w:val="center"/>
          </w:tcPr>
          <w:p w14:paraId="52463695"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191</w:t>
            </w:r>
          </w:p>
        </w:tc>
        <w:tc>
          <w:tcPr>
            <w:tcW w:w="0" w:type="auto"/>
            <w:shd w:val="clear" w:color="auto" w:fill="FFFFFF" w:themeFill="background1"/>
            <w:vAlign w:val="center"/>
          </w:tcPr>
          <w:p w14:paraId="6AA8DEEC"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8</w:t>
            </w:r>
          </w:p>
        </w:tc>
        <w:tc>
          <w:tcPr>
            <w:tcW w:w="0" w:type="auto"/>
            <w:shd w:val="clear" w:color="auto" w:fill="FFFFFF" w:themeFill="background1"/>
            <w:vAlign w:val="center"/>
          </w:tcPr>
          <w:p w14:paraId="6B7CFA0B"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60,827</w:t>
            </w:r>
          </w:p>
        </w:tc>
        <w:tc>
          <w:tcPr>
            <w:tcW w:w="0" w:type="auto"/>
            <w:shd w:val="clear" w:color="auto" w:fill="FFFFFF" w:themeFill="background1"/>
            <w:vAlign w:val="center"/>
          </w:tcPr>
          <w:p w14:paraId="349170E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60,486</w:t>
            </w:r>
          </w:p>
        </w:tc>
        <w:tc>
          <w:tcPr>
            <w:tcW w:w="0" w:type="auto"/>
            <w:shd w:val="clear" w:color="auto" w:fill="FFFFFF" w:themeFill="background1"/>
            <w:vAlign w:val="center"/>
          </w:tcPr>
          <w:p w14:paraId="4AA63AE5"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341</w:t>
            </w:r>
          </w:p>
        </w:tc>
      </w:tr>
      <w:tr w:rsidR="00FC0217" w:rsidRPr="0017699B" w14:paraId="25B2B72A" w14:textId="77777777" w:rsidTr="000B1425">
        <w:trPr>
          <w:trHeight w:val="300"/>
        </w:trPr>
        <w:tc>
          <w:tcPr>
            <w:tcW w:w="0" w:type="auto"/>
            <w:shd w:val="clear" w:color="auto" w:fill="FFFFFF" w:themeFill="background1"/>
            <w:vAlign w:val="center"/>
          </w:tcPr>
          <w:p w14:paraId="1597DCB6"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2</w:t>
            </w:r>
          </w:p>
        </w:tc>
        <w:tc>
          <w:tcPr>
            <w:tcW w:w="0" w:type="auto"/>
            <w:shd w:val="clear" w:color="auto" w:fill="FFFFFF" w:themeFill="background1"/>
            <w:vAlign w:val="center"/>
          </w:tcPr>
          <w:p w14:paraId="7DFAFAF2" w14:textId="77777777" w:rsidR="00FC0217" w:rsidRPr="0017699B" w:rsidRDefault="3673165E" w:rsidP="005B4600">
            <w:pPr>
              <w:bidi/>
              <w:rPr>
                <w:rFonts w:cs="Calibri"/>
                <w:color w:val="000000"/>
                <w:sz w:val="16"/>
                <w:szCs w:val="16"/>
                <w:rtl/>
              </w:rPr>
            </w:pPr>
            <w:r w:rsidRPr="0017699B">
              <w:rPr>
                <w:rFonts w:cs="Calibri" w:hint="cs"/>
                <w:sz w:val="16"/>
                <w:szCs w:val="16"/>
                <w:rtl/>
              </w:rPr>
              <w:t>كمبوديا</w:t>
            </w:r>
          </w:p>
        </w:tc>
        <w:tc>
          <w:tcPr>
            <w:tcW w:w="0" w:type="auto"/>
            <w:shd w:val="clear" w:color="auto" w:fill="FFFFFF" w:themeFill="background1"/>
            <w:vAlign w:val="center"/>
          </w:tcPr>
          <w:p w14:paraId="207A0509"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1,566</w:t>
            </w:r>
          </w:p>
        </w:tc>
        <w:tc>
          <w:tcPr>
            <w:tcW w:w="0" w:type="auto"/>
            <w:shd w:val="clear" w:color="auto" w:fill="FFFFFF" w:themeFill="background1"/>
            <w:vAlign w:val="center"/>
          </w:tcPr>
          <w:p w14:paraId="041FEC23"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1,417</w:t>
            </w:r>
          </w:p>
        </w:tc>
        <w:tc>
          <w:tcPr>
            <w:tcW w:w="0" w:type="auto"/>
            <w:shd w:val="clear" w:color="auto" w:fill="FFFFFF" w:themeFill="background1"/>
            <w:vAlign w:val="center"/>
          </w:tcPr>
          <w:p w14:paraId="57B2A13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149</w:t>
            </w:r>
          </w:p>
        </w:tc>
        <w:tc>
          <w:tcPr>
            <w:tcW w:w="0" w:type="auto"/>
            <w:shd w:val="clear" w:color="auto" w:fill="FFFFFF" w:themeFill="background1"/>
            <w:vAlign w:val="center"/>
          </w:tcPr>
          <w:p w14:paraId="7AE015D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1,342</w:t>
            </w:r>
          </w:p>
        </w:tc>
        <w:tc>
          <w:tcPr>
            <w:tcW w:w="0" w:type="auto"/>
            <w:shd w:val="clear" w:color="auto" w:fill="FFFFFF" w:themeFill="background1"/>
            <w:vAlign w:val="center"/>
          </w:tcPr>
          <w:p w14:paraId="01B2EF44"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1,344</w:t>
            </w:r>
          </w:p>
        </w:tc>
        <w:tc>
          <w:tcPr>
            <w:tcW w:w="0" w:type="auto"/>
            <w:shd w:val="clear" w:color="auto" w:fill="FFFFFF" w:themeFill="background1"/>
            <w:vAlign w:val="center"/>
          </w:tcPr>
          <w:p w14:paraId="4891B77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w:t>
            </w:r>
          </w:p>
        </w:tc>
        <w:tc>
          <w:tcPr>
            <w:tcW w:w="0" w:type="auto"/>
            <w:shd w:val="clear" w:color="auto" w:fill="FFFFFF" w:themeFill="background1"/>
            <w:vAlign w:val="center"/>
          </w:tcPr>
          <w:p w14:paraId="1938B0D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150,505</w:t>
            </w:r>
          </w:p>
        </w:tc>
        <w:tc>
          <w:tcPr>
            <w:tcW w:w="0" w:type="auto"/>
            <w:shd w:val="clear" w:color="auto" w:fill="FFFFFF" w:themeFill="background1"/>
            <w:vAlign w:val="center"/>
          </w:tcPr>
          <w:p w14:paraId="2EE6148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150,535</w:t>
            </w:r>
          </w:p>
        </w:tc>
        <w:tc>
          <w:tcPr>
            <w:tcW w:w="0" w:type="auto"/>
            <w:shd w:val="clear" w:color="auto" w:fill="FFFFFF" w:themeFill="background1"/>
            <w:vAlign w:val="center"/>
          </w:tcPr>
          <w:p w14:paraId="4BAF789B"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(30)</w:t>
            </w:r>
          </w:p>
        </w:tc>
      </w:tr>
      <w:tr w:rsidR="00FC0217" w:rsidRPr="0017699B" w14:paraId="699F6035" w14:textId="77777777" w:rsidTr="000B1425">
        <w:trPr>
          <w:trHeight w:val="300"/>
        </w:trPr>
        <w:tc>
          <w:tcPr>
            <w:tcW w:w="0" w:type="auto"/>
            <w:shd w:val="clear" w:color="auto" w:fill="FFFFFF" w:themeFill="background1"/>
            <w:vAlign w:val="center"/>
          </w:tcPr>
          <w:p w14:paraId="54298C77"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3</w:t>
            </w:r>
          </w:p>
        </w:tc>
        <w:tc>
          <w:tcPr>
            <w:tcW w:w="0" w:type="auto"/>
            <w:shd w:val="clear" w:color="auto" w:fill="FFFFFF" w:themeFill="background1"/>
            <w:vAlign w:val="center"/>
          </w:tcPr>
          <w:p w14:paraId="58FE92A3" w14:textId="77777777" w:rsidR="00FC0217" w:rsidRPr="0017699B" w:rsidRDefault="3673165E" w:rsidP="005B4600">
            <w:pPr>
              <w:bidi/>
              <w:rPr>
                <w:rFonts w:cs="Calibri"/>
                <w:color w:val="000000"/>
                <w:sz w:val="16"/>
                <w:szCs w:val="16"/>
                <w:rtl/>
              </w:rPr>
            </w:pPr>
            <w:r w:rsidRPr="0017699B">
              <w:rPr>
                <w:rFonts w:cs="Calibri" w:hint="cs"/>
                <w:sz w:val="16"/>
                <w:szCs w:val="16"/>
                <w:rtl/>
              </w:rPr>
              <w:t>إندونيسيا</w:t>
            </w:r>
          </w:p>
        </w:tc>
        <w:tc>
          <w:tcPr>
            <w:tcW w:w="0" w:type="auto"/>
            <w:shd w:val="clear" w:color="auto" w:fill="FFFFFF" w:themeFill="background1"/>
            <w:vAlign w:val="center"/>
          </w:tcPr>
          <w:p w14:paraId="394C5626"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194,262</w:t>
            </w:r>
          </w:p>
        </w:tc>
        <w:tc>
          <w:tcPr>
            <w:tcW w:w="0" w:type="auto"/>
            <w:shd w:val="clear" w:color="auto" w:fill="FFFFFF" w:themeFill="background1"/>
            <w:vAlign w:val="center"/>
          </w:tcPr>
          <w:p w14:paraId="4091CEF7"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193,561</w:t>
            </w:r>
          </w:p>
        </w:tc>
        <w:tc>
          <w:tcPr>
            <w:tcW w:w="0" w:type="auto"/>
            <w:shd w:val="clear" w:color="auto" w:fill="FFFFFF" w:themeFill="background1"/>
            <w:vAlign w:val="center"/>
          </w:tcPr>
          <w:p w14:paraId="34BDA76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701</w:t>
            </w:r>
          </w:p>
        </w:tc>
        <w:tc>
          <w:tcPr>
            <w:tcW w:w="0" w:type="auto"/>
            <w:shd w:val="clear" w:color="auto" w:fill="FFFFFF" w:themeFill="background1"/>
            <w:vAlign w:val="center"/>
          </w:tcPr>
          <w:p w14:paraId="6ACD0EA9"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111,030</w:t>
            </w:r>
          </w:p>
        </w:tc>
        <w:tc>
          <w:tcPr>
            <w:tcW w:w="0" w:type="auto"/>
            <w:shd w:val="clear" w:color="auto" w:fill="FFFFFF" w:themeFill="background1"/>
            <w:vAlign w:val="center"/>
          </w:tcPr>
          <w:p w14:paraId="57B8523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109,199</w:t>
            </w:r>
          </w:p>
        </w:tc>
        <w:tc>
          <w:tcPr>
            <w:tcW w:w="0" w:type="auto"/>
            <w:shd w:val="clear" w:color="auto" w:fill="FFFFFF" w:themeFill="background1"/>
            <w:vAlign w:val="center"/>
          </w:tcPr>
          <w:p w14:paraId="55370CAD"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1,831</w:t>
            </w:r>
          </w:p>
        </w:tc>
        <w:tc>
          <w:tcPr>
            <w:tcW w:w="0" w:type="auto"/>
            <w:shd w:val="clear" w:color="auto" w:fill="FFFFFF" w:themeFill="background1"/>
            <w:vAlign w:val="center"/>
          </w:tcPr>
          <w:p w14:paraId="3BEE3CFD"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1,895,143</w:t>
            </w:r>
          </w:p>
        </w:tc>
        <w:tc>
          <w:tcPr>
            <w:tcW w:w="0" w:type="auto"/>
            <w:shd w:val="clear" w:color="auto" w:fill="FFFFFF" w:themeFill="background1"/>
            <w:vAlign w:val="center"/>
          </w:tcPr>
          <w:p w14:paraId="3DA67E37"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1,900,848</w:t>
            </w:r>
          </w:p>
        </w:tc>
        <w:tc>
          <w:tcPr>
            <w:tcW w:w="0" w:type="auto"/>
            <w:shd w:val="clear" w:color="auto" w:fill="FFFFFF" w:themeFill="background1"/>
            <w:vAlign w:val="center"/>
          </w:tcPr>
          <w:p w14:paraId="3744E8A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(5,705)</w:t>
            </w:r>
          </w:p>
        </w:tc>
      </w:tr>
      <w:tr w:rsidR="00FC0217" w:rsidRPr="0017699B" w14:paraId="33487BA3" w14:textId="77777777" w:rsidTr="000B1425">
        <w:trPr>
          <w:trHeight w:val="300"/>
        </w:trPr>
        <w:tc>
          <w:tcPr>
            <w:tcW w:w="0" w:type="auto"/>
            <w:shd w:val="clear" w:color="auto" w:fill="FFFFFF" w:themeFill="background1"/>
            <w:vAlign w:val="center"/>
          </w:tcPr>
          <w:p w14:paraId="223ABAE8"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4</w:t>
            </w:r>
          </w:p>
        </w:tc>
        <w:tc>
          <w:tcPr>
            <w:tcW w:w="0" w:type="auto"/>
            <w:shd w:val="clear" w:color="auto" w:fill="FFFFFF" w:themeFill="background1"/>
            <w:vAlign w:val="center"/>
          </w:tcPr>
          <w:p w14:paraId="42210E1A" w14:textId="77777777" w:rsidR="00FC0217" w:rsidRPr="0017699B" w:rsidRDefault="3673165E" w:rsidP="005B4600">
            <w:pPr>
              <w:bidi/>
              <w:rPr>
                <w:rFonts w:cs="Calibri"/>
                <w:color w:val="000000"/>
                <w:sz w:val="16"/>
                <w:szCs w:val="16"/>
                <w:rtl/>
              </w:rPr>
            </w:pPr>
            <w:r w:rsidRPr="0017699B">
              <w:rPr>
                <w:rFonts w:cs="Calibri" w:hint="cs"/>
                <w:sz w:val="16"/>
                <w:szCs w:val="16"/>
                <w:rtl/>
              </w:rPr>
              <w:t>جمهورية لاو الديمقراطية الشعبية</w:t>
            </w:r>
          </w:p>
        </w:tc>
        <w:tc>
          <w:tcPr>
            <w:tcW w:w="0" w:type="auto"/>
            <w:shd w:val="clear" w:color="auto" w:fill="FFFFFF" w:themeFill="background1"/>
            <w:vAlign w:val="center"/>
          </w:tcPr>
          <w:p w14:paraId="0926E1A7"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256</w:t>
            </w:r>
          </w:p>
        </w:tc>
        <w:tc>
          <w:tcPr>
            <w:tcW w:w="0" w:type="auto"/>
            <w:shd w:val="clear" w:color="auto" w:fill="FFFFFF" w:themeFill="background1"/>
            <w:vAlign w:val="center"/>
          </w:tcPr>
          <w:p w14:paraId="33AB6DDB"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160</w:t>
            </w:r>
          </w:p>
        </w:tc>
        <w:tc>
          <w:tcPr>
            <w:tcW w:w="0" w:type="auto"/>
            <w:shd w:val="clear" w:color="auto" w:fill="FFFFFF" w:themeFill="background1"/>
            <w:vAlign w:val="center"/>
          </w:tcPr>
          <w:p w14:paraId="52A22826"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96</w:t>
            </w:r>
          </w:p>
        </w:tc>
        <w:tc>
          <w:tcPr>
            <w:tcW w:w="0" w:type="auto"/>
            <w:shd w:val="clear" w:color="auto" w:fill="FFFFFF" w:themeFill="background1"/>
            <w:vAlign w:val="center"/>
          </w:tcPr>
          <w:p w14:paraId="31EB1F7C"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562</w:t>
            </w:r>
          </w:p>
        </w:tc>
        <w:tc>
          <w:tcPr>
            <w:tcW w:w="0" w:type="auto"/>
            <w:shd w:val="clear" w:color="auto" w:fill="FFFFFF" w:themeFill="background1"/>
            <w:vAlign w:val="center"/>
          </w:tcPr>
          <w:p w14:paraId="24239E2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562</w:t>
            </w:r>
          </w:p>
        </w:tc>
        <w:tc>
          <w:tcPr>
            <w:tcW w:w="0" w:type="auto"/>
            <w:shd w:val="clear" w:color="auto" w:fill="FFFFFF" w:themeFill="background1"/>
            <w:vAlign w:val="center"/>
          </w:tcPr>
          <w:p w14:paraId="05782527"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w:t>
            </w:r>
          </w:p>
        </w:tc>
        <w:tc>
          <w:tcPr>
            <w:tcW w:w="0" w:type="auto"/>
            <w:shd w:val="clear" w:color="auto" w:fill="FFFFFF" w:themeFill="background1"/>
            <w:vAlign w:val="center"/>
          </w:tcPr>
          <w:p w14:paraId="6D3605DC"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71,082</w:t>
            </w:r>
          </w:p>
        </w:tc>
        <w:tc>
          <w:tcPr>
            <w:tcW w:w="0" w:type="auto"/>
            <w:shd w:val="clear" w:color="auto" w:fill="FFFFFF" w:themeFill="background1"/>
            <w:vAlign w:val="center"/>
          </w:tcPr>
          <w:p w14:paraId="4C8BA7B5"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72,013</w:t>
            </w:r>
          </w:p>
        </w:tc>
        <w:tc>
          <w:tcPr>
            <w:tcW w:w="0" w:type="auto"/>
            <w:shd w:val="clear" w:color="auto" w:fill="FFFFFF" w:themeFill="background1"/>
            <w:vAlign w:val="center"/>
          </w:tcPr>
          <w:p w14:paraId="24AD9C0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(931)</w:t>
            </w:r>
          </w:p>
        </w:tc>
      </w:tr>
      <w:tr w:rsidR="00FC0217" w:rsidRPr="0017699B" w14:paraId="42B4A1F5" w14:textId="77777777" w:rsidTr="000B1425">
        <w:trPr>
          <w:trHeight w:val="300"/>
        </w:trPr>
        <w:tc>
          <w:tcPr>
            <w:tcW w:w="0" w:type="auto"/>
            <w:shd w:val="clear" w:color="auto" w:fill="FFFFFF" w:themeFill="background1"/>
            <w:vAlign w:val="center"/>
          </w:tcPr>
          <w:p w14:paraId="7EBBD8AE"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5</w:t>
            </w:r>
          </w:p>
        </w:tc>
        <w:tc>
          <w:tcPr>
            <w:tcW w:w="0" w:type="auto"/>
            <w:shd w:val="clear" w:color="auto" w:fill="FFFFFF" w:themeFill="background1"/>
            <w:vAlign w:val="center"/>
          </w:tcPr>
          <w:p w14:paraId="07747B75" w14:textId="77777777" w:rsidR="00FC0217" w:rsidRPr="0017699B" w:rsidRDefault="3673165E" w:rsidP="005B4600">
            <w:pPr>
              <w:bidi/>
              <w:rPr>
                <w:rFonts w:cs="Calibri"/>
                <w:color w:val="000000"/>
                <w:sz w:val="16"/>
                <w:szCs w:val="16"/>
                <w:rtl/>
              </w:rPr>
            </w:pPr>
            <w:r w:rsidRPr="0017699B">
              <w:rPr>
                <w:rFonts w:cs="Calibri" w:hint="cs"/>
                <w:sz w:val="16"/>
                <w:szCs w:val="16"/>
                <w:rtl/>
              </w:rPr>
              <w:t>ماليزيا</w:t>
            </w:r>
          </w:p>
        </w:tc>
        <w:tc>
          <w:tcPr>
            <w:tcW w:w="0" w:type="auto"/>
            <w:shd w:val="clear" w:color="auto" w:fill="FFFFFF" w:themeFill="background1"/>
            <w:vAlign w:val="center"/>
          </w:tcPr>
          <w:p w14:paraId="1AB0EEE1"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216,086</w:t>
            </w:r>
          </w:p>
        </w:tc>
        <w:tc>
          <w:tcPr>
            <w:tcW w:w="0" w:type="auto"/>
            <w:shd w:val="clear" w:color="auto" w:fill="FFFFFF" w:themeFill="background1"/>
            <w:vAlign w:val="center"/>
          </w:tcPr>
          <w:p w14:paraId="10C8EA22"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260,792</w:t>
            </w:r>
          </w:p>
        </w:tc>
        <w:tc>
          <w:tcPr>
            <w:tcW w:w="0" w:type="auto"/>
            <w:shd w:val="clear" w:color="auto" w:fill="FFFFFF" w:themeFill="background1"/>
            <w:vAlign w:val="center"/>
          </w:tcPr>
          <w:p w14:paraId="06CADD44"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(44,706)</w:t>
            </w:r>
          </w:p>
        </w:tc>
        <w:tc>
          <w:tcPr>
            <w:tcW w:w="0" w:type="auto"/>
            <w:shd w:val="clear" w:color="auto" w:fill="FFFFFF" w:themeFill="background1"/>
            <w:vAlign w:val="center"/>
          </w:tcPr>
          <w:p w14:paraId="2F97350C"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41,811</w:t>
            </w:r>
          </w:p>
        </w:tc>
        <w:tc>
          <w:tcPr>
            <w:tcW w:w="0" w:type="auto"/>
            <w:shd w:val="clear" w:color="auto" w:fill="FFFFFF" w:themeFill="background1"/>
            <w:vAlign w:val="center"/>
          </w:tcPr>
          <w:p w14:paraId="56DAE1CD"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41,809</w:t>
            </w:r>
          </w:p>
        </w:tc>
        <w:tc>
          <w:tcPr>
            <w:tcW w:w="0" w:type="auto"/>
            <w:shd w:val="clear" w:color="auto" w:fill="FFFFFF" w:themeFill="background1"/>
            <w:vAlign w:val="center"/>
          </w:tcPr>
          <w:p w14:paraId="26156A83"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w:t>
            </w:r>
          </w:p>
        </w:tc>
        <w:tc>
          <w:tcPr>
            <w:tcW w:w="0" w:type="auto"/>
            <w:shd w:val="clear" w:color="auto" w:fill="FFFFFF" w:themeFill="background1"/>
            <w:vAlign w:val="center"/>
          </w:tcPr>
          <w:p w14:paraId="1EA3F2CB"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1,109,291</w:t>
            </w:r>
          </w:p>
        </w:tc>
        <w:tc>
          <w:tcPr>
            <w:tcW w:w="0" w:type="auto"/>
            <w:shd w:val="clear" w:color="auto" w:fill="FFFFFF" w:themeFill="background1"/>
            <w:vAlign w:val="center"/>
          </w:tcPr>
          <w:p w14:paraId="12A60900"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1,113,055</w:t>
            </w:r>
          </w:p>
        </w:tc>
        <w:tc>
          <w:tcPr>
            <w:tcW w:w="0" w:type="auto"/>
            <w:shd w:val="clear" w:color="auto" w:fill="FFFFFF" w:themeFill="background1"/>
            <w:vAlign w:val="center"/>
          </w:tcPr>
          <w:p w14:paraId="06B401C5"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(3,764)</w:t>
            </w:r>
          </w:p>
        </w:tc>
      </w:tr>
      <w:tr w:rsidR="00FC0217" w:rsidRPr="0017699B" w14:paraId="65EDBB4A" w14:textId="77777777" w:rsidTr="000B1425">
        <w:trPr>
          <w:trHeight w:val="300"/>
        </w:trPr>
        <w:tc>
          <w:tcPr>
            <w:tcW w:w="0" w:type="auto"/>
            <w:shd w:val="clear" w:color="auto" w:fill="FFFFFF" w:themeFill="background1"/>
            <w:vAlign w:val="center"/>
          </w:tcPr>
          <w:p w14:paraId="26B6011B"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6</w:t>
            </w:r>
          </w:p>
        </w:tc>
        <w:tc>
          <w:tcPr>
            <w:tcW w:w="0" w:type="auto"/>
            <w:shd w:val="clear" w:color="auto" w:fill="FFFFFF" w:themeFill="background1"/>
            <w:vAlign w:val="center"/>
          </w:tcPr>
          <w:p w14:paraId="2F553F21" w14:textId="77777777" w:rsidR="00FC0217" w:rsidRPr="0017699B" w:rsidRDefault="3673165E" w:rsidP="005B4600">
            <w:pPr>
              <w:bidi/>
              <w:rPr>
                <w:rFonts w:cs="Calibri"/>
                <w:color w:val="000000"/>
                <w:sz w:val="16"/>
                <w:szCs w:val="16"/>
                <w:rtl/>
              </w:rPr>
            </w:pPr>
            <w:r w:rsidRPr="0017699B">
              <w:rPr>
                <w:rFonts w:cs="Calibri" w:hint="cs"/>
                <w:sz w:val="16"/>
                <w:szCs w:val="16"/>
                <w:rtl/>
              </w:rPr>
              <w:t>ميانمار</w:t>
            </w:r>
          </w:p>
        </w:tc>
        <w:tc>
          <w:tcPr>
            <w:tcW w:w="0" w:type="auto"/>
            <w:shd w:val="clear" w:color="auto" w:fill="FFFFFF" w:themeFill="background1"/>
            <w:vAlign w:val="center"/>
          </w:tcPr>
          <w:p w14:paraId="7463920D"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w:t>
            </w:r>
          </w:p>
        </w:tc>
        <w:tc>
          <w:tcPr>
            <w:tcW w:w="0" w:type="auto"/>
            <w:shd w:val="clear" w:color="auto" w:fill="FFFFFF" w:themeFill="background1"/>
            <w:vAlign w:val="center"/>
          </w:tcPr>
          <w:p w14:paraId="2AE6FE5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لا ينطبق</w:t>
            </w:r>
          </w:p>
        </w:tc>
        <w:tc>
          <w:tcPr>
            <w:tcW w:w="0" w:type="auto"/>
            <w:shd w:val="clear" w:color="auto" w:fill="FFFFFF" w:themeFill="background1"/>
            <w:vAlign w:val="center"/>
          </w:tcPr>
          <w:p w14:paraId="7AB87F75"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لا ينطبق</w:t>
            </w:r>
          </w:p>
        </w:tc>
        <w:tc>
          <w:tcPr>
            <w:tcW w:w="0" w:type="auto"/>
            <w:shd w:val="clear" w:color="auto" w:fill="FFFFFF" w:themeFill="background1"/>
            <w:vAlign w:val="center"/>
          </w:tcPr>
          <w:p w14:paraId="12FEB79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291</w:t>
            </w:r>
          </w:p>
        </w:tc>
        <w:tc>
          <w:tcPr>
            <w:tcW w:w="0" w:type="auto"/>
            <w:shd w:val="clear" w:color="auto" w:fill="FFFFFF" w:themeFill="background1"/>
            <w:vAlign w:val="center"/>
          </w:tcPr>
          <w:p w14:paraId="50D71C03"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لا ينطبق</w:t>
            </w:r>
          </w:p>
        </w:tc>
        <w:tc>
          <w:tcPr>
            <w:tcW w:w="0" w:type="auto"/>
            <w:shd w:val="clear" w:color="auto" w:fill="FFFFFF" w:themeFill="background1"/>
            <w:vAlign w:val="center"/>
          </w:tcPr>
          <w:p w14:paraId="675A835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291</w:t>
            </w:r>
          </w:p>
        </w:tc>
        <w:tc>
          <w:tcPr>
            <w:tcW w:w="0" w:type="auto"/>
            <w:shd w:val="clear" w:color="auto" w:fill="FFFFFF" w:themeFill="background1"/>
            <w:vAlign w:val="center"/>
          </w:tcPr>
          <w:p w14:paraId="166DA229"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16,923</w:t>
            </w:r>
          </w:p>
        </w:tc>
        <w:tc>
          <w:tcPr>
            <w:tcW w:w="0" w:type="auto"/>
            <w:shd w:val="clear" w:color="auto" w:fill="FFFFFF" w:themeFill="background1"/>
            <w:vAlign w:val="center"/>
          </w:tcPr>
          <w:p w14:paraId="06F2B48C"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لا ينطبق</w:t>
            </w:r>
          </w:p>
        </w:tc>
        <w:tc>
          <w:tcPr>
            <w:tcW w:w="0" w:type="auto"/>
            <w:shd w:val="clear" w:color="auto" w:fill="FFFFFF" w:themeFill="background1"/>
            <w:vAlign w:val="center"/>
          </w:tcPr>
          <w:p w14:paraId="2805146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16,923</w:t>
            </w:r>
          </w:p>
        </w:tc>
      </w:tr>
      <w:tr w:rsidR="00FC0217" w:rsidRPr="0017699B" w14:paraId="2725495C" w14:textId="77777777" w:rsidTr="000B1425">
        <w:trPr>
          <w:trHeight w:val="300"/>
        </w:trPr>
        <w:tc>
          <w:tcPr>
            <w:tcW w:w="0" w:type="auto"/>
            <w:shd w:val="clear" w:color="auto" w:fill="FFFFFF" w:themeFill="background1"/>
            <w:vAlign w:val="center"/>
          </w:tcPr>
          <w:p w14:paraId="6C370555"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7</w:t>
            </w:r>
          </w:p>
        </w:tc>
        <w:tc>
          <w:tcPr>
            <w:tcW w:w="0" w:type="auto"/>
            <w:shd w:val="clear" w:color="auto" w:fill="FFFFFF" w:themeFill="background1"/>
            <w:vAlign w:val="center"/>
          </w:tcPr>
          <w:p w14:paraId="15D48CF6" w14:textId="77777777" w:rsidR="00FC0217" w:rsidRPr="0017699B" w:rsidRDefault="3673165E" w:rsidP="005B4600">
            <w:pPr>
              <w:bidi/>
              <w:rPr>
                <w:rFonts w:cs="Calibri"/>
                <w:color w:val="000000"/>
                <w:sz w:val="16"/>
                <w:szCs w:val="16"/>
                <w:rtl/>
              </w:rPr>
            </w:pPr>
            <w:r w:rsidRPr="0017699B">
              <w:rPr>
                <w:rFonts w:cs="Calibri" w:hint="cs"/>
                <w:sz w:val="16"/>
                <w:szCs w:val="16"/>
                <w:rtl/>
              </w:rPr>
              <w:t>الفلبين</w:t>
            </w:r>
          </w:p>
        </w:tc>
        <w:tc>
          <w:tcPr>
            <w:tcW w:w="0" w:type="auto"/>
            <w:shd w:val="clear" w:color="auto" w:fill="FFFFFF" w:themeFill="background1"/>
            <w:vAlign w:val="center"/>
          </w:tcPr>
          <w:p w14:paraId="16306F3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81,494</w:t>
            </w:r>
          </w:p>
        </w:tc>
        <w:tc>
          <w:tcPr>
            <w:tcW w:w="0" w:type="auto"/>
            <w:shd w:val="clear" w:color="auto" w:fill="FFFFFF" w:themeFill="background1"/>
            <w:vAlign w:val="center"/>
          </w:tcPr>
          <w:p w14:paraId="5B286800"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102,986</w:t>
            </w:r>
          </w:p>
        </w:tc>
        <w:tc>
          <w:tcPr>
            <w:tcW w:w="0" w:type="auto"/>
            <w:shd w:val="clear" w:color="auto" w:fill="FFFFFF" w:themeFill="background1"/>
            <w:vAlign w:val="center"/>
          </w:tcPr>
          <w:p w14:paraId="382AB6F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(21,492)</w:t>
            </w:r>
          </w:p>
        </w:tc>
        <w:tc>
          <w:tcPr>
            <w:tcW w:w="0" w:type="auto"/>
            <w:shd w:val="clear" w:color="auto" w:fill="FFFFFF" w:themeFill="background1"/>
            <w:vAlign w:val="center"/>
          </w:tcPr>
          <w:p w14:paraId="59BA224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23,368</w:t>
            </w:r>
          </w:p>
        </w:tc>
        <w:tc>
          <w:tcPr>
            <w:tcW w:w="0" w:type="auto"/>
            <w:shd w:val="clear" w:color="auto" w:fill="FFFFFF" w:themeFill="background1"/>
            <w:vAlign w:val="center"/>
          </w:tcPr>
          <w:p w14:paraId="54C2FED9"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23,368</w:t>
            </w:r>
          </w:p>
        </w:tc>
        <w:tc>
          <w:tcPr>
            <w:tcW w:w="0" w:type="auto"/>
            <w:shd w:val="clear" w:color="auto" w:fill="FFFFFF" w:themeFill="background1"/>
            <w:vAlign w:val="center"/>
          </w:tcPr>
          <w:p w14:paraId="57B7B5F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w:t>
            </w:r>
          </w:p>
        </w:tc>
        <w:tc>
          <w:tcPr>
            <w:tcW w:w="0" w:type="auto"/>
            <w:shd w:val="clear" w:color="auto" w:fill="FFFFFF" w:themeFill="background1"/>
            <w:vAlign w:val="center"/>
          </w:tcPr>
          <w:p w14:paraId="3DCD2E4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742,759</w:t>
            </w:r>
          </w:p>
        </w:tc>
        <w:tc>
          <w:tcPr>
            <w:tcW w:w="0" w:type="auto"/>
            <w:shd w:val="clear" w:color="auto" w:fill="FFFFFF" w:themeFill="background1"/>
            <w:vAlign w:val="center"/>
          </w:tcPr>
          <w:p w14:paraId="037560AB"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741,110</w:t>
            </w:r>
          </w:p>
        </w:tc>
        <w:tc>
          <w:tcPr>
            <w:tcW w:w="0" w:type="auto"/>
            <w:shd w:val="clear" w:color="auto" w:fill="FFFFFF" w:themeFill="background1"/>
            <w:vAlign w:val="center"/>
          </w:tcPr>
          <w:p w14:paraId="490A31CC"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1,649</w:t>
            </w:r>
          </w:p>
        </w:tc>
      </w:tr>
      <w:tr w:rsidR="00FC0217" w:rsidRPr="0017699B" w14:paraId="7A576999" w14:textId="77777777" w:rsidTr="000B1425">
        <w:trPr>
          <w:trHeight w:val="300"/>
        </w:trPr>
        <w:tc>
          <w:tcPr>
            <w:tcW w:w="0" w:type="auto"/>
            <w:shd w:val="clear" w:color="auto" w:fill="FFFFFF" w:themeFill="background1"/>
            <w:vAlign w:val="center"/>
          </w:tcPr>
          <w:p w14:paraId="5C7C17A0"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8</w:t>
            </w:r>
          </w:p>
        </w:tc>
        <w:tc>
          <w:tcPr>
            <w:tcW w:w="0" w:type="auto"/>
            <w:shd w:val="clear" w:color="auto" w:fill="FFFFFF" w:themeFill="background1"/>
            <w:vAlign w:val="center"/>
          </w:tcPr>
          <w:p w14:paraId="1FA340B9" w14:textId="77777777" w:rsidR="00FC0217" w:rsidRPr="0017699B" w:rsidRDefault="3673165E" w:rsidP="005B4600">
            <w:pPr>
              <w:bidi/>
              <w:rPr>
                <w:rFonts w:cs="Calibri"/>
                <w:color w:val="000000"/>
                <w:sz w:val="16"/>
                <w:szCs w:val="16"/>
                <w:rtl/>
              </w:rPr>
            </w:pPr>
            <w:r w:rsidRPr="0017699B">
              <w:rPr>
                <w:rFonts w:cs="Calibri" w:hint="cs"/>
                <w:sz w:val="16"/>
                <w:szCs w:val="16"/>
                <w:rtl/>
              </w:rPr>
              <w:t>سنغافورة</w:t>
            </w:r>
          </w:p>
        </w:tc>
        <w:tc>
          <w:tcPr>
            <w:tcW w:w="0" w:type="auto"/>
            <w:shd w:val="clear" w:color="auto" w:fill="FFFFFF" w:themeFill="background1"/>
            <w:vAlign w:val="center"/>
          </w:tcPr>
          <w:p w14:paraId="54F6CCC0"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238,244</w:t>
            </w:r>
          </w:p>
        </w:tc>
        <w:tc>
          <w:tcPr>
            <w:tcW w:w="0" w:type="auto"/>
            <w:shd w:val="clear" w:color="auto" w:fill="FFFFFF" w:themeFill="background1"/>
            <w:vAlign w:val="center"/>
          </w:tcPr>
          <w:p w14:paraId="1B19CFE6"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259,785</w:t>
            </w:r>
          </w:p>
        </w:tc>
        <w:tc>
          <w:tcPr>
            <w:tcW w:w="0" w:type="auto"/>
            <w:shd w:val="clear" w:color="auto" w:fill="FFFFFF" w:themeFill="background1"/>
            <w:vAlign w:val="center"/>
          </w:tcPr>
          <w:p w14:paraId="48495E7B"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(21,541)</w:t>
            </w:r>
          </w:p>
        </w:tc>
        <w:tc>
          <w:tcPr>
            <w:tcW w:w="0" w:type="auto"/>
            <w:shd w:val="clear" w:color="auto" w:fill="FFFFFF" w:themeFill="background1"/>
            <w:vAlign w:val="center"/>
          </w:tcPr>
          <w:p w14:paraId="41BA69CD"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43,486</w:t>
            </w:r>
          </w:p>
        </w:tc>
        <w:tc>
          <w:tcPr>
            <w:tcW w:w="0" w:type="auto"/>
            <w:shd w:val="clear" w:color="auto" w:fill="FFFFFF" w:themeFill="background1"/>
            <w:vAlign w:val="center"/>
          </w:tcPr>
          <w:p w14:paraId="2779C480"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34,539</w:t>
            </w:r>
          </w:p>
        </w:tc>
        <w:tc>
          <w:tcPr>
            <w:tcW w:w="0" w:type="auto"/>
            <w:shd w:val="clear" w:color="auto" w:fill="FFFFFF" w:themeFill="background1"/>
            <w:vAlign w:val="center"/>
          </w:tcPr>
          <w:p w14:paraId="057432F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8,947</w:t>
            </w:r>
          </w:p>
        </w:tc>
        <w:tc>
          <w:tcPr>
            <w:tcW w:w="0" w:type="auto"/>
            <w:shd w:val="clear" w:color="auto" w:fill="FFFFFF" w:themeFill="background1"/>
            <w:vAlign w:val="center"/>
          </w:tcPr>
          <w:p w14:paraId="55D45771"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901,303</w:t>
            </w:r>
          </w:p>
        </w:tc>
        <w:tc>
          <w:tcPr>
            <w:tcW w:w="0" w:type="auto"/>
            <w:shd w:val="clear" w:color="auto" w:fill="FFFFFF" w:themeFill="background1"/>
            <w:vAlign w:val="center"/>
          </w:tcPr>
          <w:p w14:paraId="4E2B73D9"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858,008</w:t>
            </w:r>
          </w:p>
        </w:tc>
        <w:tc>
          <w:tcPr>
            <w:tcW w:w="0" w:type="auto"/>
            <w:shd w:val="clear" w:color="auto" w:fill="FFFFFF" w:themeFill="background1"/>
            <w:vAlign w:val="center"/>
          </w:tcPr>
          <w:p w14:paraId="740837F3"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43,295</w:t>
            </w:r>
          </w:p>
        </w:tc>
      </w:tr>
      <w:tr w:rsidR="00FC0217" w:rsidRPr="0017699B" w14:paraId="2A349413" w14:textId="77777777" w:rsidTr="000B1425">
        <w:trPr>
          <w:trHeight w:val="300"/>
        </w:trPr>
        <w:tc>
          <w:tcPr>
            <w:tcW w:w="0" w:type="auto"/>
            <w:shd w:val="clear" w:color="auto" w:fill="FFFFFF" w:themeFill="background1"/>
            <w:vAlign w:val="center"/>
          </w:tcPr>
          <w:p w14:paraId="067B0A65"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9</w:t>
            </w:r>
          </w:p>
        </w:tc>
        <w:tc>
          <w:tcPr>
            <w:tcW w:w="0" w:type="auto"/>
            <w:shd w:val="clear" w:color="auto" w:fill="FFFFFF" w:themeFill="background1"/>
            <w:vAlign w:val="center"/>
          </w:tcPr>
          <w:p w14:paraId="394A8940" w14:textId="77777777" w:rsidR="00FC0217" w:rsidRPr="0017699B" w:rsidRDefault="3673165E" w:rsidP="005B4600">
            <w:pPr>
              <w:bidi/>
              <w:rPr>
                <w:rFonts w:cs="Calibri"/>
                <w:color w:val="000000"/>
                <w:sz w:val="16"/>
                <w:szCs w:val="16"/>
                <w:rtl/>
              </w:rPr>
            </w:pPr>
            <w:r w:rsidRPr="0017699B">
              <w:rPr>
                <w:rFonts w:cs="Calibri" w:hint="cs"/>
                <w:sz w:val="16"/>
                <w:szCs w:val="16"/>
                <w:rtl/>
              </w:rPr>
              <w:t>تايلند</w:t>
            </w:r>
          </w:p>
        </w:tc>
        <w:tc>
          <w:tcPr>
            <w:tcW w:w="0" w:type="auto"/>
            <w:shd w:val="clear" w:color="auto" w:fill="FFFFFF" w:themeFill="background1"/>
            <w:vAlign w:val="center"/>
          </w:tcPr>
          <w:p w14:paraId="7B803DCE" w14:textId="40C47E20" w:rsidR="00FC0217" w:rsidRPr="0017699B" w:rsidRDefault="3673165E" w:rsidP="005B4600">
            <w:pPr>
              <w:bidi/>
              <w:jc w:val="right"/>
              <w:rPr>
                <w:rFonts w:cs="Calibri"/>
                <w:color w:val="000000"/>
                <w:sz w:val="16"/>
                <w:szCs w:val="16"/>
                <w:rtl/>
              </w:rPr>
            </w:pPr>
            <w:r w:rsidRPr="0017699B">
              <w:rPr>
                <w:rFonts w:cs="Calibri" w:hint="cs"/>
                <w:sz w:val="16"/>
                <w:szCs w:val="16"/>
                <w:rtl/>
              </w:rPr>
              <w:t>161,515</w:t>
            </w:r>
          </w:p>
        </w:tc>
        <w:tc>
          <w:tcPr>
            <w:tcW w:w="0" w:type="auto"/>
            <w:shd w:val="clear" w:color="auto" w:fill="FFFFFF" w:themeFill="background1"/>
            <w:vAlign w:val="center"/>
          </w:tcPr>
          <w:p w14:paraId="01CFF4B6"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191,367</w:t>
            </w:r>
          </w:p>
        </w:tc>
        <w:tc>
          <w:tcPr>
            <w:tcW w:w="0" w:type="auto"/>
            <w:shd w:val="clear" w:color="auto" w:fill="FFFFFF" w:themeFill="background1"/>
            <w:vAlign w:val="center"/>
          </w:tcPr>
          <w:p w14:paraId="21EB9AB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(29,852)</w:t>
            </w:r>
          </w:p>
        </w:tc>
        <w:tc>
          <w:tcPr>
            <w:tcW w:w="0" w:type="auto"/>
            <w:shd w:val="clear" w:color="auto" w:fill="FFFFFF" w:themeFill="background1"/>
            <w:vAlign w:val="center"/>
          </w:tcPr>
          <w:p w14:paraId="669C66C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84,709</w:t>
            </w:r>
          </w:p>
        </w:tc>
        <w:tc>
          <w:tcPr>
            <w:tcW w:w="0" w:type="auto"/>
            <w:shd w:val="clear" w:color="auto" w:fill="FFFFFF" w:themeFill="background1"/>
            <w:vAlign w:val="center"/>
          </w:tcPr>
          <w:p w14:paraId="1920E061"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87,198</w:t>
            </w:r>
          </w:p>
        </w:tc>
        <w:tc>
          <w:tcPr>
            <w:tcW w:w="0" w:type="auto"/>
            <w:shd w:val="clear" w:color="auto" w:fill="FFFFFF" w:themeFill="background1"/>
            <w:vAlign w:val="center"/>
          </w:tcPr>
          <w:p w14:paraId="1D4CA02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(2,489)</w:t>
            </w:r>
          </w:p>
        </w:tc>
        <w:tc>
          <w:tcPr>
            <w:tcW w:w="0" w:type="auto"/>
            <w:shd w:val="clear" w:color="auto" w:fill="FFFFFF" w:themeFill="background1"/>
            <w:vAlign w:val="center"/>
          </w:tcPr>
          <w:p w14:paraId="1FA92435"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1,282,514</w:t>
            </w:r>
          </w:p>
        </w:tc>
        <w:tc>
          <w:tcPr>
            <w:tcW w:w="0" w:type="auto"/>
            <w:shd w:val="clear" w:color="auto" w:fill="FFFFFF" w:themeFill="background1"/>
            <w:vAlign w:val="center"/>
          </w:tcPr>
          <w:p w14:paraId="36DEBA87"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1,282,724</w:t>
            </w:r>
          </w:p>
        </w:tc>
        <w:tc>
          <w:tcPr>
            <w:tcW w:w="0" w:type="auto"/>
            <w:shd w:val="clear" w:color="auto" w:fill="FFFFFF" w:themeFill="background1"/>
            <w:vAlign w:val="center"/>
          </w:tcPr>
          <w:p w14:paraId="19A6AC81"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(210)</w:t>
            </w:r>
          </w:p>
        </w:tc>
      </w:tr>
      <w:tr w:rsidR="00FC0217" w:rsidRPr="0017699B" w14:paraId="2D70CA04" w14:textId="77777777" w:rsidTr="000B1425">
        <w:trPr>
          <w:trHeight w:val="300"/>
        </w:trPr>
        <w:tc>
          <w:tcPr>
            <w:tcW w:w="0" w:type="auto"/>
            <w:shd w:val="clear" w:color="auto" w:fill="FFFFFF" w:themeFill="background1"/>
            <w:vAlign w:val="center"/>
          </w:tcPr>
          <w:p w14:paraId="3E21741F" w14:textId="77777777" w:rsidR="00FC0217" w:rsidRPr="0017699B" w:rsidRDefault="3673165E" w:rsidP="005B4600">
            <w:pPr>
              <w:bidi/>
              <w:jc w:val="center"/>
              <w:rPr>
                <w:rFonts w:cs="Calibri"/>
                <w:color w:val="000000"/>
                <w:sz w:val="16"/>
                <w:szCs w:val="16"/>
                <w:rtl/>
              </w:rPr>
            </w:pPr>
            <w:r w:rsidRPr="0017699B">
              <w:rPr>
                <w:rFonts w:cs="Calibri" w:hint="cs"/>
                <w:sz w:val="16"/>
                <w:szCs w:val="16"/>
                <w:rtl/>
              </w:rPr>
              <w:t>10</w:t>
            </w:r>
          </w:p>
        </w:tc>
        <w:tc>
          <w:tcPr>
            <w:tcW w:w="0" w:type="auto"/>
            <w:shd w:val="clear" w:color="auto" w:fill="FFFFFF" w:themeFill="background1"/>
            <w:vAlign w:val="center"/>
          </w:tcPr>
          <w:p w14:paraId="24708D39" w14:textId="77777777" w:rsidR="00FC0217" w:rsidRPr="0017699B" w:rsidRDefault="3673165E" w:rsidP="005B4600">
            <w:pPr>
              <w:bidi/>
              <w:rPr>
                <w:rFonts w:cs="Calibri"/>
                <w:color w:val="000000"/>
                <w:sz w:val="16"/>
                <w:szCs w:val="16"/>
                <w:rtl/>
              </w:rPr>
            </w:pPr>
            <w:r w:rsidRPr="0017699B">
              <w:rPr>
                <w:rFonts w:cs="Calibri" w:hint="cs"/>
                <w:sz w:val="16"/>
                <w:szCs w:val="16"/>
                <w:rtl/>
              </w:rPr>
              <w:t>فييت نام</w:t>
            </w:r>
          </w:p>
        </w:tc>
        <w:tc>
          <w:tcPr>
            <w:tcW w:w="0" w:type="auto"/>
            <w:shd w:val="clear" w:color="auto" w:fill="FFFFFF" w:themeFill="background1"/>
            <w:vAlign w:val="center"/>
          </w:tcPr>
          <w:p w14:paraId="0CE693E2"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130,628</w:t>
            </w:r>
          </w:p>
        </w:tc>
        <w:tc>
          <w:tcPr>
            <w:tcW w:w="0" w:type="auto"/>
            <w:shd w:val="clear" w:color="auto" w:fill="FFFFFF" w:themeFill="background1"/>
            <w:vAlign w:val="center"/>
          </w:tcPr>
          <w:p w14:paraId="04C4063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153,885</w:t>
            </w:r>
          </w:p>
        </w:tc>
        <w:tc>
          <w:tcPr>
            <w:tcW w:w="0" w:type="auto"/>
            <w:shd w:val="clear" w:color="auto" w:fill="FFFFFF" w:themeFill="background1"/>
            <w:vAlign w:val="center"/>
          </w:tcPr>
          <w:p w14:paraId="6F2F3FE6"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(23,257)</w:t>
            </w:r>
          </w:p>
        </w:tc>
        <w:tc>
          <w:tcPr>
            <w:tcW w:w="0" w:type="auto"/>
            <w:shd w:val="clear" w:color="auto" w:fill="FFFFFF" w:themeFill="background1"/>
            <w:vAlign w:val="center"/>
          </w:tcPr>
          <w:p w14:paraId="02B3452F"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60,593</w:t>
            </w:r>
          </w:p>
        </w:tc>
        <w:tc>
          <w:tcPr>
            <w:tcW w:w="0" w:type="auto"/>
            <w:shd w:val="clear" w:color="auto" w:fill="FFFFFF" w:themeFill="background1"/>
            <w:vAlign w:val="center"/>
          </w:tcPr>
          <w:p w14:paraId="3271BB78"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60,596</w:t>
            </w:r>
          </w:p>
        </w:tc>
        <w:tc>
          <w:tcPr>
            <w:tcW w:w="0" w:type="auto"/>
            <w:shd w:val="clear" w:color="auto" w:fill="FFFFFF" w:themeFill="background1"/>
            <w:vAlign w:val="center"/>
          </w:tcPr>
          <w:p w14:paraId="5031C88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(3)</w:t>
            </w:r>
          </w:p>
        </w:tc>
        <w:tc>
          <w:tcPr>
            <w:tcW w:w="0" w:type="auto"/>
            <w:shd w:val="clear" w:color="auto" w:fill="FFFFFF" w:themeFill="background1"/>
            <w:vAlign w:val="center"/>
          </w:tcPr>
          <w:p w14:paraId="20E7D7E3"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908,650</w:t>
            </w:r>
          </w:p>
        </w:tc>
        <w:tc>
          <w:tcPr>
            <w:tcW w:w="0" w:type="auto"/>
            <w:shd w:val="clear" w:color="auto" w:fill="FFFFFF" w:themeFill="background1"/>
            <w:vAlign w:val="center"/>
          </w:tcPr>
          <w:p w14:paraId="7951F34E"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909,661</w:t>
            </w:r>
          </w:p>
        </w:tc>
        <w:tc>
          <w:tcPr>
            <w:tcW w:w="0" w:type="auto"/>
            <w:shd w:val="clear" w:color="auto" w:fill="FFFFFF" w:themeFill="background1"/>
            <w:vAlign w:val="center"/>
          </w:tcPr>
          <w:p w14:paraId="57F0015A" w14:textId="77777777" w:rsidR="00FC0217" w:rsidRPr="0017699B" w:rsidRDefault="3673165E" w:rsidP="005B4600">
            <w:pPr>
              <w:bidi/>
              <w:jc w:val="right"/>
              <w:rPr>
                <w:rFonts w:cs="Calibri"/>
                <w:color w:val="000000"/>
                <w:sz w:val="16"/>
                <w:szCs w:val="16"/>
                <w:rtl/>
              </w:rPr>
            </w:pPr>
            <w:r w:rsidRPr="0017699B">
              <w:rPr>
                <w:rFonts w:cs="Calibri" w:hint="cs"/>
                <w:sz w:val="16"/>
                <w:szCs w:val="16"/>
                <w:rtl/>
              </w:rPr>
              <w:t>(1,011)</w:t>
            </w:r>
          </w:p>
        </w:tc>
      </w:tr>
    </w:tbl>
    <w:p w14:paraId="5FF558E5" w14:textId="77777777" w:rsidR="004E30F5" w:rsidRPr="0017699B" w:rsidRDefault="004E30F5" w:rsidP="00352816">
      <w:pPr>
        <w:pStyle w:val="LFARPara"/>
        <w:bidi/>
        <w:spacing w:before="120"/>
        <w:ind w:left="850" w:hanging="493"/>
        <w:rPr>
          <w:rFonts w:ascii="Arial" w:hAnsi="Arial" w:cs="Calibri"/>
          <w:rtl/>
        </w:rPr>
      </w:pPr>
      <w:r w:rsidRPr="0017699B">
        <w:rPr>
          <w:rFonts w:ascii="Arial" w:hAnsi="Arial" w:cs="Calibri" w:hint="cs"/>
          <w:rtl/>
        </w:rPr>
        <w:t>يوضح الجدول أعلاه الاختلافات بين بيانات سجل الملكية الفكرية لرابطة أمم جنوب شرق آسيا وبيانات الويبو. هذه الاختلافات لا تعني بالضرورة أن بيانات الويبو غير دقيقة. وقد يعكس ذلك الحدود الهيكلية لمشاركة مكتب الملكية الفكرية الطوعية في توفير البيانات لقواعد البيانات العالمية. ومن شأن التواصل الأوضح مع المستخدمين حول نطاق التغطية وبذل جهود أكثر منهجية لسد معظم الثغرات الجوهرية أن يعزز موثوقية قواعد البيانات ومصداقية المنظمة</w:t>
      </w:r>
    </w:p>
    <w:p w14:paraId="62603948" w14:textId="77777777" w:rsidR="004E30F5" w:rsidRPr="0017699B" w:rsidRDefault="004E30F5" w:rsidP="00352816">
      <w:pPr>
        <w:pStyle w:val="LFARPara"/>
        <w:bidi/>
        <w:spacing w:before="120"/>
        <w:ind w:left="850" w:hanging="493"/>
        <w:rPr>
          <w:rFonts w:ascii="Arial" w:hAnsi="Arial" w:cs="Calibri"/>
          <w:rtl/>
        </w:rPr>
      </w:pPr>
      <w:r w:rsidRPr="0017699B">
        <w:rPr>
          <w:rFonts w:ascii="Arial" w:hAnsi="Arial" w:cs="Calibri" w:hint="cs"/>
          <w:rtl/>
        </w:rPr>
        <w:t>واستناداً إلى المناقشات مع مسؤول قواعد البيانات العالمية، يمكن أن تعزى الاختلافات في عدد السجلات بين سجل الملكية الفكرية لرابطة أمم جنوب شرق آسيا وقواعد البيانات العالمية للويبو إلى عدة عوامل، بما في ذلك ما يلي</w:t>
      </w:r>
    </w:p>
    <w:p w14:paraId="2082752C" w14:textId="5936F86C" w:rsidR="004E30F5" w:rsidRPr="0017699B" w:rsidRDefault="004E30F5" w:rsidP="00352816">
      <w:pPr>
        <w:pStyle w:val="ListParagraph"/>
        <w:numPr>
          <w:ilvl w:val="0"/>
          <w:numId w:val="20"/>
        </w:numPr>
        <w:bidi/>
        <w:spacing w:before="120" w:after="120" w:line="280" w:lineRule="exact"/>
        <w:ind w:hanging="409"/>
        <w:contextualSpacing w:val="0"/>
        <w:jc w:val="both"/>
        <w:rPr>
          <w:rFonts w:eastAsia="Times New Roman" w:cs="Calibri"/>
          <w:rtl/>
        </w:rPr>
      </w:pPr>
      <w:r w:rsidRPr="0017699B">
        <w:rPr>
          <w:rFonts w:cs="Calibri" w:hint="cs"/>
          <w:rtl/>
        </w:rPr>
        <w:t>الاختلافات في دورات التحديث أو تواريخ مزامنة البيانات بين النظامين;</w:t>
      </w:r>
    </w:p>
    <w:p w14:paraId="47D5CFAF" w14:textId="77777777" w:rsidR="004E30F5" w:rsidRPr="0017699B" w:rsidRDefault="004E30F5" w:rsidP="00352816">
      <w:pPr>
        <w:pStyle w:val="ListParagraph"/>
        <w:numPr>
          <w:ilvl w:val="0"/>
          <w:numId w:val="20"/>
        </w:numPr>
        <w:bidi/>
        <w:spacing w:before="120" w:after="120" w:line="280" w:lineRule="exact"/>
        <w:ind w:hanging="409"/>
        <w:contextualSpacing w:val="0"/>
        <w:jc w:val="both"/>
        <w:rPr>
          <w:rFonts w:eastAsia="Times New Roman" w:cs="Calibri"/>
          <w:rtl/>
        </w:rPr>
      </w:pPr>
      <w:r w:rsidRPr="0017699B">
        <w:rPr>
          <w:rFonts w:cs="Calibri" w:hint="cs"/>
          <w:rtl/>
        </w:rPr>
        <w:t xml:space="preserve">السجلات القديمة التي توجد في قاعدة بيانات واحدة فقط (إما قاعدة بيانات </w:t>
      </w:r>
      <w:r w:rsidRPr="0017699B">
        <w:rPr>
          <w:rFonts w:cs="Calibri"/>
        </w:rPr>
        <w:t>GBD/GDD</w:t>
      </w:r>
      <w:r w:rsidRPr="0017699B">
        <w:rPr>
          <w:rFonts w:cs="Calibri" w:hint="cs"/>
          <w:rtl/>
        </w:rPr>
        <w:t xml:space="preserve"> أو سجل الملكية الفكرية لرابطة أمم جنوب شرق آسيا);</w:t>
      </w:r>
    </w:p>
    <w:p w14:paraId="708D36FA" w14:textId="53CA9265" w:rsidR="004E30F5" w:rsidRPr="0017699B" w:rsidRDefault="004E30F5" w:rsidP="00352816">
      <w:pPr>
        <w:pStyle w:val="ListParagraph"/>
        <w:numPr>
          <w:ilvl w:val="0"/>
          <w:numId w:val="20"/>
        </w:numPr>
        <w:bidi/>
        <w:spacing w:before="120" w:after="120" w:line="280" w:lineRule="exact"/>
        <w:ind w:hanging="409"/>
        <w:contextualSpacing w:val="0"/>
        <w:jc w:val="both"/>
        <w:rPr>
          <w:rFonts w:eastAsia="Times New Roman" w:cs="Calibri"/>
          <w:rtl/>
        </w:rPr>
      </w:pPr>
      <w:r w:rsidRPr="0017699B">
        <w:rPr>
          <w:rFonts w:cs="Calibri" w:hint="cs"/>
          <w:rtl/>
        </w:rPr>
        <w:t>مشاكل جودة البيانات الوصفية في السجلات القديمة، والتي قد تمنع الإدخال الناجح بسبب اختلاف قواعد التحقق من الصحة التي تطبقها قواعد البيانات العالمية وسجل الملكية الفكرية لرابطة أمم جنوب شرق آسيا;</w:t>
      </w:r>
    </w:p>
    <w:p w14:paraId="7482FCD1" w14:textId="77777777" w:rsidR="004E30F5" w:rsidRPr="0017699B" w:rsidRDefault="004E30F5" w:rsidP="00352816">
      <w:pPr>
        <w:pStyle w:val="ListParagraph"/>
        <w:numPr>
          <w:ilvl w:val="0"/>
          <w:numId w:val="20"/>
        </w:numPr>
        <w:bidi/>
        <w:spacing w:before="120" w:after="120" w:line="280" w:lineRule="exact"/>
        <w:ind w:hanging="409"/>
        <w:contextualSpacing w:val="0"/>
        <w:jc w:val="both"/>
        <w:rPr>
          <w:rFonts w:eastAsia="Times New Roman" w:cs="Calibri"/>
          <w:rtl/>
        </w:rPr>
      </w:pPr>
      <w:r w:rsidRPr="0017699B">
        <w:rPr>
          <w:rFonts w:cs="Calibri" w:hint="cs"/>
          <w:rtl/>
        </w:rPr>
        <w:t>تم مؤخرًا تجديد مجموعة براءات الاختراع الخاصة بالمكتب، تلاه تقديم ملف خلفي جديد إلى سجل الملكية الفكرية لرابطة أمم جنوب شرق آسيا، والذي يحتوي على عدد أقل من سجلات براءات الاختراع مما كان متاحًا في السابق;</w:t>
      </w:r>
    </w:p>
    <w:p w14:paraId="6029E29F" w14:textId="77777777" w:rsidR="004E30F5" w:rsidRPr="0017699B" w:rsidRDefault="004E30F5" w:rsidP="00352816">
      <w:pPr>
        <w:pStyle w:val="ListParagraph"/>
        <w:numPr>
          <w:ilvl w:val="0"/>
          <w:numId w:val="20"/>
        </w:numPr>
        <w:bidi/>
        <w:spacing w:before="120" w:after="120" w:line="280" w:lineRule="exact"/>
        <w:ind w:hanging="409"/>
        <w:contextualSpacing w:val="0"/>
        <w:jc w:val="both"/>
        <w:rPr>
          <w:rFonts w:eastAsia="Times New Roman" w:cs="Calibri"/>
          <w:rtl/>
        </w:rPr>
      </w:pPr>
      <w:r w:rsidRPr="0017699B">
        <w:rPr>
          <w:rFonts w:cs="Calibri" w:hint="cs"/>
          <w:rtl/>
        </w:rPr>
        <w:t>تحديثات براءات الاختراع الكبيرة أو الجماعية غير المعتادة التي ربما لم تتم معالجتها بالكامل أو لم تنعكس بعد في أحد الأنظمة؛ و</w:t>
      </w:r>
    </w:p>
    <w:p w14:paraId="41E7E1FA" w14:textId="77777777" w:rsidR="004E30F5" w:rsidRPr="0017699B" w:rsidRDefault="004E30F5" w:rsidP="00352816">
      <w:pPr>
        <w:pStyle w:val="ListParagraph"/>
        <w:numPr>
          <w:ilvl w:val="0"/>
          <w:numId w:val="20"/>
        </w:numPr>
        <w:bidi/>
        <w:spacing w:before="120" w:after="120" w:line="280" w:lineRule="exact"/>
        <w:ind w:hanging="409"/>
        <w:contextualSpacing w:val="0"/>
        <w:jc w:val="both"/>
        <w:rPr>
          <w:rFonts w:eastAsia="Times New Roman" w:cs="Calibri"/>
          <w:rtl/>
        </w:rPr>
      </w:pPr>
      <w:r w:rsidRPr="0017699B">
        <w:rPr>
          <w:rFonts w:cs="Calibri" w:hint="cs"/>
          <w:rtl/>
        </w:rPr>
        <w:t>أما بالنسبة لقواعد بيانات الملكية الفكرية في ميانمار، فليس لدى الويبو في الوقت الحالي اتفاقية لتبادل البيانات مع ميانمار ولا إمكانية الوصول المباشر إليها.</w:t>
      </w:r>
    </w:p>
    <w:p w14:paraId="77D50317" w14:textId="3CECABB0" w:rsidR="004E30F5" w:rsidRPr="0017699B" w:rsidRDefault="004E30F5" w:rsidP="00362D5A">
      <w:pPr>
        <w:pStyle w:val="ListParagraph"/>
        <w:numPr>
          <w:ilvl w:val="0"/>
          <w:numId w:val="26"/>
        </w:numPr>
        <w:bidi/>
        <w:spacing w:before="120" w:after="120" w:line="280" w:lineRule="exact"/>
        <w:contextualSpacing w:val="0"/>
        <w:jc w:val="both"/>
        <w:rPr>
          <w:rFonts w:eastAsia="Times New Roman" w:cs="Calibri"/>
          <w:b/>
          <w:bCs/>
          <w:i/>
          <w:iCs/>
          <w:rtl/>
        </w:rPr>
      </w:pPr>
      <w:r w:rsidRPr="0017699B">
        <w:rPr>
          <w:rFonts w:cs="Calibri" w:hint="cs"/>
          <w:b/>
          <w:bCs/>
          <w:i/>
          <w:iCs/>
          <w:rtl/>
        </w:rPr>
        <w:t xml:space="preserve">النظر في آلية إعادة تحميل البيانات الكاملة لـ </w:t>
      </w:r>
      <w:r w:rsidRPr="0017699B">
        <w:rPr>
          <w:rFonts w:cs="Calibri"/>
          <w:b/>
          <w:bCs/>
          <w:i/>
          <w:iCs/>
        </w:rPr>
        <w:t>GBD</w:t>
      </w:r>
      <w:r w:rsidRPr="0017699B">
        <w:rPr>
          <w:rFonts w:cs="Calibri" w:hint="cs"/>
          <w:b/>
          <w:bCs/>
          <w:i/>
          <w:iCs/>
          <w:rtl/>
        </w:rPr>
        <w:t xml:space="preserve"> و </w:t>
      </w:r>
      <w:r w:rsidRPr="0017699B">
        <w:rPr>
          <w:rFonts w:cs="Calibri"/>
          <w:b/>
          <w:bCs/>
          <w:i/>
          <w:iCs/>
        </w:rPr>
        <w:t>GDD</w:t>
      </w:r>
    </w:p>
    <w:p w14:paraId="41E4904D" w14:textId="301E13A9" w:rsidR="004E30F5" w:rsidRPr="0017699B" w:rsidRDefault="008A5C9A" w:rsidP="00352816">
      <w:pPr>
        <w:pStyle w:val="LFARPara"/>
        <w:bidi/>
        <w:spacing w:before="120"/>
        <w:ind w:left="910" w:hanging="484"/>
        <w:rPr>
          <w:rFonts w:ascii="Arial" w:hAnsi="Arial" w:cs="Calibri"/>
          <w:rtl/>
        </w:rPr>
      </w:pPr>
      <w:r w:rsidRPr="0017699B">
        <w:rPr>
          <w:rFonts w:ascii="Arial" w:hAnsi="Arial" w:cs="Calibri" w:hint="cs"/>
          <w:rtl/>
        </w:rPr>
        <w:t xml:space="preserve">قامت بعض مكاتب الملكية الفكرية بتزويد البيانات إلى </w:t>
      </w:r>
      <w:r w:rsidRPr="0017699B">
        <w:rPr>
          <w:rFonts w:ascii="Arial" w:hAnsi="Arial" w:cs="Calibri"/>
        </w:rPr>
        <w:t>GBD</w:t>
      </w:r>
      <w:r w:rsidRPr="0017699B">
        <w:rPr>
          <w:rFonts w:ascii="Arial" w:hAnsi="Arial" w:cs="Calibri" w:hint="cs"/>
          <w:rtl/>
        </w:rPr>
        <w:t xml:space="preserve"> و </w:t>
      </w:r>
      <w:r w:rsidRPr="0017699B">
        <w:rPr>
          <w:rFonts w:ascii="Arial" w:hAnsi="Arial" w:cs="Calibri"/>
        </w:rPr>
        <w:t>GDD</w:t>
      </w:r>
      <w:r w:rsidRPr="0017699B">
        <w:rPr>
          <w:rFonts w:ascii="Arial" w:hAnsi="Arial" w:cs="Calibri" w:hint="cs"/>
          <w:rtl/>
        </w:rPr>
        <w:t xml:space="preserve"> من خلال إعادة تحميل البيانات بالكامل. قدمت هذه المكاتب بشكل دوري أحدث مجموعات البيانات الخاصة بها إلى الويبو. وبالتالي، فإن السجلات المحفوظة في أنظمة الويبو تتماشى مع أحدث نسخة يحتفظ بها المكتب الأصلي وتقلل من احتمال وجود ثغرات ناجمة عن التحديثات المتأخرة أو فشل الإرسال. يمكن أن يكون هذا النهج ممارسة بديلة يمكن النظر فيها، لا سيما بالنسبة للمكاتب التي تواجه صعوبة في تقديم تحديثات منتظمة بسبب قيود الموارد أو القيود التقنية، للتخفيف من مخاطر عدم الاتساق غير الملحوظ في مجموعات الويبو.</w:t>
      </w:r>
    </w:p>
    <w:p w14:paraId="7880B90E" w14:textId="77777777" w:rsidR="004E30F5" w:rsidRPr="0017699B" w:rsidRDefault="004E30F5" w:rsidP="00352816">
      <w:pPr>
        <w:pStyle w:val="LFARPara"/>
        <w:bidi/>
        <w:spacing w:before="120"/>
        <w:ind w:left="910" w:hanging="484"/>
        <w:rPr>
          <w:rFonts w:ascii="Arial" w:hAnsi="Arial" w:cs="Calibri"/>
          <w:rtl/>
        </w:rPr>
      </w:pPr>
      <w:r w:rsidRPr="0017699B">
        <w:rPr>
          <w:rFonts w:ascii="Arial" w:hAnsi="Arial" w:cs="Calibri" w:hint="cs"/>
          <w:rtl/>
        </w:rPr>
        <w:t xml:space="preserve">ومع ذلك، فإن فعالية هذه الممارسات تختلف بين المكاتب. في المكاتب التي لديها سجلات وطنية عالية، يمكن أن يؤدي نقل مجموعات البيانات الكاملة إلى فرض متطلبات كبيرة على الأنظمة وعرض النطاق الترددي. سيكون من الأفضل للمنظمة أن تجري استعراضاً منظماً للجدوى لتحديد المكاتب المرشحة المناسبة، ووضع مبادئ توجيهية تشغيلية واضحة للتنفيذ، وتشجيع اعتمادها عند الاقتضاء كجزء من الجهود الأوسع نطاقاً لتعزيز جودة البيانات. </w:t>
      </w:r>
    </w:p>
    <w:p w14:paraId="7D483B2E" w14:textId="77777777" w:rsidR="004E30F5" w:rsidRPr="0017699B" w:rsidRDefault="004E30F5" w:rsidP="00352816">
      <w:pPr>
        <w:pStyle w:val="LFARPara"/>
        <w:bidi/>
        <w:spacing w:before="120"/>
        <w:ind w:left="910" w:hanging="484"/>
        <w:rPr>
          <w:rFonts w:ascii="Arial" w:hAnsi="Arial" w:cs="Calibri"/>
          <w:rtl/>
        </w:rPr>
      </w:pPr>
      <w:r w:rsidRPr="0017699B">
        <w:rPr>
          <w:rFonts w:ascii="Arial" w:hAnsi="Arial" w:cs="Calibri" w:hint="cs"/>
          <w:rtl/>
        </w:rPr>
        <w:t>يعتبر طلب إعادة تحميل البيانات بالكامل بانتظام ممارسة جيدة، خاصة عندما لا تتوفر ملفات السلطة. ومن خلال الحصول بشكل دوري على مستخرج كامل من أنظمة مكاتب الملكية الفكرية، يمكن للويبو تأمين لقطة شاملة للبيانات وضمان نشر جميع التحديثات بالكامل في ذلك الوقت. على الرغم من أن إعادة التحميل الكامل تتطلب جهدًا إضافيًا من فريق قواعد البيانات العالمية لاستخراج البيانات وإعادة تحويلها وإعادة فهرستها، فإن هذا النهج يوفر ميزة كبيرة، لا سيما في معالجة المستويات المتفاوتة من نضج إدارة البيانات عبر المكاتب، حيث لا تتمتع جميع مكاتب الملكية الفكرية بنفس القدرة التقنية.</w:t>
      </w:r>
    </w:p>
    <w:p w14:paraId="18792CEF" w14:textId="7DFB96D4" w:rsidR="004E30F5" w:rsidRPr="0017699B" w:rsidRDefault="004E30F5" w:rsidP="00362D5A">
      <w:pPr>
        <w:pStyle w:val="ListParagraph"/>
        <w:numPr>
          <w:ilvl w:val="0"/>
          <w:numId w:val="26"/>
        </w:numPr>
        <w:bidi/>
        <w:spacing w:before="120" w:after="120" w:line="280" w:lineRule="exact"/>
        <w:contextualSpacing w:val="0"/>
        <w:jc w:val="both"/>
        <w:rPr>
          <w:rFonts w:eastAsia="Times New Roman" w:cs="Calibri"/>
          <w:b/>
          <w:bCs/>
          <w:i/>
          <w:iCs/>
          <w:rtl/>
        </w:rPr>
      </w:pPr>
      <w:r w:rsidRPr="0017699B">
        <w:rPr>
          <w:rFonts w:cs="Calibri" w:hint="cs"/>
          <w:b/>
          <w:bCs/>
          <w:i/>
          <w:iCs/>
          <w:rtl/>
        </w:rPr>
        <w:t>إقامة اتصالات ونهج سليمة مع مكاتب الملكية الفكرية</w:t>
      </w:r>
    </w:p>
    <w:p w14:paraId="7BBD8F35" w14:textId="77777777" w:rsidR="004E30F5" w:rsidRPr="0017699B" w:rsidRDefault="004E30F5" w:rsidP="00352816">
      <w:pPr>
        <w:pStyle w:val="LFARPara"/>
        <w:bidi/>
        <w:spacing w:before="120"/>
        <w:ind w:left="910" w:hanging="484"/>
        <w:rPr>
          <w:rFonts w:ascii="Arial" w:hAnsi="Arial" w:cs="Calibri"/>
          <w:rtl/>
        </w:rPr>
      </w:pPr>
      <w:r w:rsidRPr="0017699B">
        <w:rPr>
          <w:rFonts w:ascii="Arial" w:hAnsi="Arial" w:cs="Calibri" w:hint="cs"/>
          <w:rtl/>
        </w:rPr>
        <w:t>ولاحظت المراجعة أن مشاركة مكاتب الملكية الفكرية نفسها في قواعد البيانات العالمية لم تكن متسقة في جميع قواعد البيانات الثلاث. وتشير هذه المشاركة المتفاوتة إلى أنه يمكن تعزيز التغطية من خلال اتباع نهج أكثر تنظيماً واستباقية في التواصل والمشاركة.</w:t>
      </w:r>
    </w:p>
    <w:p w14:paraId="322BE1E9" w14:textId="77777777" w:rsidR="004E30F5" w:rsidRPr="0017699B" w:rsidRDefault="004E30F5" w:rsidP="00352816">
      <w:pPr>
        <w:pStyle w:val="LFARPara"/>
        <w:bidi/>
        <w:spacing w:before="120"/>
        <w:ind w:left="910" w:hanging="484"/>
        <w:rPr>
          <w:rFonts w:ascii="Arial" w:hAnsi="Arial" w:cs="Calibri"/>
          <w:rtl/>
        </w:rPr>
      </w:pPr>
      <w:r w:rsidRPr="0017699B">
        <w:rPr>
          <w:rFonts w:ascii="Arial" w:hAnsi="Arial" w:cs="Calibri" w:hint="cs"/>
          <w:rtl/>
        </w:rPr>
        <w:t xml:space="preserve">وقد بذلت المنظمة بعض الجهود لمعالجة هذه الثغرات، بما في ذلك الاتصالات والمتابعة المستمرة مع مكاتب الملكية الفكرية من خلال شعبة قواعد البيانات العالمية. ومع ذلك، فقد كان التقدم المحرز يميل إلى أن يحدث على أساس مخصص ويظل من الصعب رصده أو تقييمه بشكل منهجي بسبب غياب إطار عمل منظم للتواصل. </w:t>
      </w:r>
    </w:p>
    <w:p w14:paraId="588672A6" w14:textId="13EF6150" w:rsidR="004E30F5" w:rsidRPr="0017699B" w:rsidRDefault="00973EA0" w:rsidP="00352816">
      <w:pPr>
        <w:pStyle w:val="LFARPara"/>
        <w:bidi/>
        <w:spacing w:before="120"/>
        <w:ind w:left="907" w:hanging="482"/>
        <w:rPr>
          <w:rFonts w:ascii="Arial" w:hAnsi="Arial" w:cs="Calibri"/>
          <w:rtl/>
        </w:rPr>
      </w:pPr>
      <w:r w:rsidRPr="0017699B">
        <w:rPr>
          <w:rFonts w:ascii="Arial" w:hAnsi="Arial" w:cs="Calibri" w:hint="cs"/>
          <w:rtl/>
        </w:rPr>
        <w:t>استندت الملاحظات أعلاه إلى تحليل تغطية البيانات، ومراجعة الوثائق، والمناقشات مع جهة الاتصال في الويبو. ومع ذلك، فإنها لم تستوعب بشكل كامل تجربة مكاتب الملكية الفكرية كمستخدمين ومقدمي بيانات لقواعد البيانات على حد سواء. وللتوصل إلى فهم أشمل، يمكن إجراء دراسة استقصائية منظمة في جميع الدول الأعضاء في الويبو، تشمل الدول التي تقدم بيانات في الوقت الحالي وتلك التي لا تقدم بيانات، لجمع وجهات نظر مكاتب الملكية الفكرية. ومن شأن جمع هذه المعلومات أن يوفر للويبو أساساً أوضح لتحديد أولويات جهود التوعية التي تبذلها، وتنقيح اتفاقيات تبادل البيانات، وسد الثغرات التي تم تحديدها.</w:t>
      </w:r>
    </w:p>
    <w:p w14:paraId="1F1DF636" w14:textId="69D52B70" w:rsidR="001A6952" w:rsidRDefault="001A6952">
      <w:pPr>
        <w:spacing w:after="160" w:line="259" w:lineRule="auto"/>
        <w:rPr>
          <w:rFonts w:eastAsia="Times New Roman" w:cs="Calibri"/>
        </w:rPr>
      </w:pPr>
      <w:r>
        <w:rPr>
          <w:rFonts w:cs="Calibri"/>
        </w:rPr>
        <w:br w:type="page"/>
      </w:r>
    </w:p>
    <w:p w14:paraId="31F04ABE" w14:textId="77777777" w:rsidR="00B06E60" w:rsidRPr="0017699B" w:rsidRDefault="00B06E60" w:rsidP="00FB6582">
      <w:pPr>
        <w:pStyle w:val="LFARPara"/>
        <w:numPr>
          <w:ilvl w:val="0"/>
          <w:numId w:val="0"/>
        </w:numPr>
        <w:spacing w:before="120"/>
        <w:ind w:left="907"/>
        <w:rPr>
          <w:rFonts w:ascii="Arial" w:hAnsi="Arial" w:cs="Calibri"/>
        </w:rPr>
      </w:pPr>
    </w:p>
    <w:tbl>
      <w:tblPr>
        <w:bidiVisual/>
        <w:tblW w:w="8646" w:type="dxa"/>
        <w:tblInd w:w="421" w:type="dxa"/>
        <w:tblLook w:val="04A0" w:firstRow="1" w:lastRow="0" w:firstColumn="1" w:lastColumn="0" w:noHBand="0" w:noVBand="1"/>
      </w:tblPr>
      <w:tblGrid>
        <w:gridCol w:w="8646"/>
      </w:tblGrid>
      <w:tr w:rsidR="003B2B1F" w:rsidRPr="0017699B" w14:paraId="60A5621A" w14:textId="77777777" w:rsidTr="00BE31A8">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91BB36" w14:textId="2B420A82" w:rsidR="003B2B1F" w:rsidRPr="0017699B" w:rsidRDefault="0059435C" w:rsidP="000079BF">
            <w:pPr>
              <w:bidi/>
              <w:spacing w:before="120" w:after="120" w:line="280" w:lineRule="exact"/>
              <w:rPr>
                <w:rFonts w:cs="Calibri"/>
                <w:b/>
                <w:bCs/>
                <w:rtl/>
              </w:rPr>
            </w:pPr>
            <w:r w:rsidRPr="0017699B">
              <w:rPr>
                <w:rFonts w:cs="Calibri" w:hint="cs"/>
                <w:b/>
                <w:bCs/>
                <w:rtl/>
              </w:rPr>
              <w:t>التوصية 10</w:t>
            </w:r>
          </w:p>
          <w:p w14:paraId="1CC7D49F" w14:textId="77777777" w:rsidR="003B2B1F" w:rsidRPr="0017699B" w:rsidRDefault="05AEB3DE" w:rsidP="000079BF">
            <w:pPr>
              <w:bidi/>
              <w:spacing w:before="120" w:after="120" w:line="280" w:lineRule="exact"/>
              <w:jc w:val="both"/>
              <w:rPr>
                <w:rFonts w:cs="Calibri"/>
                <w:rtl/>
              </w:rPr>
            </w:pPr>
            <w:r w:rsidRPr="0017699B">
              <w:rPr>
                <w:rFonts w:cs="Calibri" w:hint="cs"/>
                <w:rtl/>
              </w:rPr>
              <w:t>ولتعزيز تغطية البيانات وحسن توقيت البيانات في قواعد البيانات العالمية، يوصي مكتب تنسيق السياسات الإنمائية بأن تقوم المنظمة بما يلي:</w:t>
            </w:r>
          </w:p>
          <w:p w14:paraId="39348E9C" w14:textId="2FA59D04" w:rsidR="003B2B1F" w:rsidRPr="0017699B" w:rsidRDefault="05AEB3DE" w:rsidP="000079BF">
            <w:pPr>
              <w:pStyle w:val="ListParagraph"/>
              <w:numPr>
                <w:ilvl w:val="0"/>
                <w:numId w:val="17"/>
              </w:numPr>
              <w:bidi/>
              <w:spacing w:before="120" w:after="120" w:line="280" w:lineRule="exact"/>
              <w:contextualSpacing w:val="0"/>
              <w:jc w:val="both"/>
              <w:rPr>
                <w:rFonts w:cs="Calibri"/>
                <w:rtl/>
              </w:rPr>
            </w:pPr>
            <w:r w:rsidRPr="0017699B">
              <w:rPr>
                <w:rFonts w:cs="Calibri" w:hint="cs"/>
                <w:rtl/>
              </w:rPr>
              <w:t>تنفيذ آلية مراقبة تسمح بالتحقق من صحة تواتر تحديثات البيانات مع اتفاقيات تبادل البيانات.</w:t>
            </w:r>
          </w:p>
          <w:p w14:paraId="304FCF03" w14:textId="77777777" w:rsidR="003B2B1F" w:rsidRPr="0017699B" w:rsidRDefault="05AEB3DE" w:rsidP="000079BF">
            <w:pPr>
              <w:pStyle w:val="ListParagraph"/>
              <w:numPr>
                <w:ilvl w:val="0"/>
                <w:numId w:val="17"/>
              </w:numPr>
              <w:bidi/>
              <w:spacing w:before="120" w:after="120" w:line="280" w:lineRule="exact"/>
              <w:contextualSpacing w:val="0"/>
              <w:jc w:val="both"/>
              <w:rPr>
                <w:rFonts w:cs="Calibri"/>
                <w:rtl/>
              </w:rPr>
            </w:pPr>
            <w:r w:rsidRPr="0017699B">
              <w:rPr>
                <w:rFonts w:cs="Calibri" w:hint="cs"/>
                <w:rtl/>
              </w:rPr>
              <w:t xml:space="preserve">تنفيذ آلية للتحقق من اكتمال البيانات بمقارنتها بملفات الصلاحيات من مكاتب الملكية الفكرية، عند توفرها، وطلب تحديثات البيانات من المكاتب لتحميل السجلات الناقصة في </w:t>
            </w:r>
            <w:r w:rsidRPr="0017699B">
              <w:rPr>
                <w:rFonts w:cs="Calibri"/>
              </w:rPr>
              <w:t>PATENTSCOPE</w:t>
            </w:r>
            <w:r w:rsidRPr="0017699B">
              <w:rPr>
                <w:rFonts w:cs="Calibri" w:hint="cs"/>
                <w:rtl/>
              </w:rPr>
              <w:t>.</w:t>
            </w:r>
          </w:p>
          <w:p w14:paraId="00C585DA" w14:textId="77777777" w:rsidR="003B2B1F" w:rsidRPr="0017699B" w:rsidRDefault="05AEB3DE" w:rsidP="000079BF">
            <w:pPr>
              <w:pStyle w:val="ListParagraph"/>
              <w:numPr>
                <w:ilvl w:val="0"/>
                <w:numId w:val="17"/>
              </w:numPr>
              <w:bidi/>
              <w:spacing w:before="120" w:after="120" w:line="280" w:lineRule="exact"/>
              <w:contextualSpacing w:val="0"/>
              <w:jc w:val="both"/>
              <w:rPr>
                <w:rFonts w:cs="Calibri"/>
                <w:rtl/>
              </w:rPr>
            </w:pPr>
            <w:r w:rsidRPr="0017699B">
              <w:rPr>
                <w:rFonts w:cs="Calibri" w:hint="cs"/>
                <w:rtl/>
              </w:rPr>
              <w:t>استكشاف مع مكاتب الملكية الفكرية، عند الاقتضاء، جدوى اتباع نهج إعادة تحميل البيانات السنوية الكاملة للبيانات الخاصة بالبيانات العالمية للبيانات والتصميم العالمي للبيانات لضمان تزامن واكتمال مجموعات البيانات.</w:t>
            </w:r>
          </w:p>
          <w:p w14:paraId="34ACB4EB" w14:textId="77777777" w:rsidR="003B2B1F" w:rsidRPr="0017699B" w:rsidRDefault="05AEB3DE" w:rsidP="000079BF">
            <w:pPr>
              <w:pStyle w:val="ListParagraph"/>
              <w:widowControl w:val="0"/>
              <w:numPr>
                <w:ilvl w:val="0"/>
                <w:numId w:val="17"/>
              </w:numPr>
              <w:bidi/>
              <w:spacing w:before="120" w:after="120" w:line="280" w:lineRule="exact"/>
              <w:contextualSpacing w:val="0"/>
              <w:jc w:val="both"/>
              <w:rPr>
                <w:rFonts w:cs="Calibri"/>
                <w:rtl/>
              </w:rPr>
            </w:pPr>
            <w:r w:rsidRPr="0017699B">
              <w:rPr>
                <w:rFonts w:cs="Calibri" w:hint="cs"/>
                <w:rtl/>
              </w:rPr>
              <w:t>إجراء استبيان منظم حول قواعد البيانات العالمية (</w:t>
            </w:r>
            <w:r w:rsidRPr="0017699B">
              <w:rPr>
                <w:rFonts w:cs="Calibri"/>
              </w:rPr>
              <w:t>PATENTSCOPE</w:t>
            </w:r>
            <w:r w:rsidRPr="0017699B">
              <w:rPr>
                <w:rFonts w:cs="Calibri" w:hint="cs"/>
                <w:rtl/>
              </w:rPr>
              <w:t>، و</w:t>
            </w:r>
            <w:r w:rsidRPr="0017699B">
              <w:rPr>
                <w:rFonts w:cs="Calibri"/>
              </w:rPr>
              <w:t>GPATENTSCOPE</w:t>
            </w:r>
            <w:r w:rsidRPr="0017699B">
              <w:rPr>
                <w:rFonts w:cs="Calibri" w:hint="cs"/>
                <w:rtl/>
              </w:rPr>
              <w:t>، و</w:t>
            </w:r>
            <w:r w:rsidRPr="0017699B">
              <w:rPr>
                <w:rFonts w:cs="Calibri"/>
              </w:rPr>
              <w:t>GDD</w:t>
            </w:r>
            <w:r w:rsidRPr="0017699B">
              <w:rPr>
                <w:rFonts w:cs="Calibri" w:hint="cs"/>
                <w:rtl/>
              </w:rPr>
              <w:t>) للمكاتب الوطنية للملكية الفكرية لجمع التعليقات ذات الصلة بهدف تعزيز استراتيجية التواصل، وتحسين اتفاقيات تبادل البيانات، وسد الثغرات في تغطية البيانات.</w:t>
            </w:r>
          </w:p>
        </w:tc>
      </w:tr>
      <w:tr w:rsidR="003B2B1F" w:rsidRPr="0017699B" w14:paraId="42807EC3" w14:textId="77777777" w:rsidTr="00BE31A8">
        <w:trPr>
          <w:trHeight w:val="70"/>
        </w:trPr>
        <w:tc>
          <w:tcPr>
            <w:tcW w:w="864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B176C5" w14:textId="5BFF449C" w:rsidR="003B2B1F" w:rsidRPr="0017699B" w:rsidRDefault="0059435C" w:rsidP="000079BF">
            <w:pPr>
              <w:bidi/>
              <w:spacing w:before="120" w:after="120" w:line="280" w:lineRule="exact"/>
              <w:jc w:val="both"/>
              <w:rPr>
                <w:rFonts w:cs="Calibri"/>
                <w:b/>
                <w:bCs/>
                <w:rtl/>
              </w:rPr>
            </w:pPr>
            <w:r w:rsidRPr="0017699B">
              <w:rPr>
                <w:rFonts w:cs="Calibri" w:hint="cs"/>
                <w:b/>
                <w:bCs/>
                <w:rtl/>
              </w:rPr>
              <w:t>رد الإدارة:</w:t>
            </w:r>
            <w:r w:rsidRPr="0017699B">
              <w:rPr>
                <w:rFonts w:cs="Calibri" w:hint="cs"/>
                <w:rtl/>
              </w:rPr>
              <w:t xml:space="preserve"> </w:t>
            </w:r>
          </w:p>
          <w:p w14:paraId="06204779" w14:textId="6174F913" w:rsidR="00DC2B2D" w:rsidRPr="0017699B" w:rsidRDefault="0059435C" w:rsidP="000079BF">
            <w:pPr>
              <w:bidi/>
              <w:spacing w:before="120" w:after="120" w:line="280" w:lineRule="exact"/>
              <w:jc w:val="both"/>
              <w:rPr>
                <w:rFonts w:cs="Calibri"/>
                <w:rtl/>
              </w:rPr>
            </w:pPr>
            <w:r w:rsidRPr="0017699B">
              <w:rPr>
                <w:rFonts w:cs="Calibri" w:hint="cs"/>
                <w:rtl/>
              </w:rPr>
              <w:t>توافق الإدارة على التوصية.</w:t>
            </w:r>
          </w:p>
          <w:p w14:paraId="595BCC9E" w14:textId="43E60930" w:rsidR="008B55DF" w:rsidRPr="0017699B" w:rsidRDefault="65CF5FF0" w:rsidP="000079BF">
            <w:pPr>
              <w:bidi/>
              <w:spacing w:before="120" w:after="120" w:line="280" w:lineRule="exact"/>
              <w:jc w:val="both"/>
              <w:rPr>
                <w:rFonts w:cs="Calibri"/>
                <w:rtl/>
              </w:rPr>
            </w:pPr>
            <w:r w:rsidRPr="0017699B">
              <w:rPr>
                <w:rFonts w:cs="Calibri" w:hint="cs"/>
                <w:b/>
                <w:bCs/>
                <w:rtl/>
              </w:rPr>
              <w:t>التوصية 10-أ:</w:t>
            </w:r>
            <w:r w:rsidRPr="0017699B">
              <w:rPr>
                <w:rFonts w:cs="Calibri" w:hint="cs"/>
                <w:rtl/>
              </w:rPr>
              <w:t xml:space="preserve"> آلية مراقبة دورية تحديث البيانات</w:t>
            </w:r>
          </w:p>
          <w:p w14:paraId="31C59F44" w14:textId="696DF1D7" w:rsidR="008B55DF" w:rsidRPr="0017699B" w:rsidRDefault="65CF5FF0" w:rsidP="000079BF">
            <w:pPr>
              <w:bidi/>
              <w:spacing w:before="120" w:after="120" w:line="280" w:lineRule="exact"/>
              <w:jc w:val="both"/>
              <w:rPr>
                <w:rFonts w:cs="Calibri"/>
                <w:rtl/>
              </w:rPr>
            </w:pPr>
            <w:r w:rsidRPr="0017699B">
              <w:rPr>
                <w:rFonts w:cs="Calibri" w:hint="cs"/>
                <w:rtl/>
              </w:rPr>
              <w:t xml:space="preserve">سيبدأ تطوير ونشر آلية مراقبة للتحقق من دورية تحديثات بيانات العلامات التجارية والتصميم في الربع الثالث من عام 2026 ومن المتوقع أن تكتمل بحلول نهاية الربع الثاني من عام 2027. </w:t>
            </w:r>
          </w:p>
          <w:p w14:paraId="057BD3B1" w14:textId="2F17A838" w:rsidR="008B55DF" w:rsidRPr="0017699B" w:rsidRDefault="65CF5FF0" w:rsidP="000079BF">
            <w:pPr>
              <w:bidi/>
              <w:spacing w:before="120" w:after="120" w:line="280" w:lineRule="exact"/>
              <w:jc w:val="both"/>
              <w:rPr>
                <w:rFonts w:cs="Calibri"/>
                <w:rtl/>
              </w:rPr>
            </w:pPr>
            <w:r w:rsidRPr="0017699B">
              <w:rPr>
                <w:rFonts w:cs="Calibri" w:hint="cs"/>
                <w:rtl/>
              </w:rPr>
              <w:t xml:space="preserve">فيما يتعلق بـ </w:t>
            </w:r>
            <w:r w:rsidRPr="0017699B">
              <w:rPr>
                <w:rFonts w:cs="Calibri"/>
              </w:rPr>
              <w:t>PATENTSCOPE</w:t>
            </w:r>
            <w:r w:rsidRPr="0017699B">
              <w:rPr>
                <w:rFonts w:cs="Calibri" w:hint="cs"/>
                <w:rtl/>
              </w:rPr>
              <w:t xml:space="preserve">، تم بالفعل تنفيذ التوصية 10 (أ) جزئيًا. تعرض صفحة تغطية </w:t>
            </w:r>
            <w:r w:rsidRPr="0017699B">
              <w:rPr>
                <w:rFonts w:cs="Calibri"/>
              </w:rPr>
              <w:t>PATENTSCOPE</w:t>
            </w:r>
            <w:r w:rsidRPr="0017699B">
              <w:rPr>
                <w:rFonts w:cs="Calibri" w:hint="cs"/>
                <w:rtl/>
              </w:rPr>
              <w:t xml:space="preserve"> حاليًا معلومات حول تواتر التحديث وأحدث تواريخ التحديث لكل من البيانات الببليوغرافية والنص الكامل. معلومات تكرار التحديث مستمدة حاليًا من التحليل الإحصائي لأنماط تقديم المكاتب المشاركة أو جداول التحديث المتاحة للجمهور. وبما أن هذه المعلومات الترددية ستكون متاحة في الاتفاقيات المحدثة مع مكاتب الملكية الفكرية، فإن صفحة تغطية باتينتس كوب ستدمجها أيضاً. بالإضافة إلى ذلك، سيتم تطوير خدمة تنبيه بحلول الربع الثاني من عام 2027 لتعزيز ميزة المراقبة. </w:t>
            </w:r>
          </w:p>
          <w:p w14:paraId="7A74D48F" w14:textId="6AFB5ECF" w:rsidR="008B55DF" w:rsidRPr="0017699B" w:rsidRDefault="65CF5FF0" w:rsidP="000079BF">
            <w:pPr>
              <w:bidi/>
              <w:spacing w:before="120" w:after="120" w:line="280" w:lineRule="exact"/>
              <w:jc w:val="both"/>
              <w:rPr>
                <w:rFonts w:cs="Calibri"/>
                <w:rtl/>
              </w:rPr>
            </w:pPr>
            <w:r w:rsidRPr="0017699B">
              <w:rPr>
                <w:rFonts w:cs="Calibri" w:hint="cs"/>
                <w:b/>
                <w:bCs/>
                <w:rtl/>
              </w:rPr>
              <w:t>التوصية 10-ب:</w:t>
            </w:r>
            <w:r w:rsidRPr="0017699B">
              <w:rPr>
                <w:rFonts w:cs="Calibri" w:hint="cs"/>
                <w:rtl/>
              </w:rPr>
              <w:t xml:space="preserve"> التحقق من الاكتمال الآلي من الاكتمال</w:t>
            </w:r>
          </w:p>
          <w:p w14:paraId="6F0B790B" w14:textId="6D66311B" w:rsidR="008B55DF" w:rsidRPr="0017699B" w:rsidRDefault="65CF5FF0" w:rsidP="000079BF">
            <w:pPr>
              <w:bidi/>
              <w:spacing w:before="120" w:after="120" w:line="280" w:lineRule="exact"/>
              <w:jc w:val="both"/>
              <w:rPr>
                <w:rFonts w:cs="Calibri"/>
                <w:rtl/>
              </w:rPr>
            </w:pPr>
            <w:r w:rsidRPr="0017699B">
              <w:rPr>
                <w:rFonts w:cs="Calibri" w:hint="cs"/>
                <w:rtl/>
              </w:rPr>
              <w:t xml:space="preserve">سيتم تنفيذ آلية للتحقق تلقائيًا من اكتمال بيانات العلامات التجارية والتصاميم بمقارنتها بملفات السلطة من مكاتب الملكية الفكرية خلال الربع الثاني إلى الربع الثالث من عام 2027 كجزء من أداة الرصد الواردة في التوصية 10.أ. وسيغطي ذلك الحالات التي يوجد فيها سجل عام على الإنترنت في مكتب الملكية الفكرية وحيثما تكون هذه الآلية التلقائية ممكنة من الناحية التقنية ومتوافقة مع شروط استخدام السجل. وبالمثل، سيتم تنفيذ آلية تحقق مؤتمتة في عام 2027 للتحقق من اكتمال بيانات براءات الاختراع </w:t>
            </w:r>
            <w:r w:rsidRPr="0017699B">
              <w:rPr>
                <w:rFonts w:cs="Calibri"/>
              </w:rPr>
              <w:t>PATENTSCOPE</w:t>
            </w:r>
            <w:r w:rsidRPr="0017699B">
              <w:rPr>
                <w:rFonts w:cs="Calibri" w:hint="cs"/>
                <w:rtl/>
              </w:rPr>
              <w:t xml:space="preserve"> باستخدام ملفات الصلاحيات من بوابة ملفات الصلاحيات. </w:t>
            </w:r>
          </w:p>
          <w:p w14:paraId="262F8805" w14:textId="48712C60" w:rsidR="008B55DF" w:rsidRPr="0017699B" w:rsidRDefault="65CF5FF0" w:rsidP="000079BF">
            <w:pPr>
              <w:bidi/>
              <w:spacing w:before="120" w:after="120" w:line="280" w:lineRule="exact"/>
              <w:jc w:val="both"/>
              <w:rPr>
                <w:rFonts w:cs="Calibri"/>
                <w:rtl/>
              </w:rPr>
            </w:pPr>
            <w:r w:rsidRPr="0017699B">
              <w:rPr>
                <w:rFonts w:cs="Calibri" w:hint="cs"/>
                <w:b/>
                <w:bCs/>
                <w:rtl/>
              </w:rPr>
              <w:t>التوصية 10-ج:</w:t>
            </w:r>
            <w:r w:rsidRPr="0017699B">
              <w:rPr>
                <w:rFonts w:cs="Calibri" w:hint="cs"/>
                <w:rtl/>
              </w:rPr>
              <w:t xml:space="preserve"> نهج إعادة تحميل البيانات السنوية الكاملة (</w:t>
            </w:r>
            <w:r w:rsidRPr="0017699B">
              <w:rPr>
                <w:rFonts w:cs="Calibri"/>
              </w:rPr>
              <w:t>GBD</w:t>
            </w:r>
            <w:r w:rsidRPr="0017699B">
              <w:rPr>
                <w:rFonts w:cs="Calibri" w:hint="cs"/>
                <w:rtl/>
              </w:rPr>
              <w:t xml:space="preserve"> و</w:t>
            </w:r>
            <w:r w:rsidRPr="0017699B">
              <w:rPr>
                <w:rFonts w:cs="Calibri"/>
              </w:rPr>
              <w:t>GDD</w:t>
            </w:r>
            <w:r w:rsidRPr="0017699B">
              <w:rPr>
                <w:rFonts w:cs="Calibri" w:hint="cs"/>
                <w:rtl/>
              </w:rPr>
              <w:t xml:space="preserve"> فقط)</w:t>
            </w:r>
          </w:p>
          <w:p w14:paraId="0881E663" w14:textId="77777777" w:rsidR="008B55DF" w:rsidRPr="0017699B" w:rsidRDefault="65CF5FF0" w:rsidP="000079BF">
            <w:pPr>
              <w:bidi/>
              <w:spacing w:before="120" w:after="120" w:line="280" w:lineRule="exact"/>
              <w:jc w:val="both"/>
              <w:rPr>
                <w:rFonts w:cs="Calibri"/>
                <w:rtl/>
              </w:rPr>
            </w:pPr>
            <w:r w:rsidRPr="0017699B">
              <w:rPr>
                <w:rFonts w:cs="Calibri" w:hint="cs"/>
                <w:rtl/>
              </w:rPr>
              <w:t>ستتم جدوى نهج إعادة تحميل البيانات السنوية الكاملة خلال عامي 2026 و2027. إن استكشاف هذه الإمكانية مع مكاتب الملكية الفكرية هو جهد طويل الأجل بسبب التأخير في التبادل التقني مع العديد من مكاتب الملكية الفكرية.</w:t>
            </w:r>
          </w:p>
          <w:p w14:paraId="7A700AC6" w14:textId="38C03E69" w:rsidR="008B55DF" w:rsidRPr="0017699B" w:rsidRDefault="65CF5FF0" w:rsidP="000079BF">
            <w:pPr>
              <w:bidi/>
              <w:spacing w:before="120" w:after="120" w:line="280" w:lineRule="exact"/>
              <w:jc w:val="both"/>
              <w:rPr>
                <w:rFonts w:cs="Calibri"/>
                <w:rtl/>
              </w:rPr>
            </w:pPr>
            <w:r w:rsidRPr="0017699B">
              <w:rPr>
                <w:rFonts w:cs="Calibri" w:hint="cs"/>
                <w:b/>
                <w:bCs/>
                <w:rtl/>
              </w:rPr>
              <w:t>التوصية 10-د:</w:t>
            </w:r>
            <w:r w:rsidRPr="0017699B">
              <w:rPr>
                <w:rFonts w:cs="Calibri" w:hint="cs"/>
                <w:rtl/>
              </w:rPr>
              <w:t xml:space="preserve"> المسح الهيكلي</w:t>
            </w:r>
          </w:p>
          <w:p w14:paraId="76B2C019" w14:textId="5EAB8AE4" w:rsidR="003B2B1F" w:rsidRPr="0017699B" w:rsidRDefault="65CF5FF0" w:rsidP="000079BF">
            <w:pPr>
              <w:bidi/>
              <w:spacing w:before="120" w:after="120" w:line="280" w:lineRule="exact"/>
              <w:jc w:val="both"/>
              <w:rPr>
                <w:rFonts w:cs="Calibri"/>
                <w:rtl/>
              </w:rPr>
            </w:pPr>
            <w:r w:rsidRPr="0017699B">
              <w:rPr>
                <w:rFonts w:cs="Calibri" w:hint="cs"/>
                <w:rtl/>
              </w:rPr>
              <w:t>سيتم إجراء المسح المنظم الموصى به حول قواعد البيانات العالمية للمكاتب الوطنية للملكية الفكرية من الربع الثاني 2026 إلى الربع الرابع 2026.</w:t>
            </w:r>
          </w:p>
        </w:tc>
      </w:tr>
    </w:tbl>
    <w:p w14:paraId="0B3F8BCD" w14:textId="5EAE25EF" w:rsidR="47F2A432" w:rsidRPr="0017699B" w:rsidRDefault="47F2A432">
      <w:pPr>
        <w:rPr>
          <w:rFonts w:cs="Calibri"/>
        </w:rPr>
      </w:pPr>
    </w:p>
    <w:p w14:paraId="353104E3" w14:textId="280C9B17" w:rsidR="009810AE" w:rsidRPr="0017699B" w:rsidRDefault="00F8272A" w:rsidP="004A5F38">
      <w:pPr>
        <w:pStyle w:val="Heading3"/>
        <w:bidi/>
        <w:rPr>
          <w:rFonts w:ascii="Arial" w:hAnsi="Arial" w:cs="Calibri"/>
          <w:rtl/>
        </w:rPr>
      </w:pPr>
      <w:bookmarkStart w:id="190" w:name="_Toc227826043"/>
      <w:bookmarkStart w:id="191" w:name="_Toc230784741"/>
      <w:r w:rsidRPr="0017699B">
        <w:rPr>
          <w:rFonts w:ascii="Arial" w:hAnsi="Arial" w:cs="Calibri" w:hint="cs"/>
          <w:rtl/>
        </w:rPr>
        <w:t>نقل المعلومات من قبل الإدارة</w:t>
      </w:r>
      <w:bookmarkEnd w:id="190"/>
      <w:bookmarkEnd w:id="191"/>
      <w:r w:rsidRPr="0017699B">
        <w:rPr>
          <w:rFonts w:ascii="Arial" w:hAnsi="Arial" w:cs="Calibri" w:hint="cs"/>
          <w:rtl/>
        </w:rPr>
        <w:t xml:space="preserve">  </w:t>
      </w:r>
    </w:p>
    <w:p w14:paraId="038EF00D" w14:textId="25CCA112" w:rsidR="00643DCE" w:rsidRPr="0017699B" w:rsidRDefault="00FF3204" w:rsidP="007F267B">
      <w:pPr>
        <w:pStyle w:val="Heading4"/>
        <w:numPr>
          <w:ilvl w:val="0"/>
          <w:numId w:val="21"/>
        </w:numPr>
        <w:bidi/>
        <w:spacing w:before="240" w:after="240" w:line="280" w:lineRule="exact"/>
        <w:ind w:left="392" w:hanging="392"/>
        <w:rPr>
          <w:rFonts w:ascii="Arial" w:hAnsi="Arial" w:cs="Calibri"/>
          <w:rtl/>
        </w:rPr>
      </w:pPr>
      <w:bookmarkStart w:id="192" w:name="_Toc227826044"/>
      <w:bookmarkStart w:id="193" w:name="_Toc230784742"/>
      <w:r w:rsidRPr="0017699B">
        <w:rPr>
          <w:rFonts w:ascii="Arial" w:hAnsi="Arial" w:cs="Calibri" w:hint="cs"/>
          <w:rtl/>
        </w:rPr>
        <w:t>شطب وخسائر النقد والأصول الأخرى</w:t>
      </w:r>
      <w:bookmarkEnd w:id="192"/>
      <w:bookmarkEnd w:id="193"/>
    </w:p>
    <w:p w14:paraId="3F3D6C70" w14:textId="10D004B0" w:rsidR="00643DCE" w:rsidRPr="0017699B" w:rsidRDefault="00ED498D" w:rsidP="00B44F8B">
      <w:pPr>
        <w:pStyle w:val="LFARPara"/>
        <w:bidi/>
        <w:spacing w:after="240"/>
        <w:ind w:left="907" w:hanging="482"/>
        <w:rPr>
          <w:rFonts w:ascii="Arial" w:hAnsi="Arial" w:cs="Calibri"/>
          <w:rtl/>
        </w:rPr>
      </w:pPr>
      <w:r w:rsidRPr="0017699B">
        <w:rPr>
          <w:rFonts w:ascii="Arial" w:hAnsi="Arial" w:cs="Calibri" w:hint="cs"/>
          <w:rtl/>
        </w:rPr>
        <w:t xml:space="preserve"> في عام 2025، تخلّت المنظمة عن عناصر متقادمة من الممتلكات والمنشآت والمعدات، مما أسفر عن خسارة إجمالية قدرها 28 ألف فرنك سويسري في وقت التصرف.</w:t>
      </w:r>
    </w:p>
    <w:p w14:paraId="173C7366" w14:textId="7B5B341F" w:rsidR="00F76880" w:rsidRPr="0017699B" w:rsidRDefault="00B44F8B">
      <w:pPr>
        <w:pStyle w:val="Heading4"/>
        <w:bidi/>
        <w:spacing w:before="240" w:after="240" w:line="280" w:lineRule="exact"/>
        <w:ind w:left="360"/>
        <w:rPr>
          <w:rFonts w:ascii="Arial" w:hAnsi="Arial" w:cs="Calibri"/>
          <w:rtl/>
        </w:rPr>
      </w:pPr>
      <w:bookmarkStart w:id="194" w:name="_Toc96949272"/>
      <w:bookmarkStart w:id="195" w:name="_Toc227826045"/>
      <w:bookmarkStart w:id="196" w:name="_Toc230784743"/>
      <w:r w:rsidRPr="0017699B">
        <w:rPr>
          <w:rFonts w:ascii="Arial" w:hAnsi="Arial" w:cs="Calibri" w:hint="cs"/>
          <w:rtl/>
        </w:rPr>
        <w:t>دفع الإكراميات</w:t>
      </w:r>
      <w:bookmarkEnd w:id="194"/>
      <w:bookmarkEnd w:id="195"/>
      <w:bookmarkEnd w:id="196"/>
      <w:r w:rsidRPr="0017699B">
        <w:rPr>
          <w:rFonts w:ascii="Arial" w:hAnsi="Arial" w:cs="Calibri" w:hint="cs"/>
          <w:rtl/>
        </w:rPr>
        <w:t xml:space="preserve"> </w:t>
      </w:r>
    </w:p>
    <w:p w14:paraId="165A94A8" w14:textId="364C608E" w:rsidR="00A10CA0" w:rsidRPr="0017699B" w:rsidRDefault="4DAE8F3D" w:rsidP="00B44F8B">
      <w:pPr>
        <w:pStyle w:val="LFARPara"/>
        <w:bidi/>
        <w:spacing w:after="240"/>
        <w:ind w:left="907" w:hanging="482"/>
        <w:rPr>
          <w:rFonts w:ascii="Arial" w:hAnsi="Arial" w:cs="Calibri"/>
          <w:color w:val="EE0000"/>
          <w:rtl/>
        </w:rPr>
      </w:pPr>
      <w:r w:rsidRPr="0017699B">
        <w:rPr>
          <w:rFonts w:ascii="Arial" w:hAnsi="Arial" w:cs="Calibri" w:hint="cs"/>
          <w:rtl/>
        </w:rPr>
        <w:t xml:space="preserve">لم تكن هناك أي حالات دفع إكراميات على سبيل الهبة من قبل المنظمة خلال عام 2025. </w:t>
      </w:r>
    </w:p>
    <w:p w14:paraId="18310D52" w14:textId="22B551B9" w:rsidR="006C5E4B" w:rsidRPr="0017699B" w:rsidRDefault="00C21B1B" w:rsidP="66DE4C64">
      <w:pPr>
        <w:pStyle w:val="Heading4"/>
        <w:bidi/>
        <w:spacing w:before="240" w:after="240" w:line="280" w:lineRule="exact"/>
        <w:ind w:left="360"/>
        <w:rPr>
          <w:rFonts w:ascii="Arial" w:hAnsi="Arial" w:cs="Calibri"/>
          <w:rtl/>
        </w:rPr>
      </w:pPr>
      <w:bookmarkStart w:id="197" w:name="_Toc96949273"/>
      <w:bookmarkStart w:id="198" w:name="_Toc227826046"/>
      <w:bookmarkStart w:id="199" w:name="_Toc230784744"/>
      <w:r w:rsidRPr="0017699B">
        <w:rPr>
          <w:rFonts w:ascii="Arial" w:hAnsi="Arial" w:cs="Calibri" w:hint="cs"/>
          <w:rtl/>
        </w:rPr>
        <w:t>حالات الغش الفعلي والغش الافتراضي</w:t>
      </w:r>
      <w:bookmarkEnd w:id="197"/>
      <w:bookmarkEnd w:id="198"/>
      <w:bookmarkEnd w:id="199"/>
    </w:p>
    <w:p w14:paraId="438A5AE3" w14:textId="57850E9A" w:rsidR="006C5E4B" w:rsidRPr="0017699B" w:rsidRDefault="005F5C16" w:rsidP="00B44F8B">
      <w:pPr>
        <w:pStyle w:val="LFARPara"/>
        <w:bidi/>
        <w:spacing w:after="240"/>
        <w:ind w:left="907" w:hanging="482"/>
        <w:rPr>
          <w:rFonts w:ascii="Arial" w:hAnsi="Arial" w:cs="Calibri"/>
          <w:rtl/>
        </w:rPr>
      </w:pPr>
      <w:r w:rsidRPr="0017699B">
        <w:rPr>
          <w:rFonts w:ascii="Arial" w:hAnsi="Arial" w:cs="Calibri" w:hint="cs"/>
          <w:rtl/>
        </w:rPr>
        <w:t>وفقاً للمعيار الدولي للتدقيق رقم 240 – "</w:t>
      </w:r>
      <w:r w:rsidRPr="0017699B">
        <w:rPr>
          <w:rFonts w:ascii="Arial" w:hAnsi="Arial" w:cs="Calibri" w:hint="cs"/>
          <w:i/>
          <w:iCs/>
          <w:rtl/>
        </w:rPr>
        <w:t>مسؤوليات المدقق فيما يتعلق بالغش في تدقيق البيانات المالية</w:t>
      </w:r>
      <w:r w:rsidRPr="0017699B">
        <w:rPr>
          <w:rFonts w:ascii="Arial" w:hAnsi="Arial" w:cs="Calibri" w:hint="cs"/>
          <w:rtl/>
        </w:rPr>
        <w:t>"، يُخطِّط مجلس التدقيق في جمهورية إندونيسيا لعمليات تدقيق البيانات المالية بحيث يكون لديه تأكيد معقول على اكتشاف المخالفات والأخطاء الجوهرية (بما في ذلك تلك الناتجة عن الغش). إلا أنه، لا ينبغي الاعتماد على عملية التدقيق التي نجريها للكشف عن جميع المخالفات أو الأخطاء الجوهرية. فمسؤولية منع الغش والكشف عنه تقع في المقام الأول على عاتق الإدارة.</w:t>
      </w:r>
    </w:p>
    <w:p w14:paraId="1422622D" w14:textId="1B303F6F" w:rsidR="006C5E4B" w:rsidRPr="0017699B" w:rsidRDefault="00F31B70" w:rsidP="00F174DD">
      <w:pPr>
        <w:pStyle w:val="LFARPara"/>
        <w:bidi/>
        <w:spacing w:after="240"/>
        <w:ind w:left="907" w:hanging="482"/>
        <w:rPr>
          <w:rFonts w:ascii="Arial" w:hAnsi="Arial" w:cs="Calibri"/>
          <w:rtl/>
        </w:rPr>
      </w:pPr>
      <w:r w:rsidRPr="0017699B">
        <w:rPr>
          <w:rFonts w:ascii="Arial" w:hAnsi="Arial" w:cs="Calibri" w:hint="cs"/>
          <w:rtl/>
        </w:rPr>
        <w:t>وخلال عملية التدقيق، طرح مجلس التدقيق في جمهورية إندونيسيا استفسارات على المنظمة بشأن مسؤوليتها الرقابية لتقييم مخاطر الغش المادي والإجراءات الموضوعة لتحديد مخاطر الغش والتعامل معها، بما في ذلك أي مخاطر محددة حددتها الإدارة أو عُرضت عليها. كما استفسر مجلس التدقيق في جمهورية إندونيسيا عمّا إذا كانت لدى المنظمة أي معلومات بشأن حالات غش فعلية أو مشتبه بها أو غش مزعوم. ولم يُحدد المجلس أي حالات غش في سياق عملية التدقيق، ولم تُعرض علينا أي حالة خلال تدقيقنا.</w:t>
      </w:r>
    </w:p>
    <w:p w14:paraId="7334D241" w14:textId="0BED4C59" w:rsidR="00603EC2" w:rsidRPr="0017699B" w:rsidRDefault="0031767A" w:rsidP="00F174DD">
      <w:pPr>
        <w:pStyle w:val="LFARPara"/>
        <w:bidi/>
        <w:spacing w:after="240"/>
        <w:ind w:left="907" w:hanging="482"/>
        <w:rPr>
          <w:rFonts w:ascii="Arial" w:hAnsi="Arial" w:cs="Calibri"/>
          <w:rtl/>
        </w:rPr>
      </w:pPr>
      <w:r w:rsidRPr="0017699B">
        <w:rPr>
          <w:rFonts w:ascii="Arial" w:hAnsi="Arial" w:cs="Calibri" w:hint="cs"/>
          <w:rtl/>
        </w:rPr>
        <w:t xml:space="preserve">ذكرت المنظمة أنه كانت هناك حالتا احتيال بمبلغ يقدر بـ 434.2 ألف فرنك سويسري ولم يتم الإبلاغ عن أي حالة احتيال افتراضي داخل المنظمة خلال عام 2025. </w:t>
      </w:r>
    </w:p>
    <w:p w14:paraId="608F205A" w14:textId="5F200FAB" w:rsidR="009810AE" w:rsidRPr="0017699B" w:rsidRDefault="009810AE" w:rsidP="004A5F38">
      <w:pPr>
        <w:pStyle w:val="Heading3"/>
        <w:bidi/>
        <w:rPr>
          <w:rFonts w:ascii="Arial" w:hAnsi="Arial" w:cs="Calibri"/>
          <w:sz w:val="24"/>
          <w:szCs w:val="24"/>
          <w:rtl/>
        </w:rPr>
      </w:pPr>
      <w:bookmarkStart w:id="200" w:name="_Toc192095272"/>
      <w:bookmarkStart w:id="201" w:name="_Toc222751020"/>
      <w:bookmarkStart w:id="202" w:name="_Toc96949274"/>
      <w:bookmarkStart w:id="203" w:name="_Toc227826047"/>
      <w:bookmarkStart w:id="204" w:name="_Toc230784745"/>
      <w:bookmarkEnd w:id="200"/>
      <w:bookmarkEnd w:id="201"/>
      <w:r w:rsidRPr="0017699B">
        <w:rPr>
          <w:rFonts w:ascii="Arial" w:hAnsi="Arial" w:cs="Calibri" w:hint="cs"/>
          <w:rtl/>
        </w:rPr>
        <w:t>شكر وتقدير</w:t>
      </w:r>
      <w:bookmarkEnd w:id="202"/>
      <w:bookmarkEnd w:id="203"/>
      <w:bookmarkEnd w:id="204"/>
    </w:p>
    <w:p w14:paraId="14357655" w14:textId="1DDC5AED" w:rsidR="00F8272A" w:rsidRPr="0017699B" w:rsidRDefault="00A801EC" w:rsidP="00F174DD">
      <w:pPr>
        <w:pStyle w:val="LFARPara"/>
        <w:bidi/>
        <w:spacing w:after="240"/>
        <w:ind w:left="907" w:hanging="482"/>
        <w:rPr>
          <w:rFonts w:ascii="Arial" w:hAnsi="Arial" w:cs="Calibri"/>
          <w:rtl/>
        </w:rPr>
      </w:pPr>
      <w:r w:rsidRPr="0017699B">
        <w:rPr>
          <w:rFonts w:ascii="Arial" w:hAnsi="Arial" w:cs="Calibri" w:hint="cs"/>
          <w:rtl/>
        </w:rPr>
        <w:t>يُود مجس التدقيق في جمهورية إندونيسيا أن يُعرب عن خالص تقديره للمدير العام وموظفي المنظمة على تعاونهم ودعمهم المتواصل طوال فترة عملية التدقيق. كما يتشرف المجلس بثقة الدول الأعضاء التي أولته مهمة المدقق الخارجي. ومن المتوقع أن تسهم مهمة التدقيق هذه في تعزيز الشراكة البنّاءة التي تستهدف دعم التقدّم في تطوير الملكية الفكرية على الصعيد العالمي.</w:t>
      </w:r>
    </w:p>
    <w:tbl>
      <w:tblPr>
        <w:tblStyle w:val="TableGrid"/>
        <w:bidiVisual/>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8"/>
      </w:tblGrid>
      <w:tr w:rsidR="00BA4DBF" w:rsidRPr="0017699B" w14:paraId="567DC536" w14:textId="77777777" w:rsidTr="66DE4C64">
        <w:tc>
          <w:tcPr>
            <w:tcW w:w="1985" w:type="dxa"/>
          </w:tcPr>
          <w:p w14:paraId="570A3F5D" w14:textId="77777777" w:rsidR="00BA4DBF" w:rsidRPr="0017699B" w:rsidRDefault="00BA4DBF" w:rsidP="00BA4DBF">
            <w:pPr>
              <w:pStyle w:val="ListParagraph"/>
              <w:ind w:left="0"/>
              <w:jc w:val="both"/>
              <w:rPr>
                <w:rFonts w:cs="Calibri"/>
              </w:rPr>
            </w:pPr>
          </w:p>
        </w:tc>
        <w:tc>
          <w:tcPr>
            <w:tcW w:w="6378" w:type="dxa"/>
          </w:tcPr>
          <w:p w14:paraId="2669AA20" w14:textId="77777777" w:rsidR="00457F15" w:rsidRPr="0017699B" w:rsidRDefault="00457F15" w:rsidP="66DE4C64">
            <w:pPr>
              <w:autoSpaceDE w:val="0"/>
              <w:autoSpaceDN w:val="0"/>
              <w:adjustRightInd w:val="0"/>
              <w:spacing w:line="280" w:lineRule="exact"/>
              <w:rPr>
                <w:rFonts w:cs="Calibri"/>
                <w:b/>
                <w:bCs/>
                <w:color w:val="000000"/>
              </w:rPr>
            </w:pPr>
          </w:p>
          <w:p w14:paraId="7D1E3D04" w14:textId="473426D7" w:rsidR="00B44F8B" w:rsidRPr="0017699B" w:rsidRDefault="00B44F8B" w:rsidP="66DE4C64">
            <w:pPr>
              <w:autoSpaceDE w:val="0"/>
              <w:autoSpaceDN w:val="0"/>
              <w:adjustRightInd w:val="0"/>
              <w:spacing w:line="280" w:lineRule="exact"/>
              <w:jc w:val="center"/>
              <w:rPr>
                <w:rFonts w:cs="Calibri"/>
                <w:b/>
                <w:bCs/>
                <w:color w:val="000000"/>
              </w:rPr>
            </w:pPr>
          </w:p>
          <w:p w14:paraId="36C2DC20" w14:textId="40111CC2" w:rsidR="004159E0" w:rsidRPr="0017699B" w:rsidRDefault="004159E0" w:rsidP="66DE4C64">
            <w:pPr>
              <w:autoSpaceDE w:val="0"/>
              <w:autoSpaceDN w:val="0"/>
              <w:adjustRightInd w:val="0"/>
              <w:spacing w:line="280" w:lineRule="exact"/>
              <w:jc w:val="center"/>
              <w:rPr>
                <w:rFonts w:cs="Calibri"/>
                <w:b/>
                <w:bCs/>
                <w:color w:val="000000"/>
              </w:rPr>
            </w:pPr>
          </w:p>
          <w:p w14:paraId="6B8904AF" w14:textId="1BFAF2CE" w:rsidR="007F5BD5" w:rsidRPr="0017699B" w:rsidRDefault="007F5BD5" w:rsidP="66DE4C64">
            <w:pPr>
              <w:autoSpaceDE w:val="0"/>
              <w:autoSpaceDN w:val="0"/>
              <w:adjustRightInd w:val="0"/>
              <w:spacing w:line="280" w:lineRule="exact"/>
              <w:jc w:val="center"/>
              <w:rPr>
                <w:rFonts w:cs="Calibri"/>
                <w:b/>
                <w:bCs/>
                <w:color w:val="000000"/>
              </w:rPr>
            </w:pPr>
          </w:p>
          <w:p w14:paraId="054197A0" w14:textId="77777777" w:rsidR="007F5BD5" w:rsidRPr="0017699B" w:rsidRDefault="007F5BD5" w:rsidP="66DE4C64">
            <w:pPr>
              <w:autoSpaceDE w:val="0"/>
              <w:autoSpaceDN w:val="0"/>
              <w:adjustRightInd w:val="0"/>
              <w:spacing w:line="280" w:lineRule="exact"/>
              <w:jc w:val="center"/>
              <w:rPr>
                <w:rFonts w:cs="Calibri"/>
                <w:b/>
                <w:bCs/>
                <w:color w:val="000000"/>
              </w:rPr>
            </w:pPr>
          </w:p>
          <w:p w14:paraId="7813C7CB" w14:textId="77777777" w:rsidR="0060689D" w:rsidRPr="0017699B" w:rsidRDefault="0060689D" w:rsidP="66DE4C64">
            <w:pPr>
              <w:autoSpaceDE w:val="0"/>
              <w:autoSpaceDN w:val="0"/>
              <w:adjustRightInd w:val="0"/>
              <w:spacing w:line="280" w:lineRule="exact"/>
              <w:rPr>
                <w:rFonts w:cs="Calibri"/>
                <w:b/>
                <w:bCs/>
                <w:color w:val="000000"/>
              </w:rPr>
            </w:pPr>
          </w:p>
          <w:p w14:paraId="47EC2759" w14:textId="77777777" w:rsidR="0060689D" w:rsidRPr="0017699B" w:rsidRDefault="0060689D" w:rsidP="66DE4C64">
            <w:pPr>
              <w:autoSpaceDE w:val="0"/>
              <w:autoSpaceDN w:val="0"/>
              <w:adjustRightInd w:val="0"/>
              <w:spacing w:line="280" w:lineRule="exact"/>
              <w:rPr>
                <w:rFonts w:cs="Calibri"/>
                <w:b/>
                <w:bCs/>
                <w:color w:val="000000"/>
              </w:rPr>
            </w:pPr>
          </w:p>
          <w:p w14:paraId="3FA35780" w14:textId="77777777" w:rsidR="0060689D" w:rsidRPr="0017699B" w:rsidRDefault="0060689D" w:rsidP="66DE4C64">
            <w:pPr>
              <w:autoSpaceDE w:val="0"/>
              <w:autoSpaceDN w:val="0"/>
              <w:adjustRightInd w:val="0"/>
              <w:spacing w:line="280" w:lineRule="exact"/>
              <w:rPr>
                <w:rFonts w:cs="Calibri"/>
                <w:b/>
                <w:bCs/>
                <w:color w:val="000000"/>
              </w:rPr>
            </w:pPr>
          </w:p>
          <w:p w14:paraId="56862514" w14:textId="0069F20F" w:rsidR="00451273" w:rsidRPr="0017699B" w:rsidRDefault="00D82CEC" w:rsidP="66DE4C64">
            <w:pPr>
              <w:autoSpaceDE w:val="0"/>
              <w:autoSpaceDN w:val="0"/>
              <w:bidi/>
              <w:adjustRightInd w:val="0"/>
              <w:jc w:val="center"/>
              <w:rPr>
                <w:rFonts w:cs="Calibri"/>
                <w:b/>
                <w:bCs/>
                <w:color w:val="000000"/>
                <w:rtl/>
              </w:rPr>
            </w:pPr>
            <w:r w:rsidRPr="0017699B">
              <w:rPr>
                <w:rFonts w:cs="Calibri" w:hint="cs"/>
                <w:b/>
                <w:bCs/>
                <w:rtl/>
              </w:rPr>
              <w:t xml:space="preserve">                  د. إسما ياتون، </w:t>
            </w:r>
            <w:r w:rsidRPr="0017699B">
              <w:rPr>
                <w:rFonts w:cs="Calibri"/>
                <w:b/>
                <w:bCs/>
              </w:rPr>
              <w:t>CSFA، CFRA</w:t>
            </w:r>
            <w:r w:rsidRPr="0017699B">
              <w:rPr>
                <w:rFonts w:cs="Calibri" w:hint="cs"/>
                <w:rtl/>
              </w:rPr>
              <w:t xml:space="preserve"> </w:t>
            </w:r>
          </w:p>
          <w:p w14:paraId="7349447B" w14:textId="77777777" w:rsidR="00451273" w:rsidRPr="0017699B" w:rsidRDefault="00451273" w:rsidP="66DE4C64">
            <w:pPr>
              <w:autoSpaceDE w:val="0"/>
              <w:autoSpaceDN w:val="0"/>
              <w:bidi/>
              <w:adjustRightInd w:val="0"/>
              <w:jc w:val="right"/>
              <w:rPr>
                <w:rFonts w:cs="Calibri"/>
                <w:b/>
                <w:bCs/>
                <w:color w:val="000000"/>
                <w:rtl/>
              </w:rPr>
            </w:pPr>
            <w:r w:rsidRPr="0017699B">
              <w:rPr>
                <w:rFonts w:cs="Calibri" w:hint="cs"/>
                <w:b/>
                <w:bCs/>
                <w:rtl/>
              </w:rPr>
              <w:t>رئيس مجلس التدقيق في جمهورية إندونيسيا</w:t>
            </w:r>
          </w:p>
          <w:p w14:paraId="5CD5292E" w14:textId="4737C541" w:rsidR="00451273" w:rsidRPr="0017699B" w:rsidRDefault="00D82CEC" w:rsidP="66DE4C64">
            <w:pPr>
              <w:bidi/>
              <w:jc w:val="center"/>
              <w:rPr>
                <w:rFonts w:cs="Calibri"/>
                <w:b/>
                <w:bCs/>
                <w:color w:val="000000"/>
                <w:rtl/>
              </w:rPr>
            </w:pPr>
            <w:r w:rsidRPr="0017699B">
              <w:rPr>
                <w:rFonts w:cs="Calibri" w:hint="cs"/>
                <w:b/>
                <w:bCs/>
                <w:rtl/>
              </w:rPr>
              <w:t xml:space="preserve">                المدقق الخارجي</w:t>
            </w:r>
          </w:p>
          <w:p w14:paraId="11ECF7A8" w14:textId="77777777" w:rsidR="00D82CEC" w:rsidRPr="0017699B" w:rsidRDefault="00D82CEC" w:rsidP="000B6DF9">
            <w:pPr>
              <w:rPr>
                <w:rFonts w:cs="Calibri"/>
                <w:shd w:val="clear" w:color="auto" w:fill="FFFFFF"/>
                <w:lang w:val="pt-PT"/>
              </w:rPr>
            </w:pPr>
          </w:p>
          <w:p w14:paraId="396926CB" w14:textId="76F536C9" w:rsidR="00451273" w:rsidRPr="0017699B" w:rsidRDefault="00D82CEC" w:rsidP="66DE4C64">
            <w:pPr>
              <w:bidi/>
              <w:jc w:val="center"/>
              <w:rPr>
                <w:rFonts w:cs="Calibri"/>
                <w:b/>
                <w:bCs/>
                <w:color w:val="000000"/>
                <w:rtl/>
              </w:rPr>
            </w:pPr>
            <w:r w:rsidRPr="0017699B">
              <w:rPr>
                <w:rFonts w:cs="Calibri" w:hint="cs"/>
                <w:b/>
                <w:bCs/>
                <w:rtl/>
              </w:rPr>
              <w:t xml:space="preserve">                 جاكارتا، إندونيسيا</w:t>
            </w:r>
          </w:p>
          <w:p w14:paraId="3F2DAE20" w14:textId="1EDFCE02" w:rsidR="00BA4DBF" w:rsidRPr="0017699B" w:rsidRDefault="00D82CEC" w:rsidP="00F839DC">
            <w:pPr>
              <w:bidi/>
              <w:jc w:val="center"/>
              <w:rPr>
                <w:rFonts w:cs="Calibri"/>
                <w:rtl/>
              </w:rPr>
            </w:pPr>
            <w:r w:rsidRPr="0017699B">
              <w:rPr>
                <w:rFonts w:cs="Calibri" w:hint="cs"/>
                <w:b/>
                <w:bCs/>
                <w:rtl/>
              </w:rPr>
              <w:t xml:space="preserve">                    11 مايو 2026</w:t>
            </w:r>
          </w:p>
        </w:tc>
      </w:tr>
    </w:tbl>
    <w:p w14:paraId="35C566A2" w14:textId="211A8C47" w:rsidR="00E924B9" w:rsidRPr="0017699B" w:rsidRDefault="00E924B9" w:rsidP="66DE4C64">
      <w:pPr>
        <w:rPr>
          <w:rFonts w:cs="Calibri"/>
          <w:b/>
          <w:bCs/>
          <w:color w:val="000000"/>
          <w:lang w:val="pt-PT"/>
        </w:rPr>
        <w:sectPr w:rsidR="00E924B9" w:rsidRPr="0017699B" w:rsidSect="005708A7">
          <w:headerReference w:type="default" r:id="rId29"/>
          <w:footerReference w:type="default" r:id="rId30"/>
          <w:pgSz w:w="11906" w:h="16838" w:code="9"/>
          <w:pgMar w:top="1440" w:right="1440" w:bottom="1440" w:left="1418" w:header="709" w:footer="709" w:gutter="0"/>
          <w:cols w:space="708"/>
          <w:docGrid w:linePitch="360"/>
        </w:sectPr>
      </w:pPr>
    </w:p>
    <w:p w14:paraId="727576A6" w14:textId="6234CDFE" w:rsidR="0040644E" w:rsidRPr="0017699B" w:rsidRDefault="009D44E4" w:rsidP="00662CC7">
      <w:pPr>
        <w:pStyle w:val="Heading6"/>
        <w:bidi/>
        <w:ind w:left="0"/>
        <w:jc w:val="center"/>
        <w:rPr>
          <w:rFonts w:ascii="Arial" w:hAnsi="Arial" w:cs="Calibri"/>
          <w:rtl/>
        </w:rPr>
      </w:pPr>
      <w:bookmarkStart w:id="205" w:name="_Toc63858690"/>
      <w:bookmarkStart w:id="206" w:name="_Toc227826048"/>
      <w:bookmarkStart w:id="207" w:name="_Toc230784746"/>
      <w:bookmarkEnd w:id="205"/>
      <w:r w:rsidRPr="0017699B">
        <w:rPr>
          <w:rFonts w:ascii="Arial" w:hAnsi="Arial" w:cs="Calibri" w:hint="cs"/>
          <w:rtl/>
        </w:rPr>
        <w:t>المرفق 1.</w:t>
      </w:r>
      <w:bookmarkStart w:id="208" w:name="_Toc96949276"/>
      <w:bookmarkEnd w:id="208"/>
      <w:r w:rsidRPr="0017699B">
        <w:rPr>
          <w:rFonts w:ascii="Arial" w:hAnsi="Arial" w:cs="Calibri" w:hint="cs"/>
          <w:rtl/>
        </w:rPr>
        <w:t xml:space="preserve"> حالة تنفيذ التوصيات حتى السنة المالية المنتهية في 31 ديسمبر 2025</w:t>
      </w:r>
      <w:bookmarkEnd w:id="206"/>
      <w:bookmarkEnd w:id="207"/>
    </w:p>
    <w:p w14:paraId="1546FBE7" w14:textId="77777777" w:rsidR="0040644E" w:rsidRPr="0017699B" w:rsidRDefault="0040644E" w:rsidP="66DE4C64">
      <w:pPr>
        <w:tabs>
          <w:tab w:val="left" w:pos="2955"/>
        </w:tabs>
        <w:spacing w:line="280" w:lineRule="exact"/>
        <w:rPr>
          <w:rFonts w:cs="Calibri"/>
          <w:b/>
          <w:bCs/>
          <w:sz w:val="18"/>
          <w:szCs w:val="18"/>
        </w:rPr>
      </w:pPr>
    </w:p>
    <w:tbl>
      <w:tblPr>
        <w:tblStyle w:val="TableGrid"/>
        <w:bidiVisual/>
        <w:tblW w:w="15590" w:type="dxa"/>
        <w:jc w:val="center"/>
        <w:tblLayout w:type="fixed"/>
        <w:tblLook w:val="04A0" w:firstRow="1" w:lastRow="0" w:firstColumn="1" w:lastColumn="0" w:noHBand="0" w:noVBand="1"/>
      </w:tblPr>
      <w:tblGrid>
        <w:gridCol w:w="988"/>
        <w:gridCol w:w="1701"/>
        <w:gridCol w:w="2852"/>
        <w:gridCol w:w="1788"/>
        <w:gridCol w:w="2159"/>
        <w:gridCol w:w="2273"/>
        <w:gridCol w:w="2126"/>
        <w:gridCol w:w="1703"/>
      </w:tblGrid>
      <w:tr w:rsidR="005C4C62" w:rsidRPr="0017699B" w14:paraId="4763DD20" w14:textId="77777777" w:rsidTr="66DE4C64">
        <w:trPr>
          <w:tblHeader/>
          <w:jc w:val="center"/>
        </w:trPr>
        <w:tc>
          <w:tcPr>
            <w:tcW w:w="988" w:type="dxa"/>
            <w:shd w:val="clear" w:color="auto" w:fill="BDD6EE" w:themeFill="accent1" w:themeFillTint="66"/>
            <w:vAlign w:val="center"/>
          </w:tcPr>
          <w:p w14:paraId="5679F88E" w14:textId="6A2BA9C3" w:rsidR="005C4C62" w:rsidRPr="0017699B" w:rsidRDefault="4FB3A1D6"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الفترة المالية</w:t>
            </w:r>
          </w:p>
        </w:tc>
        <w:tc>
          <w:tcPr>
            <w:tcW w:w="1701" w:type="dxa"/>
            <w:shd w:val="clear" w:color="auto" w:fill="BDD6EE" w:themeFill="accent1" w:themeFillTint="66"/>
            <w:vAlign w:val="center"/>
          </w:tcPr>
          <w:p w14:paraId="204152FA" w14:textId="47522C30" w:rsidR="005C4C62" w:rsidRPr="0017699B" w:rsidRDefault="09D52A5A"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مرجع التقرير</w:t>
            </w:r>
          </w:p>
        </w:tc>
        <w:tc>
          <w:tcPr>
            <w:tcW w:w="2852" w:type="dxa"/>
            <w:shd w:val="clear" w:color="auto" w:fill="BDD6EE" w:themeFill="accent1" w:themeFillTint="66"/>
            <w:vAlign w:val="center"/>
          </w:tcPr>
          <w:p w14:paraId="0519102C" w14:textId="534730D7" w:rsidR="005C4C62" w:rsidRPr="0017699B" w:rsidRDefault="09D52A5A"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ملخص النتائج والتوصيات</w:t>
            </w:r>
          </w:p>
        </w:tc>
        <w:tc>
          <w:tcPr>
            <w:tcW w:w="1788" w:type="dxa"/>
            <w:shd w:val="clear" w:color="auto" w:fill="BDD6EE" w:themeFill="accent1" w:themeFillTint="66"/>
            <w:vAlign w:val="center"/>
          </w:tcPr>
          <w:p w14:paraId="2D8E292C" w14:textId="77777777" w:rsidR="005C4C62" w:rsidRPr="0017699B" w:rsidRDefault="4FB3A1D6"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التوصية</w:t>
            </w:r>
          </w:p>
        </w:tc>
        <w:tc>
          <w:tcPr>
            <w:tcW w:w="2159" w:type="dxa"/>
            <w:shd w:val="clear" w:color="auto" w:fill="BDD6EE" w:themeFill="accent1" w:themeFillTint="66"/>
            <w:vAlign w:val="center"/>
          </w:tcPr>
          <w:p w14:paraId="41CE57DF" w14:textId="58CE0025" w:rsidR="005C4C62" w:rsidRPr="0017699B" w:rsidRDefault="09D52A5A"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رد الإدارة:</w:t>
            </w:r>
          </w:p>
        </w:tc>
        <w:tc>
          <w:tcPr>
            <w:tcW w:w="2273" w:type="dxa"/>
            <w:shd w:val="clear" w:color="auto" w:fill="BDD6EE" w:themeFill="accent1" w:themeFillTint="66"/>
            <w:vAlign w:val="center"/>
          </w:tcPr>
          <w:p w14:paraId="240DEC84" w14:textId="69EF1BB4" w:rsidR="005C4C62" w:rsidRPr="0017699B" w:rsidRDefault="09D52A5A"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الإجراء من قِبل الإدارة</w:t>
            </w:r>
          </w:p>
        </w:tc>
        <w:tc>
          <w:tcPr>
            <w:tcW w:w="2126" w:type="dxa"/>
            <w:shd w:val="clear" w:color="auto" w:fill="BDD6EE" w:themeFill="accent1" w:themeFillTint="66"/>
            <w:vAlign w:val="center"/>
          </w:tcPr>
          <w:p w14:paraId="45374A03" w14:textId="7859973B" w:rsidR="005C4C62" w:rsidRPr="0017699B" w:rsidRDefault="09D52A5A"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تعليق المدقق</w:t>
            </w:r>
          </w:p>
        </w:tc>
        <w:tc>
          <w:tcPr>
            <w:tcW w:w="1703" w:type="dxa"/>
            <w:shd w:val="clear" w:color="auto" w:fill="BDD6EE" w:themeFill="accent1" w:themeFillTint="66"/>
            <w:vAlign w:val="center"/>
          </w:tcPr>
          <w:p w14:paraId="751F288F" w14:textId="77777777" w:rsidR="005C4C62" w:rsidRPr="0017699B" w:rsidRDefault="4FB3A1D6" w:rsidP="66DE4C64">
            <w:pPr>
              <w:tabs>
                <w:tab w:val="left" w:pos="2955"/>
              </w:tabs>
              <w:bidi/>
              <w:spacing w:line="280" w:lineRule="exact"/>
              <w:jc w:val="center"/>
              <w:rPr>
                <w:rFonts w:cs="Calibri"/>
                <w:b/>
                <w:bCs/>
                <w:color w:val="000000"/>
                <w:sz w:val="16"/>
                <w:szCs w:val="16"/>
                <w:rtl/>
              </w:rPr>
            </w:pPr>
            <w:r w:rsidRPr="0017699B">
              <w:rPr>
                <w:rFonts w:cs="Calibri" w:hint="cs"/>
                <w:b/>
                <w:bCs/>
                <w:sz w:val="16"/>
                <w:szCs w:val="16"/>
                <w:rtl/>
              </w:rPr>
              <w:t>الوضع</w:t>
            </w:r>
          </w:p>
        </w:tc>
      </w:tr>
      <w:tr w:rsidR="005C4C62" w:rsidRPr="0017699B" w14:paraId="16E61D03" w14:textId="77777777" w:rsidTr="66DE4C64">
        <w:trPr>
          <w:tblHeader/>
          <w:jc w:val="center"/>
        </w:trPr>
        <w:tc>
          <w:tcPr>
            <w:tcW w:w="988" w:type="dxa"/>
            <w:shd w:val="clear" w:color="auto" w:fill="BDD6EE" w:themeFill="accent1" w:themeFillTint="66"/>
          </w:tcPr>
          <w:p w14:paraId="5D26F31C" w14:textId="59CC4A16" w:rsidR="005C4C62" w:rsidRPr="0017699B" w:rsidRDefault="001A6952" w:rsidP="66DE4C64">
            <w:pPr>
              <w:tabs>
                <w:tab w:val="left" w:pos="2955"/>
              </w:tabs>
              <w:bidi/>
              <w:spacing w:line="280" w:lineRule="exact"/>
              <w:jc w:val="center"/>
              <w:rPr>
                <w:rFonts w:cs="Calibri"/>
                <w:b/>
                <w:bCs/>
                <w:i/>
                <w:iCs/>
                <w:color w:val="000000"/>
                <w:sz w:val="16"/>
                <w:szCs w:val="16"/>
                <w:rtl/>
              </w:rPr>
            </w:pPr>
            <w:r>
              <w:rPr>
                <w:rFonts w:cs="Calibri" w:hint="cs"/>
                <w:b/>
                <w:bCs/>
                <w:i/>
                <w:iCs/>
                <w:sz w:val="16"/>
                <w:szCs w:val="16"/>
                <w:rtl/>
              </w:rPr>
              <w:t>أ</w:t>
            </w:r>
          </w:p>
        </w:tc>
        <w:tc>
          <w:tcPr>
            <w:tcW w:w="1701" w:type="dxa"/>
            <w:shd w:val="clear" w:color="auto" w:fill="BDD6EE" w:themeFill="accent1" w:themeFillTint="66"/>
          </w:tcPr>
          <w:p w14:paraId="3A4954E3" w14:textId="77777777" w:rsidR="005C4C62" w:rsidRPr="0017699B" w:rsidRDefault="4FB3A1D6"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ب</w:t>
            </w:r>
          </w:p>
        </w:tc>
        <w:tc>
          <w:tcPr>
            <w:tcW w:w="2852" w:type="dxa"/>
            <w:shd w:val="clear" w:color="auto" w:fill="BDD6EE" w:themeFill="accent1" w:themeFillTint="66"/>
          </w:tcPr>
          <w:p w14:paraId="2A4A4888" w14:textId="77777777" w:rsidR="005C4C62" w:rsidRPr="0017699B" w:rsidRDefault="4FB3A1D6"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ج</w:t>
            </w:r>
          </w:p>
        </w:tc>
        <w:tc>
          <w:tcPr>
            <w:tcW w:w="1788" w:type="dxa"/>
            <w:shd w:val="clear" w:color="auto" w:fill="BDD6EE" w:themeFill="accent1" w:themeFillTint="66"/>
          </w:tcPr>
          <w:p w14:paraId="7ECD487E" w14:textId="77777777" w:rsidR="005C4C62" w:rsidRPr="0017699B" w:rsidRDefault="4FB3A1D6"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د</w:t>
            </w:r>
          </w:p>
        </w:tc>
        <w:tc>
          <w:tcPr>
            <w:tcW w:w="2159" w:type="dxa"/>
            <w:shd w:val="clear" w:color="auto" w:fill="BDD6EE" w:themeFill="accent1" w:themeFillTint="66"/>
          </w:tcPr>
          <w:p w14:paraId="246307BB" w14:textId="3F5E517A" w:rsidR="005C4C62" w:rsidRPr="0017699B" w:rsidRDefault="58BA29DD"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ه</w:t>
            </w:r>
          </w:p>
        </w:tc>
        <w:tc>
          <w:tcPr>
            <w:tcW w:w="2273" w:type="dxa"/>
            <w:shd w:val="clear" w:color="auto" w:fill="BDD6EE" w:themeFill="accent1" w:themeFillTint="66"/>
          </w:tcPr>
          <w:p w14:paraId="062C5173" w14:textId="77777777" w:rsidR="005C4C62" w:rsidRPr="0017699B" w:rsidRDefault="4FB3A1D6"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و</w:t>
            </w:r>
          </w:p>
        </w:tc>
        <w:tc>
          <w:tcPr>
            <w:tcW w:w="2126" w:type="dxa"/>
            <w:shd w:val="clear" w:color="auto" w:fill="BDD6EE" w:themeFill="accent1" w:themeFillTint="66"/>
          </w:tcPr>
          <w:p w14:paraId="6D3D6B50" w14:textId="4A9D6282" w:rsidR="005C4C62" w:rsidRPr="0017699B" w:rsidRDefault="00E5046E"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ز</w:t>
            </w:r>
          </w:p>
        </w:tc>
        <w:tc>
          <w:tcPr>
            <w:tcW w:w="1703" w:type="dxa"/>
            <w:shd w:val="clear" w:color="auto" w:fill="BDD6EE" w:themeFill="accent1" w:themeFillTint="66"/>
          </w:tcPr>
          <w:p w14:paraId="684AC14A" w14:textId="63CDA625" w:rsidR="005C4C62" w:rsidRPr="0017699B" w:rsidRDefault="58BA29DD" w:rsidP="66DE4C64">
            <w:pPr>
              <w:tabs>
                <w:tab w:val="left" w:pos="2955"/>
              </w:tabs>
              <w:bidi/>
              <w:spacing w:line="280" w:lineRule="exact"/>
              <w:jc w:val="center"/>
              <w:rPr>
                <w:rFonts w:cs="Calibri"/>
                <w:b/>
                <w:bCs/>
                <w:i/>
                <w:iCs/>
                <w:color w:val="000000"/>
                <w:sz w:val="16"/>
                <w:szCs w:val="16"/>
                <w:rtl/>
              </w:rPr>
            </w:pPr>
            <w:r w:rsidRPr="0017699B">
              <w:rPr>
                <w:rFonts w:cs="Calibri" w:hint="cs"/>
                <w:b/>
                <w:bCs/>
                <w:i/>
                <w:iCs/>
                <w:sz w:val="16"/>
                <w:szCs w:val="16"/>
                <w:rtl/>
              </w:rPr>
              <w:t>ح</w:t>
            </w:r>
          </w:p>
        </w:tc>
      </w:tr>
      <w:tr w:rsidR="00DA0057" w:rsidRPr="0017699B" w14:paraId="21FA6299" w14:textId="77777777" w:rsidTr="66DE4C64">
        <w:trPr>
          <w:trHeight w:val="201"/>
          <w:jc w:val="center"/>
        </w:trPr>
        <w:tc>
          <w:tcPr>
            <w:tcW w:w="15590" w:type="dxa"/>
            <w:gridSpan w:val="8"/>
            <w:shd w:val="clear" w:color="auto" w:fill="BDD6EE" w:themeFill="accent1" w:themeFillTint="66"/>
          </w:tcPr>
          <w:p w14:paraId="08723F7D" w14:textId="607F4D77" w:rsidR="00DA0057" w:rsidRPr="0017699B" w:rsidRDefault="00DA0057" w:rsidP="007F5077">
            <w:pPr>
              <w:bidi/>
              <w:spacing w:before="60" w:after="60"/>
              <w:jc w:val="both"/>
              <w:rPr>
                <w:rFonts w:cs="Calibri"/>
                <w:sz w:val="16"/>
                <w:szCs w:val="16"/>
                <w:rtl/>
              </w:rPr>
            </w:pPr>
            <w:r w:rsidRPr="0017699B">
              <w:rPr>
                <w:rFonts w:cs="Calibri" w:hint="cs"/>
                <w:b/>
                <w:bCs/>
                <w:sz w:val="16"/>
                <w:szCs w:val="16"/>
                <w:rtl/>
              </w:rPr>
              <w:t>تقرير التدقيق للسنة المنتهية في 31 ديسمبر 2024</w:t>
            </w:r>
          </w:p>
        </w:tc>
      </w:tr>
      <w:tr w:rsidR="00DA0057" w:rsidRPr="0017699B" w14:paraId="791BE3CD" w14:textId="77777777" w:rsidTr="66DE4C64">
        <w:trPr>
          <w:jc w:val="center"/>
        </w:trPr>
        <w:tc>
          <w:tcPr>
            <w:tcW w:w="988" w:type="dxa"/>
          </w:tcPr>
          <w:p w14:paraId="054EF3E4" w14:textId="4AB91070" w:rsidR="00DA0057" w:rsidRPr="0017699B" w:rsidRDefault="0FD93FB3" w:rsidP="003E5582">
            <w:pPr>
              <w:bidi/>
              <w:spacing w:before="60" w:after="60"/>
              <w:rPr>
                <w:rFonts w:cs="Calibri"/>
                <w:sz w:val="16"/>
                <w:szCs w:val="16"/>
                <w:rtl/>
              </w:rPr>
            </w:pPr>
            <w:r w:rsidRPr="0017699B">
              <w:rPr>
                <w:rFonts w:cs="Calibri" w:hint="cs"/>
                <w:sz w:val="16"/>
                <w:szCs w:val="16"/>
                <w:rtl/>
              </w:rPr>
              <w:t>2024</w:t>
            </w:r>
          </w:p>
        </w:tc>
        <w:tc>
          <w:tcPr>
            <w:tcW w:w="1701" w:type="dxa"/>
          </w:tcPr>
          <w:p w14:paraId="40EF2A40" w14:textId="795BAFAE" w:rsidR="00DA0057" w:rsidRPr="0017699B" w:rsidRDefault="0FD93FB3" w:rsidP="003E5582">
            <w:pPr>
              <w:bidi/>
              <w:spacing w:before="60" w:after="60"/>
              <w:ind w:right="57"/>
              <w:textAlignment w:val="baseline"/>
              <w:rPr>
                <w:rFonts w:eastAsia="Times New Roman" w:cs="Calibri"/>
                <w:sz w:val="16"/>
                <w:szCs w:val="16"/>
                <w:rtl/>
              </w:rPr>
            </w:pPr>
            <w:r w:rsidRPr="0017699B">
              <w:rPr>
                <w:rFonts w:cs="Calibri" w:hint="cs"/>
                <w:sz w:val="16"/>
                <w:szCs w:val="16"/>
                <w:rtl/>
              </w:rPr>
              <w:t>2024، الفقرات من 33 إلى 36، التوصية رقم 1 - المراجعة المالية</w:t>
            </w:r>
          </w:p>
        </w:tc>
        <w:tc>
          <w:tcPr>
            <w:tcW w:w="2852" w:type="dxa"/>
          </w:tcPr>
          <w:p w14:paraId="1A9C364A" w14:textId="311898F0" w:rsidR="004041CF" w:rsidRPr="0017699B" w:rsidRDefault="0FD93FB3" w:rsidP="003E5582">
            <w:pPr>
              <w:bidi/>
              <w:spacing w:before="60" w:after="60"/>
              <w:rPr>
                <w:rFonts w:cs="Calibri"/>
                <w:b/>
                <w:bCs/>
                <w:sz w:val="16"/>
                <w:szCs w:val="16"/>
                <w:rtl/>
              </w:rPr>
            </w:pPr>
            <w:bookmarkStart w:id="209" w:name="_Toc197377496"/>
            <w:r w:rsidRPr="0017699B">
              <w:rPr>
                <w:rFonts w:cs="Calibri" w:hint="cs"/>
                <w:b/>
                <w:bCs/>
                <w:sz w:val="16"/>
                <w:szCs w:val="16"/>
                <w:rtl/>
              </w:rPr>
              <w:t>تحسين استخدام الأنظمة والأتمتة في إعداد التقارير المالية</w:t>
            </w:r>
            <w:bookmarkEnd w:id="209"/>
          </w:p>
          <w:p w14:paraId="3E019D59" w14:textId="77777777" w:rsidR="007C1124" w:rsidRPr="0017699B" w:rsidRDefault="007C1124" w:rsidP="003E5582">
            <w:pPr>
              <w:spacing w:before="60" w:after="60"/>
              <w:rPr>
                <w:rFonts w:cs="Calibri"/>
                <w:b/>
                <w:bCs/>
                <w:sz w:val="16"/>
                <w:szCs w:val="16"/>
              </w:rPr>
            </w:pPr>
          </w:p>
          <w:p w14:paraId="05F7E6A5" w14:textId="0306C812" w:rsidR="00107000" w:rsidRPr="0017699B" w:rsidRDefault="0688978B" w:rsidP="003E5582">
            <w:pPr>
              <w:bidi/>
              <w:spacing w:before="60" w:after="60"/>
              <w:rPr>
                <w:rFonts w:cs="Calibri"/>
                <w:sz w:val="16"/>
                <w:szCs w:val="16"/>
                <w:rtl/>
              </w:rPr>
            </w:pPr>
            <w:r w:rsidRPr="0017699B">
              <w:rPr>
                <w:rFonts w:cs="Calibri" w:hint="cs"/>
                <w:sz w:val="16"/>
                <w:szCs w:val="16"/>
                <w:rtl/>
              </w:rPr>
              <w:t xml:space="preserve">كجزء من المراجعة المالية لعام 2024، قام مجلس </w:t>
            </w:r>
            <w:r w:rsidRPr="0017699B">
              <w:rPr>
                <w:rFonts w:cs="Calibri"/>
                <w:sz w:val="16"/>
                <w:szCs w:val="16"/>
              </w:rPr>
              <w:t>BPK</w:t>
            </w:r>
            <w:r w:rsidRPr="0017699B">
              <w:rPr>
                <w:rFonts w:cs="Calibri" w:hint="cs"/>
                <w:sz w:val="16"/>
                <w:szCs w:val="16"/>
                <w:rtl/>
              </w:rPr>
              <w:t xml:space="preserve"> بمراجعة عملية إعداد التقارير المالية للمنظمة ونظام الإدارة الإدارية المتكاملة (</w:t>
            </w:r>
            <w:r w:rsidRPr="0017699B">
              <w:rPr>
                <w:rFonts w:cs="Calibri"/>
                <w:sz w:val="16"/>
                <w:szCs w:val="16"/>
              </w:rPr>
              <w:t>AIMS</w:t>
            </w:r>
            <w:r w:rsidRPr="0017699B">
              <w:rPr>
                <w:rFonts w:cs="Calibri" w:hint="cs"/>
                <w:sz w:val="16"/>
                <w:szCs w:val="16"/>
                <w:rtl/>
              </w:rPr>
              <w:t>)، وهو نظام تخطيط موارد المؤسسات (</w:t>
            </w:r>
            <w:r w:rsidRPr="0017699B">
              <w:rPr>
                <w:rFonts w:cs="Calibri"/>
                <w:sz w:val="16"/>
                <w:szCs w:val="16"/>
              </w:rPr>
              <w:t>ERP</w:t>
            </w:r>
            <w:r w:rsidRPr="0017699B">
              <w:rPr>
                <w:rFonts w:cs="Calibri" w:hint="cs"/>
                <w:sz w:val="16"/>
                <w:szCs w:val="16"/>
                <w:rtl/>
              </w:rPr>
              <w:t xml:space="preserve">) المبني على منصة </w:t>
            </w:r>
            <w:r w:rsidRPr="0017699B">
              <w:rPr>
                <w:rFonts w:cs="Calibri"/>
                <w:sz w:val="16"/>
                <w:szCs w:val="16"/>
              </w:rPr>
              <w:t>PeopleSoft</w:t>
            </w:r>
            <w:r w:rsidRPr="0017699B">
              <w:rPr>
                <w:rFonts w:cs="Calibri" w:hint="cs"/>
                <w:sz w:val="16"/>
                <w:szCs w:val="16"/>
                <w:rtl/>
              </w:rPr>
              <w:t xml:space="preserve"> من </w:t>
            </w:r>
            <w:r w:rsidRPr="0017699B">
              <w:rPr>
                <w:rFonts w:cs="Calibri"/>
                <w:sz w:val="16"/>
                <w:szCs w:val="16"/>
              </w:rPr>
              <w:t>Oracle</w:t>
            </w:r>
            <w:r w:rsidRPr="0017699B">
              <w:rPr>
                <w:rFonts w:cs="Calibri" w:hint="cs"/>
                <w:sz w:val="16"/>
                <w:szCs w:val="16"/>
                <w:rtl/>
              </w:rPr>
              <w:t xml:space="preserve">. حدد مجلس </w:t>
            </w:r>
            <w:r w:rsidRPr="0017699B">
              <w:rPr>
                <w:rFonts w:cs="Calibri"/>
                <w:sz w:val="16"/>
                <w:szCs w:val="16"/>
              </w:rPr>
              <w:t>BPK</w:t>
            </w:r>
            <w:r w:rsidRPr="0017699B">
              <w:rPr>
                <w:rFonts w:cs="Calibri" w:hint="cs"/>
                <w:sz w:val="16"/>
                <w:szCs w:val="16"/>
                <w:rtl/>
              </w:rPr>
              <w:t xml:space="preserve"> عدة مجالات للتحسين، بما في ذلك عدم استخدام هيكل شجرة نظام المعلومات الإدارية المتكامل لتجميع البيانات المالية، وعدم وجود ميزة ميزان المراجعة الموحد، وأوجه عدم الاتساق في دفتر الأستاذ العام. تعتمد المنظمة في الوقت الحالي على جداول البيانات والعمليات اليدوية بدلاً من الاستفادة من الوظائف المدمجة في نظام المعلومات الإدارية المتكامل، مما يؤدي إلى زيادة عبء العمل وعدم الكفاءة وزيادة مخاطر الأخطاء - لا سيما في توحيد أرصدة المراجعة عبر وحدات الأعمال </w:t>
            </w:r>
            <w:r w:rsidRPr="0017699B">
              <w:rPr>
                <w:rFonts w:cs="Calibri"/>
                <w:sz w:val="16"/>
                <w:szCs w:val="16"/>
              </w:rPr>
              <w:t>WIPO1</w:t>
            </w:r>
            <w:r w:rsidRPr="0017699B">
              <w:rPr>
                <w:rFonts w:cs="Calibri" w:hint="cs"/>
                <w:sz w:val="16"/>
                <w:szCs w:val="16"/>
                <w:rtl/>
              </w:rPr>
              <w:t xml:space="preserve"> و</w:t>
            </w:r>
            <w:r w:rsidRPr="0017699B">
              <w:rPr>
                <w:rFonts w:cs="Calibri"/>
                <w:sz w:val="16"/>
                <w:szCs w:val="16"/>
              </w:rPr>
              <w:t>FITSW</w:t>
            </w:r>
            <w:r w:rsidRPr="0017699B">
              <w:rPr>
                <w:rFonts w:cs="Calibri" w:hint="cs"/>
                <w:sz w:val="16"/>
                <w:szCs w:val="16"/>
                <w:rtl/>
              </w:rPr>
              <w:t xml:space="preserve"> و</w:t>
            </w:r>
            <w:r w:rsidRPr="0017699B">
              <w:rPr>
                <w:rFonts w:cs="Calibri"/>
                <w:sz w:val="16"/>
                <w:szCs w:val="16"/>
              </w:rPr>
              <w:t>WISP1</w:t>
            </w:r>
            <w:r w:rsidRPr="0017699B">
              <w:rPr>
                <w:rFonts w:cs="Calibri" w:hint="cs"/>
                <w:sz w:val="16"/>
                <w:szCs w:val="16"/>
                <w:rtl/>
              </w:rPr>
              <w:t>.</w:t>
            </w:r>
          </w:p>
          <w:p w14:paraId="38534381" w14:textId="36360579" w:rsidR="00DA0057" w:rsidRPr="0017699B" w:rsidRDefault="0688978B" w:rsidP="003E5582">
            <w:pPr>
              <w:bidi/>
              <w:spacing w:before="60" w:after="60"/>
              <w:rPr>
                <w:rFonts w:cs="Calibri"/>
                <w:sz w:val="16"/>
                <w:szCs w:val="16"/>
                <w:rtl/>
              </w:rPr>
            </w:pPr>
            <w:r w:rsidRPr="0017699B">
              <w:rPr>
                <w:rFonts w:cs="Calibri" w:hint="cs"/>
                <w:sz w:val="16"/>
                <w:szCs w:val="16"/>
                <w:rtl/>
              </w:rPr>
              <w:t xml:space="preserve">وعلاوة على ذلك، تم تحديد تباين بين البيانات المالية ودفتر الأستاذ العام المستخرج من نظام المعلومات الإدارية المتكامل، نتج عن عدم الترحيل المباشر لمعاملة مسجلة أصلاً في دفتر الأستاذ الفرعي. لاحظ </w:t>
            </w:r>
            <w:r w:rsidRPr="0017699B">
              <w:rPr>
                <w:rFonts w:cs="Calibri"/>
                <w:sz w:val="16"/>
                <w:szCs w:val="16"/>
              </w:rPr>
              <w:t>BPK</w:t>
            </w:r>
            <w:r w:rsidRPr="0017699B">
              <w:rPr>
                <w:rFonts w:cs="Calibri" w:hint="cs"/>
                <w:sz w:val="16"/>
                <w:szCs w:val="16"/>
                <w:rtl/>
              </w:rPr>
              <w:t xml:space="preserve"> أيضًا أنه تم تفويض العديد من المستخدمين بتسجيل قيودات دفتر اليومية اليدوية طوال عام 2024، مما يسلط الضوء على الحاجة إلى تعزيز الضوابط الداخلية. وللتخفيف من مخاطر التعديلات غير المصرح بها أو غير المقصودة والحد من تحديات التسوية، ينبغي للمنظمة أن تعطي الأولوية لفرض الفصل بين الواجبات بما يتماشى مع معايير أمن المعلومات، مع تعزيز نظام إدارة المعلومات الإدارية المتكامل بميزات آلية وأفضل مواءمة لتحسين دقة التقارير المالية واتساقها وكفاءتها.</w:t>
            </w:r>
          </w:p>
          <w:p w14:paraId="3234AA79" w14:textId="2C5E4A40" w:rsidR="003E5582" w:rsidRPr="0017699B" w:rsidRDefault="003E5582" w:rsidP="003E5582">
            <w:pPr>
              <w:spacing w:before="60" w:after="60"/>
              <w:rPr>
                <w:rFonts w:cs="Calibri"/>
                <w:sz w:val="16"/>
                <w:szCs w:val="16"/>
              </w:rPr>
            </w:pPr>
          </w:p>
        </w:tc>
        <w:tc>
          <w:tcPr>
            <w:tcW w:w="1788" w:type="dxa"/>
          </w:tcPr>
          <w:p w14:paraId="297CB9E7" w14:textId="00A74D6A" w:rsidR="00DA0057" w:rsidRPr="0017699B" w:rsidRDefault="0FD93FB3" w:rsidP="003E5582">
            <w:pPr>
              <w:bidi/>
              <w:spacing w:before="60" w:after="60"/>
              <w:rPr>
                <w:rFonts w:cs="Calibri"/>
                <w:sz w:val="16"/>
                <w:szCs w:val="16"/>
                <w:rtl/>
              </w:rPr>
            </w:pPr>
            <w:r w:rsidRPr="0017699B">
              <w:rPr>
                <w:rFonts w:cs="Calibri" w:hint="cs"/>
                <w:sz w:val="16"/>
                <w:szCs w:val="16"/>
                <w:rtl/>
              </w:rPr>
              <w:t>يُوصي مجلس التدقيق في جمهورية إندونيسيا بأن تعمل المنظمة على تحسين الاستفادة من النظام وأتمتة التقارير المالية لتمكين التلخيص الآلي للبيانات المالية، وتجميع ميزان المراجعة، وتقليل الأخطاء، وتبسيط التقارير المالية، وتطبيق الضوابط لضمان سلامة البيانات، وكفاءة ودقة التقارير المالية.</w:t>
            </w:r>
          </w:p>
        </w:tc>
        <w:tc>
          <w:tcPr>
            <w:tcW w:w="2159" w:type="dxa"/>
          </w:tcPr>
          <w:p w14:paraId="5A640BAC" w14:textId="7FB5F674" w:rsidR="004041CF" w:rsidRPr="0017699B" w:rsidRDefault="0FD93FB3" w:rsidP="003E5582">
            <w:pPr>
              <w:bidi/>
              <w:spacing w:before="60" w:after="60"/>
              <w:rPr>
                <w:rFonts w:cs="Calibri"/>
                <w:sz w:val="16"/>
                <w:szCs w:val="16"/>
                <w:rtl/>
              </w:rPr>
            </w:pPr>
            <w:r w:rsidRPr="0017699B">
              <w:rPr>
                <w:rFonts w:cs="Calibri" w:hint="cs"/>
                <w:sz w:val="16"/>
                <w:szCs w:val="16"/>
                <w:rtl/>
              </w:rPr>
              <w:t xml:space="preserve">توافق الإدارة على التوصية. مع الإشارة إلى أن المنظمة ستنتقل قريباً إلى نظام تخطيط موارد المؤسسة </w:t>
            </w:r>
            <w:r w:rsidRPr="0017699B">
              <w:rPr>
                <w:rFonts w:cs="Calibri"/>
                <w:sz w:val="16"/>
                <w:szCs w:val="16"/>
              </w:rPr>
              <w:t>ERP</w:t>
            </w:r>
            <w:r w:rsidRPr="0017699B">
              <w:rPr>
                <w:rFonts w:cs="Calibri" w:hint="cs"/>
                <w:sz w:val="16"/>
                <w:szCs w:val="16"/>
                <w:rtl/>
              </w:rPr>
              <w:t xml:space="preserve"> الجديد، حيث ستُعالج التكوينات المُوصى بها من خلال تصميم دليل الحسابات في نظام الإدارة المتكاملة الجديد لتخطيط موارد المؤسسة </w:t>
            </w:r>
            <w:r w:rsidRPr="0017699B">
              <w:rPr>
                <w:rFonts w:cs="Calibri"/>
                <w:sz w:val="16"/>
                <w:szCs w:val="16"/>
              </w:rPr>
              <w:t>AIMS</w:t>
            </w:r>
            <w:r w:rsidRPr="0017699B">
              <w:rPr>
                <w:rFonts w:cs="Calibri" w:hint="cs"/>
                <w:sz w:val="16"/>
                <w:szCs w:val="16"/>
                <w:rtl/>
              </w:rPr>
              <w:t>. ستكون معايير الإغلاق نتائج اختبار تكوين النظام الجديد للتحكم في النظام وهيكل الشجرة المُوصى به.</w:t>
            </w:r>
          </w:p>
          <w:p w14:paraId="30F49382" w14:textId="4B20B14E" w:rsidR="00DA0057" w:rsidRPr="0017699B" w:rsidRDefault="0FD93FB3" w:rsidP="003E5582">
            <w:pPr>
              <w:bidi/>
              <w:spacing w:before="60" w:after="60"/>
              <w:rPr>
                <w:rFonts w:cs="Calibri"/>
                <w:sz w:val="16"/>
                <w:szCs w:val="16"/>
                <w:rtl/>
              </w:rPr>
            </w:pPr>
            <w:r w:rsidRPr="0017699B">
              <w:rPr>
                <w:rFonts w:cs="Calibri" w:hint="cs"/>
                <w:sz w:val="16"/>
                <w:szCs w:val="16"/>
                <w:rtl/>
              </w:rPr>
              <w:t>ومن المتوقع الانتهاء من هذا الإجراء بحلول 31 ديسمبر 2026، تماشياً مع تصميم واختبار قبول المستخدم لتخطيط موارد المؤسسة الجديد.</w:t>
            </w:r>
          </w:p>
        </w:tc>
        <w:tc>
          <w:tcPr>
            <w:tcW w:w="2273" w:type="dxa"/>
          </w:tcPr>
          <w:p w14:paraId="5451A41F" w14:textId="77777777" w:rsidR="009013CB" w:rsidRPr="0017699B" w:rsidRDefault="6E61D153" w:rsidP="003E5582">
            <w:pPr>
              <w:bidi/>
              <w:spacing w:before="60" w:after="60"/>
              <w:rPr>
                <w:rFonts w:eastAsiaTheme="minorEastAsia" w:cs="Calibri"/>
                <w:sz w:val="16"/>
                <w:szCs w:val="16"/>
                <w:rtl/>
              </w:rPr>
            </w:pPr>
            <w:r w:rsidRPr="0017699B">
              <w:rPr>
                <w:rFonts w:cs="Calibri" w:hint="cs"/>
                <w:sz w:val="16"/>
                <w:szCs w:val="16"/>
                <w:rtl/>
              </w:rPr>
              <w:t xml:space="preserve">تمت إعادة تصميم مخطط الحسابات لنظام </w:t>
            </w:r>
            <w:r w:rsidRPr="0017699B">
              <w:rPr>
                <w:rFonts w:cs="Calibri"/>
                <w:sz w:val="16"/>
                <w:szCs w:val="16"/>
              </w:rPr>
              <w:t>AIMS ERP</w:t>
            </w:r>
            <w:r w:rsidRPr="0017699B">
              <w:rPr>
                <w:rFonts w:cs="Calibri" w:hint="cs"/>
                <w:sz w:val="16"/>
                <w:szCs w:val="16"/>
                <w:rtl/>
              </w:rPr>
              <w:t xml:space="preserve"> الجديد، ويجري حالياً مراجعة هيكل شجرة الحسابات.</w:t>
            </w:r>
            <w:r w:rsidRPr="0017699B">
              <w:rPr>
                <w:rFonts w:cs="Calibri" w:hint="cs"/>
                <w:rtl/>
              </w:rPr>
              <w:t xml:space="preserve"> </w:t>
            </w:r>
          </w:p>
          <w:p w14:paraId="31CBABBB" w14:textId="5B1229A7" w:rsidR="00DA0057" w:rsidRPr="0017699B" w:rsidRDefault="6E61D153" w:rsidP="003E5582">
            <w:pPr>
              <w:bidi/>
              <w:spacing w:before="60" w:after="60"/>
              <w:rPr>
                <w:rFonts w:eastAsiaTheme="minorEastAsia" w:cs="Calibri"/>
                <w:sz w:val="16"/>
                <w:szCs w:val="16"/>
                <w:rtl/>
              </w:rPr>
            </w:pPr>
            <w:r w:rsidRPr="0017699B">
              <w:rPr>
                <w:rFonts w:cs="Calibri" w:hint="cs"/>
                <w:sz w:val="16"/>
                <w:szCs w:val="16"/>
                <w:rtl/>
              </w:rPr>
              <w:t>وتماشيًا مع الجدول الزمني لنظام إدارة المعلومات الإدارية المتكاملة لتخطيط موارد المؤسسات، تتوقع المنظمة العالمية للويبو الانتهاء من هذا الإجراء بحلول 31 ديسمبر/كانون الأول 2027. معايير الإغلاق هي نجاح اختبار قبول المستخدم لأتمتة إعداد التقارير المالية.</w:t>
            </w:r>
          </w:p>
        </w:tc>
        <w:tc>
          <w:tcPr>
            <w:tcW w:w="2126" w:type="dxa"/>
          </w:tcPr>
          <w:p w14:paraId="6D88060A" w14:textId="3115C1F6" w:rsidR="00DA0057" w:rsidRPr="0017699B" w:rsidRDefault="1663D17F" w:rsidP="003E5582">
            <w:pPr>
              <w:bidi/>
              <w:spacing w:before="60" w:after="60"/>
              <w:rPr>
                <w:rFonts w:cs="Calibri"/>
                <w:sz w:val="16"/>
                <w:szCs w:val="16"/>
                <w:rtl/>
              </w:rPr>
            </w:pPr>
            <w:r w:rsidRPr="0017699B">
              <w:rPr>
                <w:rFonts w:cs="Calibri" w:hint="cs"/>
                <w:sz w:val="16"/>
                <w:szCs w:val="16"/>
                <w:rtl/>
              </w:rPr>
              <w:t>نلاحظ التقدم المحرز في النظام الجديد لتخطيط موارد المؤسسات في نظام إدارة المعلومات الإدارية المتكامل، وسنقوم بمراجعة وضع اللمسات الأخيرة على النظام بعد نجاح اختبار قبول المستخدم لأتمتة إعداد التقارير المالية.</w:t>
            </w:r>
          </w:p>
        </w:tc>
        <w:tc>
          <w:tcPr>
            <w:tcW w:w="1703" w:type="dxa"/>
          </w:tcPr>
          <w:p w14:paraId="165C970F" w14:textId="63F97A6F" w:rsidR="00DA0057" w:rsidRPr="0017699B" w:rsidRDefault="6E61D153" w:rsidP="003E5582">
            <w:pPr>
              <w:bidi/>
              <w:spacing w:before="60" w:after="60"/>
              <w:rPr>
                <w:rFonts w:cs="Calibri"/>
                <w:sz w:val="16"/>
                <w:szCs w:val="16"/>
                <w:rtl/>
              </w:rPr>
            </w:pPr>
            <w:r w:rsidRPr="0017699B">
              <w:rPr>
                <w:rFonts w:cs="Calibri" w:hint="cs"/>
                <w:sz w:val="16"/>
                <w:szCs w:val="16"/>
                <w:rtl/>
              </w:rPr>
              <w:t>قيد التنفيذ</w:t>
            </w:r>
          </w:p>
        </w:tc>
      </w:tr>
      <w:tr w:rsidR="00DA0057" w:rsidRPr="0017699B" w14:paraId="2C87A33B" w14:textId="77777777" w:rsidTr="66DE4C64">
        <w:trPr>
          <w:jc w:val="center"/>
        </w:trPr>
        <w:tc>
          <w:tcPr>
            <w:tcW w:w="988" w:type="dxa"/>
          </w:tcPr>
          <w:p w14:paraId="3DFF2902" w14:textId="561531D5" w:rsidR="00DA0057" w:rsidRPr="0017699B" w:rsidRDefault="003E5582" w:rsidP="003E5582">
            <w:pPr>
              <w:bidi/>
              <w:spacing w:before="60" w:after="60"/>
              <w:rPr>
                <w:rFonts w:cs="Calibri"/>
                <w:sz w:val="16"/>
                <w:szCs w:val="16"/>
                <w:rtl/>
              </w:rPr>
            </w:pPr>
            <w:r w:rsidRPr="0017699B">
              <w:rPr>
                <w:rFonts w:cs="Calibri" w:hint="cs"/>
                <w:sz w:val="16"/>
                <w:szCs w:val="16"/>
                <w:rtl/>
              </w:rPr>
              <w:t>2024</w:t>
            </w:r>
          </w:p>
        </w:tc>
        <w:tc>
          <w:tcPr>
            <w:tcW w:w="1701" w:type="dxa"/>
          </w:tcPr>
          <w:p w14:paraId="00D4FD2F" w14:textId="44771F1C" w:rsidR="00DA0057" w:rsidRPr="0017699B" w:rsidRDefault="75790B23" w:rsidP="003E5582">
            <w:pPr>
              <w:bidi/>
              <w:spacing w:before="60" w:after="60"/>
              <w:rPr>
                <w:rFonts w:cs="Calibri"/>
                <w:sz w:val="16"/>
                <w:szCs w:val="16"/>
                <w:rtl/>
              </w:rPr>
            </w:pPr>
            <w:r w:rsidRPr="0017699B">
              <w:rPr>
                <w:rFonts w:cs="Calibri" w:hint="cs"/>
                <w:sz w:val="16"/>
                <w:szCs w:val="16"/>
                <w:rtl/>
              </w:rPr>
              <w:t xml:space="preserve">2024، الفقرات من 37 إلى 40، التوصية رقم 2 - </w:t>
            </w:r>
            <w:r w:rsidRPr="0017699B">
              <w:rPr>
                <w:rFonts w:cs="Calibri"/>
                <w:sz w:val="16"/>
                <w:szCs w:val="16"/>
              </w:rPr>
              <w:t>FA</w:t>
            </w:r>
          </w:p>
        </w:tc>
        <w:tc>
          <w:tcPr>
            <w:tcW w:w="2852" w:type="dxa"/>
          </w:tcPr>
          <w:p w14:paraId="23E0395D" w14:textId="25173B1A" w:rsidR="00CB22B6" w:rsidRPr="0017699B" w:rsidRDefault="007C1124" w:rsidP="003E5582">
            <w:pPr>
              <w:bidi/>
              <w:spacing w:before="60" w:after="60"/>
              <w:rPr>
                <w:rFonts w:cs="Calibri"/>
                <w:b/>
                <w:bCs/>
                <w:sz w:val="16"/>
                <w:szCs w:val="16"/>
                <w:rtl/>
              </w:rPr>
            </w:pPr>
            <w:bookmarkStart w:id="210" w:name="_Toc197377497"/>
            <w:r w:rsidRPr="0017699B">
              <w:rPr>
                <w:rFonts w:cs="Calibri" w:hint="cs"/>
                <w:b/>
                <w:bCs/>
                <w:sz w:val="16"/>
                <w:szCs w:val="16"/>
                <w:rtl/>
              </w:rPr>
              <w:t>تحسين السياسة المحاسبية الحاكمة لرسوم نظام مدريد</w:t>
            </w:r>
            <w:bookmarkEnd w:id="210"/>
          </w:p>
          <w:p w14:paraId="2DC40F46" w14:textId="76E6E85B" w:rsidR="00637841" w:rsidRPr="0017699B" w:rsidRDefault="00637841" w:rsidP="003E5582">
            <w:pPr>
              <w:spacing w:before="60" w:after="60"/>
              <w:rPr>
                <w:rFonts w:cs="Calibri"/>
                <w:b/>
                <w:bCs/>
                <w:sz w:val="16"/>
                <w:szCs w:val="16"/>
              </w:rPr>
            </w:pPr>
          </w:p>
          <w:p w14:paraId="5D598777" w14:textId="77777777" w:rsidR="004828B6" w:rsidRPr="0017699B" w:rsidRDefault="65A1077D" w:rsidP="003E5582">
            <w:pPr>
              <w:pStyle w:val="font-claude-response-body"/>
              <w:bidi/>
              <w:spacing w:before="60" w:beforeAutospacing="0" w:after="60" w:afterAutospacing="0"/>
              <w:rPr>
                <w:rFonts w:ascii="Arial" w:eastAsiaTheme="minorEastAsia" w:hAnsi="Arial" w:cs="Calibri"/>
                <w:sz w:val="16"/>
                <w:szCs w:val="16"/>
                <w:rtl/>
              </w:rPr>
            </w:pPr>
            <w:r w:rsidRPr="0017699B">
              <w:rPr>
                <w:rFonts w:ascii="Arial" w:hAnsi="Arial" w:cs="Calibri" w:hint="cs"/>
                <w:sz w:val="16"/>
                <w:szCs w:val="16"/>
                <w:rtl/>
              </w:rPr>
              <w:t>استعرض مكتب مراجعة الحسابات واستعراض الأداء توجيهات السياسة التفصيلية للمنظمة بشأن رسوم نظام مدريد، ولاحظ أنه في حين أنه يتناول المقبوضات المدفوعة مقدما، فإنه يفتقر إلى توجيهات رسمية بشأن التحويلات المستحقة الدفع والحسابات الجارية، التي ترتبط ارتباطا وثيقا بعملية محاسبة الإيرادات. ومن خلال المناقشات مع الإدارة، حددت إدارة عمليات حفظ السلام عدة ممارسات محاسبية راسخة ولكنها غير موثقة في هذه المجالات، بما في ذلك معاملة المدفوعات المسبقة الموجهة من خلال الحسابات الجارية، والحسابات الجارية المخصصة، ومنهجيات تقدير المقبوضات المسبقة والتحويلات الدائنة، وتصنيف بنود البيانات المالية، وتسويات نهاية السنة.</w:t>
            </w:r>
          </w:p>
          <w:p w14:paraId="136CD4A3" w14:textId="15884C1B" w:rsidR="004828B6" w:rsidRPr="0017699B" w:rsidRDefault="65A1077D" w:rsidP="003E5582">
            <w:pPr>
              <w:bidi/>
              <w:spacing w:before="60" w:after="60"/>
              <w:rPr>
                <w:rFonts w:cs="Calibri"/>
                <w:sz w:val="16"/>
                <w:szCs w:val="16"/>
                <w:rtl/>
              </w:rPr>
            </w:pPr>
            <w:r w:rsidRPr="0017699B">
              <w:rPr>
                <w:rFonts w:cs="Calibri" w:hint="cs"/>
                <w:sz w:val="16"/>
                <w:szCs w:val="16"/>
                <w:rtl/>
              </w:rPr>
              <w:t>وترى إدارة عمليات حفظ السلام أن إدماج هذه الممارسات الراسخة في توجيهات السياسة الرسمية من شأنه أن يعزز الوضوح والاتساق والشفافية في إعداد التقارير المالية. وقد أقرت الإدارة بهذه الفجوة وأشارت إلى أن المنظمة تعكف حاليا على وضع توجيهات مفصلة محدثة للسياسة العامة بشأن الاعتراف برسوم نظام مدريد كجزء من تنفيذ المعيار 47 من المعايير المحاسبية الدولية للقطاع العام، الذي من المتوقع أن يعالج هذه الممارسات رسميا.</w:t>
            </w:r>
          </w:p>
          <w:p w14:paraId="0601A42F" w14:textId="77777777" w:rsidR="00DA0057" w:rsidRPr="0017699B" w:rsidRDefault="00DA0057" w:rsidP="003E5582">
            <w:pPr>
              <w:spacing w:before="60" w:after="60"/>
              <w:rPr>
                <w:rFonts w:cs="Calibri"/>
                <w:b/>
                <w:bCs/>
                <w:sz w:val="16"/>
                <w:szCs w:val="16"/>
              </w:rPr>
            </w:pPr>
          </w:p>
        </w:tc>
        <w:tc>
          <w:tcPr>
            <w:tcW w:w="1788" w:type="dxa"/>
          </w:tcPr>
          <w:p w14:paraId="080443B8" w14:textId="56D3CBC0" w:rsidR="00DA0057" w:rsidRPr="0017699B" w:rsidRDefault="75790B23" w:rsidP="003E5582">
            <w:pPr>
              <w:bidi/>
              <w:spacing w:before="60" w:after="60"/>
              <w:rPr>
                <w:rFonts w:cs="Calibri"/>
                <w:sz w:val="16"/>
                <w:szCs w:val="16"/>
                <w:rtl/>
              </w:rPr>
            </w:pPr>
            <w:r w:rsidRPr="0017699B">
              <w:rPr>
                <w:rFonts w:cs="Calibri" w:hint="cs"/>
                <w:sz w:val="16"/>
                <w:szCs w:val="16"/>
                <w:rtl/>
              </w:rPr>
              <w:t>يُوصي مجلس التدقيق في جمهورية إندونيسيا بأن تعمل المنظمة على تعزيز سياستها المحاسبية لمعالجة تصنيف الأرصدة المرتبطة برسوم نظام مدريد.</w:t>
            </w:r>
          </w:p>
        </w:tc>
        <w:tc>
          <w:tcPr>
            <w:tcW w:w="2159" w:type="dxa"/>
          </w:tcPr>
          <w:p w14:paraId="198BB0A1" w14:textId="77777777" w:rsidR="00CB22B6" w:rsidRPr="0017699B" w:rsidRDefault="75790B23" w:rsidP="003E5582">
            <w:pPr>
              <w:bidi/>
              <w:spacing w:before="60" w:after="60"/>
              <w:rPr>
                <w:rFonts w:cs="Calibri"/>
                <w:sz w:val="16"/>
                <w:szCs w:val="16"/>
                <w:rtl/>
              </w:rPr>
            </w:pPr>
            <w:r w:rsidRPr="0017699B">
              <w:rPr>
                <w:rFonts w:cs="Calibri" w:hint="cs"/>
                <w:sz w:val="16"/>
                <w:szCs w:val="16"/>
                <w:rtl/>
              </w:rPr>
              <w:t>توافق الإدارة على التوصية، وكجزء من الجهود المبذولة نحو تنفيذ المعايير المحاسبية الدولية للقطاع العام 47، تعمل المنظمة حالياً على إعداد إرشادات سياسة مفصلة محدثة بشأن الاعتراف برسوم نظام مدريد. وفي هذا الصدد، ستضمن الإدارة إعداد إرشادات محدثة تتناول أيضاً تصنيف الأرصدة ذات الصلة.</w:t>
            </w:r>
          </w:p>
          <w:p w14:paraId="26A6A200" w14:textId="1F03D99F" w:rsidR="00DA0057" w:rsidRPr="0017699B" w:rsidRDefault="75790B23" w:rsidP="003E5582">
            <w:pPr>
              <w:bidi/>
              <w:spacing w:before="60" w:after="60"/>
              <w:rPr>
                <w:rFonts w:cs="Calibri"/>
                <w:sz w:val="16"/>
                <w:szCs w:val="16"/>
                <w:rtl/>
              </w:rPr>
            </w:pPr>
            <w:r w:rsidRPr="0017699B">
              <w:rPr>
                <w:rFonts w:cs="Calibri" w:hint="cs"/>
                <w:sz w:val="16"/>
                <w:szCs w:val="16"/>
                <w:rtl/>
              </w:rPr>
              <w:t>ومن المتوقع الانتهاء من هذا الإجراء بحلول 30 سبتمبر 2025.</w:t>
            </w:r>
          </w:p>
        </w:tc>
        <w:tc>
          <w:tcPr>
            <w:tcW w:w="2273" w:type="dxa"/>
          </w:tcPr>
          <w:p w14:paraId="417006F5" w14:textId="77777777" w:rsidR="003F1E76" w:rsidRPr="0017699B" w:rsidRDefault="6A5CDCA0" w:rsidP="003E5582">
            <w:pPr>
              <w:bidi/>
              <w:spacing w:before="60" w:after="60"/>
              <w:rPr>
                <w:rFonts w:eastAsiaTheme="minorEastAsia" w:cs="Calibri"/>
                <w:sz w:val="16"/>
                <w:szCs w:val="16"/>
                <w:rtl/>
              </w:rPr>
            </w:pPr>
            <w:r w:rsidRPr="0017699B">
              <w:rPr>
                <w:rFonts w:cs="Calibri" w:hint="cs"/>
                <w:sz w:val="16"/>
                <w:szCs w:val="16"/>
                <w:rtl/>
              </w:rPr>
              <w:t>تم وضع توجيهات سياسة تفصيلية محدّثة لتنفيذ المعيار 47 من المعايير المحاسبية الدولية للقطاع العام.</w:t>
            </w:r>
            <w:r w:rsidRPr="0017699B">
              <w:rPr>
                <w:rFonts w:cs="Calibri" w:hint="cs"/>
                <w:rtl/>
              </w:rPr>
              <w:t xml:space="preserve"> </w:t>
            </w:r>
          </w:p>
          <w:p w14:paraId="61A19E64" w14:textId="5C6BEDD7" w:rsidR="00DA0057" w:rsidRPr="0017699B" w:rsidRDefault="6A5CDCA0" w:rsidP="003E5582">
            <w:pPr>
              <w:bidi/>
              <w:spacing w:before="60" w:after="60"/>
              <w:rPr>
                <w:rFonts w:eastAsiaTheme="minorEastAsia" w:cs="Calibri"/>
                <w:sz w:val="16"/>
                <w:szCs w:val="16"/>
                <w:rtl/>
              </w:rPr>
            </w:pPr>
            <w:r w:rsidRPr="0017699B">
              <w:rPr>
                <w:rFonts w:cs="Calibri" w:hint="cs"/>
                <w:sz w:val="16"/>
                <w:szCs w:val="16"/>
                <w:rtl/>
              </w:rPr>
              <w:t>تعتبر الإدارة أن هذه التوصية قد نُفذت بالكامل وتفي بمعايير الإغلاق.</w:t>
            </w:r>
          </w:p>
        </w:tc>
        <w:tc>
          <w:tcPr>
            <w:tcW w:w="2126" w:type="dxa"/>
          </w:tcPr>
          <w:p w14:paraId="10463DD2" w14:textId="5E0BDB1C" w:rsidR="00DA0057" w:rsidRPr="0017699B" w:rsidRDefault="0F7AB95D" w:rsidP="003E5582">
            <w:pPr>
              <w:bidi/>
              <w:spacing w:before="60" w:after="60"/>
              <w:rPr>
                <w:rFonts w:cs="Calibri"/>
                <w:sz w:val="16"/>
                <w:szCs w:val="16"/>
                <w:rtl/>
              </w:rPr>
            </w:pPr>
            <w:r w:rsidRPr="0017699B">
              <w:rPr>
                <w:rFonts w:cs="Calibri" w:hint="cs"/>
                <w:sz w:val="16"/>
                <w:szCs w:val="16"/>
                <w:rtl/>
              </w:rPr>
              <w:t>نظرًا لأنه تم وضع توجيهات السياسة التفصيلية، فإننا نعتبر أن هذه التوصية قد تم تنفيذها. </w:t>
            </w:r>
          </w:p>
        </w:tc>
        <w:tc>
          <w:tcPr>
            <w:tcW w:w="1703" w:type="dxa"/>
          </w:tcPr>
          <w:p w14:paraId="71BE4C72" w14:textId="4A411A9D" w:rsidR="00DA0057" w:rsidRPr="0017699B" w:rsidRDefault="001C5D05" w:rsidP="003E5582">
            <w:pPr>
              <w:bidi/>
              <w:spacing w:before="60" w:after="60"/>
              <w:rPr>
                <w:rFonts w:cs="Calibri"/>
                <w:sz w:val="16"/>
                <w:szCs w:val="16"/>
                <w:rtl/>
              </w:rPr>
            </w:pPr>
            <w:r w:rsidRPr="0017699B">
              <w:rPr>
                <w:rFonts w:cs="Calibri" w:hint="cs"/>
                <w:sz w:val="16"/>
                <w:szCs w:val="16"/>
                <w:rtl/>
              </w:rPr>
              <w:t>نُفِّذت</w:t>
            </w:r>
          </w:p>
        </w:tc>
      </w:tr>
      <w:tr w:rsidR="00DA0057" w:rsidRPr="0017699B" w14:paraId="3AF5794A" w14:textId="77777777" w:rsidTr="66DE4C64">
        <w:trPr>
          <w:jc w:val="center"/>
        </w:trPr>
        <w:tc>
          <w:tcPr>
            <w:tcW w:w="988" w:type="dxa"/>
          </w:tcPr>
          <w:p w14:paraId="6A8DE4F9" w14:textId="7C14D212" w:rsidR="00DA0057" w:rsidRPr="0017699B" w:rsidRDefault="003E5582" w:rsidP="003E5582">
            <w:pPr>
              <w:bidi/>
              <w:spacing w:before="60" w:after="60"/>
              <w:rPr>
                <w:rFonts w:cs="Calibri"/>
                <w:sz w:val="16"/>
                <w:szCs w:val="16"/>
                <w:rtl/>
              </w:rPr>
            </w:pPr>
            <w:r w:rsidRPr="0017699B">
              <w:rPr>
                <w:rFonts w:cs="Calibri" w:hint="cs"/>
                <w:sz w:val="16"/>
                <w:szCs w:val="16"/>
                <w:rtl/>
              </w:rPr>
              <w:t>2024</w:t>
            </w:r>
          </w:p>
        </w:tc>
        <w:tc>
          <w:tcPr>
            <w:tcW w:w="1701" w:type="dxa"/>
          </w:tcPr>
          <w:p w14:paraId="60961CCA" w14:textId="5DF3AACA" w:rsidR="00DA0057" w:rsidRPr="0017699B" w:rsidRDefault="75790B23" w:rsidP="003E5582">
            <w:pPr>
              <w:bidi/>
              <w:spacing w:before="60" w:after="60"/>
              <w:rPr>
                <w:rFonts w:cs="Calibri"/>
                <w:sz w:val="16"/>
                <w:szCs w:val="16"/>
                <w:rtl/>
              </w:rPr>
            </w:pPr>
            <w:r w:rsidRPr="0017699B">
              <w:rPr>
                <w:rFonts w:cs="Calibri" w:hint="cs"/>
                <w:sz w:val="16"/>
                <w:szCs w:val="16"/>
                <w:rtl/>
              </w:rPr>
              <w:t xml:space="preserve">2024، الفقرات من 41 إلى 46، التوصية رقم 3 - </w:t>
            </w:r>
            <w:r w:rsidRPr="0017699B">
              <w:rPr>
                <w:rFonts w:cs="Calibri"/>
                <w:sz w:val="16"/>
                <w:szCs w:val="16"/>
              </w:rPr>
              <w:t>FA</w:t>
            </w:r>
          </w:p>
        </w:tc>
        <w:tc>
          <w:tcPr>
            <w:tcW w:w="2852" w:type="dxa"/>
          </w:tcPr>
          <w:p w14:paraId="474FC959" w14:textId="0136F35E" w:rsidR="00CB22B6" w:rsidRPr="0017699B" w:rsidRDefault="007C1124" w:rsidP="003E5582">
            <w:pPr>
              <w:bidi/>
              <w:spacing w:before="60" w:after="60"/>
              <w:rPr>
                <w:rFonts w:eastAsia="Times New Roman" w:cs="Calibri"/>
                <w:b/>
                <w:bCs/>
                <w:sz w:val="16"/>
                <w:szCs w:val="16"/>
                <w:rtl/>
              </w:rPr>
            </w:pPr>
            <w:bookmarkStart w:id="211" w:name="_Toc197377498"/>
            <w:r w:rsidRPr="0017699B">
              <w:rPr>
                <w:rFonts w:cs="Calibri" w:hint="cs"/>
                <w:b/>
                <w:bCs/>
                <w:sz w:val="16"/>
                <w:szCs w:val="16"/>
                <w:rtl/>
              </w:rPr>
              <w:t>معالجة الودائع غير المسوّاة للعلامات التجارية</w:t>
            </w:r>
            <w:bookmarkEnd w:id="211"/>
          </w:p>
          <w:p w14:paraId="342310C6" w14:textId="77777777" w:rsidR="007C1124" w:rsidRPr="0017699B" w:rsidRDefault="007C1124" w:rsidP="003E5582">
            <w:pPr>
              <w:spacing w:before="60" w:after="60"/>
              <w:rPr>
                <w:rFonts w:eastAsia="Times New Roman" w:cs="Calibri"/>
                <w:b/>
                <w:bCs/>
                <w:sz w:val="16"/>
                <w:szCs w:val="16"/>
                <w:lang w:eastAsia="id-ID"/>
              </w:rPr>
            </w:pPr>
          </w:p>
          <w:p w14:paraId="73D9182E" w14:textId="517CCFDF" w:rsidR="006008AF" w:rsidRPr="0017699B" w:rsidRDefault="43154421" w:rsidP="003E5582">
            <w:pPr>
              <w:pStyle w:val="font-claude-response-body"/>
              <w:bidi/>
              <w:spacing w:before="60" w:beforeAutospacing="0" w:after="60" w:afterAutospacing="0"/>
              <w:rPr>
                <w:rFonts w:ascii="Arial" w:hAnsi="Arial" w:cs="Calibri"/>
                <w:sz w:val="16"/>
                <w:szCs w:val="16"/>
                <w:rtl/>
              </w:rPr>
            </w:pPr>
            <w:r w:rsidRPr="0017699B">
              <w:rPr>
                <w:rFonts w:ascii="Arial" w:hAnsi="Arial" w:cs="Calibri" w:hint="cs"/>
                <w:sz w:val="16"/>
                <w:szCs w:val="16"/>
                <w:rtl/>
              </w:rPr>
              <w:t xml:space="preserve">يتطلب نظام مدريد، وهو إطار عمل الويبو الدولي لتسجيل العلامات التجارية الذي يعمل في أكثر من 130 دولة، التوفيق بين طلبات العلامات التجارية والمدفوعات المقابلة لها. لاحظ مجلس </w:t>
            </w:r>
            <w:r w:rsidRPr="0017699B">
              <w:rPr>
                <w:rFonts w:ascii="Arial" w:hAnsi="Arial" w:cs="Calibri"/>
                <w:sz w:val="16"/>
                <w:szCs w:val="16"/>
              </w:rPr>
              <w:t>BPK</w:t>
            </w:r>
            <w:r w:rsidRPr="0017699B">
              <w:rPr>
                <w:rFonts w:ascii="Arial" w:hAnsi="Arial" w:cs="Calibri" w:hint="cs"/>
                <w:sz w:val="16"/>
                <w:szCs w:val="16"/>
                <w:rtl/>
              </w:rPr>
              <w:t xml:space="preserve"> أن ثغرات التسوية أدت إلى تراكم الودائع غير المعترف بها، حيث بلغ إجمالي الودائع غير المعترف بها 5.9 مليون فرنك سويسري لم تتم تسويتها حتى 31 ديسمبر 2024، وتشمل ودائع تعود إلى عام 2012. بينما تحافظ المنظمة على سياسة ثابتة لشطب الودائع التي مضى عليها أكثر من ثلاث سنوات، فإن الحجم المتزايد للودائع غير المعترف بها يمثل عبئًا إداريًا متزايدًا، حيث تزداد صعوبة تسوية الودائع القديمة أو نسبتها إلى الجهات التي دفعتها.</w:t>
            </w:r>
          </w:p>
          <w:p w14:paraId="77A9F012" w14:textId="68F162DC" w:rsidR="006008AF" w:rsidRPr="0017699B" w:rsidRDefault="43154421" w:rsidP="003E5582">
            <w:pPr>
              <w:bidi/>
              <w:spacing w:before="60" w:after="60"/>
              <w:rPr>
                <w:rFonts w:eastAsia="Times New Roman" w:cs="Calibri"/>
                <w:sz w:val="16"/>
                <w:szCs w:val="16"/>
                <w:rtl/>
              </w:rPr>
            </w:pPr>
            <w:r w:rsidRPr="0017699B">
              <w:rPr>
                <w:rFonts w:cs="Calibri" w:hint="cs"/>
                <w:sz w:val="16"/>
                <w:szCs w:val="16"/>
                <w:rtl/>
              </w:rPr>
              <w:t>وقد أقرت الإدارة بهذه المشكلة ونفذت عدة مبادرات لمعالجتها، بما في ذلك تعيين موظفين مخصصين لتتبع العملاء المعنيين والاتصال بهم، بالإضافة إلى استخدام تحليلات البيانات لتحسين سجلات العملاء ومعلومات الاتصال بهم. علاوةً على ذلك، تعمل المنظمة حالياً على تطوير نظام جديد لتخطيط موارد المؤسسات (</w:t>
            </w:r>
            <w:r w:rsidRPr="0017699B">
              <w:rPr>
                <w:rFonts w:cs="Calibri"/>
                <w:sz w:val="16"/>
                <w:szCs w:val="16"/>
              </w:rPr>
              <w:t>ERP</w:t>
            </w:r>
            <w:r w:rsidRPr="0017699B">
              <w:rPr>
                <w:rFonts w:cs="Calibri" w:hint="cs"/>
                <w:sz w:val="16"/>
                <w:szCs w:val="16"/>
                <w:rtl/>
              </w:rPr>
              <w:t xml:space="preserve">) يتضمن قدرات مطابقة متقدمة وأرقاماً مرجعية فريدة وأدوات تعتمد على الذكاء الاصطناعي لتبسيط عمليات التسوية والاسترداد. </w:t>
            </w:r>
            <w:r w:rsidR="00AD0F26">
              <w:rPr>
                <w:rFonts w:cs="Calibri" w:hint="cs"/>
                <w:sz w:val="16"/>
                <w:szCs w:val="16"/>
                <w:rtl/>
              </w:rPr>
              <w:t>ي</w:t>
            </w:r>
            <w:r w:rsidRPr="0017699B">
              <w:rPr>
                <w:rFonts w:cs="Calibri" w:hint="cs"/>
                <w:sz w:val="16"/>
                <w:szCs w:val="16"/>
                <w:rtl/>
              </w:rPr>
              <w:t xml:space="preserve">شجع </w:t>
            </w:r>
            <w:r w:rsidRPr="0017699B">
              <w:rPr>
                <w:rFonts w:cs="Calibri"/>
                <w:sz w:val="16"/>
                <w:szCs w:val="16"/>
              </w:rPr>
              <w:t>BPK</w:t>
            </w:r>
            <w:r w:rsidRPr="0017699B">
              <w:rPr>
                <w:rFonts w:cs="Calibri" w:hint="cs"/>
                <w:sz w:val="16"/>
                <w:szCs w:val="16"/>
                <w:rtl/>
              </w:rPr>
              <w:t xml:space="preserve"> على مواصلة السعي وراء هذه المبادرات للحد بشكل فعال من تراكم الودائع غير المعترف بها وتعزيز الكفاءة العامة لعملية الاسترداد.</w:t>
            </w:r>
          </w:p>
          <w:p w14:paraId="79DB66A4" w14:textId="77777777" w:rsidR="00DA0057" w:rsidRPr="0017699B" w:rsidRDefault="00DA0057" w:rsidP="003E5582">
            <w:pPr>
              <w:spacing w:before="60" w:after="60"/>
              <w:rPr>
                <w:rFonts w:eastAsia="Times New Roman" w:cs="Calibri"/>
                <w:sz w:val="16"/>
                <w:szCs w:val="16"/>
                <w:lang w:eastAsia="id-ID"/>
              </w:rPr>
            </w:pPr>
          </w:p>
        </w:tc>
        <w:tc>
          <w:tcPr>
            <w:tcW w:w="1788" w:type="dxa"/>
          </w:tcPr>
          <w:p w14:paraId="70FDAC0B" w14:textId="02C7A881" w:rsidR="00DA0057" w:rsidRPr="0017699B" w:rsidRDefault="5F5C8B60" w:rsidP="003E5582">
            <w:pPr>
              <w:bidi/>
              <w:spacing w:before="60" w:after="60"/>
              <w:rPr>
                <w:rFonts w:cs="Calibri"/>
                <w:sz w:val="16"/>
                <w:szCs w:val="16"/>
                <w:rtl/>
              </w:rPr>
            </w:pPr>
            <w:r w:rsidRPr="0017699B">
              <w:rPr>
                <w:rFonts w:cs="Calibri" w:hint="cs"/>
                <w:sz w:val="16"/>
                <w:szCs w:val="16"/>
                <w:rtl/>
              </w:rPr>
              <w:t>يوصي مجلس التدقيق في جمهورية إندونيسيا بأن تقوم المنظمة بتطوير نظام وآلية للحد من تراكم ودائع العلامات التجارية المتأخرة، وضمان أن يتضمن نظام تخطيط موارد المؤسسة الجديد آلية تمنع تراكم أرصدة الودائع غير المعترف بها كلما أمكن ذلك.</w:t>
            </w:r>
          </w:p>
        </w:tc>
        <w:tc>
          <w:tcPr>
            <w:tcW w:w="2159" w:type="dxa"/>
          </w:tcPr>
          <w:p w14:paraId="38E70FA0" w14:textId="77777777" w:rsidR="00E709EA" w:rsidRPr="0017699B" w:rsidRDefault="5F5C8B60" w:rsidP="003E5582">
            <w:pPr>
              <w:bidi/>
              <w:spacing w:before="60" w:after="60"/>
              <w:rPr>
                <w:rFonts w:cs="Calibri"/>
                <w:sz w:val="16"/>
                <w:szCs w:val="16"/>
                <w:rtl/>
              </w:rPr>
            </w:pPr>
            <w:r w:rsidRPr="0017699B">
              <w:rPr>
                <w:rFonts w:cs="Calibri" w:hint="cs"/>
                <w:sz w:val="16"/>
                <w:szCs w:val="16"/>
                <w:rtl/>
              </w:rPr>
              <w:t>تتفق الإدارة مع التوصية، وفيما يتعلق بالتحسينات المستقبلية، تشارك الإدارة بنشاط في تصميم وتنفيذ العديد من الأنظمة الجديدة في المنظمة، بما في ذلك نظام تخطيط موارد المؤسسة الجديد، والتي من المتوقع أن تُعزّز عملية المطابقة وتحديد تفاصيل العملاء. وقد يتضمن التصميم النهائي والتنفيذ استخدام أرقام مرجعية فريدة لتيسير عملية المطابقة وتبسيط أي متطلبات محتملة لاسترداد المبالغ. وبالإضافة إلى ذلك، تتوقع الإدارة أن تستفيد هذه الأنظمة الجديدة من التكنولوجيات الحديثة مثل أدوات المطابقة والبحث المدعومة بالذكاء الاصطناعي، وذلك بهدف تحسين عمليات المطابقة واسترداد المدفوعات بشكل أكبر.</w:t>
            </w:r>
          </w:p>
          <w:p w14:paraId="4EBE159C" w14:textId="134F3A87" w:rsidR="00DA0057" w:rsidRPr="0017699B" w:rsidRDefault="5F5C8B60" w:rsidP="003E5582">
            <w:pPr>
              <w:bidi/>
              <w:spacing w:before="60" w:after="60"/>
              <w:rPr>
                <w:rFonts w:cs="Calibri"/>
                <w:sz w:val="16"/>
                <w:szCs w:val="16"/>
                <w:rtl/>
              </w:rPr>
            </w:pPr>
            <w:r w:rsidRPr="0017699B">
              <w:rPr>
                <w:rFonts w:cs="Calibri" w:hint="cs"/>
                <w:sz w:val="16"/>
                <w:szCs w:val="16"/>
                <w:rtl/>
              </w:rPr>
              <w:t>ومن المتوقع الانتهاء من هذا الإجراء بحلول 31 ديسمبر 2027، تماشياً مع الجدول الزمني لتنفيذ نظام تخطيط موارد المؤسسة الجديد.</w:t>
            </w:r>
          </w:p>
        </w:tc>
        <w:tc>
          <w:tcPr>
            <w:tcW w:w="2273" w:type="dxa"/>
          </w:tcPr>
          <w:p w14:paraId="40AE1D15" w14:textId="77777777" w:rsidR="008C6D02" w:rsidRPr="0017699B" w:rsidRDefault="5E737F7A" w:rsidP="003E5582">
            <w:pPr>
              <w:bidi/>
              <w:spacing w:before="60" w:after="60"/>
              <w:rPr>
                <w:rFonts w:cs="Calibri"/>
                <w:sz w:val="16"/>
                <w:szCs w:val="16"/>
                <w:rtl/>
              </w:rPr>
            </w:pPr>
            <w:r w:rsidRPr="0017699B">
              <w:rPr>
                <w:rFonts w:cs="Calibri" w:hint="cs"/>
                <w:sz w:val="16"/>
                <w:szCs w:val="16"/>
                <w:rtl/>
              </w:rPr>
              <w:t xml:space="preserve">وتشارك الإدارة بنشاط في تصميم وتنفيذ العديد من الأنظمة الجديدة، بما في ذلك النظام الجديد لتخطيط موارد المؤسسات </w:t>
            </w:r>
            <w:r w:rsidRPr="0017699B">
              <w:rPr>
                <w:rFonts w:cs="Calibri"/>
                <w:sz w:val="16"/>
                <w:szCs w:val="16"/>
              </w:rPr>
              <w:t>ERP</w:t>
            </w:r>
            <w:r w:rsidRPr="0017699B">
              <w:rPr>
                <w:rFonts w:cs="Calibri" w:hint="cs"/>
                <w:sz w:val="16"/>
                <w:szCs w:val="16"/>
                <w:rtl/>
              </w:rPr>
              <w:t>، والتي من المتوقع أن تعزز عملية المطابقة وتحديد تفاصيل العملاء. وقد يتضمن التصميم النهائي والتنفيذ استخدام أرقام مرجعية فريدة لتيسير عملية المطابقة وتبسيط أي متطلبات محتملة لاسترداد المبالغ. وبالإضافة إلى ذلك، تتوقع الإدارة أن تستفيد هذه الأنظمة الجديدة من التكنولوجيات الحديثة مثل أدوات المطابقة والبحث المدعومة بالذكاء الاصطناعي، وذلك بهدف تحسين عمليات المطابقة واسترداد المدفوعات بشكل أكبر.</w:t>
            </w:r>
          </w:p>
          <w:p w14:paraId="6D4FE600" w14:textId="77777777" w:rsidR="00DA0057" w:rsidRPr="0017699B" w:rsidRDefault="00DA0057" w:rsidP="003E5582">
            <w:pPr>
              <w:spacing w:before="60" w:after="60"/>
              <w:rPr>
                <w:rFonts w:eastAsiaTheme="minorEastAsia" w:cs="Calibri"/>
                <w:sz w:val="16"/>
                <w:szCs w:val="16"/>
              </w:rPr>
            </w:pPr>
          </w:p>
        </w:tc>
        <w:tc>
          <w:tcPr>
            <w:tcW w:w="2126" w:type="dxa"/>
          </w:tcPr>
          <w:p w14:paraId="2D377028" w14:textId="3EA6DD5D" w:rsidR="00DA0057" w:rsidRPr="0017699B" w:rsidRDefault="36AA6190" w:rsidP="003E5582">
            <w:pPr>
              <w:bidi/>
              <w:spacing w:before="60" w:after="60"/>
              <w:rPr>
                <w:rFonts w:cs="Calibri"/>
                <w:sz w:val="16"/>
                <w:szCs w:val="16"/>
                <w:rtl/>
              </w:rPr>
            </w:pPr>
            <w:r w:rsidRPr="0017699B">
              <w:rPr>
                <w:rFonts w:cs="Calibri" w:hint="cs"/>
                <w:sz w:val="16"/>
                <w:szCs w:val="16"/>
                <w:rtl/>
              </w:rPr>
              <w:t xml:space="preserve">نلاحظ التقدم المحرز في نظام </w:t>
            </w:r>
            <w:r w:rsidRPr="0017699B">
              <w:rPr>
                <w:rFonts w:cs="Calibri"/>
                <w:sz w:val="16"/>
                <w:szCs w:val="16"/>
              </w:rPr>
              <w:t>AIMS</w:t>
            </w:r>
            <w:r w:rsidRPr="0017699B">
              <w:rPr>
                <w:rFonts w:cs="Calibri" w:hint="cs"/>
                <w:sz w:val="16"/>
                <w:szCs w:val="16"/>
                <w:rtl/>
              </w:rPr>
              <w:t xml:space="preserve"> الجديد لتخطيط موارد المؤسسات </w:t>
            </w:r>
            <w:r w:rsidRPr="0017699B">
              <w:rPr>
                <w:rFonts w:cs="Calibri"/>
                <w:sz w:val="16"/>
                <w:szCs w:val="16"/>
              </w:rPr>
              <w:t>AIMS</w:t>
            </w:r>
            <w:r w:rsidRPr="0017699B">
              <w:rPr>
                <w:rFonts w:cs="Calibri" w:hint="cs"/>
                <w:sz w:val="16"/>
                <w:szCs w:val="16"/>
                <w:rtl/>
              </w:rPr>
              <w:t>، والذي يسعى إلى تعزيز عملية المطابقة وتحديد تفاصيل العملاء، وسنقوم بمراجعة وضع اللمسات الأخيرة على النظام بعد ذلك.</w:t>
            </w:r>
          </w:p>
        </w:tc>
        <w:tc>
          <w:tcPr>
            <w:tcW w:w="1703" w:type="dxa"/>
          </w:tcPr>
          <w:p w14:paraId="42D68692" w14:textId="4DF8C0ED" w:rsidR="00DA0057" w:rsidRPr="0017699B" w:rsidRDefault="5E737F7A" w:rsidP="003E5582">
            <w:pPr>
              <w:bidi/>
              <w:spacing w:before="60" w:after="60"/>
              <w:rPr>
                <w:rFonts w:cs="Calibri"/>
                <w:sz w:val="16"/>
                <w:szCs w:val="16"/>
                <w:rtl/>
              </w:rPr>
            </w:pPr>
            <w:r w:rsidRPr="0017699B">
              <w:rPr>
                <w:rFonts w:cs="Calibri" w:hint="cs"/>
                <w:sz w:val="16"/>
                <w:szCs w:val="16"/>
                <w:rtl/>
              </w:rPr>
              <w:t>قيد التنفيذ</w:t>
            </w:r>
          </w:p>
        </w:tc>
      </w:tr>
      <w:tr w:rsidR="00DA0057" w:rsidRPr="0017699B" w14:paraId="19C4813C" w14:textId="77777777" w:rsidTr="66DE4C64">
        <w:trPr>
          <w:jc w:val="center"/>
        </w:trPr>
        <w:tc>
          <w:tcPr>
            <w:tcW w:w="988" w:type="dxa"/>
          </w:tcPr>
          <w:p w14:paraId="699DC052" w14:textId="471E6BE1" w:rsidR="00DA0057" w:rsidRPr="0017699B" w:rsidRDefault="007C1124" w:rsidP="007C1124">
            <w:pPr>
              <w:bidi/>
              <w:spacing w:before="60" w:after="60"/>
              <w:rPr>
                <w:rFonts w:cs="Calibri"/>
                <w:sz w:val="16"/>
                <w:szCs w:val="16"/>
                <w:rtl/>
              </w:rPr>
            </w:pPr>
            <w:r w:rsidRPr="0017699B">
              <w:rPr>
                <w:rFonts w:cs="Calibri" w:hint="cs"/>
                <w:sz w:val="16"/>
                <w:szCs w:val="16"/>
                <w:rtl/>
              </w:rPr>
              <w:t>2024</w:t>
            </w:r>
          </w:p>
        </w:tc>
        <w:tc>
          <w:tcPr>
            <w:tcW w:w="1701" w:type="dxa"/>
          </w:tcPr>
          <w:p w14:paraId="63E7EEB7" w14:textId="01FB36AE" w:rsidR="00DA0057" w:rsidRPr="0017699B" w:rsidRDefault="5F5C8B60" w:rsidP="007C1124">
            <w:pPr>
              <w:bidi/>
              <w:spacing w:before="60" w:after="60"/>
              <w:rPr>
                <w:rFonts w:cs="Calibri"/>
                <w:sz w:val="16"/>
                <w:szCs w:val="16"/>
                <w:rtl/>
              </w:rPr>
            </w:pPr>
            <w:r w:rsidRPr="0017699B">
              <w:rPr>
                <w:rFonts w:cs="Calibri" w:hint="cs"/>
                <w:sz w:val="16"/>
                <w:szCs w:val="16"/>
                <w:rtl/>
              </w:rPr>
              <w:t>2024، الفقرات من 50 إلى 52، التوصية رقم 4 - مراجعة الأداء</w:t>
            </w:r>
          </w:p>
        </w:tc>
        <w:tc>
          <w:tcPr>
            <w:tcW w:w="2852" w:type="dxa"/>
          </w:tcPr>
          <w:p w14:paraId="734C6BD0" w14:textId="364CFB45" w:rsidR="00E709EA" w:rsidRPr="0017699B" w:rsidRDefault="007C1124" w:rsidP="007C1124">
            <w:pPr>
              <w:bidi/>
              <w:spacing w:before="60" w:after="60"/>
              <w:rPr>
                <w:rFonts w:eastAsia="Times New Roman" w:cs="Calibri"/>
                <w:b/>
                <w:bCs/>
                <w:sz w:val="16"/>
                <w:szCs w:val="16"/>
                <w:rtl/>
              </w:rPr>
            </w:pPr>
            <w:bookmarkStart w:id="212" w:name="_Toc197377502"/>
            <w:r w:rsidRPr="0017699B">
              <w:rPr>
                <w:rFonts w:cs="Calibri" w:hint="cs"/>
                <w:b/>
                <w:bCs/>
                <w:sz w:val="16"/>
                <w:szCs w:val="16"/>
                <w:rtl/>
              </w:rPr>
              <w:t>وضع إجراءات تشغيل موحدة موحدة لتنظيم اجتماعات هيئات صنع القرار والتفاوض في الويبو</w:t>
            </w:r>
            <w:bookmarkEnd w:id="212"/>
          </w:p>
          <w:p w14:paraId="5419FFF7" w14:textId="77777777" w:rsidR="007C1124" w:rsidRPr="0017699B" w:rsidRDefault="007C1124" w:rsidP="007C1124">
            <w:pPr>
              <w:spacing w:before="60" w:after="60"/>
              <w:rPr>
                <w:rFonts w:eastAsia="Times New Roman" w:cs="Calibri"/>
                <w:bCs/>
                <w:sz w:val="16"/>
                <w:szCs w:val="16"/>
                <w:lang w:eastAsia="id-ID"/>
              </w:rPr>
            </w:pPr>
          </w:p>
          <w:p w14:paraId="436CAB8A" w14:textId="77777777" w:rsidR="008D428C" w:rsidRPr="0017699B" w:rsidRDefault="0FCE5E3F" w:rsidP="007C1124">
            <w:pPr>
              <w:bidi/>
              <w:spacing w:before="60" w:after="60"/>
              <w:rPr>
                <w:rFonts w:eastAsia="Times New Roman" w:cs="Calibri"/>
                <w:sz w:val="16"/>
                <w:szCs w:val="16"/>
                <w:rtl/>
              </w:rPr>
            </w:pPr>
            <w:r w:rsidRPr="0017699B">
              <w:rPr>
                <w:rFonts w:cs="Calibri" w:hint="cs"/>
                <w:sz w:val="16"/>
                <w:szCs w:val="16"/>
                <w:rtl/>
              </w:rPr>
              <w:t>وتقوم الويبو بتيسير عمل 18 هيئة متخصصة لصنع القرار والتفاوض، ومن المقرر عقد ما يقرب من 21 إلى 24 اجتماعًا سنويًا لفترة السنتين 2024/25. على الرغم من وجود إطار عمل منظم لتنسيق الاجتماعات ويمكن الوصول إليه من خلال الشبكة الداخلية للمنظمة، إلا أنه يعالج في المقام الأول الجوانب اللوجستية مثل الجدولة وإدارة المرافق والتسجيل. لم يتم حتى الآن وضع عملية شاملة ذات طابع رسمي تغطي دورة حياة الاجتماع بأكملها، بدءاً من التخطيط الأولي وحتى متابعة ما بعد الحدث. علاوة على ذلك، تتباين الأطر الإجرائية الحالية بشكل كبير بين الأقسام وتفتقر إلى أحكام لتدابير الطوارئ أثناء الاجتماعات، مع بقاء الأدوار متعددة الوظائف غير محددة بشكل كافٍ.</w:t>
            </w:r>
          </w:p>
          <w:p w14:paraId="7A8D087C" w14:textId="016441A0" w:rsidR="00DA0057" w:rsidRPr="0017699B" w:rsidRDefault="007C1124" w:rsidP="007C1124">
            <w:pPr>
              <w:bidi/>
              <w:spacing w:before="60" w:after="60"/>
              <w:rPr>
                <w:rFonts w:eastAsia="Times New Roman" w:cs="Calibri"/>
                <w:sz w:val="16"/>
                <w:szCs w:val="16"/>
                <w:rtl/>
              </w:rPr>
            </w:pPr>
            <w:r w:rsidRPr="0017699B">
              <w:rPr>
                <w:rFonts w:cs="Calibri" w:hint="cs"/>
                <w:sz w:val="16"/>
                <w:szCs w:val="16"/>
                <w:rtl/>
              </w:rPr>
              <w:t>و</w:t>
            </w:r>
            <w:r w:rsidR="00AD0F26">
              <w:rPr>
                <w:rFonts w:cs="Calibri" w:hint="cs"/>
                <w:sz w:val="16"/>
                <w:szCs w:val="16"/>
                <w:rtl/>
              </w:rPr>
              <w:t>ي</w:t>
            </w:r>
            <w:r w:rsidRPr="0017699B">
              <w:rPr>
                <w:rFonts w:cs="Calibri" w:hint="cs"/>
                <w:sz w:val="16"/>
                <w:szCs w:val="16"/>
                <w:rtl/>
              </w:rPr>
              <w:t xml:space="preserve">رى </w:t>
            </w:r>
            <w:r w:rsidRPr="0017699B">
              <w:rPr>
                <w:rFonts w:cs="Calibri"/>
                <w:sz w:val="16"/>
                <w:szCs w:val="16"/>
              </w:rPr>
              <w:t>BPK</w:t>
            </w:r>
            <w:r w:rsidRPr="0017699B">
              <w:rPr>
                <w:rFonts w:cs="Calibri" w:hint="cs"/>
                <w:sz w:val="16"/>
                <w:szCs w:val="16"/>
                <w:rtl/>
              </w:rPr>
              <w:t xml:space="preserve"> أن إنشاء إجراءات تشغيل موحدة موحدة (</w:t>
            </w:r>
            <w:r w:rsidRPr="0017699B">
              <w:rPr>
                <w:rFonts w:cs="Calibri"/>
                <w:sz w:val="16"/>
                <w:szCs w:val="16"/>
              </w:rPr>
              <w:t>SOP</w:t>
            </w:r>
            <w:r w:rsidRPr="0017699B">
              <w:rPr>
                <w:rFonts w:cs="Calibri" w:hint="cs"/>
                <w:sz w:val="16"/>
                <w:szCs w:val="16"/>
                <w:rtl/>
              </w:rPr>
              <w:t>) تتضمن أفضل الممارسات وتنسق بين العمليات المتباينة وتدمج أطر الإدارة اللوجستية في جميع الأقسام ذات الصلة. من شأن مثل هذه الإجراءات التشغيلية الموحدة أن تعزز الاتساق التشغيلي وتحسن الكفاءة الإجرائية وتوفر مبادئ توجيهية واضحة لتنسيق الأحداث المستقبلية. وبالإضافة إلى ذلك، سيكون بمثابة أداة قيّمة لإدارة المعرفة، والحفاظ على الخبرة المؤسسية وضمان الاستمرارية في ممارسات المشاركة المتعددة الأطراف للمنظمة.</w:t>
            </w:r>
          </w:p>
          <w:p w14:paraId="53BDD605" w14:textId="7D7E8A50" w:rsidR="008D428C" w:rsidRPr="0017699B" w:rsidRDefault="008D428C" w:rsidP="007C1124">
            <w:pPr>
              <w:spacing w:before="60" w:after="60"/>
              <w:rPr>
                <w:rFonts w:eastAsia="Times New Roman" w:cs="Calibri"/>
                <w:sz w:val="16"/>
                <w:szCs w:val="16"/>
                <w:lang w:eastAsia="id-ID"/>
              </w:rPr>
            </w:pPr>
          </w:p>
        </w:tc>
        <w:tc>
          <w:tcPr>
            <w:tcW w:w="1788" w:type="dxa"/>
          </w:tcPr>
          <w:p w14:paraId="296E7DD4" w14:textId="74DDDD9B" w:rsidR="00E709EA" w:rsidRPr="0017699B" w:rsidRDefault="5F5C8B60" w:rsidP="007C1124">
            <w:pPr>
              <w:bidi/>
              <w:spacing w:before="60" w:after="60"/>
              <w:rPr>
                <w:rFonts w:cs="Calibri"/>
                <w:sz w:val="16"/>
                <w:szCs w:val="16"/>
                <w:rtl/>
              </w:rPr>
            </w:pPr>
            <w:r w:rsidRPr="0017699B">
              <w:rPr>
                <w:rFonts w:cs="Calibri" w:hint="cs"/>
                <w:sz w:val="16"/>
                <w:szCs w:val="16"/>
                <w:rtl/>
              </w:rPr>
              <w:t>يوصي مجلس التدقيق في جمهورية إندونيسيا بأن تقوم الأمانة العامة بوضع إجراء تشغيلي موحّد رسمي لتنسيق اجتماعات هيئات اتخاذ القرار والتفاوض. وينبغي أن يشمل هذا الإجراء إطاراً شاملاً يُغطي المراحل الرئيسية التالية، دون أن يقتصر عليها:</w:t>
            </w:r>
          </w:p>
          <w:p w14:paraId="0EDDFE44" w14:textId="77777777" w:rsidR="00E709EA" w:rsidRPr="0017699B" w:rsidRDefault="5F5C8B60" w:rsidP="007F267B">
            <w:pPr>
              <w:pStyle w:val="ListParagraph"/>
              <w:numPr>
                <w:ilvl w:val="1"/>
                <w:numId w:val="6"/>
              </w:numPr>
              <w:bidi/>
              <w:spacing w:before="60" w:after="60"/>
              <w:ind w:left="257" w:hanging="257"/>
              <w:contextualSpacing w:val="0"/>
              <w:rPr>
                <w:rFonts w:cs="Calibri"/>
                <w:sz w:val="16"/>
                <w:szCs w:val="16"/>
                <w:rtl/>
              </w:rPr>
            </w:pPr>
            <w:r w:rsidRPr="0017699B">
              <w:rPr>
                <w:rFonts w:cs="Calibri" w:hint="cs"/>
                <w:sz w:val="16"/>
                <w:szCs w:val="16"/>
                <w:rtl/>
              </w:rPr>
              <w:t>التخطيط ما قبل الاجتماع: يشمل التحضيرات اللوجستية، وصياغة جدول الأعمال، وتوزيع الأدوار (مع تعيين واضح للمسؤوليات وبروتوكولات التعاون بين الإدارات).</w:t>
            </w:r>
          </w:p>
          <w:p w14:paraId="1FD4BD31" w14:textId="77777777" w:rsidR="00E709EA" w:rsidRPr="0017699B" w:rsidRDefault="5F5C8B60" w:rsidP="007F267B">
            <w:pPr>
              <w:pStyle w:val="ListParagraph"/>
              <w:numPr>
                <w:ilvl w:val="1"/>
                <w:numId w:val="6"/>
              </w:numPr>
              <w:bidi/>
              <w:spacing w:before="60" w:after="60"/>
              <w:ind w:left="257" w:hanging="257"/>
              <w:contextualSpacing w:val="0"/>
              <w:rPr>
                <w:rFonts w:cs="Calibri"/>
                <w:sz w:val="16"/>
                <w:szCs w:val="16"/>
                <w:rtl/>
              </w:rPr>
            </w:pPr>
            <w:r w:rsidRPr="0017699B">
              <w:rPr>
                <w:rFonts w:cs="Calibri" w:hint="cs"/>
                <w:sz w:val="16"/>
                <w:szCs w:val="16"/>
                <w:rtl/>
              </w:rPr>
              <w:t>تنفيذ الاجتماع: يشمل الالتزام بخطط ما قبل الاجتماع، واستراتيجيات التخفيف من المخاطر، والتخطيط للطوارئ.</w:t>
            </w:r>
          </w:p>
          <w:p w14:paraId="34C85B1A" w14:textId="7FDEC266" w:rsidR="00DA0057" w:rsidRPr="0017699B" w:rsidRDefault="5F5C8B60" w:rsidP="007F267B">
            <w:pPr>
              <w:pStyle w:val="ListParagraph"/>
              <w:numPr>
                <w:ilvl w:val="1"/>
                <w:numId w:val="6"/>
              </w:numPr>
              <w:bidi/>
              <w:spacing w:before="60" w:after="60"/>
              <w:ind w:left="257" w:hanging="257"/>
              <w:contextualSpacing w:val="0"/>
              <w:rPr>
                <w:rFonts w:cs="Calibri"/>
                <w:sz w:val="16"/>
                <w:szCs w:val="16"/>
                <w:rtl/>
              </w:rPr>
            </w:pPr>
            <w:r w:rsidRPr="0017699B">
              <w:rPr>
                <w:rFonts w:cs="Calibri" w:hint="cs"/>
                <w:sz w:val="16"/>
                <w:szCs w:val="16"/>
                <w:rtl/>
              </w:rPr>
              <w:t>أنشطة ما بعد الاجتماع: تشمل تقييم الاجتماع وإجراءات المتابعة، واستكمال التوثيق، ونشر النتائج.</w:t>
            </w:r>
          </w:p>
        </w:tc>
        <w:tc>
          <w:tcPr>
            <w:tcW w:w="2159" w:type="dxa"/>
          </w:tcPr>
          <w:p w14:paraId="055BD3C2" w14:textId="6CCD37F9" w:rsidR="00DA0057" w:rsidRPr="0017699B" w:rsidRDefault="5F5C8B60" w:rsidP="007C1124">
            <w:pPr>
              <w:bidi/>
              <w:spacing w:before="60" w:after="60"/>
              <w:rPr>
                <w:rFonts w:cs="Calibri"/>
                <w:sz w:val="16"/>
                <w:szCs w:val="16"/>
                <w:rtl/>
              </w:rPr>
            </w:pPr>
            <w:r w:rsidRPr="0017699B">
              <w:rPr>
                <w:rFonts w:cs="Calibri" w:hint="cs"/>
                <w:sz w:val="16"/>
                <w:szCs w:val="16"/>
                <w:rtl/>
              </w:rPr>
              <w:t>توافق الإدارة على التوصية وتتوقع تنفيذها بحلول 31 ديسمبر 2026.</w:t>
            </w:r>
          </w:p>
        </w:tc>
        <w:tc>
          <w:tcPr>
            <w:tcW w:w="2273" w:type="dxa"/>
          </w:tcPr>
          <w:p w14:paraId="2ED76EC1" w14:textId="34216771" w:rsidR="00DA0057" w:rsidRPr="0017699B" w:rsidRDefault="5E737F7A" w:rsidP="007C1124">
            <w:pPr>
              <w:bidi/>
              <w:spacing w:before="60" w:after="60"/>
              <w:rPr>
                <w:rFonts w:eastAsiaTheme="minorEastAsia" w:cs="Calibri"/>
                <w:sz w:val="16"/>
                <w:szCs w:val="16"/>
                <w:rtl/>
              </w:rPr>
            </w:pPr>
            <w:r w:rsidRPr="0017699B">
              <w:rPr>
                <w:rFonts w:cs="Calibri" w:hint="cs"/>
                <w:sz w:val="16"/>
                <w:szCs w:val="16"/>
                <w:rtl/>
              </w:rPr>
              <w:t xml:space="preserve">بعد تنفيذ مشروع الأمانة الرقمية، بما في ذلك إطلاق أداة الويبو </w:t>
            </w:r>
            <w:r w:rsidRPr="0017699B">
              <w:rPr>
                <w:rFonts w:cs="Calibri"/>
                <w:sz w:val="16"/>
                <w:szCs w:val="16"/>
              </w:rPr>
              <w:t>Meet</w:t>
            </w:r>
            <w:r w:rsidRPr="0017699B">
              <w:rPr>
                <w:rFonts w:cs="Calibri" w:hint="cs"/>
                <w:sz w:val="16"/>
                <w:szCs w:val="16"/>
                <w:rtl/>
              </w:rPr>
              <w:t>، وإصدار إرشادات شاملة للمستخدمين، ونشر عمليات موحدة تغطي التخطيط السابق للاجتماعات وتنفيذ الاجتماعات ومتابعة ما بعد الاجتماعات، ترى الإدارة أن هذه التوصية قد نُفذت بالكامل وتفي بمعايير الإغلاق.</w:t>
            </w:r>
          </w:p>
        </w:tc>
        <w:tc>
          <w:tcPr>
            <w:tcW w:w="2126" w:type="dxa"/>
          </w:tcPr>
          <w:p w14:paraId="3FE5588E" w14:textId="598717FB" w:rsidR="00DA0057" w:rsidRPr="0017699B" w:rsidRDefault="6B74D41D" w:rsidP="007C1124">
            <w:pPr>
              <w:bidi/>
              <w:spacing w:before="60" w:after="60"/>
              <w:ind w:left="20" w:right="54"/>
              <w:rPr>
                <w:rFonts w:eastAsia="Arial" w:cs="Calibri"/>
                <w:sz w:val="16"/>
                <w:szCs w:val="16"/>
                <w:rtl/>
              </w:rPr>
            </w:pPr>
            <w:r w:rsidRPr="0017699B">
              <w:rPr>
                <w:rFonts w:cs="Calibri" w:hint="cs"/>
                <w:sz w:val="16"/>
                <w:szCs w:val="16"/>
                <w:rtl/>
              </w:rPr>
              <w:t xml:space="preserve">واستنادا إلى استعراض إجراءات المتابعة التي اتخذتها الأمانة العامة في إطار مشروع الأمانة الرقمية، بما في ذلك إطلاق أداة الويبو </w:t>
            </w:r>
            <w:r w:rsidRPr="0017699B">
              <w:rPr>
                <w:rFonts w:cs="Calibri"/>
                <w:sz w:val="16"/>
                <w:szCs w:val="16"/>
              </w:rPr>
              <w:t>Meet</w:t>
            </w:r>
            <w:r w:rsidRPr="0017699B">
              <w:rPr>
                <w:rFonts w:cs="Calibri" w:hint="cs"/>
                <w:sz w:val="16"/>
                <w:szCs w:val="16"/>
                <w:rtl/>
              </w:rPr>
              <w:t xml:space="preserve"> وإصدار دليل شامل للمستخدم، يلاحظ أن الإدارة اتخذت إجراءات مناسبة وفعالة لتنفيذ التوصية, مع تقديم الوثائق الداعمة التي توفر أدلة كافية وموثوقة على وجود إطار عمل منظم ومنتظم من النهاية إلى النهاية لتنسيق اجتماعات هيئات صنع القرار والتفاوض، وتشغيله.</w:t>
            </w:r>
          </w:p>
          <w:p w14:paraId="628B0F99" w14:textId="51D10462" w:rsidR="00DA0057" w:rsidRPr="0017699B" w:rsidRDefault="6B74D41D" w:rsidP="007C1124">
            <w:pPr>
              <w:bidi/>
              <w:spacing w:before="60" w:after="60"/>
              <w:ind w:left="20" w:right="54"/>
              <w:rPr>
                <w:rFonts w:eastAsia="Arial" w:cs="Calibri"/>
                <w:sz w:val="16"/>
                <w:szCs w:val="16"/>
                <w:rtl/>
              </w:rPr>
            </w:pPr>
            <w:r w:rsidRPr="0017699B">
              <w:rPr>
                <w:rFonts w:cs="Calibri" w:hint="cs"/>
                <w:rtl/>
              </w:rPr>
              <w:t xml:space="preserve"> </w:t>
            </w:r>
          </w:p>
          <w:p w14:paraId="19C09B36" w14:textId="0925D5D8" w:rsidR="00DA0057" w:rsidRPr="0017699B" w:rsidRDefault="6B74D41D" w:rsidP="007C1124">
            <w:pPr>
              <w:bidi/>
              <w:spacing w:before="60" w:after="60"/>
              <w:rPr>
                <w:rFonts w:eastAsia="Arial" w:cs="Calibri"/>
                <w:sz w:val="16"/>
                <w:szCs w:val="16"/>
                <w:rtl/>
              </w:rPr>
            </w:pPr>
            <w:r w:rsidRPr="0017699B">
              <w:rPr>
                <w:rFonts w:cs="Calibri" w:hint="cs"/>
                <w:sz w:val="16"/>
                <w:szCs w:val="16"/>
                <w:rtl/>
              </w:rPr>
              <w:t>وبناءً على ذلك، يخلص المدقق الخارجي إلى أن التوصية قد نُفِّذت بالكامل وتفي بمعايير الإغلاق.</w:t>
            </w:r>
          </w:p>
        </w:tc>
        <w:tc>
          <w:tcPr>
            <w:tcW w:w="1703" w:type="dxa"/>
          </w:tcPr>
          <w:p w14:paraId="0D0F29D5" w14:textId="4136AF72" w:rsidR="00DA0057" w:rsidRPr="0017699B" w:rsidRDefault="449BC0F7" w:rsidP="007C1124">
            <w:pPr>
              <w:bidi/>
              <w:spacing w:before="60" w:after="60"/>
              <w:rPr>
                <w:rFonts w:cs="Calibri"/>
                <w:sz w:val="16"/>
                <w:szCs w:val="16"/>
                <w:rtl/>
              </w:rPr>
            </w:pPr>
            <w:r w:rsidRPr="0017699B">
              <w:rPr>
                <w:rFonts w:cs="Calibri" w:hint="cs"/>
                <w:sz w:val="16"/>
                <w:szCs w:val="16"/>
                <w:rtl/>
              </w:rPr>
              <w:t>نُفِّذت</w:t>
            </w:r>
          </w:p>
        </w:tc>
      </w:tr>
      <w:tr w:rsidR="00DA0057" w:rsidRPr="0017699B" w14:paraId="5BF8C9F8" w14:textId="77777777" w:rsidTr="66DE4C64">
        <w:trPr>
          <w:jc w:val="center"/>
        </w:trPr>
        <w:tc>
          <w:tcPr>
            <w:tcW w:w="988" w:type="dxa"/>
          </w:tcPr>
          <w:p w14:paraId="229E9EC2" w14:textId="1A95A3F1" w:rsidR="00DA0057" w:rsidRPr="0017699B" w:rsidRDefault="007C1124" w:rsidP="007C1124">
            <w:pPr>
              <w:bidi/>
              <w:spacing w:before="60" w:after="60"/>
              <w:rPr>
                <w:rFonts w:cs="Calibri"/>
                <w:sz w:val="16"/>
                <w:szCs w:val="16"/>
                <w:rtl/>
              </w:rPr>
            </w:pPr>
            <w:r w:rsidRPr="0017699B">
              <w:rPr>
                <w:rFonts w:cs="Calibri" w:hint="cs"/>
                <w:sz w:val="16"/>
                <w:szCs w:val="16"/>
                <w:rtl/>
              </w:rPr>
              <w:t>2024</w:t>
            </w:r>
          </w:p>
        </w:tc>
        <w:tc>
          <w:tcPr>
            <w:tcW w:w="1701" w:type="dxa"/>
          </w:tcPr>
          <w:p w14:paraId="3A3D48A7" w14:textId="336C2D3E" w:rsidR="00DA0057" w:rsidRPr="0017699B" w:rsidRDefault="5F5C8B60" w:rsidP="007C1124">
            <w:pPr>
              <w:bidi/>
              <w:spacing w:before="60" w:after="60"/>
              <w:rPr>
                <w:rFonts w:cs="Calibri"/>
                <w:sz w:val="16"/>
                <w:szCs w:val="16"/>
                <w:rtl/>
              </w:rPr>
            </w:pPr>
            <w:r w:rsidRPr="0017699B">
              <w:rPr>
                <w:rFonts w:cs="Calibri" w:hint="cs"/>
                <w:sz w:val="16"/>
                <w:szCs w:val="16"/>
                <w:rtl/>
              </w:rPr>
              <w:t>2024، الفقرات من 53 إلى 58، التوصية رقم 5 (</w:t>
            </w:r>
            <w:r w:rsidRPr="0017699B">
              <w:rPr>
                <w:rFonts w:cs="Calibri"/>
                <w:sz w:val="16"/>
                <w:szCs w:val="16"/>
              </w:rPr>
              <w:t>PA)</w:t>
            </w:r>
          </w:p>
        </w:tc>
        <w:tc>
          <w:tcPr>
            <w:tcW w:w="2852" w:type="dxa"/>
          </w:tcPr>
          <w:p w14:paraId="02D642B4" w14:textId="1CF8A366" w:rsidR="00E709EA" w:rsidRPr="0017699B" w:rsidRDefault="007C1124" w:rsidP="007C1124">
            <w:pPr>
              <w:bidi/>
              <w:spacing w:before="100" w:beforeAutospacing="1" w:after="100" w:afterAutospacing="1"/>
              <w:rPr>
                <w:rFonts w:eastAsia="Times New Roman" w:cs="Calibri"/>
                <w:b/>
                <w:bCs/>
                <w:sz w:val="16"/>
                <w:szCs w:val="16"/>
                <w:rtl/>
              </w:rPr>
            </w:pPr>
            <w:bookmarkStart w:id="213" w:name="_Toc196159473"/>
            <w:bookmarkStart w:id="214" w:name="_Toc197377503"/>
            <w:r w:rsidRPr="0017699B">
              <w:rPr>
                <w:rFonts w:cs="Calibri" w:hint="cs"/>
                <w:b/>
                <w:bCs/>
                <w:sz w:val="16"/>
                <w:szCs w:val="16"/>
                <w:rtl/>
              </w:rPr>
              <w:t>تحسين صياغة واتساق مؤشرات الأداء الرئيسية لدى الويبو لقياس الأداء بشكل أفضل</w:t>
            </w:r>
            <w:bookmarkEnd w:id="213"/>
            <w:bookmarkEnd w:id="214"/>
          </w:p>
          <w:p w14:paraId="603EE892" w14:textId="77777777" w:rsidR="00670CCD" w:rsidRPr="0017699B" w:rsidRDefault="482DFE43" w:rsidP="007C1124">
            <w:pPr>
              <w:pStyle w:val="font-claude-response-body"/>
              <w:bidi/>
              <w:rPr>
                <w:rFonts w:ascii="Arial" w:hAnsi="Arial" w:cs="Calibri"/>
                <w:sz w:val="16"/>
                <w:szCs w:val="16"/>
                <w:rtl/>
              </w:rPr>
            </w:pPr>
            <w:r w:rsidRPr="0017699B">
              <w:rPr>
                <w:rFonts w:ascii="Arial" w:hAnsi="Arial" w:cs="Calibri" w:hint="cs"/>
                <w:sz w:val="16"/>
                <w:szCs w:val="16"/>
                <w:rtl/>
              </w:rPr>
              <w:t xml:space="preserve">تقوم عملية تخطيط البرامج في الويبو بتحويل ركائز الخطة الاستراتيجية المتوسطة الأجل إلى نتائج متوقعة ومؤشرات أداء رئيسية وخطوط أساس وأهداف وأنشطة وميزانيات مرتبطة بها. في حين تؤكد الوثائق التوجيهية لكل من فترتي السنتين 2022/23 و2024/25 على أهمية مؤشرات الأداء الرئيسية المحددة والقابلة للقياس والموجهة نحو تحقيق النتائج، إلا أن الصياغة الحالية لا تزال غير متسقة، حيث لا تزال بعض مؤشرات الأداء الرئيسية تقاس على مستوى المخرجات. يوصي مكتب إدارة الموارد البشرية بأن تتم صياغة مؤشرات الأداء الرئيسية على نحو أكثر اتساقًا، مع الالتزام بمبادئ </w:t>
            </w:r>
            <w:r w:rsidRPr="0017699B">
              <w:rPr>
                <w:rFonts w:ascii="Arial" w:hAnsi="Arial" w:cs="Calibri"/>
                <w:sz w:val="16"/>
                <w:szCs w:val="16"/>
              </w:rPr>
              <w:t>SMART</w:t>
            </w:r>
            <w:r w:rsidRPr="0017699B">
              <w:rPr>
                <w:rFonts w:ascii="Arial" w:hAnsi="Arial" w:cs="Calibri" w:hint="cs"/>
                <w:sz w:val="16"/>
                <w:szCs w:val="16"/>
                <w:rtl/>
              </w:rPr>
              <w:t xml:space="preserve"> وإدراج وسائل واضحة للتحقق، وذلك لتعزيز قدرة المنظمة على قياس الأداء بفعالية.</w:t>
            </w:r>
          </w:p>
          <w:p w14:paraId="38836088" w14:textId="0659CAC8" w:rsidR="00DA0057" w:rsidRPr="0017699B" w:rsidRDefault="482DFE43" w:rsidP="007C1124">
            <w:pPr>
              <w:pStyle w:val="font-claude-response-body"/>
              <w:bidi/>
              <w:rPr>
                <w:rFonts w:ascii="Arial" w:hAnsi="Arial" w:cs="Calibri"/>
                <w:sz w:val="16"/>
                <w:szCs w:val="16"/>
                <w:rtl/>
              </w:rPr>
            </w:pPr>
            <w:r w:rsidRPr="0017699B">
              <w:rPr>
                <w:rFonts w:ascii="Arial" w:hAnsi="Arial" w:cs="Calibri" w:hint="cs"/>
                <w:sz w:val="16"/>
                <w:szCs w:val="16"/>
                <w:rtl/>
              </w:rPr>
              <w:t>وعلاوة على ذلك، تحدد وثائق برنامج العمل والميزانية الروابط بين مؤشرات الأداء الرئيسية والقطاعات المساهمة؛ ومع ذلك، فإن بعض مؤشرات الأداء الرئيسية تُنسب إلى قطاع واحد فقط على الرغم من تلقيها مساهمات من قطاعات أخرى. و</w:t>
            </w:r>
            <w:r w:rsidR="00AD0F26">
              <w:rPr>
                <w:rFonts w:ascii="Arial" w:hAnsi="Arial" w:cs="Calibri" w:hint="cs"/>
                <w:sz w:val="16"/>
                <w:szCs w:val="16"/>
                <w:rtl/>
              </w:rPr>
              <w:t>ي</w:t>
            </w:r>
            <w:r w:rsidRPr="0017699B">
              <w:rPr>
                <w:rFonts w:ascii="Arial" w:hAnsi="Arial" w:cs="Calibri" w:hint="cs"/>
                <w:sz w:val="16"/>
                <w:szCs w:val="16"/>
                <w:rtl/>
              </w:rPr>
              <w:t xml:space="preserve">رى </w:t>
            </w:r>
            <w:r w:rsidRPr="0017699B">
              <w:rPr>
                <w:rFonts w:ascii="Arial" w:hAnsi="Arial" w:cs="Calibri"/>
                <w:sz w:val="16"/>
                <w:szCs w:val="16"/>
              </w:rPr>
              <w:t>BPK</w:t>
            </w:r>
            <w:r w:rsidRPr="0017699B">
              <w:rPr>
                <w:rFonts w:ascii="Arial" w:hAnsi="Arial" w:cs="Calibri" w:hint="cs"/>
                <w:sz w:val="16"/>
                <w:szCs w:val="16"/>
                <w:rtl/>
              </w:rPr>
              <w:t xml:space="preserve"> أن التحديد الصريح لجميع القطاعات المساهمة في مؤشر أداء رئيسي معين من شأنه أن يعزز الشفافية ويحسن رصد وتقييم أداء مؤشر الأداء الرئيسي على مستوى المنظمة.</w:t>
            </w:r>
          </w:p>
          <w:p w14:paraId="5C18EFC7" w14:textId="5DA90721" w:rsidR="007C1124" w:rsidRPr="0017699B" w:rsidRDefault="007C1124" w:rsidP="007C1124">
            <w:pPr>
              <w:pStyle w:val="font-claude-response-body"/>
              <w:rPr>
                <w:rFonts w:ascii="Arial" w:hAnsi="Arial" w:cs="Calibri"/>
                <w:sz w:val="16"/>
                <w:szCs w:val="16"/>
                <w:lang w:val="en-US"/>
              </w:rPr>
            </w:pPr>
          </w:p>
        </w:tc>
        <w:tc>
          <w:tcPr>
            <w:tcW w:w="1788" w:type="dxa"/>
          </w:tcPr>
          <w:p w14:paraId="54F805FE" w14:textId="77777777" w:rsidR="00E709EA" w:rsidRPr="0017699B" w:rsidRDefault="5F5C8B60" w:rsidP="007C1124">
            <w:pPr>
              <w:bidi/>
              <w:spacing w:before="60" w:after="60"/>
              <w:rPr>
                <w:rFonts w:cs="Calibri"/>
                <w:sz w:val="16"/>
                <w:szCs w:val="16"/>
                <w:rtl/>
              </w:rPr>
            </w:pPr>
            <w:r w:rsidRPr="0017699B">
              <w:rPr>
                <w:rFonts w:cs="Calibri" w:hint="cs"/>
                <w:sz w:val="16"/>
                <w:szCs w:val="16"/>
                <w:rtl/>
              </w:rPr>
              <w:t>يوصي مجلس التدقيق في جمهورية إندونيسيا بأن تقيّم المنظمة مؤشرات الأداء الرئيسية الحالية وأن تتخذ الإجراءات الآتية:</w:t>
            </w:r>
          </w:p>
          <w:p w14:paraId="58DA89F0" w14:textId="77777777" w:rsidR="00E709EA" w:rsidRPr="0017699B" w:rsidRDefault="5F5C8B60" w:rsidP="007F267B">
            <w:pPr>
              <w:pStyle w:val="ListParagraph"/>
              <w:numPr>
                <w:ilvl w:val="0"/>
                <w:numId w:val="7"/>
              </w:numPr>
              <w:bidi/>
              <w:spacing w:before="60" w:after="60"/>
              <w:ind w:left="310" w:hanging="333"/>
              <w:rPr>
                <w:rFonts w:cs="Calibri"/>
                <w:sz w:val="16"/>
                <w:szCs w:val="16"/>
                <w:rtl/>
              </w:rPr>
            </w:pPr>
            <w:r w:rsidRPr="0017699B">
              <w:rPr>
                <w:rFonts w:cs="Calibri" w:hint="cs"/>
                <w:sz w:val="16"/>
                <w:szCs w:val="16"/>
                <w:rtl/>
              </w:rPr>
              <w:t>صياغة مؤشرات الأداء الرئيسية، قدر الإمكان، على مستوى النتائج، مع ضمان وجود وسائل تحقق واضحة والالتزام بمبادئ سمارت.</w:t>
            </w:r>
          </w:p>
          <w:p w14:paraId="43B39F93" w14:textId="4608C0D5" w:rsidR="00DA0057" w:rsidRPr="0017699B" w:rsidRDefault="5F5C8B60" w:rsidP="007F267B">
            <w:pPr>
              <w:pStyle w:val="ListParagraph"/>
              <w:numPr>
                <w:ilvl w:val="0"/>
                <w:numId w:val="7"/>
              </w:numPr>
              <w:bidi/>
              <w:spacing w:before="60" w:after="60"/>
              <w:ind w:left="310" w:hanging="333"/>
              <w:rPr>
                <w:rFonts w:cs="Calibri"/>
                <w:sz w:val="16"/>
                <w:szCs w:val="16"/>
                <w:rtl/>
              </w:rPr>
            </w:pPr>
            <w:r w:rsidRPr="0017699B">
              <w:rPr>
                <w:rFonts w:cs="Calibri" w:hint="cs"/>
                <w:sz w:val="16"/>
                <w:szCs w:val="16"/>
                <w:rtl/>
              </w:rPr>
              <w:t>تحديد وعرض جميع القطاعات التي تسهم بوضوح في تحقيق مؤشرات الأداء الرئيسية، من أجل تعزيز عملية الرصد والتقييم.</w:t>
            </w:r>
          </w:p>
        </w:tc>
        <w:tc>
          <w:tcPr>
            <w:tcW w:w="2159" w:type="dxa"/>
          </w:tcPr>
          <w:p w14:paraId="55AC51B7" w14:textId="008A365E" w:rsidR="00E709EA" w:rsidRPr="0017699B" w:rsidRDefault="5F5C8B60" w:rsidP="007C1124">
            <w:pPr>
              <w:bidi/>
              <w:spacing w:before="60" w:after="60"/>
              <w:rPr>
                <w:rFonts w:cs="Calibri"/>
                <w:sz w:val="16"/>
                <w:szCs w:val="16"/>
                <w:rtl/>
              </w:rPr>
            </w:pPr>
            <w:r w:rsidRPr="0017699B">
              <w:rPr>
                <w:rFonts w:cs="Calibri" w:hint="cs"/>
                <w:sz w:val="16"/>
                <w:szCs w:val="16"/>
                <w:rtl/>
              </w:rPr>
              <w:t>توافق الإدارة على التوصية، مع ملاحظة أن مؤشرات الأداء الرئيسية في برنامج العمل والميزانية المتعلقة بعمليات أنظمة الملكية الفكرية العالمية هي مؤشرات على مستوى النواتج، ولا تشكل جزءاً من التوصية 5 أ.</w:t>
            </w:r>
            <w:r w:rsidRPr="0017699B">
              <w:rPr>
                <w:rFonts w:cs="Calibri" w:hint="cs"/>
                <w:rtl/>
              </w:rPr>
              <w:t xml:space="preserve"> </w:t>
            </w:r>
          </w:p>
          <w:p w14:paraId="5CFDB506" w14:textId="4EC7B438" w:rsidR="00DA0057" w:rsidRPr="0017699B" w:rsidRDefault="5F5C8B60" w:rsidP="007C1124">
            <w:pPr>
              <w:bidi/>
              <w:spacing w:before="60" w:after="60"/>
              <w:rPr>
                <w:rFonts w:cs="Calibri"/>
                <w:sz w:val="16"/>
                <w:szCs w:val="16"/>
                <w:rtl/>
              </w:rPr>
            </w:pPr>
            <w:r w:rsidRPr="0017699B">
              <w:rPr>
                <w:rFonts w:cs="Calibri" w:hint="cs"/>
                <w:sz w:val="16"/>
                <w:szCs w:val="16"/>
                <w:rtl/>
              </w:rPr>
              <w:t>ومن المتوقع أن تنفذ الإدارة التوصية بحلول 31 يوليو 2025.</w:t>
            </w:r>
          </w:p>
        </w:tc>
        <w:tc>
          <w:tcPr>
            <w:tcW w:w="2273" w:type="dxa"/>
          </w:tcPr>
          <w:p w14:paraId="0C16933B" w14:textId="123DB10B" w:rsidR="00DA0057" w:rsidRPr="0017699B" w:rsidRDefault="5E737F7A" w:rsidP="007C1124">
            <w:pPr>
              <w:bidi/>
              <w:spacing w:before="60" w:after="60"/>
              <w:rPr>
                <w:rFonts w:eastAsiaTheme="minorEastAsia" w:cs="Calibri"/>
                <w:sz w:val="16"/>
                <w:szCs w:val="16"/>
                <w:rtl/>
              </w:rPr>
            </w:pPr>
            <w:r w:rsidRPr="0017699B">
              <w:rPr>
                <w:rFonts w:cs="Calibri" w:hint="cs"/>
                <w:sz w:val="16"/>
                <w:szCs w:val="16"/>
                <w:rtl/>
              </w:rPr>
              <w:t>بعد الموافقة على مؤشرات األداء الرئيسية في برنامج عمل 2026/27 - حيث تم رفع مؤشرات األداء الرئيسية القابلة للتطبيق إلى مستوى النتائج - واعتماد شكل أوضح لتحديد القطاع، ترى اإلدارة أن هذه التوصية قد تم تنفيذها بالكامل وتفي بمعايير اإلغالق.</w:t>
            </w:r>
          </w:p>
        </w:tc>
        <w:tc>
          <w:tcPr>
            <w:tcW w:w="2126" w:type="dxa"/>
          </w:tcPr>
          <w:p w14:paraId="7BEFF73C" w14:textId="492E6557" w:rsidR="00DA0057" w:rsidRPr="0017699B" w:rsidRDefault="058BFF7B" w:rsidP="007C1124">
            <w:pPr>
              <w:bidi/>
              <w:spacing w:before="60" w:after="60"/>
              <w:ind w:left="57" w:right="57"/>
              <w:rPr>
                <w:rFonts w:eastAsia="Arial" w:cs="Calibri"/>
                <w:sz w:val="16"/>
                <w:szCs w:val="16"/>
                <w:rtl/>
              </w:rPr>
            </w:pPr>
            <w:r w:rsidRPr="0017699B">
              <w:rPr>
                <w:rFonts w:cs="Calibri" w:hint="cs"/>
                <w:sz w:val="16"/>
                <w:szCs w:val="16"/>
                <w:rtl/>
              </w:rPr>
              <w:t>استنادًا إلى استعراض برنامج العمل والميزانية للفترة 2026/27، والموافقة على مؤشرات الأداء الرئيسية التي تم رفعها إلى مستوى النتائج، واعتماد شكل أوضح لتحديد القطاعات، يلاحظ أن الإدارة اتخذت الإجراءات المناسبة لتنفيذ التوصية. توفر الوثائق الداعمة - بما في ذلك مصفوفة مؤشرات الأداء الرئيسية التي تثبت صياغة مؤشرات مستوى النتائج ووثيقة النظرة العامة التي تتضمن لقطات شاشة توضح تنفيذ التوصية - أدلة كافية وموثوقة.</w:t>
            </w:r>
          </w:p>
          <w:p w14:paraId="2B6A799E" w14:textId="606D44BA" w:rsidR="00DA0057" w:rsidRPr="0017699B" w:rsidRDefault="058BFF7B" w:rsidP="007C1124">
            <w:pPr>
              <w:bidi/>
              <w:spacing w:before="240" w:after="240"/>
              <w:rPr>
                <w:rFonts w:eastAsia="Arial" w:cs="Calibri"/>
                <w:sz w:val="16"/>
                <w:szCs w:val="16"/>
                <w:rtl/>
              </w:rPr>
            </w:pPr>
            <w:r w:rsidRPr="0017699B">
              <w:rPr>
                <w:rFonts w:cs="Calibri" w:hint="cs"/>
                <w:sz w:val="16"/>
                <w:szCs w:val="16"/>
                <w:rtl/>
              </w:rPr>
              <w:t>وبناءً على ذلك، يخلص المدقق الخارجي إلى أن التوصية قد نُفِّذت بالكامل وتفي بمعايير الإغلاق</w:t>
            </w:r>
          </w:p>
          <w:p w14:paraId="591AEF10" w14:textId="08F621CF" w:rsidR="00DA0057" w:rsidRPr="0017699B" w:rsidRDefault="00DA0057" w:rsidP="007C1124">
            <w:pPr>
              <w:spacing w:before="60" w:after="60"/>
              <w:rPr>
                <w:rFonts w:cs="Calibri"/>
                <w:sz w:val="16"/>
                <w:szCs w:val="16"/>
              </w:rPr>
            </w:pPr>
          </w:p>
        </w:tc>
        <w:tc>
          <w:tcPr>
            <w:tcW w:w="1703" w:type="dxa"/>
          </w:tcPr>
          <w:p w14:paraId="79520E3A" w14:textId="0C6BAF0E" w:rsidR="00DA0057" w:rsidRPr="0017699B" w:rsidRDefault="449BC0F7" w:rsidP="007C1124">
            <w:pPr>
              <w:bidi/>
              <w:spacing w:before="60" w:after="60"/>
              <w:rPr>
                <w:rFonts w:cs="Calibri"/>
                <w:sz w:val="16"/>
                <w:szCs w:val="16"/>
                <w:rtl/>
              </w:rPr>
            </w:pPr>
            <w:r w:rsidRPr="0017699B">
              <w:rPr>
                <w:rFonts w:cs="Calibri" w:hint="cs"/>
                <w:sz w:val="16"/>
                <w:szCs w:val="16"/>
                <w:rtl/>
              </w:rPr>
              <w:t>نُفِّذت</w:t>
            </w:r>
          </w:p>
        </w:tc>
      </w:tr>
      <w:tr w:rsidR="00E709EA" w:rsidRPr="0017699B" w14:paraId="5663B552" w14:textId="77777777" w:rsidTr="66DE4C64">
        <w:trPr>
          <w:jc w:val="center"/>
        </w:trPr>
        <w:tc>
          <w:tcPr>
            <w:tcW w:w="988" w:type="dxa"/>
          </w:tcPr>
          <w:p w14:paraId="218F87BA" w14:textId="6ADE5944" w:rsidR="00E709EA" w:rsidRPr="0017699B" w:rsidRDefault="007C1124" w:rsidP="007C1124">
            <w:pPr>
              <w:bidi/>
              <w:spacing w:before="60" w:after="60"/>
              <w:rPr>
                <w:rFonts w:cs="Calibri"/>
                <w:sz w:val="16"/>
                <w:szCs w:val="16"/>
                <w:rtl/>
              </w:rPr>
            </w:pPr>
            <w:r w:rsidRPr="0017699B">
              <w:rPr>
                <w:rFonts w:cs="Calibri" w:hint="cs"/>
                <w:sz w:val="16"/>
                <w:szCs w:val="16"/>
                <w:rtl/>
              </w:rPr>
              <w:t>2024</w:t>
            </w:r>
          </w:p>
        </w:tc>
        <w:tc>
          <w:tcPr>
            <w:tcW w:w="1701" w:type="dxa"/>
          </w:tcPr>
          <w:p w14:paraId="1A56B38E" w14:textId="6A082596" w:rsidR="00E709EA" w:rsidRPr="0017699B" w:rsidRDefault="5F5C8B60" w:rsidP="007C1124">
            <w:pPr>
              <w:bidi/>
              <w:spacing w:before="60" w:after="60"/>
              <w:rPr>
                <w:rFonts w:cs="Calibri"/>
                <w:sz w:val="16"/>
                <w:szCs w:val="16"/>
                <w:rtl/>
              </w:rPr>
            </w:pPr>
            <w:r w:rsidRPr="0017699B">
              <w:rPr>
                <w:rFonts w:cs="Calibri" w:hint="cs"/>
                <w:sz w:val="16"/>
                <w:szCs w:val="16"/>
                <w:rtl/>
              </w:rPr>
              <w:t>2024، الفقرات 59 إلى 63، التوصية رقم 6 - السلطة الفلسطينية</w:t>
            </w:r>
          </w:p>
        </w:tc>
        <w:tc>
          <w:tcPr>
            <w:tcW w:w="2852" w:type="dxa"/>
          </w:tcPr>
          <w:p w14:paraId="2EFAAB9E" w14:textId="41259314" w:rsidR="00E709EA" w:rsidRPr="0017699B" w:rsidRDefault="007C1124" w:rsidP="007C1124">
            <w:pPr>
              <w:bidi/>
              <w:spacing w:before="60" w:after="60"/>
              <w:rPr>
                <w:rFonts w:eastAsia="Times New Roman" w:cs="Calibri"/>
                <w:b/>
                <w:bCs/>
                <w:sz w:val="16"/>
                <w:szCs w:val="16"/>
                <w:rtl/>
              </w:rPr>
            </w:pPr>
            <w:bookmarkStart w:id="215" w:name="_Toc196159474"/>
            <w:bookmarkStart w:id="216" w:name="_Toc197377504"/>
            <w:r w:rsidRPr="0017699B">
              <w:rPr>
                <w:rFonts w:cs="Calibri" w:hint="cs"/>
                <w:b/>
                <w:bCs/>
                <w:sz w:val="16"/>
                <w:szCs w:val="16"/>
                <w:rtl/>
              </w:rPr>
              <w:t>تحسين تطبيق الترجمة الآلية في منشورات الويبو</w:t>
            </w:r>
            <w:bookmarkEnd w:id="215"/>
            <w:bookmarkEnd w:id="216"/>
          </w:p>
          <w:p w14:paraId="59884280" w14:textId="77777777" w:rsidR="007C1124" w:rsidRPr="0017699B" w:rsidRDefault="007C1124" w:rsidP="007C1124">
            <w:pPr>
              <w:spacing w:before="60" w:after="60"/>
              <w:rPr>
                <w:rFonts w:eastAsia="Times New Roman" w:cs="Calibri"/>
                <w:b/>
                <w:bCs/>
                <w:sz w:val="16"/>
                <w:szCs w:val="16"/>
                <w:lang w:eastAsia="id-ID"/>
              </w:rPr>
            </w:pPr>
          </w:p>
          <w:p w14:paraId="3EE5BDEF" w14:textId="77777777" w:rsidR="00670CCD" w:rsidRPr="0017699B" w:rsidRDefault="482DFE43" w:rsidP="007C1124">
            <w:pPr>
              <w:bidi/>
              <w:spacing w:before="60" w:after="60"/>
              <w:rPr>
                <w:rFonts w:eastAsia="Times New Roman" w:cs="Calibri"/>
                <w:sz w:val="16"/>
                <w:szCs w:val="16"/>
                <w:rtl/>
              </w:rPr>
            </w:pPr>
            <w:r w:rsidRPr="0017699B">
              <w:rPr>
                <w:rFonts w:cs="Calibri" w:hint="cs"/>
                <w:sz w:val="16"/>
                <w:szCs w:val="16"/>
                <w:rtl/>
              </w:rPr>
              <w:t>وتؤكد سياسة النشر وإطار الترجمة في الويبو على التزام المنظمة بالتعددية اللغوية ونشر معلومات الملكية الفكرية على الصعيد العالمي. تحدد استراتيجية المنظمة للترجمة، على النحو المبين في السياسة المنقحة بشأن اللغة، سيناريوهات محددة يمكن فيها تطبيق الترجمة الآلية. ومع ذلك، وعلى الرغم من توفر خدمة الترجمة الآلية في الويبو، إلا أن الترجمة الآلية لم تطبق بالكامل على جميع المنشورات المؤهلة على شبكة الإنترنت. مع إصدار حوالي 40 منشورًا سنويًا، قد تستغرق عملية الترجمة عدة أشهر حسب تعقيد المحتوى، مما يبرز الحاجة إلى أساليب أكثر كفاءة.</w:t>
            </w:r>
          </w:p>
          <w:p w14:paraId="42AD6933" w14:textId="1A67E13E" w:rsidR="00670CCD" w:rsidRPr="0017699B" w:rsidRDefault="482DFE43" w:rsidP="007C1124">
            <w:pPr>
              <w:bidi/>
              <w:spacing w:before="60" w:after="60"/>
              <w:rPr>
                <w:rFonts w:eastAsia="Times New Roman" w:cs="Calibri"/>
                <w:sz w:val="16"/>
                <w:szCs w:val="16"/>
                <w:rtl/>
              </w:rPr>
            </w:pPr>
            <w:r w:rsidRPr="0017699B">
              <w:rPr>
                <w:rFonts w:cs="Calibri" w:hint="cs"/>
                <w:sz w:val="16"/>
                <w:szCs w:val="16"/>
                <w:rtl/>
              </w:rPr>
              <w:t>وقد أظهر التجريب الناجح لأداة الترجمة الآلية السريعة على موقع الويبو تحسينات كبيرة في كفاءة الترجمة، مما أدى إلى تسريع إتاحة المحتوى متعدد اللغات وتوسيع نطاق الوصول إلى ما وراء لغات الأمم المتحدة الرسمية الست. يوصي المكتب بتوسيع نطاق تطبيق الترجمة الآلية ليشمل جميع فئات المنشورات المؤهلة، لأن ذلك من شأنه أن يعزز الكفاءة ويحسن الجودة ويسرع نشر معلومات الملكية الفكرية، مما يمكّن المنظمة في نهاية المطاف من الوصول إلى جمهور عالمي أوسع وخدمته بفعالية أكبر.</w:t>
            </w:r>
          </w:p>
          <w:p w14:paraId="0B32FEEB" w14:textId="77777777" w:rsidR="00E709EA" w:rsidRPr="0017699B" w:rsidRDefault="00E709EA" w:rsidP="007C1124">
            <w:pPr>
              <w:spacing w:before="60" w:after="60"/>
              <w:rPr>
                <w:rFonts w:eastAsia="Times New Roman" w:cs="Calibri"/>
                <w:sz w:val="16"/>
                <w:szCs w:val="16"/>
                <w:lang w:eastAsia="id-ID"/>
              </w:rPr>
            </w:pPr>
          </w:p>
        </w:tc>
        <w:tc>
          <w:tcPr>
            <w:tcW w:w="1788" w:type="dxa"/>
          </w:tcPr>
          <w:p w14:paraId="3E6A36EB" w14:textId="3BFECFBE" w:rsidR="00E709EA" w:rsidRPr="0017699B" w:rsidRDefault="5F5C8B60" w:rsidP="007C1124">
            <w:pPr>
              <w:bidi/>
              <w:spacing w:before="60" w:after="60"/>
              <w:rPr>
                <w:rFonts w:cs="Calibri"/>
                <w:sz w:val="16"/>
                <w:szCs w:val="16"/>
                <w:rtl/>
              </w:rPr>
            </w:pPr>
            <w:r w:rsidRPr="0017699B">
              <w:rPr>
                <w:rFonts w:cs="Calibri" w:hint="cs"/>
                <w:sz w:val="16"/>
                <w:szCs w:val="16"/>
                <w:rtl/>
              </w:rPr>
              <w:t>يوصي مجلس التدقيق في جمهورية إندونيسيا الأمانة بتوسيع استخدام الترجمة الآلية ليشمل جميع المنشورات التي تندرج ضمن المعايير المحددة في استراتيجية الترجمة.</w:t>
            </w:r>
          </w:p>
        </w:tc>
        <w:tc>
          <w:tcPr>
            <w:tcW w:w="2159" w:type="dxa"/>
          </w:tcPr>
          <w:p w14:paraId="28B88D4A" w14:textId="77777777" w:rsidR="00E709EA" w:rsidRPr="0017699B" w:rsidRDefault="5F5C8B60" w:rsidP="007C1124">
            <w:pPr>
              <w:bidi/>
              <w:spacing w:before="60" w:after="60"/>
              <w:rPr>
                <w:rFonts w:cs="Calibri"/>
                <w:sz w:val="16"/>
                <w:szCs w:val="16"/>
                <w:rtl/>
              </w:rPr>
            </w:pPr>
            <w:r w:rsidRPr="0017699B">
              <w:rPr>
                <w:rFonts w:cs="Calibri" w:hint="cs"/>
                <w:sz w:val="16"/>
                <w:szCs w:val="16"/>
                <w:rtl/>
              </w:rPr>
              <w:t>توافق الإدارة على التوصية، مشيرة إلى أن استخدام الترجمة الآلية يشهد زيادة تدريجية تماشياً مع تطور أدوات الترجمة ونضجها.</w:t>
            </w:r>
            <w:r w:rsidRPr="0017699B">
              <w:rPr>
                <w:rFonts w:cs="Calibri" w:hint="cs"/>
                <w:rtl/>
              </w:rPr>
              <w:t xml:space="preserve"> </w:t>
            </w:r>
          </w:p>
          <w:p w14:paraId="0BC99C08" w14:textId="4B11103F" w:rsidR="00E709EA" w:rsidRPr="0017699B" w:rsidRDefault="5F5C8B60" w:rsidP="007C1124">
            <w:pPr>
              <w:bidi/>
              <w:spacing w:before="60" w:after="60"/>
              <w:rPr>
                <w:rFonts w:cs="Calibri"/>
                <w:sz w:val="16"/>
                <w:szCs w:val="16"/>
                <w:rtl/>
              </w:rPr>
            </w:pPr>
            <w:r w:rsidRPr="0017699B">
              <w:rPr>
                <w:rFonts w:cs="Calibri" w:hint="cs"/>
                <w:sz w:val="16"/>
                <w:szCs w:val="16"/>
                <w:rtl/>
              </w:rPr>
              <w:t>ومن المتوقع أن تُنفذ الإدارة التوصية كاملة بحلول 31 ديسمبر 2026.</w:t>
            </w:r>
          </w:p>
        </w:tc>
        <w:tc>
          <w:tcPr>
            <w:tcW w:w="2273" w:type="dxa"/>
          </w:tcPr>
          <w:p w14:paraId="50739D65" w14:textId="7DBB53B4" w:rsidR="00E709EA" w:rsidRPr="0017699B" w:rsidRDefault="5E737F7A" w:rsidP="007C1124">
            <w:pPr>
              <w:bidi/>
              <w:spacing w:before="60" w:after="60"/>
              <w:rPr>
                <w:rFonts w:eastAsiaTheme="minorEastAsia" w:cs="Calibri"/>
                <w:sz w:val="16"/>
                <w:szCs w:val="16"/>
                <w:rtl/>
              </w:rPr>
            </w:pPr>
            <w:r w:rsidRPr="0017699B">
              <w:rPr>
                <w:rFonts w:cs="Calibri" w:hint="cs"/>
                <w:sz w:val="16"/>
                <w:szCs w:val="16"/>
                <w:rtl/>
              </w:rPr>
              <w:t>بعد النجاح في تجريب ونشر أداة الترجمة الآلية السريعة للمنشورات المؤهلة على شبكة الإنترنت، مدعومة بتدابير ضمان الجودة وإخلاء المسؤولية وآليات تعليقات المستخدمين بما يتماشى مع السياسة المنقحة بشأن اللغات، ترى الإدارة أن هذه التوصية قد نفذت بالكامل وتفي بمعايير الإغلاق.</w:t>
            </w:r>
          </w:p>
        </w:tc>
        <w:tc>
          <w:tcPr>
            <w:tcW w:w="2126" w:type="dxa"/>
          </w:tcPr>
          <w:p w14:paraId="27F89601" w14:textId="4B0C4552" w:rsidR="00E709EA" w:rsidRPr="0017699B" w:rsidRDefault="6E36B14A" w:rsidP="007C1124">
            <w:pPr>
              <w:bidi/>
              <w:spacing w:before="60" w:after="60"/>
              <w:ind w:left="57" w:right="57"/>
              <w:rPr>
                <w:rFonts w:eastAsia="Arial" w:cs="Calibri"/>
                <w:sz w:val="16"/>
                <w:szCs w:val="16"/>
                <w:rtl/>
              </w:rPr>
            </w:pPr>
            <w:r w:rsidRPr="0017699B">
              <w:rPr>
                <w:rFonts w:cs="Calibri" w:hint="cs"/>
                <w:sz w:val="16"/>
                <w:szCs w:val="16"/>
                <w:rtl/>
              </w:rPr>
              <w:t>استنادا إلى استعراض إجراءات المتابعة التي اتخذتها الأمانة العامة، بما في ذلك نشر أداة للترجمة الآلية على شبكة الإنترنت للمنشورات المؤهلة على شبكة الإنترنت وتطبيق تدابير ضمان الجودة بما يتماشى مع السياسة المنقحة للغات، يلاحظ أن الإدارة اتخذت إجراءات مناسبة وفعالة لتنفيذ التوصية. توفر الوثائق الداعمة أدلة كافية وموثوقة على أن الترجمة الآلية يتم تطبيقها بشكل منهجي على فئات المنشورات المؤهلة لتعزيز الكفاءة وسهولة الوصول.</w:t>
            </w:r>
          </w:p>
          <w:p w14:paraId="10F0DA8F" w14:textId="66DA8E2C" w:rsidR="00E709EA" w:rsidRPr="0017699B" w:rsidRDefault="6E36B14A" w:rsidP="007C1124">
            <w:pPr>
              <w:bidi/>
              <w:spacing w:before="60" w:after="60"/>
              <w:ind w:left="57" w:right="57"/>
              <w:rPr>
                <w:rFonts w:eastAsia="Arial" w:cs="Calibri"/>
                <w:sz w:val="16"/>
                <w:szCs w:val="16"/>
                <w:rtl/>
              </w:rPr>
            </w:pPr>
            <w:r w:rsidRPr="0017699B">
              <w:rPr>
                <w:rFonts w:cs="Calibri" w:hint="cs"/>
                <w:rtl/>
              </w:rPr>
              <w:t xml:space="preserve"> </w:t>
            </w:r>
          </w:p>
          <w:p w14:paraId="7E6A1842" w14:textId="132D81EF" w:rsidR="00E709EA" w:rsidRPr="0017699B" w:rsidRDefault="6E36B14A" w:rsidP="007C1124">
            <w:pPr>
              <w:bidi/>
              <w:spacing w:before="60" w:after="60"/>
              <w:rPr>
                <w:rFonts w:eastAsia="Arial" w:cs="Calibri"/>
                <w:sz w:val="16"/>
                <w:szCs w:val="16"/>
                <w:rtl/>
              </w:rPr>
            </w:pPr>
            <w:r w:rsidRPr="0017699B">
              <w:rPr>
                <w:rFonts w:cs="Calibri" w:hint="cs"/>
                <w:sz w:val="16"/>
                <w:szCs w:val="16"/>
                <w:rtl/>
              </w:rPr>
              <w:t>وبناءً على ذلك، يخلص المدقق الخارجي إلى أن التوصية قد نُفِّذت بالكامل وتفي بمعايير الإغلاق</w:t>
            </w:r>
          </w:p>
        </w:tc>
        <w:tc>
          <w:tcPr>
            <w:tcW w:w="1703" w:type="dxa"/>
          </w:tcPr>
          <w:p w14:paraId="4731A3BF" w14:textId="60CDEE2D" w:rsidR="00E709EA" w:rsidRPr="0017699B" w:rsidRDefault="449BC0F7" w:rsidP="007C1124">
            <w:pPr>
              <w:bidi/>
              <w:spacing w:before="60" w:after="60"/>
              <w:rPr>
                <w:rFonts w:cs="Calibri"/>
                <w:sz w:val="16"/>
                <w:szCs w:val="16"/>
                <w:rtl/>
              </w:rPr>
            </w:pPr>
            <w:r w:rsidRPr="0017699B">
              <w:rPr>
                <w:rFonts w:cs="Calibri" w:hint="cs"/>
                <w:sz w:val="16"/>
                <w:szCs w:val="16"/>
                <w:rtl/>
              </w:rPr>
              <w:t>نُفِّذت</w:t>
            </w:r>
          </w:p>
        </w:tc>
      </w:tr>
      <w:tr w:rsidR="00E709EA" w:rsidRPr="0017699B" w14:paraId="5D0855FC" w14:textId="77777777" w:rsidTr="66DE4C64">
        <w:trPr>
          <w:jc w:val="center"/>
        </w:trPr>
        <w:tc>
          <w:tcPr>
            <w:tcW w:w="988" w:type="dxa"/>
          </w:tcPr>
          <w:p w14:paraId="509F2EB2" w14:textId="15F44744" w:rsidR="00E709EA" w:rsidRPr="0017699B" w:rsidRDefault="007C1124" w:rsidP="007C1124">
            <w:pPr>
              <w:bidi/>
              <w:spacing w:before="60" w:after="60"/>
              <w:rPr>
                <w:rFonts w:cs="Calibri"/>
                <w:sz w:val="16"/>
                <w:szCs w:val="16"/>
                <w:rtl/>
              </w:rPr>
            </w:pPr>
            <w:r w:rsidRPr="0017699B">
              <w:rPr>
                <w:rFonts w:cs="Calibri" w:hint="cs"/>
                <w:sz w:val="16"/>
                <w:szCs w:val="16"/>
                <w:rtl/>
              </w:rPr>
              <w:t>2024</w:t>
            </w:r>
          </w:p>
        </w:tc>
        <w:tc>
          <w:tcPr>
            <w:tcW w:w="1701" w:type="dxa"/>
          </w:tcPr>
          <w:p w14:paraId="05CF548F" w14:textId="7B79E84E" w:rsidR="00E709EA" w:rsidRPr="0017699B" w:rsidRDefault="5F5C8B60" w:rsidP="007C1124">
            <w:pPr>
              <w:bidi/>
              <w:spacing w:before="60" w:after="60"/>
              <w:rPr>
                <w:rFonts w:cs="Calibri"/>
                <w:sz w:val="16"/>
                <w:szCs w:val="16"/>
                <w:rtl/>
              </w:rPr>
            </w:pPr>
            <w:r w:rsidRPr="0017699B">
              <w:rPr>
                <w:rFonts w:cs="Calibri" w:hint="cs"/>
                <w:sz w:val="16"/>
                <w:szCs w:val="16"/>
                <w:rtl/>
              </w:rPr>
              <w:t>2024، الفقرات 64 إلى 65، التوصية رقم 7 - السلطة الفلسطينية</w:t>
            </w:r>
          </w:p>
        </w:tc>
        <w:tc>
          <w:tcPr>
            <w:tcW w:w="2852" w:type="dxa"/>
          </w:tcPr>
          <w:p w14:paraId="5349D3D5" w14:textId="01DC6F2D" w:rsidR="00E709EA" w:rsidRPr="0017699B" w:rsidRDefault="007C1124" w:rsidP="007C1124">
            <w:pPr>
              <w:bidi/>
              <w:spacing w:before="60" w:after="60"/>
              <w:rPr>
                <w:rFonts w:eastAsia="Times New Roman" w:cs="Calibri"/>
                <w:b/>
                <w:bCs/>
                <w:sz w:val="16"/>
                <w:szCs w:val="16"/>
                <w:rtl/>
              </w:rPr>
            </w:pPr>
            <w:bookmarkStart w:id="217" w:name="_Toc196159475"/>
            <w:bookmarkStart w:id="218" w:name="_Toc197377505"/>
            <w:r w:rsidRPr="0017699B">
              <w:rPr>
                <w:rFonts w:cs="Calibri" w:hint="cs"/>
                <w:b/>
                <w:bCs/>
                <w:sz w:val="16"/>
                <w:szCs w:val="16"/>
                <w:rtl/>
              </w:rPr>
              <w:t xml:space="preserve">تعزيز دور نظام </w:t>
            </w:r>
            <w:proofErr w:type="spellStart"/>
            <w:r w:rsidRPr="0017699B">
              <w:rPr>
                <w:rFonts w:cs="Calibri"/>
                <w:b/>
                <w:bCs/>
                <w:sz w:val="16"/>
                <w:szCs w:val="16"/>
              </w:rPr>
              <w:t>WePerform</w:t>
            </w:r>
            <w:proofErr w:type="spellEnd"/>
            <w:r w:rsidRPr="0017699B">
              <w:rPr>
                <w:rFonts w:cs="Calibri" w:hint="cs"/>
                <w:b/>
                <w:bCs/>
                <w:sz w:val="16"/>
                <w:szCs w:val="16"/>
                <w:rtl/>
              </w:rPr>
              <w:t xml:space="preserve"> في عملية تقييم الأداء</w:t>
            </w:r>
            <w:bookmarkEnd w:id="217"/>
            <w:bookmarkEnd w:id="218"/>
          </w:p>
          <w:p w14:paraId="24903101" w14:textId="77777777" w:rsidR="007C1124" w:rsidRPr="0017699B" w:rsidRDefault="007C1124" w:rsidP="007C1124">
            <w:pPr>
              <w:spacing w:before="60" w:after="60"/>
              <w:rPr>
                <w:rFonts w:eastAsia="Times New Roman" w:cs="Calibri"/>
                <w:b/>
                <w:bCs/>
                <w:sz w:val="16"/>
                <w:szCs w:val="16"/>
                <w:lang w:eastAsia="id-ID"/>
              </w:rPr>
            </w:pPr>
          </w:p>
          <w:p w14:paraId="1A6B78BD" w14:textId="5D8F1861" w:rsidR="006E3C22" w:rsidRPr="0017699B" w:rsidRDefault="4463D3AD" w:rsidP="007C1124">
            <w:pPr>
              <w:pStyle w:val="font-claude-response-body"/>
              <w:bidi/>
              <w:spacing w:before="60" w:beforeAutospacing="0" w:after="60" w:afterAutospacing="0"/>
              <w:rPr>
                <w:rFonts w:ascii="Arial" w:hAnsi="Arial" w:cs="Calibri"/>
                <w:sz w:val="16"/>
                <w:szCs w:val="16"/>
                <w:rtl/>
              </w:rPr>
            </w:pPr>
            <w:r w:rsidRPr="0017699B">
              <w:rPr>
                <w:rFonts w:ascii="Arial" w:hAnsi="Arial" w:cs="Calibri" w:hint="cs"/>
                <w:sz w:val="16"/>
                <w:szCs w:val="16"/>
                <w:rtl/>
              </w:rPr>
              <w:t xml:space="preserve">وتسترشد المنظمة العالمية للويبو في عملياتها بمبادئ الإدارة القائمة على النتائج، التي تشمل دورة مستمرة من التخطيط والتنفيذ والرصد والتقييم والإبلاغ. ولدعم هذا الإطار، قامت المنظمة بتطوير تطبيق </w:t>
            </w:r>
            <w:r w:rsidRPr="0017699B">
              <w:rPr>
                <w:rFonts w:ascii="Arial" w:hAnsi="Arial" w:cs="Calibri"/>
                <w:sz w:val="16"/>
                <w:szCs w:val="16"/>
              </w:rPr>
              <w:t>WePerform</w:t>
            </w:r>
            <w:r w:rsidRPr="0017699B">
              <w:rPr>
                <w:rFonts w:ascii="Arial" w:hAnsi="Arial" w:cs="Calibri" w:hint="cs"/>
                <w:sz w:val="16"/>
                <w:szCs w:val="16"/>
                <w:rtl/>
              </w:rPr>
              <w:t>، وهو تطبيق لعب دوراً محورياً في عمليات التخطيط والميزنة.</w:t>
            </w:r>
          </w:p>
          <w:p w14:paraId="7BD2DF0D" w14:textId="77777777" w:rsidR="007C1124" w:rsidRPr="0017699B" w:rsidRDefault="482DFE43" w:rsidP="007C1124">
            <w:pPr>
              <w:pStyle w:val="font-claude-response-body"/>
              <w:bidi/>
              <w:spacing w:before="60" w:beforeAutospacing="0" w:after="60" w:afterAutospacing="0"/>
              <w:rPr>
                <w:rFonts w:ascii="Arial" w:hAnsi="Arial" w:cs="Calibri"/>
                <w:sz w:val="16"/>
                <w:szCs w:val="16"/>
                <w:rtl/>
              </w:rPr>
            </w:pPr>
            <w:r w:rsidRPr="0017699B">
              <w:rPr>
                <w:rFonts w:ascii="Arial" w:hAnsi="Arial" w:cs="Calibri" w:hint="cs"/>
                <w:sz w:val="16"/>
                <w:szCs w:val="16"/>
                <w:rtl/>
              </w:rPr>
              <w:t xml:space="preserve">في حين تم استخدام نظام </w:t>
            </w:r>
            <w:r w:rsidRPr="0017699B">
              <w:rPr>
                <w:rFonts w:ascii="Arial" w:hAnsi="Arial" w:cs="Calibri"/>
                <w:sz w:val="16"/>
                <w:szCs w:val="16"/>
              </w:rPr>
              <w:t>WePerform</w:t>
            </w:r>
            <w:r w:rsidRPr="0017699B">
              <w:rPr>
                <w:rFonts w:ascii="Arial" w:hAnsi="Arial" w:cs="Calibri" w:hint="cs"/>
                <w:sz w:val="16"/>
                <w:szCs w:val="16"/>
                <w:rtl/>
              </w:rPr>
              <w:t xml:space="preserve"> بفعالية لأغراض التخطيط، إلا أن استخدامه في تقييم الأداء لا يزال محدودًا، حيث لا يتم تسجيل نتائج التحقق النهائية في النظام.</w:t>
            </w:r>
            <w:r w:rsidRPr="0017699B">
              <w:rPr>
                <w:rFonts w:ascii="Arial" w:hAnsi="Arial" w:cs="Calibri" w:hint="cs"/>
                <w:rtl/>
              </w:rPr>
              <w:t xml:space="preserve"> </w:t>
            </w:r>
          </w:p>
          <w:p w14:paraId="7DEBA905" w14:textId="4DAA69C7" w:rsidR="00E709EA" w:rsidRPr="0017699B" w:rsidRDefault="00AD0F26" w:rsidP="007C1124">
            <w:pPr>
              <w:pStyle w:val="font-claude-response-body"/>
              <w:bidi/>
              <w:spacing w:before="60" w:beforeAutospacing="0" w:after="60" w:afterAutospacing="0"/>
              <w:rPr>
                <w:rFonts w:ascii="Arial" w:hAnsi="Arial" w:cs="Calibri"/>
                <w:sz w:val="16"/>
                <w:szCs w:val="16"/>
                <w:rtl/>
              </w:rPr>
            </w:pPr>
            <w:r>
              <w:rPr>
                <w:rFonts w:ascii="Arial" w:hAnsi="Arial" w:cs="Calibri" w:hint="cs"/>
                <w:sz w:val="16"/>
                <w:szCs w:val="16"/>
                <w:rtl/>
              </w:rPr>
              <w:t>ي</w:t>
            </w:r>
            <w:r w:rsidR="007C1124" w:rsidRPr="0017699B">
              <w:rPr>
                <w:rFonts w:ascii="Arial" w:hAnsi="Arial" w:cs="Calibri" w:hint="cs"/>
                <w:sz w:val="16"/>
                <w:szCs w:val="16"/>
                <w:rtl/>
              </w:rPr>
              <w:t xml:space="preserve">رى </w:t>
            </w:r>
            <w:r w:rsidR="007C1124" w:rsidRPr="0017699B">
              <w:rPr>
                <w:rFonts w:ascii="Arial" w:hAnsi="Arial" w:cs="Calibri"/>
                <w:sz w:val="16"/>
                <w:szCs w:val="16"/>
              </w:rPr>
              <w:t>BPK</w:t>
            </w:r>
            <w:r w:rsidR="007C1124" w:rsidRPr="0017699B">
              <w:rPr>
                <w:rFonts w:ascii="Arial" w:hAnsi="Arial" w:cs="Calibri" w:hint="cs"/>
                <w:sz w:val="16"/>
                <w:szCs w:val="16"/>
                <w:rtl/>
              </w:rPr>
              <w:t xml:space="preserve"> أن تقوم المنظمة بتحميل بيانات التحقق النهائية في </w:t>
            </w:r>
            <w:r w:rsidR="007C1124" w:rsidRPr="0017699B">
              <w:rPr>
                <w:rFonts w:ascii="Arial" w:hAnsi="Arial" w:cs="Calibri"/>
                <w:sz w:val="16"/>
                <w:szCs w:val="16"/>
              </w:rPr>
              <w:t>WePerform</w:t>
            </w:r>
            <w:r w:rsidR="007C1124" w:rsidRPr="0017699B">
              <w:rPr>
                <w:rFonts w:ascii="Arial" w:hAnsi="Arial" w:cs="Calibri" w:hint="cs"/>
                <w:sz w:val="16"/>
                <w:szCs w:val="16"/>
                <w:rtl/>
              </w:rPr>
              <w:t xml:space="preserve"> لتعزيز تقييم الأداء، وتحسين تتبع التقييم، وإنشاء مستودع مركزي للوثائق.</w:t>
            </w:r>
          </w:p>
        </w:tc>
        <w:tc>
          <w:tcPr>
            <w:tcW w:w="1788" w:type="dxa"/>
          </w:tcPr>
          <w:p w14:paraId="54C01210" w14:textId="695EB521" w:rsidR="00E709EA" w:rsidRPr="0017699B" w:rsidRDefault="4463D3AD" w:rsidP="007C1124">
            <w:pPr>
              <w:bidi/>
              <w:spacing w:before="60" w:after="60"/>
              <w:rPr>
                <w:rFonts w:cs="Calibri"/>
                <w:sz w:val="16"/>
                <w:szCs w:val="16"/>
                <w:rtl/>
              </w:rPr>
            </w:pPr>
            <w:r w:rsidRPr="0017699B">
              <w:rPr>
                <w:rFonts w:cs="Calibri" w:hint="cs"/>
                <w:sz w:val="16"/>
                <w:szCs w:val="16"/>
                <w:rtl/>
              </w:rPr>
              <w:t xml:space="preserve">يوصي مجلس التدقيق في جمهورية إندونيسيا بأن تنظر الأمانة في تعزيز استخدام </w:t>
            </w:r>
            <w:proofErr w:type="spellStart"/>
            <w:r w:rsidRPr="0017699B">
              <w:rPr>
                <w:rFonts w:cs="Calibri"/>
                <w:sz w:val="16"/>
                <w:szCs w:val="16"/>
              </w:rPr>
              <w:t>WePerform</w:t>
            </w:r>
            <w:proofErr w:type="spellEnd"/>
            <w:r w:rsidRPr="0017699B">
              <w:rPr>
                <w:rFonts w:cs="Calibri" w:hint="cs"/>
                <w:sz w:val="16"/>
                <w:szCs w:val="16"/>
                <w:rtl/>
              </w:rPr>
              <w:t xml:space="preserve"> في عملية تقييم الأداء، من خلال تحميل نتائج التحقق النهائية من بيانات الأداء بعد نشر تقارير أداء المنظمة.</w:t>
            </w:r>
          </w:p>
        </w:tc>
        <w:tc>
          <w:tcPr>
            <w:tcW w:w="2159" w:type="dxa"/>
          </w:tcPr>
          <w:p w14:paraId="5CADEF32" w14:textId="77777777" w:rsidR="006E3C22" w:rsidRPr="0017699B" w:rsidRDefault="4463D3AD" w:rsidP="007C1124">
            <w:pPr>
              <w:bidi/>
              <w:spacing w:before="60" w:after="60"/>
              <w:rPr>
                <w:rFonts w:cs="Calibri"/>
                <w:sz w:val="16"/>
                <w:szCs w:val="16"/>
                <w:rtl/>
              </w:rPr>
            </w:pPr>
            <w:r w:rsidRPr="0017699B">
              <w:rPr>
                <w:rFonts w:cs="Calibri" w:hint="cs"/>
                <w:sz w:val="16"/>
                <w:szCs w:val="16"/>
                <w:rtl/>
              </w:rPr>
              <w:t xml:space="preserve">توافق الإدارة على التوصية وستُحمل بيانات الأداء النهائية المعتمدة في نظام </w:t>
            </w:r>
            <w:proofErr w:type="spellStart"/>
            <w:r w:rsidRPr="0017699B">
              <w:rPr>
                <w:rFonts w:cs="Calibri"/>
                <w:sz w:val="16"/>
                <w:szCs w:val="16"/>
              </w:rPr>
              <w:t>WePerform</w:t>
            </w:r>
            <w:proofErr w:type="spellEnd"/>
            <w:r w:rsidRPr="0017699B">
              <w:rPr>
                <w:rFonts w:cs="Calibri" w:hint="cs"/>
                <w:sz w:val="16"/>
                <w:szCs w:val="16"/>
                <w:rtl/>
              </w:rPr>
              <w:t xml:space="preserve"> خلال مدة لا تتجاوز شهراً واحداً من تاريخ نشر تقارير أداء المنظمة.</w:t>
            </w:r>
            <w:r w:rsidRPr="0017699B">
              <w:rPr>
                <w:rFonts w:cs="Calibri" w:hint="cs"/>
                <w:rtl/>
              </w:rPr>
              <w:t xml:space="preserve"> </w:t>
            </w:r>
          </w:p>
          <w:p w14:paraId="6781C35B" w14:textId="17BE44B5" w:rsidR="00E709EA" w:rsidRPr="0017699B" w:rsidRDefault="4463D3AD" w:rsidP="007C1124">
            <w:pPr>
              <w:bidi/>
              <w:spacing w:before="60" w:after="60"/>
              <w:rPr>
                <w:rFonts w:cs="Calibri"/>
                <w:sz w:val="16"/>
                <w:szCs w:val="16"/>
                <w:rtl/>
              </w:rPr>
            </w:pPr>
            <w:r w:rsidRPr="0017699B">
              <w:rPr>
                <w:rFonts w:cs="Calibri" w:hint="cs"/>
                <w:sz w:val="16"/>
                <w:szCs w:val="16"/>
                <w:rtl/>
              </w:rPr>
              <w:t>ومن المتوقع أن تنفذ الإدارة التوصية بحلول 31 يوليو 2025.</w:t>
            </w:r>
          </w:p>
        </w:tc>
        <w:tc>
          <w:tcPr>
            <w:tcW w:w="2273" w:type="dxa"/>
          </w:tcPr>
          <w:p w14:paraId="5D626CFB" w14:textId="77777777" w:rsidR="008C6D02" w:rsidRPr="0017699B" w:rsidRDefault="5E737F7A" w:rsidP="007C1124">
            <w:pPr>
              <w:bidi/>
              <w:spacing w:before="60" w:after="60"/>
              <w:rPr>
                <w:rFonts w:eastAsiaTheme="minorEastAsia" w:cs="Calibri"/>
                <w:sz w:val="16"/>
                <w:szCs w:val="16"/>
                <w:rtl/>
              </w:rPr>
            </w:pPr>
            <w:r w:rsidRPr="0017699B">
              <w:rPr>
                <w:rFonts w:cs="Calibri" w:hint="cs"/>
                <w:sz w:val="16"/>
                <w:szCs w:val="16"/>
                <w:rtl/>
              </w:rPr>
              <w:t xml:space="preserve">تم تحميل جداول بيانات الأداء لعام 2024 وملفات التحقق النهائية لكل قطاع على نظام </w:t>
            </w:r>
            <w:proofErr w:type="spellStart"/>
            <w:r w:rsidRPr="0017699B">
              <w:rPr>
                <w:rFonts w:cs="Calibri"/>
                <w:sz w:val="16"/>
                <w:szCs w:val="16"/>
              </w:rPr>
              <w:t>WePerform</w:t>
            </w:r>
            <w:proofErr w:type="spellEnd"/>
            <w:r w:rsidRPr="0017699B">
              <w:rPr>
                <w:rFonts w:cs="Calibri" w:hint="cs"/>
                <w:sz w:val="16"/>
                <w:szCs w:val="16"/>
                <w:rtl/>
              </w:rPr>
              <w:t>. تعتبر الإدارة أن هذه التوصية قد نُفذت بالكامل وتفي بمعايير الإغلاق.</w:t>
            </w:r>
            <w:r w:rsidRPr="0017699B">
              <w:rPr>
                <w:rFonts w:cs="Calibri" w:hint="cs"/>
                <w:rtl/>
              </w:rPr>
              <w:t xml:space="preserve"> </w:t>
            </w:r>
          </w:p>
          <w:p w14:paraId="23FBBA38" w14:textId="77777777" w:rsidR="008C6D02" w:rsidRPr="0017699B" w:rsidRDefault="008C6D02" w:rsidP="007C1124">
            <w:pPr>
              <w:spacing w:before="60" w:after="60"/>
              <w:rPr>
                <w:rFonts w:eastAsiaTheme="minorEastAsia" w:cs="Calibri"/>
                <w:sz w:val="16"/>
                <w:szCs w:val="16"/>
              </w:rPr>
            </w:pPr>
          </w:p>
          <w:p w14:paraId="78306833" w14:textId="77777777" w:rsidR="00E709EA" w:rsidRPr="0017699B" w:rsidRDefault="00E709EA" w:rsidP="007C1124">
            <w:pPr>
              <w:spacing w:before="60" w:after="60"/>
              <w:rPr>
                <w:rFonts w:eastAsiaTheme="minorEastAsia" w:cs="Calibri"/>
                <w:sz w:val="16"/>
                <w:szCs w:val="16"/>
              </w:rPr>
            </w:pPr>
          </w:p>
        </w:tc>
        <w:tc>
          <w:tcPr>
            <w:tcW w:w="2126" w:type="dxa"/>
          </w:tcPr>
          <w:p w14:paraId="1F61BF66" w14:textId="44132A6E" w:rsidR="00E709EA" w:rsidRPr="0017699B" w:rsidRDefault="1AB498F7" w:rsidP="007C1124">
            <w:pPr>
              <w:bidi/>
              <w:spacing w:before="60" w:after="60"/>
              <w:ind w:left="57" w:right="57"/>
              <w:rPr>
                <w:rFonts w:eastAsia="Arial" w:cs="Calibri"/>
                <w:sz w:val="16"/>
                <w:szCs w:val="16"/>
                <w:rtl/>
              </w:rPr>
            </w:pPr>
            <w:r w:rsidRPr="0017699B">
              <w:rPr>
                <w:rFonts w:cs="Calibri" w:hint="cs"/>
                <w:sz w:val="16"/>
                <w:szCs w:val="16"/>
                <w:rtl/>
              </w:rPr>
              <w:t xml:space="preserve">استنادًا إلى الأدلة المقدمة، بما في ذلك جداول بيانات الأداء لعام 2024 وملفات التحقق النهائية التي تم تحميلها على نظام </w:t>
            </w:r>
            <w:proofErr w:type="spellStart"/>
            <w:r w:rsidRPr="0017699B">
              <w:rPr>
                <w:rFonts w:cs="Calibri"/>
                <w:sz w:val="16"/>
                <w:szCs w:val="16"/>
              </w:rPr>
              <w:t>WePerform</w:t>
            </w:r>
            <w:proofErr w:type="spellEnd"/>
            <w:r w:rsidRPr="0017699B">
              <w:rPr>
                <w:rFonts w:cs="Calibri" w:hint="cs"/>
                <w:sz w:val="16"/>
                <w:szCs w:val="16"/>
                <w:rtl/>
              </w:rPr>
              <w:t>، بالإضافة إلى لقطات الشاشة التي توضح التنفيذ في جميع القطاعات، يلاحظ أن الإدارة قد اتخذت الإجراءات المناسبة لمعالجة التوصية. الوثائق التي تمت مراجعتها كافية وموثوقة لتأكيد التنفيذ.</w:t>
            </w:r>
          </w:p>
          <w:p w14:paraId="741A6D2D" w14:textId="4454BE73" w:rsidR="00E709EA" w:rsidRPr="0017699B" w:rsidRDefault="1AB498F7" w:rsidP="00432C41">
            <w:pPr>
              <w:bidi/>
              <w:spacing w:before="60" w:after="60"/>
              <w:ind w:left="57" w:right="57"/>
              <w:rPr>
                <w:rFonts w:eastAsia="Arial" w:cs="Calibri"/>
                <w:sz w:val="16"/>
                <w:szCs w:val="16"/>
                <w:rtl/>
              </w:rPr>
            </w:pPr>
            <w:r w:rsidRPr="0017699B">
              <w:rPr>
                <w:rFonts w:cs="Calibri" w:hint="cs"/>
                <w:sz w:val="16"/>
                <w:szCs w:val="16"/>
                <w:rtl/>
              </w:rPr>
              <w:t>وبناءً على ذلك، يخلص المدقق الخارجي إلى أن التوصية قد نُفِّذت بالكامل وتفي بمعايير الإغلاق</w:t>
            </w:r>
          </w:p>
        </w:tc>
        <w:tc>
          <w:tcPr>
            <w:tcW w:w="1703" w:type="dxa"/>
          </w:tcPr>
          <w:p w14:paraId="34DB52E8" w14:textId="2C0E7F02" w:rsidR="00E709EA" w:rsidRPr="0017699B" w:rsidRDefault="449BC0F7" w:rsidP="007C1124">
            <w:pPr>
              <w:bidi/>
              <w:spacing w:before="60" w:after="60"/>
              <w:rPr>
                <w:rFonts w:cs="Calibri"/>
                <w:sz w:val="16"/>
                <w:szCs w:val="16"/>
                <w:rtl/>
              </w:rPr>
            </w:pPr>
            <w:r w:rsidRPr="0017699B">
              <w:rPr>
                <w:rFonts w:cs="Calibri" w:hint="cs"/>
                <w:sz w:val="16"/>
                <w:szCs w:val="16"/>
                <w:rtl/>
              </w:rPr>
              <w:t>نُفِّذت</w:t>
            </w:r>
          </w:p>
        </w:tc>
      </w:tr>
      <w:tr w:rsidR="00E709EA" w:rsidRPr="0017699B" w14:paraId="2430A25D" w14:textId="77777777" w:rsidTr="004F5D12">
        <w:trPr>
          <w:trHeight w:val="6834"/>
          <w:jc w:val="center"/>
        </w:trPr>
        <w:tc>
          <w:tcPr>
            <w:tcW w:w="988" w:type="dxa"/>
          </w:tcPr>
          <w:p w14:paraId="61FFA681" w14:textId="17BE650B" w:rsidR="00E709EA" w:rsidRPr="0017699B" w:rsidRDefault="00432C41" w:rsidP="00432C41">
            <w:pPr>
              <w:bidi/>
              <w:spacing w:before="60" w:after="60"/>
              <w:rPr>
                <w:rFonts w:cs="Calibri"/>
                <w:sz w:val="16"/>
                <w:szCs w:val="16"/>
                <w:rtl/>
              </w:rPr>
            </w:pPr>
            <w:r w:rsidRPr="0017699B">
              <w:rPr>
                <w:rFonts w:cs="Calibri" w:hint="cs"/>
                <w:sz w:val="16"/>
                <w:szCs w:val="16"/>
                <w:rtl/>
              </w:rPr>
              <w:t>2024</w:t>
            </w:r>
          </w:p>
        </w:tc>
        <w:tc>
          <w:tcPr>
            <w:tcW w:w="1701" w:type="dxa"/>
          </w:tcPr>
          <w:p w14:paraId="27A38505" w14:textId="2A358146" w:rsidR="00E709EA" w:rsidRPr="0017699B" w:rsidRDefault="4463D3AD" w:rsidP="00432C41">
            <w:pPr>
              <w:bidi/>
              <w:spacing w:before="60" w:after="60"/>
              <w:rPr>
                <w:rFonts w:cs="Calibri"/>
                <w:sz w:val="16"/>
                <w:szCs w:val="16"/>
                <w:rtl/>
              </w:rPr>
            </w:pPr>
            <w:r w:rsidRPr="0017699B">
              <w:rPr>
                <w:rFonts w:cs="Calibri" w:hint="cs"/>
                <w:sz w:val="16"/>
                <w:szCs w:val="16"/>
                <w:rtl/>
              </w:rPr>
              <w:t>2024، الفقرات من 66 إلى 68، التوصية رقم 8 - السلطة الفلسطينية</w:t>
            </w:r>
          </w:p>
        </w:tc>
        <w:tc>
          <w:tcPr>
            <w:tcW w:w="2852" w:type="dxa"/>
          </w:tcPr>
          <w:p w14:paraId="03DC5308" w14:textId="594D7482" w:rsidR="006E3C22" w:rsidRPr="0017699B" w:rsidRDefault="00432C41" w:rsidP="00432C41">
            <w:pPr>
              <w:bidi/>
              <w:spacing w:before="60" w:after="60"/>
              <w:rPr>
                <w:rFonts w:cs="Calibri"/>
                <w:bCs/>
                <w:sz w:val="16"/>
                <w:szCs w:val="16"/>
                <w:rtl/>
              </w:rPr>
            </w:pPr>
            <w:bookmarkStart w:id="219" w:name="_Toc196159476"/>
            <w:bookmarkStart w:id="220" w:name="_Toc197377506"/>
            <w:r w:rsidRPr="0017699B">
              <w:rPr>
                <w:rFonts w:cs="Calibri" w:hint="cs"/>
                <w:sz w:val="16"/>
                <w:szCs w:val="16"/>
                <w:rtl/>
              </w:rPr>
              <w:t>تحسين عملية الاستطلاع لتعزيز عملية التقييم للويبو.</w:t>
            </w:r>
            <w:bookmarkEnd w:id="219"/>
            <w:bookmarkEnd w:id="220"/>
          </w:p>
          <w:p w14:paraId="0581B900" w14:textId="77777777" w:rsidR="006E3C22" w:rsidRPr="0017699B" w:rsidRDefault="4463D3AD" w:rsidP="00432C41">
            <w:pPr>
              <w:bidi/>
              <w:spacing w:before="60" w:after="60"/>
              <w:rPr>
                <w:rFonts w:eastAsia="Times New Roman" w:cs="Calibri"/>
                <w:sz w:val="16"/>
                <w:szCs w:val="16"/>
                <w:rtl/>
              </w:rPr>
            </w:pPr>
            <w:r w:rsidRPr="0017699B">
              <w:rPr>
                <w:rFonts w:cs="Calibri" w:hint="cs"/>
                <w:sz w:val="16"/>
                <w:szCs w:val="16"/>
                <w:rtl/>
              </w:rPr>
              <w:t>وتجري الويبو دراسات استقصائية لأصحاب المصلحة كجزء من عملية التقييم التي تجريها، وتغطي مجالات مثل ترتيبات الاجتماعات، والمشورة القانونية، وخدمات تطبيق الملكية الفكرية، والتدريب، والمسائل التقنية. من بين 388 استبياناً تم التحقق من صحتها لأغراض مؤشرات الأداء الرئيسية في تقرير الأداء 2022/23، بلغ متوسط معدل الاستجابة حوالي 60%، على الرغم من أن هذا الرقم لا يشمل الاستبيانات التي أجريت خارج إطار مؤشرات الأداء الرئيسية.</w:t>
            </w:r>
          </w:p>
          <w:p w14:paraId="5CA2DF8F" w14:textId="77777777" w:rsidR="006E3C22" w:rsidRPr="0017699B" w:rsidRDefault="4463D3AD" w:rsidP="00432C41">
            <w:pPr>
              <w:bidi/>
              <w:spacing w:before="60" w:after="60"/>
              <w:rPr>
                <w:rFonts w:eastAsia="Times New Roman" w:cs="Calibri"/>
                <w:sz w:val="16"/>
                <w:szCs w:val="16"/>
                <w:rtl/>
              </w:rPr>
            </w:pPr>
            <w:r w:rsidRPr="0017699B">
              <w:rPr>
                <w:rFonts w:cs="Calibri" w:hint="cs"/>
                <w:sz w:val="16"/>
                <w:szCs w:val="16"/>
                <w:rtl/>
              </w:rPr>
              <w:t>على مستوى القطاعات، يتم إجراء مسوحات فنية إضافية، حيث تكون معدلات الاستجابة أقل بشكل ملحوظ، وتتراوح بين 20% إلى 35%. على الرغم من الأهمية المعترف بها لملاحظات الاستبيان في تحديد احتياجات أصحاب المصلحة، وتحسين الخدمات، ودعم قياسات مؤشرات الأداء الرئيسية، إلا أن معدلات الاستجابة في هذه المجالات لا تزال دون المستوى الأمثل.</w:t>
            </w:r>
          </w:p>
          <w:p w14:paraId="4732E8B5" w14:textId="2D3AE815" w:rsidR="00460DF1" w:rsidRPr="0017699B" w:rsidRDefault="4463D3AD" w:rsidP="00532A21">
            <w:pPr>
              <w:bidi/>
              <w:spacing w:before="60" w:after="60"/>
              <w:rPr>
                <w:rFonts w:eastAsia="Times New Roman" w:cs="Calibri"/>
                <w:sz w:val="16"/>
                <w:szCs w:val="16"/>
                <w:rtl/>
              </w:rPr>
            </w:pPr>
            <w:r w:rsidRPr="0017699B">
              <w:rPr>
                <w:rFonts w:cs="Calibri" w:hint="cs"/>
                <w:sz w:val="16"/>
                <w:szCs w:val="16"/>
                <w:rtl/>
              </w:rPr>
              <w:t>وترى المنظمة العالمية للويبو أن الدراسات الاستقصائية عنصر حاسم في إطار التقييم الخاص بالويبو، حيث تعمل كآلية تحقق رئيسية لمؤشرات الأداء الرئيسية. ومن شأن تحسين معدلات الاستجابة للاستبيانات أن يمكّن المنظمة من اكتساب رؤى أعمق حول تطورات الملكية الفكرية، وتعزيز تقديم الخدمات، وإرساء أساس أكثر قوة لقياس مؤشرات الأداء الرئيسية.</w:t>
            </w:r>
          </w:p>
        </w:tc>
        <w:tc>
          <w:tcPr>
            <w:tcW w:w="1788" w:type="dxa"/>
          </w:tcPr>
          <w:p w14:paraId="6B0F28FA" w14:textId="77777777" w:rsidR="006E3C22" w:rsidRPr="0017699B" w:rsidRDefault="4463D3AD" w:rsidP="00432C41">
            <w:pPr>
              <w:bidi/>
              <w:spacing w:before="60" w:after="60"/>
              <w:rPr>
                <w:rFonts w:cs="Calibri"/>
                <w:sz w:val="16"/>
                <w:szCs w:val="16"/>
                <w:rtl/>
              </w:rPr>
            </w:pPr>
            <w:r w:rsidRPr="0017699B">
              <w:rPr>
                <w:rFonts w:cs="Calibri" w:hint="cs"/>
                <w:sz w:val="16"/>
                <w:szCs w:val="16"/>
                <w:rtl/>
              </w:rPr>
              <w:t>يوصي مجلس التدقيق في جمهورية إندونيسيا بأن تُجري المنظمة تقييماً شاملاً لعمليات الاستطلاعات لديها لتحديد الأسباب الجذرية لانخفاض معدلات الاستجابة واستكشاف السُبل لمعالجتها. قد تشمل الاستراتيجيات التي يمكن اعتمادها على سبيل المثال لا الحصر ما يلي:</w:t>
            </w:r>
          </w:p>
          <w:p w14:paraId="3FA3F342" w14:textId="77777777" w:rsidR="006E3C22" w:rsidRPr="0017699B" w:rsidRDefault="4463D3AD" w:rsidP="007F267B">
            <w:pPr>
              <w:pStyle w:val="ListParagraph"/>
              <w:numPr>
                <w:ilvl w:val="0"/>
                <w:numId w:val="8"/>
              </w:numPr>
              <w:bidi/>
              <w:spacing w:before="60" w:after="60"/>
              <w:ind w:left="304" w:hanging="310"/>
              <w:contextualSpacing w:val="0"/>
              <w:rPr>
                <w:rFonts w:cs="Calibri"/>
                <w:sz w:val="16"/>
                <w:szCs w:val="16"/>
                <w:rtl/>
              </w:rPr>
            </w:pPr>
            <w:r w:rsidRPr="0017699B">
              <w:rPr>
                <w:rFonts w:cs="Calibri" w:hint="cs"/>
                <w:sz w:val="16"/>
                <w:szCs w:val="16"/>
                <w:rtl/>
              </w:rPr>
              <w:t>تقليل وتيرة تكرار الاستطلاعات إلى الحد الأدنى لتخفيف العبء الناجم عن المشاركة فيها.</w:t>
            </w:r>
          </w:p>
          <w:p w14:paraId="32C068EF" w14:textId="77777777" w:rsidR="006E3C22" w:rsidRPr="0017699B" w:rsidRDefault="4463D3AD" w:rsidP="007F267B">
            <w:pPr>
              <w:pStyle w:val="ListParagraph"/>
              <w:numPr>
                <w:ilvl w:val="0"/>
                <w:numId w:val="8"/>
              </w:numPr>
              <w:bidi/>
              <w:spacing w:before="60" w:after="60"/>
              <w:ind w:left="304" w:hanging="310"/>
              <w:contextualSpacing w:val="0"/>
              <w:rPr>
                <w:rFonts w:cs="Calibri"/>
                <w:sz w:val="16"/>
                <w:szCs w:val="16"/>
                <w:rtl/>
              </w:rPr>
            </w:pPr>
            <w:r w:rsidRPr="0017699B">
              <w:rPr>
                <w:rFonts w:cs="Calibri" w:hint="cs"/>
                <w:sz w:val="16"/>
                <w:szCs w:val="16"/>
                <w:rtl/>
              </w:rPr>
              <w:t>تنفيذ جدولة أفضل لتجنب نشر عدة استطلاعات في الوقت نفسه.</w:t>
            </w:r>
          </w:p>
          <w:p w14:paraId="07164412" w14:textId="32599BF2" w:rsidR="00E709EA" w:rsidRPr="0017699B" w:rsidRDefault="4463D3AD" w:rsidP="007F267B">
            <w:pPr>
              <w:pStyle w:val="ListParagraph"/>
              <w:numPr>
                <w:ilvl w:val="0"/>
                <w:numId w:val="8"/>
              </w:numPr>
              <w:bidi/>
              <w:spacing w:before="60" w:after="60"/>
              <w:ind w:left="304" w:hanging="310"/>
              <w:contextualSpacing w:val="0"/>
              <w:rPr>
                <w:rFonts w:cs="Calibri"/>
                <w:sz w:val="16"/>
                <w:szCs w:val="16"/>
                <w:rtl/>
              </w:rPr>
            </w:pPr>
            <w:r w:rsidRPr="0017699B">
              <w:rPr>
                <w:rFonts w:cs="Calibri" w:hint="cs"/>
                <w:sz w:val="16"/>
                <w:szCs w:val="16"/>
                <w:rtl/>
              </w:rPr>
              <w:t>تعزيز إجراءات المتابعة لتشجيع معدلات استجابة أعلى.</w:t>
            </w:r>
          </w:p>
        </w:tc>
        <w:tc>
          <w:tcPr>
            <w:tcW w:w="2159" w:type="dxa"/>
          </w:tcPr>
          <w:p w14:paraId="0A352CE3" w14:textId="77777777" w:rsidR="006E3C22" w:rsidRPr="0017699B" w:rsidRDefault="4463D3AD" w:rsidP="00432C41">
            <w:pPr>
              <w:bidi/>
              <w:spacing w:before="60" w:after="60"/>
              <w:rPr>
                <w:rFonts w:cs="Calibri"/>
                <w:sz w:val="16"/>
                <w:szCs w:val="16"/>
                <w:rtl/>
              </w:rPr>
            </w:pPr>
            <w:r w:rsidRPr="0017699B">
              <w:rPr>
                <w:rFonts w:cs="Calibri" w:hint="cs"/>
                <w:sz w:val="16"/>
                <w:szCs w:val="16"/>
                <w:rtl/>
              </w:rPr>
              <w:t>توافق الإدارة على التوصية وستعمل بالتنسيق مع شعبة الرقابة الداخلية على تنفيذها.</w:t>
            </w:r>
            <w:r w:rsidRPr="0017699B">
              <w:rPr>
                <w:rFonts w:cs="Calibri" w:hint="cs"/>
                <w:rtl/>
              </w:rPr>
              <w:t xml:space="preserve"> </w:t>
            </w:r>
          </w:p>
          <w:p w14:paraId="7C3E119F" w14:textId="3507A721" w:rsidR="00E709EA" w:rsidRPr="0017699B" w:rsidRDefault="4463D3AD" w:rsidP="00432C41">
            <w:pPr>
              <w:bidi/>
              <w:spacing w:before="60" w:after="60"/>
              <w:rPr>
                <w:rFonts w:cs="Calibri"/>
                <w:sz w:val="16"/>
                <w:szCs w:val="16"/>
                <w:rtl/>
              </w:rPr>
            </w:pPr>
            <w:r w:rsidRPr="0017699B">
              <w:rPr>
                <w:rFonts w:cs="Calibri" w:hint="cs"/>
                <w:sz w:val="16"/>
                <w:szCs w:val="16"/>
                <w:rtl/>
              </w:rPr>
              <w:t>من المتوقع أن يتم تنفيذ التوصية بحلول 31 ديسمبر 2026.</w:t>
            </w:r>
          </w:p>
        </w:tc>
        <w:tc>
          <w:tcPr>
            <w:tcW w:w="2273" w:type="dxa"/>
          </w:tcPr>
          <w:p w14:paraId="7436EB9B" w14:textId="4B4569F5" w:rsidR="00E709EA" w:rsidRPr="0017699B" w:rsidRDefault="5E737F7A" w:rsidP="00432C41">
            <w:pPr>
              <w:bidi/>
              <w:spacing w:before="60" w:after="60"/>
              <w:rPr>
                <w:rFonts w:eastAsiaTheme="minorEastAsia" w:cs="Calibri"/>
                <w:sz w:val="16"/>
                <w:szCs w:val="16"/>
                <w:rtl/>
              </w:rPr>
            </w:pPr>
            <w:r w:rsidRPr="0017699B">
              <w:rPr>
                <w:rFonts w:cs="Calibri" w:hint="cs"/>
                <w:sz w:val="16"/>
                <w:szCs w:val="16"/>
                <w:rtl/>
              </w:rPr>
              <w:t>ويجري حالياً تقييم عمليات المسح التي تجريها المنظمة العالمية للملكية الفكرية (الويبو) وهو في طريقه للانتهاء منه بحلول 31 ديسمبر 2026.</w:t>
            </w:r>
          </w:p>
        </w:tc>
        <w:tc>
          <w:tcPr>
            <w:tcW w:w="2126" w:type="dxa"/>
          </w:tcPr>
          <w:p w14:paraId="1A4C2696" w14:textId="1F980152" w:rsidR="00EF3506" w:rsidRPr="0017699B" w:rsidRDefault="4D600687" w:rsidP="00432C41">
            <w:pPr>
              <w:bidi/>
              <w:spacing w:before="60" w:after="60"/>
              <w:rPr>
                <w:rFonts w:eastAsiaTheme="minorEastAsia" w:cs="Calibri"/>
                <w:sz w:val="16"/>
                <w:szCs w:val="16"/>
                <w:rtl/>
              </w:rPr>
            </w:pPr>
            <w:r w:rsidRPr="0017699B">
              <w:rPr>
                <w:rFonts w:cs="Calibri" w:hint="cs"/>
                <w:sz w:val="16"/>
                <w:szCs w:val="16"/>
                <w:rtl/>
              </w:rPr>
              <w:t>لا تزال التوصية قيد التنفيذ. يلاحظ فريق المراجعة تحديث الإدارة وسيقوم بمتابعة استكمال التقييم ونتائجه عند الانتهاء المتوقع بحلول 31 ديسمبر 2026.</w:t>
            </w:r>
          </w:p>
          <w:p w14:paraId="79F99A68" w14:textId="77777777" w:rsidR="00E709EA" w:rsidRPr="0017699B" w:rsidRDefault="00E709EA" w:rsidP="00432C41">
            <w:pPr>
              <w:spacing w:before="60" w:after="60"/>
              <w:rPr>
                <w:rFonts w:eastAsiaTheme="minorEastAsia" w:cs="Calibri"/>
                <w:sz w:val="16"/>
                <w:szCs w:val="16"/>
              </w:rPr>
            </w:pPr>
          </w:p>
        </w:tc>
        <w:tc>
          <w:tcPr>
            <w:tcW w:w="1703" w:type="dxa"/>
          </w:tcPr>
          <w:p w14:paraId="77A586C8" w14:textId="210A594C" w:rsidR="00E709EA" w:rsidRPr="0017699B" w:rsidRDefault="449BC0F7" w:rsidP="00432C41">
            <w:pPr>
              <w:bidi/>
              <w:spacing w:before="60" w:after="60"/>
              <w:rPr>
                <w:rFonts w:cs="Calibri"/>
                <w:bCs/>
                <w:sz w:val="16"/>
                <w:szCs w:val="16"/>
                <w:rtl/>
              </w:rPr>
            </w:pPr>
            <w:r w:rsidRPr="0017699B">
              <w:rPr>
                <w:rFonts w:cs="Calibri" w:hint="cs"/>
                <w:sz w:val="16"/>
                <w:szCs w:val="16"/>
                <w:rtl/>
              </w:rPr>
              <w:t>قيد التنفيذ</w:t>
            </w:r>
          </w:p>
        </w:tc>
      </w:tr>
      <w:tr w:rsidR="00CC7C3F" w:rsidRPr="0017699B" w14:paraId="66D3F26F" w14:textId="77777777" w:rsidTr="00532A21">
        <w:trPr>
          <w:trHeight w:val="467"/>
          <w:jc w:val="center"/>
        </w:trPr>
        <w:tc>
          <w:tcPr>
            <w:tcW w:w="15590" w:type="dxa"/>
            <w:gridSpan w:val="8"/>
            <w:shd w:val="clear" w:color="auto" w:fill="BDD6EE" w:themeFill="accent1" w:themeFillTint="66"/>
          </w:tcPr>
          <w:p w14:paraId="019907FC" w14:textId="2AEACA64" w:rsidR="00CC7C3F" w:rsidRPr="0017699B" w:rsidRDefault="750E821D" w:rsidP="66DE4C64">
            <w:pPr>
              <w:bidi/>
              <w:spacing w:before="60" w:after="60"/>
              <w:rPr>
                <w:rFonts w:cs="Calibri"/>
                <w:b/>
                <w:bCs/>
                <w:sz w:val="16"/>
                <w:szCs w:val="16"/>
                <w:rtl/>
              </w:rPr>
            </w:pPr>
            <w:r w:rsidRPr="0017699B">
              <w:rPr>
                <w:rFonts w:cs="Calibri" w:hint="cs"/>
                <w:b/>
                <w:bCs/>
                <w:sz w:val="16"/>
                <w:szCs w:val="16"/>
                <w:rtl/>
              </w:rPr>
              <w:t>تقرير التدقيق للسنة المنتهية في 31 ديسمبر 2023</w:t>
            </w:r>
          </w:p>
        </w:tc>
      </w:tr>
      <w:tr w:rsidR="00CC7C3F" w:rsidRPr="0017699B" w14:paraId="3CB259E3" w14:textId="77777777" w:rsidTr="00183285">
        <w:trPr>
          <w:trHeight w:val="570"/>
          <w:jc w:val="center"/>
        </w:trPr>
        <w:tc>
          <w:tcPr>
            <w:tcW w:w="988" w:type="dxa"/>
          </w:tcPr>
          <w:p w14:paraId="0EAE5663" w14:textId="220A81A3" w:rsidR="00CC7C3F" w:rsidRPr="0017699B" w:rsidRDefault="719CF16E" w:rsidP="00F709FC">
            <w:pPr>
              <w:bidi/>
              <w:spacing w:before="60" w:after="60"/>
              <w:rPr>
                <w:rFonts w:cs="Calibri"/>
                <w:sz w:val="16"/>
                <w:szCs w:val="16"/>
                <w:rtl/>
              </w:rPr>
            </w:pPr>
            <w:r w:rsidRPr="0017699B">
              <w:rPr>
                <w:rFonts w:cs="Calibri" w:hint="cs"/>
                <w:sz w:val="16"/>
                <w:szCs w:val="16"/>
                <w:rtl/>
              </w:rPr>
              <w:t>2023 </w:t>
            </w:r>
          </w:p>
        </w:tc>
        <w:tc>
          <w:tcPr>
            <w:tcW w:w="1701" w:type="dxa"/>
          </w:tcPr>
          <w:p w14:paraId="53F05A40" w14:textId="77777777" w:rsidR="00DA0057" w:rsidRPr="0017699B" w:rsidRDefault="00DA0057" w:rsidP="00DA0057">
            <w:pPr>
              <w:bidi/>
              <w:spacing w:before="60" w:after="60"/>
              <w:ind w:left="57" w:right="57"/>
              <w:textAlignment w:val="baseline"/>
              <w:rPr>
                <w:rFonts w:eastAsia="Times New Roman" w:cs="Calibri"/>
                <w:sz w:val="16"/>
                <w:szCs w:val="16"/>
                <w:rtl/>
              </w:rPr>
            </w:pPr>
            <w:r w:rsidRPr="0017699B">
              <w:rPr>
                <w:rFonts w:cs="Calibri" w:hint="cs"/>
                <w:sz w:val="16"/>
                <w:szCs w:val="16"/>
                <w:rtl/>
              </w:rPr>
              <w:t>تقرير التدقيق لعام 2023  </w:t>
            </w:r>
          </w:p>
          <w:p w14:paraId="5134BFCC" w14:textId="46C33ED0" w:rsidR="00CC7C3F" w:rsidRPr="0017699B" w:rsidRDefault="00DA0057" w:rsidP="00F709FC">
            <w:pPr>
              <w:bidi/>
              <w:spacing w:before="60" w:after="60"/>
              <w:rPr>
                <w:rFonts w:cs="Calibri"/>
                <w:sz w:val="16"/>
                <w:szCs w:val="16"/>
                <w:rtl/>
              </w:rPr>
            </w:pPr>
            <w:r w:rsidRPr="0017699B">
              <w:rPr>
                <w:rFonts w:cs="Calibri" w:hint="cs"/>
                <w:sz w:val="16"/>
                <w:szCs w:val="16"/>
                <w:rtl/>
              </w:rPr>
              <w:t> </w:t>
            </w:r>
          </w:p>
        </w:tc>
        <w:tc>
          <w:tcPr>
            <w:tcW w:w="2852" w:type="dxa"/>
          </w:tcPr>
          <w:p w14:paraId="4B4D8B2D" w14:textId="77777777" w:rsidR="00DA0057" w:rsidRPr="0017699B" w:rsidRDefault="00DA0057" w:rsidP="00DA0057">
            <w:pPr>
              <w:bidi/>
              <w:spacing w:before="60" w:after="60"/>
              <w:ind w:left="57" w:right="57"/>
              <w:textAlignment w:val="baseline"/>
              <w:rPr>
                <w:rFonts w:eastAsia="Times New Roman" w:cs="Calibri"/>
                <w:sz w:val="16"/>
                <w:szCs w:val="16"/>
                <w:rtl/>
              </w:rPr>
            </w:pPr>
            <w:r w:rsidRPr="0017699B">
              <w:rPr>
                <w:rFonts w:cs="Calibri" w:hint="cs"/>
                <w:sz w:val="16"/>
                <w:szCs w:val="16"/>
                <w:rtl/>
              </w:rPr>
              <w:t>لم تصدر أي توصية في تقرير التدقيق لعام 2023. </w:t>
            </w:r>
          </w:p>
          <w:p w14:paraId="6FAED8E9" w14:textId="78E1207A" w:rsidR="00CC7C3F" w:rsidRPr="0017699B" w:rsidRDefault="00DA0057" w:rsidP="00F709FC">
            <w:pPr>
              <w:autoSpaceDE w:val="0"/>
              <w:autoSpaceDN w:val="0"/>
              <w:bidi/>
              <w:adjustRightInd w:val="0"/>
              <w:spacing w:before="60" w:after="60"/>
              <w:jc w:val="both"/>
              <w:rPr>
                <w:rFonts w:cs="Calibri"/>
                <w:sz w:val="16"/>
                <w:szCs w:val="16"/>
                <w:rtl/>
              </w:rPr>
            </w:pPr>
            <w:r w:rsidRPr="0017699B">
              <w:rPr>
                <w:rFonts w:cs="Calibri" w:hint="cs"/>
                <w:sz w:val="16"/>
                <w:szCs w:val="16"/>
                <w:rtl/>
              </w:rPr>
              <w:t> </w:t>
            </w:r>
          </w:p>
        </w:tc>
        <w:tc>
          <w:tcPr>
            <w:tcW w:w="1788" w:type="dxa"/>
          </w:tcPr>
          <w:p w14:paraId="21C460C0" w14:textId="3467A540" w:rsidR="00CC7C3F" w:rsidRPr="0017699B" w:rsidRDefault="00CC7C3F" w:rsidP="00F709FC">
            <w:pPr>
              <w:autoSpaceDE w:val="0"/>
              <w:autoSpaceDN w:val="0"/>
              <w:adjustRightInd w:val="0"/>
              <w:spacing w:before="60" w:after="60"/>
              <w:jc w:val="both"/>
              <w:rPr>
                <w:rFonts w:cs="Calibri"/>
                <w:sz w:val="16"/>
                <w:szCs w:val="16"/>
              </w:rPr>
            </w:pPr>
          </w:p>
        </w:tc>
        <w:tc>
          <w:tcPr>
            <w:tcW w:w="2159" w:type="dxa"/>
          </w:tcPr>
          <w:p w14:paraId="05C07434" w14:textId="70D19C57" w:rsidR="00CC7C3F" w:rsidRPr="0017699B" w:rsidRDefault="00CC7C3F" w:rsidP="00F709FC">
            <w:pPr>
              <w:autoSpaceDE w:val="0"/>
              <w:autoSpaceDN w:val="0"/>
              <w:adjustRightInd w:val="0"/>
              <w:spacing w:before="60" w:after="60"/>
              <w:jc w:val="both"/>
              <w:rPr>
                <w:rFonts w:cs="Calibri"/>
                <w:sz w:val="16"/>
                <w:szCs w:val="16"/>
              </w:rPr>
            </w:pPr>
          </w:p>
        </w:tc>
        <w:tc>
          <w:tcPr>
            <w:tcW w:w="2273" w:type="dxa"/>
          </w:tcPr>
          <w:p w14:paraId="4336A92F" w14:textId="553F19E7" w:rsidR="00CC7C3F" w:rsidRPr="0017699B" w:rsidRDefault="00CC7C3F" w:rsidP="00F709FC">
            <w:pPr>
              <w:pStyle w:val="ListParagraph"/>
              <w:spacing w:before="60" w:after="60"/>
              <w:ind w:left="0"/>
              <w:contextualSpacing w:val="0"/>
              <w:jc w:val="both"/>
              <w:rPr>
                <w:rFonts w:cs="Calibri"/>
                <w:sz w:val="16"/>
                <w:szCs w:val="16"/>
              </w:rPr>
            </w:pPr>
          </w:p>
        </w:tc>
        <w:tc>
          <w:tcPr>
            <w:tcW w:w="2126" w:type="dxa"/>
          </w:tcPr>
          <w:p w14:paraId="2305560E" w14:textId="6414EEF0" w:rsidR="00CC7C3F" w:rsidRPr="0017699B" w:rsidRDefault="00CC7C3F" w:rsidP="00F709FC">
            <w:pPr>
              <w:spacing w:before="60" w:after="60"/>
              <w:jc w:val="both"/>
              <w:rPr>
                <w:rFonts w:cs="Calibri"/>
                <w:sz w:val="16"/>
                <w:szCs w:val="16"/>
              </w:rPr>
            </w:pPr>
          </w:p>
        </w:tc>
        <w:tc>
          <w:tcPr>
            <w:tcW w:w="1703" w:type="dxa"/>
          </w:tcPr>
          <w:p w14:paraId="1EC312BB" w14:textId="71C4B2C1" w:rsidR="00CC7C3F" w:rsidRPr="0017699B" w:rsidRDefault="00CC7C3F" w:rsidP="00F709FC">
            <w:pPr>
              <w:spacing w:before="60" w:after="60"/>
              <w:rPr>
                <w:rFonts w:cs="Calibri"/>
                <w:sz w:val="16"/>
                <w:szCs w:val="16"/>
              </w:rPr>
            </w:pPr>
          </w:p>
        </w:tc>
      </w:tr>
      <w:tr w:rsidR="00DA0057" w:rsidRPr="0017699B" w14:paraId="73589F86" w14:textId="77777777" w:rsidTr="66DE4C64">
        <w:trPr>
          <w:jc w:val="center"/>
        </w:trPr>
        <w:tc>
          <w:tcPr>
            <w:tcW w:w="15590" w:type="dxa"/>
            <w:gridSpan w:val="8"/>
            <w:shd w:val="clear" w:color="auto" w:fill="BDD6EE" w:themeFill="accent1" w:themeFillTint="66"/>
          </w:tcPr>
          <w:p w14:paraId="763F3EC9" w14:textId="57C108DF" w:rsidR="00DA0057" w:rsidRPr="0017699B" w:rsidRDefault="00DA0057" w:rsidP="00DA0057">
            <w:pPr>
              <w:bidi/>
              <w:spacing w:before="60" w:after="60"/>
              <w:rPr>
                <w:rFonts w:cs="Calibri"/>
                <w:sz w:val="16"/>
                <w:szCs w:val="16"/>
                <w:rtl/>
              </w:rPr>
            </w:pPr>
            <w:r w:rsidRPr="0017699B">
              <w:rPr>
                <w:rFonts w:cs="Calibri" w:hint="cs"/>
                <w:b/>
                <w:bCs/>
                <w:sz w:val="16"/>
                <w:szCs w:val="16"/>
                <w:rtl/>
              </w:rPr>
              <w:t>تقرير التدقيق للسنة المنتهية في 31 ديسمبر 2022</w:t>
            </w:r>
          </w:p>
        </w:tc>
      </w:tr>
      <w:tr w:rsidR="00DA0057" w:rsidRPr="0017699B" w14:paraId="2746B527" w14:textId="77777777" w:rsidTr="00183285">
        <w:trPr>
          <w:trHeight w:val="6537"/>
          <w:jc w:val="center"/>
        </w:trPr>
        <w:tc>
          <w:tcPr>
            <w:tcW w:w="988" w:type="dxa"/>
          </w:tcPr>
          <w:p w14:paraId="553F4842" w14:textId="651AA9AD" w:rsidR="00DA0057" w:rsidRPr="0017699B" w:rsidRDefault="75DC9AA2" w:rsidP="00432C41">
            <w:pPr>
              <w:bidi/>
              <w:spacing w:before="60" w:after="60"/>
              <w:rPr>
                <w:rFonts w:eastAsia="Times New Roman" w:cs="Calibri"/>
                <w:sz w:val="16"/>
                <w:szCs w:val="16"/>
                <w:rtl/>
              </w:rPr>
            </w:pPr>
            <w:r w:rsidRPr="0017699B">
              <w:rPr>
                <w:rFonts w:cs="Calibri" w:hint="cs"/>
                <w:sz w:val="16"/>
                <w:szCs w:val="16"/>
                <w:rtl/>
              </w:rPr>
              <w:t>2022</w:t>
            </w:r>
          </w:p>
        </w:tc>
        <w:tc>
          <w:tcPr>
            <w:tcW w:w="1701" w:type="dxa"/>
          </w:tcPr>
          <w:p w14:paraId="54BE2F95" w14:textId="77777777" w:rsidR="00E003EB" w:rsidRPr="0017699B" w:rsidRDefault="2C2044A6" w:rsidP="00432C41">
            <w:pPr>
              <w:bidi/>
              <w:spacing w:before="60" w:after="60"/>
              <w:ind w:left="57" w:right="57"/>
              <w:textAlignment w:val="baseline"/>
              <w:rPr>
                <w:rFonts w:eastAsia="Times New Roman" w:cs="Calibri"/>
                <w:sz w:val="16"/>
                <w:szCs w:val="16"/>
                <w:rtl/>
              </w:rPr>
            </w:pPr>
            <w:r w:rsidRPr="0017699B">
              <w:rPr>
                <w:rFonts w:cs="Calibri" w:hint="cs"/>
                <w:sz w:val="16"/>
                <w:szCs w:val="16"/>
                <w:rtl/>
              </w:rPr>
              <w:t>تقرير التدقيق لعام 2022،</w:t>
            </w:r>
            <w:r w:rsidRPr="0017699B">
              <w:rPr>
                <w:rFonts w:cs="Calibri" w:hint="cs"/>
                <w:rtl/>
              </w:rPr>
              <w:t xml:space="preserve"> </w:t>
            </w:r>
          </w:p>
          <w:p w14:paraId="7B38DDE9" w14:textId="77777777" w:rsidR="00DA0057" w:rsidRPr="0017699B" w:rsidRDefault="2C2044A6" w:rsidP="00432C41">
            <w:pPr>
              <w:bidi/>
              <w:spacing w:before="60" w:after="60"/>
              <w:ind w:left="57" w:right="57"/>
              <w:textAlignment w:val="baseline"/>
              <w:rPr>
                <w:rFonts w:eastAsia="Times New Roman" w:cs="Calibri"/>
                <w:sz w:val="16"/>
                <w:szCs w:val="16"/>
                <w:rtl/>
              </w:rPr>
            </w:pPr>
            <w:r w:rsidRPr="0017699B">
              <w:rPr>
                <w:rFonts w:cs="Calibri" w:hint="cs"/>
                <w:sz w:val="16"/>
                <w:szCs w:val="16"/>
                <w:rtl/>
              </w:rPr>
              <w:t>التوصية رقم 6 </w:t>
            </w:r>
          </w:p>
          <w:p w14:paraId="77C3E523" w14:textId="57B8DDF1" w:rsidR="00DA0057" w:rsidRPr="0017699B" w:rsidRDefault="00DA0057" w:rsidP="00432C41">
            <w:pPr>
              <w:spacing w:before="60" w:after="60"/>
              <w:ind w:left="57" w:right="57"/>
              <w:textAlignment w:val="baseline"/>
              <w:rPr>
                <w:rFonts w:eastAsia="Times New Roman" w:cs="Calibri"/>
                <w:sz w:val="16"/>
                <w:szCs w:val="16"/>
                <w:lang w:eastAsia="en-GB"/>
              </w:rPr>
            </w:pPr>
          </w:p>
        </w:tc>
        <w:tc>
          <w:tcPr>
            <w:tcW w:w="2852" w:type="dxa"/>
          </w:tcPr>
          <w:p w14:paraId="79391517" w14:textId="77777777" w:rsidR="009D2F88" w:rsidRPr="0017699B" w:rsidRDefault="00947622" w:rsidP="00947622">
            <w:pPr>
              <w:bidi/>
              <w:spacing w:before="60" w:after="60"/>
              <w:ind w:left="57" w:right="57"/>
              <w:textAlignment w:val="baseline"/>
              <w:rPr>
                <w:rFonts w:eastAsia="Arial" w:cs="Calibri"/>
                <w:sz w:val="16"/>
                <w:szCs w:val="16"/>
                <w:rtl/>
              </w:rPr>
            </w:pPr>
            <w:r w:rsidRPr="0017699B">
              <w:rPr>
                <w:rFonts w:cs="Calibri" w:hint="cs"/>
                <w:sz w:val="16"/>
                <w:szCs w:val="16"/>
                <w:rtl/>
              </w:rPr>
              <w:t>ينبغي للويبو في إطار تطوير نظامها للإدارة البيئية أن تكفل أن يسجل النظام بيانات الإفصاح المهمة والمحددة والكاملة والواضحة والمتوازنة والمفهومة. وينبغي تجميع التقارير على نحو متسق وأن تكون موثوقة وقابلة للقياس على نحو كاف لإتاحة التحقق من المعلومات وتأكيدها. والإبلاغ عن قياسات الاستدامة مهم ليس فيما يخص المساءلة فحسب، وإنما أيضا لتوجيه صنع القرار وإدارة مخاطر الاستدامة.</w:t>
            </w:r>
          </w:p>
          <w:p w14:paraId="313A75C3" w14:textId="1474AAEE" w:rsidR="00331B8E" w:rsidRPr="0017699B" w:rsidRDefault="00331B8E" w:rsidP="00331B8E">
            <w:pPr>
              <w:bidi/>
              <w:spacing w:before="60" w:after="60"/>
              <w:ind w:left="57" w:right="57"/>
              <w:textAlignment w:val="baseline"/>
              <w:rPr>
                <w:rFonts w:eastAsia="Arial" w:cs="Calibri"/>
                <w:sz w:val="16"/>
                <w:szCs w:val="16"/>
                <w:rtl/>
              </w:rPr>
            </w:pPr>
            <w:r w:rsidRPr="0017699B">
              <w:rPr>
                <w:rFonts w:cs="Calibri" w:hint="cs"/>
                <w:sz w:val="16"/>
                <w:szCs w:val="16"/>
                <w:rtl/>
              </w:rPr>
              <w:t>أبلغت الويبو المدقق الخارجي بأنها ستنتظر حتى ينتهي مجلس المعايير المحاسبية الدولية للقطاع العام من مشروعه ويصدر معياراً بشأن إعداد تقارير الاستدامة.</w:t>
            </w:r>
          </w:p>
        </w:tc>
        <w:tc>
          <w:tcPr>
            <w:tcW w:w="1788" w:type="dxa"/>
          </w:tcPr>
          <w:p w14:paraId="0A41BDF3" w14:textId="38B19978" w:rsidR="00432C41" w:rsidRPr="0017699B" w:rsidRDefault="00432C41" w:rsidP="00432C41">
            <w:pPr>
              <w:autoSpaceDE w:val="0"/>
              <w:autoSpaceDN w:val="0"/>
              <w:bidi/>
              <w:adjustRightInd w:val="0"/>
              <w:rPr>
                <w:rFonts w:cs="Calibri"/>
                <w:sz w:val="16"/>
                <w:szCs w:val="16"/>
                <w:rtl/>
              </w:rPr>
            </w:pPr>
            <w:r w:rsidRPr="0017699B">
              <w:rPr>
                <w:rFonts w:cs="Calibri" w:hint="cs"/>
                <w:sz w:val="16"/>
                <w:szCs w:val="16"/>
                <w:rtl/>
              </w:rPr>
              <w:t>تضمين متوازن</w:t>
            </w:r>
          </w:p>
          <w:p w14:paraId="1720DB83" w14:textId="77777777" w:rsidR="00432C41" w:rsidRPr="0017699B" w:rsidRDefault="00432C41" w:rsidP="00432C41">
            <w:pPr>
              <w:autoSpaceDE w:val="0"/>
              <w:autoSpaceDN w:val="0"/>
              <w:bidi/>
              <w:adjustRightInd w:val="0"/>
              <w:rPr>
                <w:rFonts w:cs="Calibri"/>
                <w:sz w:val="16"/>
                <w:szCs w:val="16"/>
                <w:rtl/>
              </w:rPr>
            </w:pPr>
            <w:r w:rsidRPr="0017699B">
              <w:rPr>
                <w:rFonts w:cs="Calibri" w:hint="cs"/>
                <w:sz w:val="16"/>
                <w:szCs w:val="16"/>
                <w:rtl/>
              </w:rPr>
              <w:t>بطاقة نتائج</w:t>
            </w:r>
          </w:p>
          <w:p w14:paraId="6291E7F6" w14:textId="77777777" w:rsidR="00432C41" w:rsidRPr="0017699B" w:rsidRDefault="00432C41" w:rsidP="00432C41">
            <w:pPr>
              <w:autoSpaceDE w:val="0"/>
              <w:autoSpaceDN w:val="0"/>
              <w:bidi/>
              <w:adjustRightInd w:val="0"/>
              <w:rPr>
                <w:rFonts w:cs="Calibri"/>
                <w:sz w:val="16"/>
                <w:szCs w:val="16"/>
                <w:rtl/>
              </w:rPr>
            </w:pPr>
            <w:r w:rsidRPr="0017699B">
              <w:rPr>
                <w:rFonts w:cs="Calibri" w:hint="cs"/>
                <w:sz w:val="16"/>
                <w:szCs w:val="16"/>
                <w:rtl/>
              </w:rPr>
              <w:t>الاستدامة</w:t>
            </w:r>
          </w:p>
          <w:p w14:paraId="127CAB20" w14:textId="77777777" w:rsidR="00432C41" w:rsidRPr="0017699B" w:rsidRDefault="00432C41" w:rsidP="00432C41">
            <w:pPr>
              <w:autoSpaceDE w:val="0"/>
              <w:autoSpaceDN w:val="0"/>
              <w:bidi/>
              <w:adjustRightInd w:val="0"/>
              <w:rPr>
                <w:rFonts w:cs="Calibri"/>
                <w:sz w:val="16"/>
                <w:szCs w:val="16"/>
                <w:rtl/>
              </w:rPr>
            </w:pPr>
            <w:r w:rsidRPr="0017699B">
              <w:rPr>
                <w:rFonts w:cs="Calibri" w:hint="cs"/>
                <w:sz w:val="16"/>
                <w:szCs w:val="16"/>
                <w:rtl/>
              </w:rPr>
              <w:t>المقاييس و</w:t>
            </w:r>
          </w:p>
          <w:p w14:paraId="2AC49208" w14:textId="2583FF1F" w:rsidR="00DA0057" w:rsidRPr="0017699B" w:rsidRDefault="00432C41" w:rsidP="00432C41">
            <w:pPr>
              <w:autoSpaceDE w:val="0"/>
              <w:autoSpaceDN w:val="0"/>
              <w:bidi/>
              <w:adjustRightInd w:val="0"/>
              <w:rPr>
                <w:rFonts w:cs="Calibri"/>
                <w:sz w:val="16"/>
                <w:szCs w:val="16"/>
                <w:rtl/>
              </w:rPr>
            </w:pPr>
            <w:r w:rsidRPr="0017699B">
              <w:rPr>
                <w:rFonts w:cs="Calibri" w:hint="cs"/>
                <w:sz w:val="16"/>
                <w:szCs w:val="16"/>
                <w:rtl/>
              </w:rPr>
              <w:t>الأداء في التقرير السنوي.</w:t>
            </w:r>
          </w:p>
        </w:tc>
        <w:tc>
          <w:tcPr>
            <w:tcW w:w="2159" w:type="dxa"/>
          </w:tcPr>
          <w:p w14:paraId="52230EBA" w14:textId="6D29CD00" w:rsidR="00DA0057" w:rsidRPr="0017699B" w:rsidRDefault="007D2DCA" w:rsidP="00432C41">
            <w:pPr>
              <w:autoSpaceDE w:val="0"/>
              <w:autoSpaceDN w:val="0"/>
              <w:bidi/>
              <w:adjustRightInd w:val="0"/>
              <w:spacing w:before="60" w:after="60"/>
              <w:rPr>
                <w:rFonts w:eastAsia="Arial" w:cs="Calibri"/>
                <w:sz w:val="16"/>
                <w:szCs w:val="16"/>
                <w:rtl/>
              </w:rPr>
            </w:pPr>
            <w:r w:rsidRPr="0017699B">
              <w:rPr>
                <w:rFonts w:cs="Calibri" w:hint="cs"/>
                <w:sz w:val="16"/>
                <w:szCs w:val="16"/>
                <w:rtl/>
              </w:rPr>
              <w:t>موافقة</w:t>
            </w:r>
          </w:p>
        </w:tc>
        <w:tc>
          <w:tcPr>
            <w:tcW w:w="2273" w:type="dxa"/>
          </w:tcPr>
          <w:p w14:paraId="5C222507" w14:textId="38E9FEB5" w:rsidR="008C6D02" w:rsidRPr="0017699B" w:rsidRDefault="5E737F7A" w:rsidP="00432C41">
            <w:pPr>
              <w:bidi/>
              <w:spacing w:before="60" w:after="60"/>
              <w:ind w:left="57" w:right="57"/>
              <w:textAlignment w:val="baseline"/>
              <w:rPr>
                <w:rFonts w:eastAsia="Times New Roman" w:cs="Calibri"/>
                <w:sz w:val="16"/>
                <w:szCs w:val="16"/>
                <w:rtl/>
              </w:rPr>
            </w:pPr>
            <w:r w:rsidRPr="0017699B">
              <w:rPr>
                <w:rFonts w:cs="Calibri" w:hint="cs"/>
                <w:sz w:val="16"/>
                <w:szCs w:val="16"/>
                <w:rtl/>
              </w:rPr>
              <w:t>وشاركت الويبو في اجتماعات فرقة عمل الأمم المتحدة المعنية بمعايير المحاسبة، وانضمت إلى المناقشات بشأن مسودة كشف الإفصاحات المتعلقة بالمعايير المحاسبية الدولية للقطاع العام (</w:t>
            </w:r>
            <w:r w:rsidRPr="0017699B">
              <w:rPr>
                <w:rFonts w:cs="Calibri"/>
                <w:sz w:val="16"/>
                <w:szCs w:val="16"/>
              </w:rPr>
              <w:t>IPSASB</w:t>
            </w:r>
            <w:r w:rsidRPr="0017699B">
              <w:rPr>
                <w:rFonts w:cs="Calibri" w:hint="cs"/>
                <w:sz w:val="16"/>
                <w:szCs w:val="16"/>
                <w:rtl/>
              </w:rPr>
              <w:t>) التابعة لمجلس المعايير المحاسبية الدولية للقطاع العام (</w:t>
            </w:r>
            <w:r w:rsidRPr="0017699B">
              <w:rPr>
                <w:rFonts w:cs="Calibri"/>
                <w:sz w:val="16"/>
                <w:szCs w:val="16"/>
              </w:rPr>
              <w:t>IPSASB</w:t>
            </w:r>
            <w:r w:rsidRPr="0017699B">
              <w:rPr>
                <w:rFonts w:cs="Calibri" w:hint="cs"/>
                <w:sz w:val="16"/>
                <w:szCs w:val="16"/>
                <w:rtl/>
              </w:rPr>
              <w:t xml:space="preserve">)، وساهمت بتعليقاتها من خلال شبكة </w:t>
            </w:r>
            <w:r w:rsidRPr="0017699B">
              <w:rPr>
                <w:rFonts w:cs="Calibri"/>
                <w:sz w:val="16"/>
                <w:szCs w:val="16"/>
              </w:rPr>
              <w:t>FB</w:t>
            </w:r>
            <w:r w:rsidRPr="0017699B">
              <w:rPr>
                <w:rFonts w:cs="Calibri" w:hint="cs"/>
                <w:sz w:val="16"/>
                <w:szCs w:val="16"/>
                <w:rtl/>
              </w:rPr>
              <w:t xml:space="preserve">. أصدر مجلس المعايير المحاسبية الدولية للقطاع العام المعيار النهائي </w:t>
            </w:r>
            <w:r w:rsidRPr="0017699B">
              <w:rPr>
                <w:rFonts w:cs="Calibri"/>
                <w:sz w:val="16"/>
                <w:szCs w:val="16"/>
              </w:rPr>
              <w:t>SRS 1</w:t>
            </w:r>
            <w:r w:rsidRPr="0017699B">
              <w:rPr>
                <w:rFonts w:cs="Calibri" w:hint="cs"/>
                <w:sz w:val="16"/>
                <w:szCs w:val="16"/>
                <w:rtl/>
              </w:rPr>
              <w:t xml:space="preserve"> للإفصاحات المتعلقة بالمناخ في يناير 2026، مع تاريخ تنفيذ إلزامي في 1 يناير 2028. وقد أدرجت الويبو بالفعل سرداً شاملاً للاستدامة في بياناتها المالية السنوية.</w:t>
            </w:r>
          </w:p>
          <w:p w14:paraId="24F37714" w14:textId="77777777" w:rsidR="008C6D02" w:rsidRPr="0017699B" w:rsidRDefault="5E737F7A" w:rsidP="00432C41">
            <w:pPr>
              <w:bidi/>
              <w:spacing w:before="60" w:after="60"/>
              <w:ind w:left="57" w:right="57"/>
              <w:textAlignment w:val="baseline"/>
              <w:rPr>
                <w:rFonts w:eastAsia="Times New Roman" w:cs="Calibri"/>
                <w:sz w:val="16"/>
                <w:szCs w:val="16"/>
                <w:rtl/>
              </w:rPr>
            </w:pPr>
            <w:r w:rsidRPr="0017699B">
              <w:rPr>
                <w:rFonts w:cs="Calibri" w:hint="cs"/>
                <w:sz w:val="16"/>
                <w:szCs w:val="16"/>
                <w:rtl/>
              </w:rPr>
              <w:t>وستقوم الويبو بتحليل المعيار النهائي، وستواصل العمل مع مجلس المعايير المحاسبية الدولية للقطاع العام ومع صندوق الأمم المتحدة للمعايير المحاسبية الدولية للقطاع العام وشبكة الأمم المتحدة للمعايير المحاسبية الدولية للقطاع العام. وستتواءم الويبو مع النهج المتفق عليه في منظومة الأمم المتحدة ككل، وستواصل تقديم الإفصاح السردي عن الاستدامة في البيانات المالية إلى أن تختار منظومة الأمم المتحدة المضي قدما في التنفيذ الكامل للمعيار 1 من المعايير المحاسبية الدولية للقطاع العام.</w:t>
            </w:r>
          </w:p>
          <w:p w14:paraId="2B2C0592" w14:textId="77777777" w:rsidR="008C6D02" w:rsidRPr="0017699B" w:rsidRDefault="5E737F7A" w:rsidP="00432C41">
            <w:pPr>
              <w:bidi/>
              <w:spacing w:before="60" w:after="60"/>
              <w:ind w:left="57" w:right="57"/>
              <w:textAlignment w:val="baseline"/>
              <w:rPr>
                <w:rFonts w:eastAsia="Times New Roman" w:cs="Calibri"/>
                <w:sz w:val="16"/>
                <w:szCs w:val="16"/>
                <w:rtl/>
              </w:rPr>
            </w:pPr>
            <w:r w:rsidRPr="0017699B">
              <w:rPr>
                <w:rFonts w:cs="Calibri" w:hint="cs"/>
                <w:sz w:val="16"/>
                <w:szCs w:val="16"/>
                <w:rtl/>
              </w:rPr>
              <w:t>تعتبر الإدارة أن هذه التوصية قد تم تنفيذها.</w:t>
            </w:r>
          </w:p>
          <w:p w14:paraId="25F8DCE6" w14:textId="77777777" w:rsidR="00DA0057" w:rsidRPr="0017699B" w:rsidRDefault="00DA0057" w:rsidP="00432C41">
            <w:pPr>
              <w:pStyle w:val="ListParagraph"/>
              <w:spacing w:before="60" w:after="60"/>
              <w:ind w:left="0"/>
              <w:contextualSpacing w:val="0"/>
              <w:rPr>
                <w:rFonts w:cs="Calibri"/>
                <w:sz w:val="16"/>
                <w:szCs w:val="16"/>
              </w:rPr>
            </w:pPr>
          </w:p>
        </w:tc>
        <w:tc>
          <w:tcPr>
            <w:tcW w:w="2126" w:type="dxa"/>
          </w:tcPr>
          <w:p w14:paraId="562DAC05" w14:textId="0D24F0AF" w:rsidR="00145654" w:rsidRPr="0017699B" w:rsidRDefault="33AD4B17" w:rsidP="00432C41">
            <w:pPr>
              <w:bidi/>
              <w:spacing w:before="60" w:after="60"/>
              <w:rPr>
                <w:rFonts w:eastAsia="Times New Roman" w:cs="Calibri"/>
                <w:sz w:val="16"/>
                <w:szCs w:val="16"/>
                <w:rtl/>
              </w:rPr>
            </w:pPr>
            <w:r w:rsidRPr="0017699B">
              <w:rPr>
                <w:rFonts w:cs="Calibri" w:hint="cs"/>
                <w:sz w:val="16"/>
                <w:szCs w:val="16"/>
                <w:rtl/>
              </w:rPr>
              <w:t>وننوه بالمشاركة النشطة للويبو في فريق عمل الأمم المتحدة المعني بمعايير المحاسبة، ومجلس المعايير المحاسبية الدولية للقطاع العام (</w:t>
            </w:r>
            <w:r w:rsidRPr="0017699B">
              <w:rPr>
                <w:rFonts w:cs="Calibri"/>
                <w:sz w:val="16"/>
                <w:szCs w:val="16"/>
              </w:rPr>
              <w:t>IPSASB</w:t>
            </w:r>
            <w:r w:rsidRPr="0017699B">
              <w:rPr>
                <w:rFonts w:cs="Calibri" w:hint="cs"/>
                <w:sz w:val="16"/>
                <w:szCs w:val="16"/>
                <w:rtl/>
              </w:rPr>
              <w:t xml:space="preserve">) في مسودة كشف الإفصاحات المتعلقة بالمناخ، وشبكة </w:t>
            </w:r>
            <w:r w:rsidRPr="0017699B">
              <w:rPr>
                <w:rFonts w:cs="Calibri"/>
                <w:sz w:val="16"/>
                <w:szCs w:val="16"/>
              </w:rPr>
              <w:t>FB</w:t>
            </w:r>
            <w:r w:rsidRPr="0017699B">
              <w:rPr>
                <w:rFonts w:cs="Calibri" w:hint="cs"/>
                <w:sz w:val="16"/>
                <w:szCs w:val="16"/>
                <w:rtl/>
              </w:rPr>
              <w:t>.</w:t>
            </w:r>
          </w:p>
          <w:p w14:paraId="362FED9C" w14:textId="1E8A5969" w:rsidR="009F7690" w:rsidRPr="0017699B" w:rsidRDefault="00F13DCC" w:rsidP="009F7690">
            <w:pPr>
              <w:bidi/>
              <w:spacing w:before="60" w:after="60"/>
              <w:rPr>
                <w:rFonts w:eastAsia="Times New Roman" w:cs="Calibri"/>
                <w:sz w:val="16"/>
                <w:szCs w:val="16"/>
                <w:rtl/>
              </w:rPr>
            </w:pPr>
            <w:r w:rsidRPr="0017699B">
              <w:rPr>
                <w:rFonts w:cs="Calibri" w:hint="cs"/>
                <w:sz w:val="16"/>
                <w:szCs w:val="16"/>
                <w:rtl/>
              </w:rPr>
              <w:t xml:space="preserve">وبالنظر إلى أنه لم يتم التوصل إلى اتفاق بشأن تطبيق المعيار </w:t>
            </w:r>
            <w:r w:rsidRPr="0017699B">
              <w:rPr>
                <w:rFonts w:cs="Calibri"/>
                <w:sz w:val="16"/>
                <w:szCs w:val="16"/>
              </w:rPr>
              <w:t>SRS 1</w:t>
            </w:r>
            <w:r w:rsidRPr="0017699B">
              <w:rPr>
                <w:rFonts w:cs="Calibri" w:hint="cs"/>
                <w:sz w:val="16"/>
                <w:szCs w:val="16"/>
                <w:rtl/>
              </w:rPr>
              <w:t xml:space="preserve"> للإفصاحات المتعلقة بالمناخ داخل منظومة الأمم المتحدة، فإننا نعتبر أن هذه التوصية قد تجاوزتها الأحداث.</w:t>
            </w:r>
          </w:p>
          <w:p w14:paraId="573F2989" w14:textId="05423145" w:rsidR="00DA0057" w:rsidRPr="0017699B" w:rsidRDefault="00DA0057" w:rsidP="009F7690">
            <w:pPr>
              <w:spacing w:before="60" w:after="60"/>
              <w:rPr>
                <w:rFonts w:cs="Calibri"/>
                <w:sz w:val="16"/>
                <w:szCs w:val="16"/>
              </w:rPr>
            </w:pPr>
          </w:p>
        </w:tc>
        <w:tc>
          <w:tcPr>
            <w:tcW w:w="1703" w:type="dxa"/>
          </w:tcPr>
          <w:p w14:paraId="2D295FA3" w14:textId="3AB3D2B1" w:rsidR="00DA0057" w:rsidRPr="0017699B" w:rsidRDefault="33AD4B17" w:rsidP="00432C41">
            <w:pPr>
              <w:bidi/>
              <w:spacing w:before="60" w:after="60"/>
              <w:rPr>
                <w:rFonts w:cs="Calibri"/>
                <w:sz w:val="16"/>
                <w:szCs w:val="16"/>
                <w:rtl/>
              </w:rPr>
            </w:pPr>
            <w:r w:rsidRPr="0017699B">
              <w:rPr>
                <w:rFonts w:cs="Calibri"/>
                <w:b/>
                <w:bCs/>
                <w:sz w:val="16"/>
                <w:szCs w:val="16"/>
              </w:rPr>
              <w:t>Closed</w:t>
            </w:r>
          </w:p>
        </w:tc>
      </w:tr>
    </w:tbl>
    <w:p w14:paraId="18ED3260" w14:textId="77777777" w:rsidR="00E96ABD" w:rsidRPr="0017699B" w:rsidRDefault="00E96ABD" w:rsidP="00A76200">
      <w:pPr>
        <w:rPr>
          <w:rFonts w:cs="Calibri"/>
        </w:rPr>
        <w:sectPr w:rsidR="00E96ABD" w:rsidRPr="0017699B" w:rsidSect="001A6952">
          <w:headerReference w:type="even" r:id="rId31"/>
          <w:headerReference w:type="default" r:id="rId32"/>
          <w:footerReference w:type="default" r:id="rId33"/>
          <w:headerReference w:type="first" r:id="rId34"/>
          <w:pgSz w:w="16838" w:h="11906" w:orient="landscape" w:code="9"/>
          <w:pgMar w:top="1168" w:right="1814" w:bottom="1168" w:left="1247" w:header="709" w:footer="680" w:gutter="0"/>
          <w:pgNumType w:start="1"/>
          <w:cols w:space="708"/>
          <w:titlePg/>
          <w:docGrid w:linePitch="360"/>
        </w:sectPr>
      </w:pPr>
    </w:p>
    <w:p w14:paraId="267CFAD0" w14:textId="5C04E200" w:rsidR="005333E6" w:rsidRPr="0017699B" w:rsidRDefault="005333E6" w:rsidP="0060450F">
      <w:pPr>
        <w:pStyle w:val="Heading6"/>
        <w:bidi/>
        <w:jc w:val="center"/>
        <w:rPr>
          <w:rFonts w:ascii="Arial" w:hAnsi="Arial" w:cs="Calibri"/>
          <w:rtl/>
        </w:rPr>
      </w:pPr>
      <w:bookmarkStart w:id="221" w:name="_Toc222223530"/>
      <w:bookmarkStart w:id="222" w:name="_Toc227826049"/>
      <w:bookmarkStart w:id="223" w:name="_Toc230784747"/>
      <w:r w:rsidRPr="0017699B">
        <w:rPr>
          <w:rFonts w:ascii="Arial" w:hAnsi="Arial" w:cs="Calibri" w:hint="cs"/>
          <w:rtl/>
        </w:rPr>
        <w:t>المرفق 2.</w:t>
      </w:r>
      <w:bookmarkEnd w:id="221"/>
      <w:r w:rsidRPr="0017699B">
        <w:rPr>
          <w:rFonts w:ascii="Arial" w:hAnsi="Arial" w:cs="Calibri" w:hint="cs"/>
          <w:rtl/>
        </w:rPr>
        <w:t xml:space="preserve"> قائمة المختصرات الواردة في النسخة الإنكليزية</w:t>
      </w:r>
      <w:bookmarkEnd w:id="222"/>
      <w:bookmarkEnd w:id="223"/>
    </w:p>
    <w:p w14:paraId="425EF6D6" w14:textId="77777777" w:rsidR="00B44F8B" w:rsidRPr="0017699B" w:rsidRDefault="00B44F8B" w:rsidP="00B44F8B">
      <w:pPr>
        <w:rPr>
          <w:rFonts w:cs="Calibri"/>
        </w:rPr>
      </w:pPr>
    </w:p>
    <w:tbl>
      <w:tblPr>
        <w:tblStyle w:val="TableGrid"/>
        <w:bidiVisual/>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655"/>
      </w:tblGrid>
      <w:tr w:rsidR="00E95C23" w:rsidRPr="0017699B" w14:paraId="6316900B" w14:textId="77777777" w:rsidTr="00FF3B92">
        <w:tc>
          <w:tcPr>
            <w:tcW w:w="1985" w:type="dxa"/>
          </w:tcPr>
          <w:p w14:paraId="5B68B062" w14:textId="0B566008" w:rsidR="00E95C23" w:rsidRPr="0017699B" w:rsidRDefault="79374EB5" w:rsidP="007E6D8F">
            <w:pPr>
              <w:bidi/>
              <w:spacing w:before="40"/>
              <w:rPr>
                <w:rFonts w:eastAsiaTheme="majorEastAsia" w:cs="Calibri"/>
                <w:rtl/>
              </w:rPr>
            </w:pPr>
            <w:r w:rsidRPr="0017699B">
              <w:rPr>
                <w:rFonts w:cs="Calibri"/>
              </w:rPr>
              <w:t>ACI</w:t>
            </w:r>
          </w:p>
        </w:tc>
        <w:tc>
          <w:tcPr>
            <w:tcW w:w="283" w:type="dxa"/>
          </w:tcPr>
          <w:p w14:paraId="5A438C52" w14:textId="71EDFDA0"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6C6B1521" w14:textId="71E84ACC" w:rsidR="00E95C23" w:rsidRPr="0017699B" w:rsidRDefault="79374EB5" w:rsidP="007E6D8F">
            <w:pPr>
              <w:bidi/>
              <w:spacing w:before="40"/>
              <w:rPr>
                <w:rFonts w:eastAsia="Times New Roman" w:cs="Calibri"/>
                <w:rtl/>
              </w:rPr>
            </w:pPr>
            <w:r w:rsidRPr="0017699B">
              <w:rPr>
                <w:rFonts w:cs="Calibri" w:hint="cs"/>
                <w:rtl/>
              </w:rPr>
              <w:t>اللجنة الاستشارية المعنية بالاستثمارات</w:t>
            </w:r>
          </w:p>
        </w:tc>
      </w:tr>
      <w:tr w:rsidR="66DE4C64" w:rsidRPr="0017699B" w14:paraId="191E0ADC" w14:textId="77777777" w:rsidTr="00FF3B92">
        <w:trPr>
          <w:trHeight w:val="300"/>
        </w:trPr>
        <w:tc>
          <w:tcPr>
            <w:tcW w:w="1985" w:type="dxa"/>
          </w:tcPr>
          <w:p w14:paraId="5D484938" w14:textId="5AD125C4" w:rsidR="5FD1FE2E" w:rsidRPr="0017699B" w:rsidRDefault="5FD1FE2E" w:rsidP="007E6D8F">
            <w:pPr>
              <w:bidi/>
              <w:spacing w:before="40"/>
              <w:rPr>
                <w:rFonts w:eastAsiaTheme="majorEastAsia" w:cs="Calibri"/>
                <w:rtl/>
              </w:rPr>
            </w:pPr>
            <w:r w:rsidRPr="0017699B">
              <w:rPr>
                <w:rFonts w:cs="Calibri"/>
              </w:rPr>
              <w:t>AI</w:t>
            </w:r>
          </w:p>
        </w:tc>
        <w:tc>
          <w:tcPr>
            <w:tcW w:w="283" w:type="dxa"/>
          </w:tcPr>
          <w:p w14:paraId="40C5AA64" w14:textId="533D12FB" w:rsidR="5FD1FE2E" w:rsidRPr="0017699B" w:rsidRDefault="5FD1FE2E" w:rsidP="007E6D8F">
            <w:pPr>
              <w:bidi/>
              <w:spacing w:before="40"/>
              <w:rPr>
                <w:rFonts w:eastAsiaTheme="majorEastAsia" w:cs="Calibri"/>
                <w:rtl/>
              </w:rPr>
            </w:pPr>
            <w:r w:rsidRPr="0017699B">
              <w:rPr>
                <w:rFonts w:cs="Calibri" w:hint="cs"/>
                <w:rtl/>
              </w:rPr>
              <w:t>:</w:t>
            </w:r>
          </w:p>
        </w:tc>
        <w:tc>
          <w:tcPr>
            <w:tcW w:w="7655" w:type="dxa"/>
          </w:tcPr>
          <w:p w14:paraId="0CCB25EE" w14:textId="2A0B2E56" w:rsidR="5FD1FE2E" w:rsidRPr="0017699B" w:rsidRDefault="5FD1FE2E" w:rsidP="007E6D8F">
            <w:pPr>
              <w:bidi/>
              <w:spacing w:before="40"/>
              <w:rPr>
                <w:rFonts w:cs="Calibri"/>
                <w:rtl/>
              </w:rPr>
            </w:pPr>
            <w:r w:rsidRPr="0017699B">
              <w:rPr>
                <w:rFonts w:cs="Calibri" w:hint="cs"/>
                <w:rtl/>
              </w:rPr>
              <w:t>الذكاء الاصطناعي</w:t>
            </w:r>
          </w:p>
        </w:tc>
      </w:tr>
      <w:tr w:rsidR="00E95C23" w:rsidRPr="0017699B" w14:paraId="1E842B7C" w14:textId="77777777" w:rsidTr="00FF3B92">
        <w:tc>
          <w:tcPr>
            <w:tcW w:w="1985" w:type="dxa"/>
          </w:tcPr>
          <w:p w14:paraId="73A0D5FA" w14:textId="77777777" w:rsidR="00E95C23" w:rsidRPr="0017699B" w:rsidRDefault="6480D3C6" w:rsidP="007E6D8F">
            <w:pPr>
              <w:bidi/>
              <w:spacing w:before="40"/>
              <w:rPr>
                <w:rFonts w:eastAsiaTheme="majorEastAsia" w:cs="Calibri"/>
                <w:rtl/>
              </w:rPr>
            </w:pPr>
            <w:r w:rsidRPr="0017699B">
              <w:rPr>
                <w:rFonts w:cs="Calibri"/>
              </w:rPr>
              <w:t>AIMS</w:t>
            </w:r>
            <w:r w:rsidRPr="0017699B">
              <w:rPr>
                <w:rFonts w:cs="Calibri" w:hint="cs"/>
                <w:rtl/>
              </w:rPr>
              <w:t xml:space="preserve"> </w:t>
            </w:r>
          </w:p>
        </w:tc>
        <w:tc>
          <w:tcPr>
            <w:tcW w:w="283" w:type="dxa"/>
          </w:tcPr>
          <w:p w14:paraId="7C3DCBCE"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69C0A4EE" w14:textId="77777777" w:rsidR="00E95C23" w:rsidRPr="0017699B" w:rsidRDefault="6480D3C6" w:rsidP="007E6D8F">
            <w:pPr>
              <w:bidi/>
              <w:spacing w:before="40"/>
              <w:rPr>
                <w:rFonts w:eastAsia="Times New Roman" w:cs="Calibri"/>
                <w:rtl/>
              </w:rPr>
            </w:pPr>
            <w:r w:rsidRPr="0017699B">
              <w:rPr>
                <w:rFonts w:cs="Calibri" w:hint="cs"/>
                <w:rtl/>
              </w:rPr>
              <w:t>نظام الإدارة المتكاملة</w:t>
            </w:r>
          </w:p>
        </w:tc>
      </w:tr>
      <w:tr w:rsidR="00E95C23" w:rsidRPr="0017699B" w14:paraId="38EA7F06" w14:textId="77777777" w:rsidTr="00FF3B92">
        <w:tc>
          <w:tcPr>
            <w:tcW w:w="1985" w:type="dxa"/>
          </w:tcPr>
          <w:p w14:paraId="4F84F289" w14:textId="77777777" w:rsidR="00E95C23" w:rsidRPr="0017699B" w:rsidRDefault="6480D3C6" w:rsidP="007E6D8F">
            <w:pPr>
              <w:bidi/>
              <w:spacing w:before="40"/>
              <w:rPr>
                <w:rFonts w:eastAsiaTheme="majorEastAsia" w:cs="Calibri"/>
                <w:rtl/>
              </w:rPr>
            </w:pPr>
            <w:r w:rsidRPr="0017699B">
              <w:rPr>
                <w:rFonts w:cs="Calibri"/>
              </w:rPr>
              <w:t>ASHI</w:t>
            </w:r>
          </w:p>
        </w:tc>
        <w:tc>
          <w:tcPr>
            <w:tcW w:w="283" w:type="dxa"/>
          </w:tcPr>
          <w:p w14:paraId="3A595E57"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11851104" w14:textId="77777777" w:rsidR="00E95C23" w:rsidRPr="0017699B" w:rsidRDefault="6480D3C6" w:rsidP="007E6D8F">
            <w:pPr>
              <w:bidi/>
              <w:spacing w:before="40"/>
              <w:rPr>
                <w:rFonts w:cs="Calibri"/>
                <w:rtl/>
              </w:rPr>
            </w:pPr>
            <w:r w:rsidRPr="0017699B">
              <w:rPr>
                <w:rFonts w:cs="Calibri" w:hint="cs"/>
                <w:rtl/>
              </w:rPr>
              <w:t xml:space="preserve">التأمين الصحي بعد انتهاء الخدمة </w:t>
            </w:r>
          </w:p>
        </w:tc>
      </w:tr>
      <w:tr w:rsidR="009B21E4" w:rsidRPr="0017699B" w14:paraId="1CE7321A" w14:textId="77777777" w:rsidTr="00FF3B92">
        <w:tc>
          <w:tcPr>
            <w:tcW w:w="1985" w:type="dxa"/>
          </w:tcPr>
          <w:p w14:paraId="13676DC8" w14:textId="1FC3CD34" w:rsidR="009B21E4" w:rsidRPr="0017699B" w:rsidRDefault="79374EB5" w:rsidP="007E6D8F">
            <w:pPr>
              <w:bidi/>
              <w:spacing w:before="40"/>
              <w:rPr>
                <w:rFonts w:eastAsiaTheme="majorEastAsia" w:cs="Calibri"/>
                <w:rtl/>
              </w:rPr>
            </w:pPr>
            <w:r w:rsidRPr="0017699B">
              <w:rPr>
                <w:rFonts w:cs="Calibri"/>
              </w:rPr>
              <w:t>BDS</w:t>
            </w:r>
          </w:p>
        </w:tc>
        <w:tc>
          <w:tcPr>
            <w:tcW w:w="283" w:type="dxa"/>
          </w:tcPr>
          <w:p w14:paraId="01EB3A7F" w14:textId="35A400E2" w:rsidR="009B21E4" w:rsidRPr="0017699B" w:rsidRDefault="79374EB5" w:rsidP="007E6D8F">
            <w:pPr>
              <w:bidi/>
              <w:spacing w:before="40"/>
              <w:rPr>
                <w:rFonts w:eastAsiaTheme="majorEastAsia" w:cs="Calibri"/>
                <w:rtl/>
              </w:rPr>
            </w:pPr>
            <w:r w:rsidRPr="0017699B">
              <w:rPr>
                <w:rFonts w:cs="Calibri" w:hint="cs"/>
                <w:rtl/>
              </w:rPr>
              <w:t>:</w:t>
            </w:r>
          </w:p>
        </w:tc>
        <w:tc>
          <w:tcPr>
            <w:tcW w:w="7655" w:type="dxa"/>
          </w:tcPr>
          <w:p w14:paraId="382FCD63" w14:textId="1ECA3297" w:rsidR="009B21E4" w:rsidRPr="0017699B" w:rsidRDefault="79374EB5" w:rsidP="007E6D8F">
            <w:pPr>
              <w:bidi/>
              <w:spacing w:before="40"/>
              <w:rPr>
                <w:rStyle w:val="normaltextrun"/>
                <w:rFonts w:cs="Calibri"/>
                <w:rtl/>
              </w:rPr>
            </w:pPr>
            <w:r w:rsidRPr="0017699B">
              <w:rPr>
                <w:rStyle w:val="normaltextrun"/>
                <w:rFonts w:cs="Calibri" w:hint="cs"/>
                <w:rtl/>
              </w:rPr>
              <w:t>قطاع العلامات التجارية والتصاميم</w:t>
            </w:r>
          </w:p>
        </w:tc>
      </w:tr>
      <w:tr w:rsidR="004F118A" w:rsidRPr="0017699B" w14:paraId="23D026FD" w14:textId="77777777" w:rsidTr="00FF3B92">
        <w:tc>
          <w:tcPr>
            <w:tcW w:w="1985" w:type="dxa"/>
          </w:tcPr>
          <w:p w14:paraId="6C6A1B60" w14:textId="1E41BEF8" w:rsidR="004F118A" w:rsidRPr="0017699B" w:rsidRDefault="004F118A" w:rsidP="007E6D8F">
            <w:pPr>
              <w:bidi/>
              <w:spacing w:before="40"/>
              <w:rPr>
                <w:rFonts w:eastAsiaTheme="majorEastAsia" w:cs="Calibri"/>
                <w:rtl/>
              </w:rPr>
            </w:pPr>
            <w:r w:rsidRPr="0017699B">
              <w:rPr>
                <w:rFonts w:cs="Calibri"/>
              </w:rPr>
              <w:t>BMS</w:t>
            </w:r>
          </w:p>
        </w:tc>
        <w:tc>
          <w:tcPr>
            <w:tcW w:w="283" w:type="dxa"/>
          </w:tcPr>
          <w:p w14:paraId="3DA92D82" w14:textId="5B47E897" w:rsidR="004F118A" w:rsidRPr="0017699B" w:rsidRDefault="004F118A" w:rsidP="007E6D8F">
            <w:pPr>
              <w:bidi/>
              <w:spacing w:before="40"/>
              <w:rPr>
                <w:rFonts w:eastAsiaTheme="majorEastAsia" w:cs="Calibri"/>
                <w:rtl/>
              </w:rPr>
            </w:pPr>
            <w:r w:rsidRPr="0017699B">
              <w:rPr>
                <w:rFonts w:cs="Calibri" w:hint="cs"/>
                <w:rtl/>
              </w:rPr>
              <w:t>:</w:t>
            </w:r>
          </w:p>
        </w:tc>
        <w:tc>
          <w:tcPr>
            <w:tcW w:w="7655" w:type="dxa"/>
          </w:tcPr>
          <w:p w14:paraId="1E43A2FB" w14:textId="16C1BC5D" w:rsidR="004F118A" w:rsidRPr="0017699B" w:rsidRDefault="004F118A" w:rsidP="007E6D8F">
            <w:pPr>
              <w:bidi/>
              <w:spacing w:before="40"/>
              <w:rPr>
                <w:rStyle w:val="normaltextrun"/>
                <w:rFonts w:cs="Calibri"/>
                <w:rtl/>
              </w:rPr>
            </w:pPr>
            <w:r w:rsidRPr="0017699B">
              <w:rPr>
                <w:rStyle w:val="normaltextrun"/>
                <w:rFonts w:cs="Calibri" w:hint="cs"/>
                <w:rtl/>
              </w:rPr>
              <w:t>نظام إدارة المباني</w:t>
            </w:r>
          </w:p>
        </w:tc>
      </w:tr>
      <w:tr w:rsidR="00E95C23" w:rsidRPr="0017699B" w14:paraId="3ECD4D5B" w14:textId="77777777" w:rsidTr="00FF3B92">
        <w:tc>
          <w:tcPr>
            <w:tcW w:w="1985" w:type="dxa"/>
          </w:tcPr>
          <w:p w14:paraId="48E763FA" w14:textId="77777777" w:rsidR="00E95C23" w:rsidRPr="0017699B" w:rsidRDefault="6480D3C6" w:rsidP="007E6D8F">
            <w:pPr>
              <w:bidi/>
              <w:spacing w:before="40"/>
              <w:rPr>
                <w:rFonts w:eastAsiaTheme="majorEastAsia" w:cs="Calibri"/>
                <w:rtl/>
              </w:rPr>
            </w:pPr>
            <w:r w:rsidRPr="0017699B">
              <w:rPr>
                <w:rFonts w:cs="Calibri"/>
              </w:rPr>
              <w:t>BPK</w:t>
            </w:r>
          </w:p>
        </w:tc>
        <w:tc>
          <w:tcPr>
            <w:tcW w:w="283" w:type="dxa"/>
          </w:tcPr>
          <w:p w14:paraId="6FF35AFD"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65F68EB3" w14:textId="77777777" w:rsidR="00E95C23" w:rsidRPr="0017699B" w:rsidRDefault="6480D3C6" w:rsidP="007E6D8F">
            <w:pPr>
              <w:bidi/>
              <w:spacing w:before="40"/>
              <w:rPr>
                <w:rFonts w:eastAsiaTheme="majorEastAsia" w:cs="Calibri"/>
                <w:rtl/>
              </w:rPr>
            </w:pPr>
            <w:r w:rsidRPr="0017699B">
              <w:rPr>
                <w:rFonts w:cs="Calibri" w:hint="cs"/>
                <w:rtl/>
              </w:rPr>
              <w:t>مجلس التدقيق في جمهورية إندونيسيا</w:t>
            </w:r>
          </w:p>
        </w:tc>
      </w:tr>
      <w:tr w:rsidR="00FA1CF1" w:rsidRPr="0017699B" w14:paraId="66707BF7" w14:textId="77777777" w:rsidTr="00FF3B92">
        <w:tc>
          <w:tcPr>
            <w:tcW w:w="1985" w:type="dxa"/>
          </w:tcPr>
          <w:p w14:paraId="4AE5D927" w14:textId="5879A716" w:rsidR="00FA1CF1" w:rsidRPr="0017699B" w:rsidRDefault="001A6952" w:rsidP="007E6D8F">
            <w:pPr>
              <w:bidi/>
              <w:spacing w:before="40"/>
              <w:rPr>
                <w:rFonts w:eastAsiaTheme="majorEastAsia" w:cs="Calibri"/>
                <w:rtl/>
              </w:rPr>
            </w:pPr>
            <w:r>
              <w:rPr>
                <w:rFonts w:cs="Calibri"/>
              </w:rPr>
              <w:t>CP</w:t>
            </w:r>
          </w:p>
        </w:tc>
        <w:tc>
          <w:tcPr>
            <w:tcW w:w="283" w:type="dxa"/>
          </w:tcPr>
          <w:p w14:paraId="6EC88402" w14:textId="367D9744" w:rsidR="00FA1CF1" w:rsidRPr="0017699B" w:rsidRDefault="00FA1CF1" w:rsidP="007E6D8F">
            <w:pPr>
              <w:bidi/>
              <w:spacing w:before="40"/>
              <w:rPr>
                <w:rFonts w:eastAsiaTheme="majorEastAsia" w:cs="Calibri"/>
                <w:rtl/>
              </w:rPr>
            </w:pPr>
            <w:r w:rsidRPr="0017699B">
              <w:rPr>
                <w:rFonts w:cs="Calibri" w:hint="cs"/>
                <w:rtl/>
              </w:rPr>
              <w:t>:</w:t>
            </w:r>
          </w:p>
        </w:tc>
        <w:tc>
          <w:tcPr>
            <w:tcW w:w="7655" w:type="dxa"/>
          </w:tcPr>
          <w:p w14:paraId="1D7D2E93" w14:textId="16FAD34B" w:rsidR="00FA1CF1" w:rsidRPr="0017699B" w:rsidRDefault="00FA1CF1" w:rsidP="007E6D8F">
            <w:pPr>
              <w:bidi/>
              <w:spacing w:before="40"/>
              <w:rPr>
                <w:rFonts w:eastAsiaTheme="majorEastAsia" w:cs="Calibri"/>
                <w:rtl/>
              </w:rPr>
            </w:pPr>
            <w:r w:rsidRPr="0017699B">
              <w:rPr>
                <w:rFonts w:cs="Calibri" w:hint="cs"/>
                <w:rtl/>
              </w:rPr>
              <w:t>الطرف المتعاقد</w:t>
            </w:r>
          </w:p>
        </w:tc>
      </w:tr>
      <w:tr w:rsidR="00AD3142" w:rsidRPr="0017699B" w14:paraId="75DF3F70" w14:textId="77777777" w:rsidTr="00FF3B92">
        <w:tc>
          <w:tcPr>
            <w:tcW w:w="1985" w:type="dxa"/>
          </w:tcPr>
          <w:p w14:paraId="5C0546A1" w14:textId="3A6FA8C4" w:rsidR="00AD3142" w:rsidRPr="0017699B" w:rsidRDefault="00AD3142" w:rsidP="007E6D8F">
            <w:pPr>
              <w:bidi/>
              <w:spacing w:before="40"/>
              <w:rPr>
                <w:rFonts w:eastAsiaTheme="majorEastAsia" w:cs="Calibri"/>
                <w:rtl/>
              </w:rPr>
            </w:pPr>
            <w:r w:rsidRPr="0017699B">
              <w:rPr>
                <w:rFonts w:cs="Calibri"/>
              </w:rPr>
              <w:t>CSD</w:t>
            </w:r>
          </w:p>
        </w:tc>
        <w:tc>
          <w:tcPr>
            <w:tcW w:w="283" w:type="dxa"/>
          </w:tcPr>
          <w:p w14:paraId="5173743D" w14:textId="68AA3AE5" w:rsidR="00AD3142" w:rsidRPr="0017699B" w:rsidRDefault="00AD3142" w:rsidP="007E6D8F">
            <w:pPr>
              <w:bidi/>
              <w:spacing w:before="40"/>
              <w:rPr>
                <w:rFonts w:eastAsiaTheme="majorEastAsia" w:cs="Calibri"/>
                <w:rtl/>
              </w:rPr>
            </w:pPr>
            <w:r w:rsidRPr="0017699B">
              <w:rPr>
                <w:rFonts w:cs="Calibri" w:hint="cs"/>
                <w:rtl/>
              </w:rPr>
              <w:t>:</w:t>
            </w:r>
          </w:p>
        </w:tc>
        <w:tc>
          <w:tcPr>
            <w:tcW w:w="7655" w:type="dxa"/>
          </w:tcPr>
          <w:p w14:paraId="553F3BA0" w14:textId="7F26E4A0" w:rsidR="00AD3142" w:rsidRPr="0017699B" w:rsidRDefault="00AD3142" w:rsidP="007E6D8F">
            <w:pPr>
              <w:bidi/>
              <w:spacing w:before="40"/>
              <w:rPr>
                <w:rFonts w:eastAsiaTheme="majorEastAsia" w:cs="Calibri"/>
                <w:rtl/>
              </w:rPr>
            </w:pPr>
            <w:r w:rsidRPr="0017699B">
              <w:rPr>
                <w:rFonts w:cs="Calibri" w:hint="cs"/>
                <w:rtl/>
              </w:rPr>
              <w:t>شعبة الخدمات المركزية</w:t>
            </w:r>
          </w:p>
        </w:tc>
      </w:tr>
      <w:tr w:rsidR="00E95C23" w:rsidRPr="0017699B" w14:paraId="3684FF9A" w14:textId="77777777" w:rsidTr="00FF3B92">
        <w:trPr>
          <w:trHeight w:val="269"/>
        </w:trPr>
        <w:tc>
          <w:tcPr>
            <w:tcW w:w="1985" w:type="dxa"/>
          </w:tcPr>
          <w:p w14:paraId="651D7E36" w14:textId="77777777" w:rsidR="00E95C23" w:rsidRPr="0017699B" w:rsidRDefault="6480D3C6" w:rsidP="007E6D8F">
            <w:pPr>
              <w:bidi/>
              <w:spacing w:before="40"/>
              <w:rPr>
                <w:rFonts w:eastAsiaTheme="majorEastAsia" w:cs="Calibri"/>
                <w:rtl/>
              </w:rPr>
            </w:pPr>
            <w:r w:rsidRPr="0017699B">
              <w:rPr>
                <w:rFonts w:cs="Calibri"/>
              </w:rPr>
              <w:t>ED</w:t>
            </w:r>
          </w:p>
        </w:tc>
        <w:tc>
          <w:tcPr>
            <w:tcW w:w="283" w:type="dxa"/>
          </w:tcPr>
          <w:p w14:paraId="377FDBDF"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3F22D653" w14:textId="77777777" w:rsidR="00E95C23" w:rsidRPr="0017699B" w:rsidRDefault="6480D3C6" w:rsidP="007E6D8F">
            <w:pPr>
              <w:bidi/>
              <w:spacing w:before="40"/>
              <w:rPr>
                <w:rStyle w:val="normaltextrun"/>
                <w:rFonts w:cs="Calibri"/>
                <w:rtl/>
              </w:rPr>
            </w:pPr>
            <w:r w:rsidRPr="0017699B">
              <w:rPr>
                <w:rStyle w:val="normaltextrun"/>
                <w:rFonts w:cs="Calibri" w:hint="cs"/>
                <w:rtl/>
              </w:rPr>
              <w:t>مشروع الكشف</w:t>
            </w:r>
          </w:p>
        </w:tc>
      </w:tr>
      <w:tr w:rsidR="00E95C23" w:rsidRPr="0017699B" w14:paraId="1188CDBE" w14:textId="77777777" w:rsidTr="00FF3B92">
        <w:tc>
          <w:tcPr>
            <w:tcW w:w="1985" w:type="dxa"/>
          </w:tcPr>
          <w:p w14:paraId="274E7B6E" w14:textId="77777777" w:rsidR="00E95C23" w:rsidRPr="0017699B" w:rsidRDefault="6480D3C6" w:rsidP="007E6D8F">
            <w:pPr>
              <w:bidi/>
              <w:spacing w:before="40"/>
              <w:rPr>
                <w:rFonts w:eastAsiaTheme="majorEastAsia" w:cs="Calibri"/>
                <w:rtl/>
              </w:rPr>
            </w:pPr>
            <w:r w:rsidRPr="0017699B">
              <w:rPr>
                <w:rFonts w:cs="Calibri"/>
              </w:rPr>
              <w:t>ERs</w:t>
            </w:r>
          </w:p>
        </w:tc>
        <w:tc>
          <w:tcPr>
            <w:tcW w:w="283" w:type="dxa"/>
          </w:tcPr>
          <w:p w14:paraId="08E2058E"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61FBBCD9" w14:textId="77777777" w:rsidR="00E95C23" w:rsidRPr="0017699B" w:rsidRDefault="6480D3C6" w:rsidP="007E6D8F">
            <w:pPr>
              <w:bidi/>
              <w:spacing w:before="40"/>
              <w:rPr>
                <w:rFonts w:eastAsia="Times New Roman" w:cs="Calibri"/>
                <w:rtl/>
              </w:rPr>
            </w:pPr>
            <w:r w:rsidRPr="0017699B">
              <w:rPr>
                <w:rStyle w:val="normaltextrun"/>
                <w:rFonts w:cs="Calibri" w:hint="cs"/>
                <w:rtl/>
              </w:rPr>
              <w:t>النتائج المرتقبة</w:t>
            </w:r>
          </w:p>
        </w:tc>
      </w:tr>
      <w:tr w:rsidR="00E95C23" w:rsidRPr="0017699B" w14:paraId="571C91CF" w14:textId="77777777" w:rsidTr="00FF3B92">
        <w:tc>
          <w:tcPr>
            <w:tcW w:w="1985" w:type="dxa"/>
          </w:tcPr>
          <w:p w14:paraId="48499DA2" w14:textId="77777777" w:rsidR="00E95C23" w:rsidRPr="0017699B" w:rsidRDefault="6480D3C6" w:rsidP="007E6D8F">
            <w:pPr>
              <w:bidi/>
              <w:spacing w:before="40"/>
              <w:rPr>
                <w:rFonts w:eastAsiaTheme="majorEastAsia" w:cs="Calibri"/>
                <w:rtl/>
              </w:rPr>
            </w:pPr>
            <w:r w:rsidRPr="0017699B">
              <w:rPr>
                <w:rFonts w:cs="Calibri"/>
              </w:rPr>
              <w:t>ERP</w:t>
            </w:r>
          </w:p>
        </w:tc>
        <w:tc>
          <w:tcPr>
            <w:tcW w:w="283" w:type="dxa"/>
          </w:tcPr>
          <w:p w14:paraId="4B311EC0"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36758FDB" w14:textId="77777777" w:rsidR="00E95C23" w:rsidRPr="0017699B" w:rsidRDefault="6480D3C6" w:rsidP="007E6D8F">
            <w:pPr>
              <w:bidi/>
              <w:spacing w:before="40"/>
              <w:rPr>
                <w:rFonts w:eastAsia="Times New Roman" w:cs="Calibri"/>
                <w:rtl/>
              </w:rPr>
            </w:pPr>
            <w:r w:rsidRPr="0017699B">
              <w:rPr>
                <w:rFonts w:cs="Calibri" w:hint="cs"/>
                <w:rtl/>
              </w:rPr>
              <w:t>التخطيط للموارد المؤسسية</w:t>
            </w:r>
          </w:p>
        </w:tc>
      </w:tr>
      <w:tr w:rsidR="009B21E4" w:rsidRPr="0017699B" w14:paraId="34718B02" w14:textId="77777777" w:rsidTr="00FF3B92">
        <w:tc>
          <w:tcPr>
            <w:tcW w:w="1985" w:type="dxa"/>
          </w:tcPr>
          <w:p w14:paraId="457FE015" w14:textId="3A5CA6DA" w:rsidR="009B21E4" w:rsidRPr="0017699B" w:rsidRDefault="79374EB5" w:rsidP="007E6D8F">
            <w:pPr>
              <w:bidi/>
              <w:spacing w:before="40"/>
              <w:rPr>
                <w:rFonts w:eastAsia="Times New Roman" w:cs="Calibri"/>
                <w:rtl/>
              </w:rPr>
            </w:pPr>
            <w:r w:rsidRPr="0017699B">
              <w:rPr>
                <w:rFonts w:cs="Calibri"/>
              </w:rPr>
              <w:t>FRR</w:t>
            </w:r>
          </w:p>
        </w:tc>
        <w:tc>
          <w:tcPr>
            <w:tcW w:w="283" w:type="dxa"/>
          </w:tcPr>
          <w:p w14:paraId="55C45281" w14:textId="0F79C04E" w:rsidR="009B21E4" w:rsidRPr="0017699B" w:rsidRDefault="79374EB5" w:rsidP="007E6D8F">
            <w:pPr>
              <w:bidi/>
              <w:spacing w:before="40"/>
              <w:rPr>
                <w:rFonts w:eastAsiaTheme="majorEastAsia" w:cs="Calibri"/>
                <w:rtl/>
              </w:rPr>
            </w:pPr>
            <w:r w:rsidRPr="0017699B">
              <w:rPr>
                <w:rFonts w:cs="Calibri" w:hint="cs"/>
                <w:rtl/>
              </w:rPr>
              <w:t>:</w:t>
            </w:r>
          </w:p>
        </w:tc>
        <w:tc>
          <w:tcPr>
            <w:tcW w:w="7655" w:type="dxa"/>
          </w:tcPr>
          <w:p w14:paraId="679E06A3" w14:textId="42C36D7E" w:rsidR="009B21E4" w:rsidRPr="0017699B" w:rsidRDefault="79374EB5" w:rsidP="007E6D8F">
            <w:pPr>
              <w:bidi/>
              <w:spacing w:before="40"/>
              <w:rPr>
                <w:rFonts w:eastAsia="Times New Roman" w:cs="Calibri"/>
                <w:rtl/>
              </w:rPr>
            </w:pPr>
            <w:r w:rsidRPr="0017699B">
              <w:rPr>
                <w:rFonts w:cs="Calibri" w:hint="cs"/>
                <w:rtl/>
              </w:rPr>
              <w:t xml:space="preserve">نظام الويبو المالي ولائحته </w:t>
            </w:r>
          </w:p>
        </w:tc>
      </w:tr>
      <w:tr w:rsidR="00E95C23" w:rsidRPr="0017699B" w14:paraId="4C5740FA" w14:textId="77777777" w:rsidTr="00FF3B92">
        <w:tc>
          <w:tcPr>
            <w:tcW w:w="1985" w:type="dxa"/>
          </w:tcPr>
          <w:p w14:paraId="7F9B9543" w14:textId="121FABCD" w:rsidR="00E95C23" w:rsidRPr="0017699B" w:rsidRDefault="79374EB5" w:rsidP="007E6D8F">
            <w:pPr>
              <w:bidi/>
              <w:spacing w:before="40"/>
              <w:rPr>
                <w:rFonts w:eastAsia="Times New Roman" w:cs="Calibri"/>
                <w:rtl/>
              </w:rPr>
            </w:pPr>
            <w:r w:rsidRPr="0017699B">
              <w:rPr>
                <w:rFonts w:cs="Calibri"/>
              </w:rPr>
              <w:t>GBD</w:t>
            </w:r>
          </w:p>
        </w:tc>
        <w:tc>
          <w:tcPr>
            <w:tcW w:w="283" w:type="dxa"/>
          </w:tcPr>
          <w:p w14:paraId="0EBA2C5F" w14:textId="39BF8A90"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1744FAD3" w14:textId="3688E9EB" w:rsidR="00E95C23" w:rsidRPr="0017699B" w:rsidRDefault="79374EB5" w:rsidP="007E6D8F">
            <w:pPr>
              <w:bidi/>
              <w:spacing w:before="40"/>
              <w:rPr>
                <w:rFonts w:eastAsia="Times New Roman" w:cs="Calibri"/>
                <w:rtl/>
              </w:rPr>
            </w:pPr>
            <w:r w:rsidRPr="0017699B">
              <w:rPr>
                <w:rFonts w:cs="Calibri" w:hint="cs"/>
                <w:rtl/>
              </w:rPr>
              <w:t>قاعدة البيانات العالمية للعلامات</w:t>
            </w:r>
          </w:p>
        </w:tc>
      </w:tr>
      <w:tr w:rsidR="009B21E4" w:rsidRPr="0017699B" w14:paraId="05A1F3A8" w14:textId="77777777" w:rsidTr="00FF3B92">
        <w:tc>
          <w:tcPr>
            <w:tcW w:w="1985" w:type="dxa"/>
          </w:tcPr>
          <w:p w14:paraId="10D940DE" w14:textId="255E7DD3" w:rsidR="009B21E4" w:rsidRPr="0017699B" w:rsidRDefault="79374EB5" w:rsidP="007E6D8F">
            <w:pPr>
              <w:bidi/>
              <w:spacing w:before="40"/>
              <w:rPr>
                <w:rFonts w:eastAsia="Times New Roman" w:cs="Calibri"/>
                <w:rtl/>
              </w:rPr>
            </w:pPr>
            <w:r w:rsidRPr="0017699B">
              <w:rPr>
                <w:rFonts w:cs="Calibri"/>
              </w:rPr>
              <w:t>GDD</w:t>
            </w:r>
          </w:p>
        </w:tc>
        <w:tc>
          <w:tcPr>
            <w:tcW w:w="283" w:type="dxa"/>
          </w:tcPr>
          <w:p w14:paraId="799A3F50" w14:textId="350DD055" w:rsidR="009B21E4" w:rsidRPr="0017699B" w:rsidRDefault="79374EB5" w:rsidP="007E6D8F">
            <w:pPr>
              <w:bidi/>
              <w:spacing w:before="40"/>
              <w:rPr>
                <w:rFonts w:eastAsiaTheme="majorEastAsia" w:cs="Calibri"/>
                <w:rtl/>
              </w:rPr>
            </w:pPr>
            <w:r w:rsidRPr="0017699B">
              <w:rPr>
                <w:rFonts w:cs="Calibri" w:hint="cs"/>
                <w:rtl/>
              </w:rPr>
              <w:t>:</w:t>
            </w:r>
          </w:p>
        </w:tc>
        <w:tc>
          <w:tcPr>
            <w:tcW w:w="7655" w:type="dxa"/>
          </w:tcPr>
          <w:p w14:paraId="2D7BE8E2" w14:textId="5A3B838B" w:rsidR="009B21E4" w:rsidRPr="0017699B" w:rsidRDefault="79374EB5" w:rsidP="007E6D8F">
            <w:pPr>
              <w:bidi/>
              <w:spacing w:before="40"/>
              <w:rPr>
                <w:rFonts w:eastAsia="Times New Roman" w:cs="Calibri"/>
                <w:rtl/>
              </w:rPr>
            </w:pPr>
            <w:r w:rsidRPr="0017699B">
              <w:rPr>
                <w:rFonts w:cs="Calibri" w:hint="cs"/>
                <w:rtl/>
              </w:rPr>
              <w:t>قاعدة البيانات العالمية للتصاميم</w:t>
            </w:r>
          </w:p>
        </w:tc>
      </w:tr>
      <w:tr w:rsidR="00FA1CF1" w:rsidRPr="0017699B" w14:paraId="2C74A48C" w14:textId="77777777" w:rsidTr="00FF3B92">
        <w:tc>
          <w:tcPr>
            <w:tcW w:w="1985" w:type="dxa"/>
          </w:tcPr>
          <w:p w14:paraId="5FE48E2D" w14:textId="3B645AA3" w:rsidR="00FA1CF1" w:rsidRPr="0017699B" w:rsidRDefault="00FA1CF1" w:rsidP="007E6D8F">
            <w:pPr>
              <w:bidi/>
              <w:spacing w:before="40"/>
              <w:rPr>
                <w:rFonts w:eastAsia="Times New Roman" w:cs="Calibri"/>
                <w:rtl/>
              </w:rPr>
            </w:pPr>
            <w:r w:rsidRPr="0017699B">
              <w:rPr>
                <w:rFonts w:cs="Calibri"/>
              </w:rPr>
              <w:t>HLOP</w:t>
            </w:r>
          </w:p>
        </w:tc>
        <w:tc>
          <w:tcPr>
            <w:tcW w:w="283" w:type="dxa"/>
          </w:tcPr>
          <w:p w14:paraId="5E2F499C" w14:textId="746575EB" w:rsidR="00FA1CF1" w:rsidRPr="0017699B" w:rsidRDefault="00FA1CF1" w:rsidP="007E6D8F">
            <w:pPr>
              <w:bidi/>
              <w:spacing w:before="40"/>
              <w:rPr>
                <w:rFonts w:eastAsiaTheme="majorEastAsia" w:cs="Calibri"/>
                <w:rtl/>
              </w:rPr>
            </w:pPr>
            <w:r w:rsidRPr="0017699B">
              <w:rPr>
                <w:rFonts w:cs="Calibri" w:hint="cs"/>
                <w:rtl/>
              </w:rPr>
              <w:t>:</w:t>
            </w:r>
          </w:p>
        </w:tc>
        <w:tc>
          <w:tcPr>
            <w:tcW w:w="7655" w:type="dxa"/>
          </w:tcPr>
          <w:p w14:paraId="5727C9C6" w14:textId="7522885B" w:rsidR="00FA1CF1" w:rsidRPr="0017699B" w:rsidRDefault="00FA1CF1" w:rsidP="007E6D8F">
            <w:pPr>
              <w:bidi/>
              <w:spacing w:before="40"/>
              <w:rPr>
                <w:rFonts w:eastAsia="Times New Roman" w:cs="Calibri"/>
                <w:rtl/>
              </w:rPr>
            </w:pPr>
            <w:r w:rsidRPr="0017699B">
              <w:rPr>
                <w:rFonts w:cs="Calibri" w:hint="cs"/>
                <w:rtl/>
              </w:rPr>
              <w:t>مسؤول رفيع المستوى مُكلَّف بالمشتريات</w:t>
            </w:r>
          </w:p>
        </w:tc>
      </w:tr>
      <w:tr w:rsidR="00775B8E" w:rsidRPr="0017699B" w14:paraId="7BBE0DCA" w14:textId="77777777" w:rsidTr="00FF3B92">
        <w:tc>
          <w:tcPr>
            <w:tcW w:w="1985" w:type="dxa"/>
          </w:tcPr>
          <w:p w14:paraId="7ED9CF13" w14:textId="0E892DA9" w:rsidR="00775B8E" w:rsidRPr="0017699B" w:rsidRDefault="00775B8E" w:rsidP="007E6D8F">
            <w:pPr>
              <w:bidi/>
              <w:spacing w:before="40"/>
              <w:rPr>
                <w:rFonts w:eastAsiaTheme="majorEastAsia" w:cs="Calibri"/>
                <w:rtl/>
              </w:rPr>
            </w:pPr>
            <w:r w:rsidRPr="0017699B">
              <w:rPr>
                <w:rFonts w:cs="Calibri"/>
              </w:rPr>
              <w:t>IC</w:t>
            </w:r>
          </w:p>
        </w:tc>
        <w:tc>
          <w:tcPr>
            <w:tcW w:w="283" w:type="dxa"/>
          </w:tcPr>
          <w:p w14:paraId="04EA13C0" w14:textId="3FA95DB3" w:rsidR="00775B8E" w:rsidRPr="0017699B" w:rsidRDefault="00775B8E" w:rsidP="007E6D8F">
            <w:pPr>
              <w:bidi/>
              <w:spacing w:before="40"/>
              <w:rPr>
                <w:rFonts w:eastAsiaTheme="majorEastAsia" w:cs="Calibri"/>
                <w:rtl/>
              </w:rPr>
            </w:pPr>
            <w:r w:rsidRPr="0017699B">
              <w:rPr>
                <w:rFonts w:cs="Calibri" w:hint="cs"/>
                <w:rtl/>
              </w:rPr>
              <w:t>:</w:t>
            </w:r>
          </w:p>
        </w:tc>
        <w:tc>
          <w:tcPr>
            <w:tcW w:w="7655" w:type="dxa"/>
          </w:tcPr>
          <w:p w14:paraId="23046C5E" w14:textId="4FA39B7E" w:rsidR="00775B8E" w:rsidRPr="0017699B" w:rsidRDefault="00775B8E" w:rsidP="007E6D8F">
            <w:pPr>
              <w:bidi/>
              <w:spacing w:before="40"/>
              <w:rPr>
                <w:rFonts w:eastAsia="Times New Roman" w:cs="Calibri"/>
                <w:rtl/>
              </w:rPr>
            </w:pPr>
            <w:r w:rsidRPr="0017699B">
              <w:rPr>
                <w:rFonts w:cs="Calibri" w:hint="cs"/>
                <w:rtl/>
              </w:rPr>
              <w:t>تعميم إعلامي</w:t>
            </w:r>
          </w:p>
        </w:tc>
      </w:tr>
      <w:tr w:rsidR="00AD3142" w:rsidRPr="0017699B" w14:paraId="34714624" w14:textId="77777777" w:rsidTr="00FF3B92">
        <w:tc>
          <w:tcPr>
            <w:tcW w:w="1985" w:type="dxa"/>
          </w:tcPr>
          <w:p w14:paraId="7C25B72A" w14:textId="17E2471A" w:rsidR="00AD3142" w:rsidRPr="0017699B" w:rsidRDefault="00AD3142" w:rsidP="007E6D8F">
            <w:pPr>
              <w:bidi/>
              <w:spacing w:before="40"/>
              <w:rPr>
                <w:rFonts w:eastAsiaTheme="majorEastAsia" w:cs="Calibri"/>
                <w:rtl/>
              </w:rPr>
            </w:pPr>
            <w:r w:rsidRPr="0017699B">
              <w:rPr>
                <w:rFonts w:cs="Calibri"/>
              </w:rPr>
              <w:t>ICS</w:t>
            </w:r>
          </w:p>
        </w:tc>
        <w:tc>
          <w:tcPr>
            <w:tcW w:w="283" w:type="dxa"/>
          </w:tcPr>
          <w:p w14:paraId="4DF0C077" w14:textId="5ECE8051" w:rsidR="00AD3142" w:rsidRPr="0017699B" w:rsidRDefault="00AD3142" w:rsidP="007E6D8F">
            <w:pPr>
              <w:bidi/>
              <w:spacing w:before="40"/>
              <w:rPr>
                <w:rFonts w:eastAsiaTheme="majorEastAsia" w:cs="Calibri"/>
                <w:rtl/>
              </w:rPr>
            </w:pPr>
            <w:r w:rsidRPr="0017699B">
              <w:rPr>
                <w:rFonts w:cs="Calibri" w:hint="cs"/>
                <w:rtl/>
              </w:rPr>
              <w:t>:</w:t>
            </w:r>
          </w:p>
        </w:tc>
        <w:tc>
          <w:tcPr>
            <w:tcW w:w="7655" w:type="dxa"/>
          </w:tcPr>
          <w:p w14:paraId="281478F6" w14:textId="3BC44C0F" w:rsidR="00AD3142" w:rsidRPr="0017699B" w:rsidRDefault="00AD3142" w:rsidP="007E6D8F">
            <w:pPr>
              <w:bidi/>
              <w:spacing w:before="40"/>
              <w:rPr>
                <w:rFonts w:eastAsia="Times New Roman" w:cs="Calibri"/>
                <w:rtl/>
              </w:rPr>
            </w:pPr>
            <w:r w:rsidRPr="0017699B">
              <w:rPr>
                <w:rFonts w:cs="Calibri" w:hint="cs"/>
                <w:rtl/>
              </w:rPr>
              <w:t>الخدمات التعاقدية الفردية</w:t>
            </w:r>
          </w:p>
        </w:tc>
      </w:tr>
      <w:tr w:rsidR="00E95C23" w:rsidRPr="0017699B" w14:paraId="2982ED58" w14:textId="77777777" w:rsidTr="00FF3B92">
        <w:tc>
          <w:tcPr>
            <w:tcW w:w="1985" w:type="dxa"/>
          </w:tcPr>
          <w:p w14:paraId="59C94289" w14:textId="075138AB" w:rsidR="00E95C23" w:rsidRPr="0017699B" w:rsidRDefault="001A6952" w:rsidP="007E6D8F">
            <w:pPr>
              <w:bidi/>
              <w:spacing w:before="40"/>
              <w:rPr>
                <w:rFonts w:eastAsiaTheme="majorEastAsia" w:cs="Calibri"/>
                <w:rtl/>
              </w:rPr>
            </w:pPr>
            <w:r>
              <w:rPr>
                <w:rFonts w:cs="Calibri"/>
              </w:rPr>
              <w:t>IOD</w:t>
            </w:r>
          </w:p>
        </w:tc>
        <w:tc>
          <w:tcPr>
            <w:tcW w:w="283" w:type="dxa"/>
          </w:tcPr>
          <w:p w14:paraId="190A5AF0"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3D4F6282" w14:textId="77777777" w:rsidR="00E95C23" w:rsidRPr="0017699B" w:rsidRDefault="6480D3C6" w:rsidP="007E6D8F">
            <w:pPr>
              <w:bidi/>
              <w:spacing w:before="40"/>
              <w:rPr>
                <w:rFonts w:eastAsia="Times New Roman" w:cs="Calibri"/>
                <w:rtl/>
              </w:rPr>
            </w:pPr>
            <w:r w:rsidRPr="0017699B">
              <w:rPr>
                <w:rFonts w:cs="Calibri" w:hint="cs"/>
                <w:rtl/>
              </w:rPr>
              <w:t>شعبة الرقابة الداخلية</w:t>
            </w:r>
          </w:p>
        </w:tc>
      </w:tr>
      <w:tr w:rsidR="00E95C23" w:rsidRPr="0017699B" w14:paraId="1C95F918" w14:textId="77777777" w:rsidTr="00FF3B92">
        <w:tc>
          <w:tcPr>
            <w:tcW w:w="1985" w:type="dxa"/>
          </w:tcPr>
          <w:p w14:paraId="1ED813D3" w14:textId="77777777" w:rsidR="00E95C23" w:rsidRPr="0017699B" w:rsidRDefault="6480D3C6" w:rsidP="007E6D8F">
            <w:pPr>
              <w:bidi/>
              <w:spacing w:before="40"/>
              <w:rPr>
                <w:rFonts w:eastAsiaTheme="majorEastAsia" w:cs="Calibri"/>
                <w:rtl/>
              </w:rPr>
            </w:pPr>
            <w:r w:rsidRPr="0017699B">
              <w:rPr>
                <w:rFonts w:cs="Calibri"/>
              </w:rPr>
              <w:t>IP</w:t>
            </w:r>
          </w:p>
        </w:tc>
        <w:tc>
          <w:tcPr>
            <w:tcW w:w="283" w:type="dxa"/>
          </w:tcPr>
          <w:p w14:paraId="627D4ABC"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7BA8FA44" w14:textId="77777777" w:rsidR="00E95C23" w:rsidRPr="0017699B" w:rsidRDefault="6480D3C6" w:rsidP="007E6D8F">
            <w:pPr>
              <w:bidi/>
              <w:spacing w:before="40"/>
              <w:rPr>
                <w:rFonts w:eastAsia="Times New Roman" w:cs="Calibri"/>
                <w:rtl/>
              </w:rPr>
            </w:pPr>
            <w:r w:rsidRPr="0017699B">
              <w:rPr>
                <w:rStyle w:val="normaltextrun"/>
                <w:rFonts w:cs="Calibri" w:hint="cs"/>
                <w:rtl/>
              </w:rPr>
              <w:t>الملكية الفكرية</w:t>
            </w:r>
            <w:r w:rsidRPr="0017699B">
              <w:rPr>
                <w:rFonts w:cs="Calibri" w:hint="cs"/>
                <w:rtl/>
              </w:rPr>
              <w:t xml:space="preserve"> </w:t>
            </w:r>
          </w:p>
        </w:tc>
      </w:tr>
      <w:tr w:rsidR="00FA1CF1" w:rsidRPr="0017699B" w14:paraId="0FCB8CE3" w14:textId="77777777" w:rsidTr="00FF3B92">
        <w:tc>
          <w:tcPr>
            <w:tcW w:w="1985" w:type="dxa"/>
          </w:tcPr>
          <w:p w14:paraId="514CAD3C" w14:textId="0C442110" w:rsidR="00FA1CF1" w:rsidRPr="0017699B" w:rsidRDefault="00FA1CF1" w:rsidP="007E6D8F">
            <w:pPr>
              <w:bidi/>
              <w:spacing w:before="40"/>
              <w:rPr>
                <w:rFonts w:eastAsiaTheme="majorEastAsia" w:cs="Calibri"/>
                <w:rtl/>
              </w:rPr>
            </w:pPr>
            <w:r w:rsidRPr="0017699B">
              <w:rPr>
                <w:rFonts w:cs="Calibri"/>
              </w:rPr>
              <w:t>IPS</w:t>
            </w:r>
          </w:p>
        </w:tc>
        <w:tc>
          <w:tcPr>
            <w:tcW w:w="283" w:type="dxa"/>
          </w:tcPr>
          <w:p w14:paraId="059EAD31" w14:textId="3E234F96" w:rsidR="00FA1CF1" w:rsidRPr="0017699B" w:rsidRDefault="00FA1CF1" w:rsidP="007E6D8F">
            <w:pPr>
              <w:bidi/>
              <w:spacing w:before="40"/>
              <w:rPr>
                <w:rFonts w:eastAsiaTheme="majorEastAsia" w:cs="Calibri"/>
                <w:rtl/>
              </w:rPr>
            </w:pPr>
            <w:r w:rsidRPr="0017699B">
              <w:rPr>
                <w:rFonts w:cs="Calibri" w:hint="cs"/>
                <w:rtl/>
              </w:rPr>
              <w:t>:</w:t>
            </w:r>
          </w:p>
        </w:tc>
        <w:tc>
          <w:tcPr>
            <w:tcW w:w="7655" w:type="dxa"/>
          </w:tcPr>
          <w:p w14:paraId="3366F4D6" w14:textId="616E62E8" w:rsidR="00FA1CF1" w:rsidRPr="0017699B" w:rsidRDefault="00FA1CF1" w:rsidP="007E6D8F">
            <w:pPr>
              <w:bidi/>
              <w:spacing w:before="40"/>
              <w:rPr>
                <w:rStyle w:val="normaltextrun"/>
                <w:rFonts w:cs="Calibri"/>
                <w:rtl/>
              </w:rPr>
            </w:pPr>
            <w:r w:rsidRPr="0017699B">
              <w:rPr>
                <w:rStyle w:val="normaltextrun"/>
                <w:rFonts w:cs="Calibri" w:hint="cs"/>
                <w:rtl/>
              </w:rPr>
              <w:t>قطاع البنية التحتية والمنصات</w:t>
            </w:r>
            <w:r w:rsidRPr="0017699B">
              <w:rPr>
                <w:rFonts w:cs="Calibri" w:hint="cs"/>
                <w:rtl/>
              </w:rPr>
              <w:t xml:space="preserve"> </w:t>
            </w:r>
          </w:p>
        </w:tc>
      </w:tr>
      <w:tr w:rsidR="00E95C23" w:rsidRPr="0017699B" w14:paraId="7EA9D0C3" w14:textId="77777777" w:rsidTr="00FF3B92">
        <w:tc>
          <w:tcPr>
            <w:tcW w:w="1985" w:type="dxa"/>
          </w:tcPr>
          <w:p w14:paraId="4081C0E5" w14:textId="77777777" w:rsidR="00E95C23" w:rsidRPr="0017699B" w:rsidRDefault="6480D3C6" w:rsidP="007E6D8F">
            <w:pPr>
              <w:bidi/>
              <w:spacing w:before="40"/>
              <w:rPr>
                <w:rFonts w:eastAsiaTheme="majorEastAsia" w:cs="Calibri"/>
                <w:rtl/>
              </w:rPr>
            </w:pPr>
            <w:r w:rsidRPr="0017699B">
              <w:rPr>
                <w:rFonts w:cs="Calibri"/>
              </w:rPr>
              <w:t>IPSAS</w:t>
            </w:r>
          </w:p>
        </w:tc>
        <w:tc>
          <w:tcPr>
            <w:tcW w:w="283" w:type="dxa"/>
          </w:tcPr>
          <w:p w14:paraId="4CD1ED5A"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2C8B7F92" w14:textId="77777777" w:rsidR="00E95C23" w:rsidRPr="0017699B" w:rsidRDefault="6480D3C6" w:rsidP="007E6D8F">
            <w:pPr>
              <w:bidi/>
              <w:spacing w:before="40"/>
              <w:rPr>
                <w:rFonts w:eastAsiaTheme="majorEastAsia" w:cs="Calibri"/>
                <w:rtl/>
              </w:rPr>
            </w:pPr>
            <w:r w:rsidRPr="0017699B">
              <w:rPr>
                <w:rFonts w:cs="Calibri" w:hint="cs"/>
                <w:rtl/>
              </w:rPr>
              <w:t>المعايير المحاسبية الدولية للقطاع العام</w:t>
            </w:r>
          </w:p>
        </w:tc>
      </w:tr>
      <w:tr w:rsidR="00E95C23" w:rsidRPr="0017699B" w14:paraId="0C3B2AB6" w14:textId="77777777" w:rsidTr="00FF3B92">
        <w:tc>
          <w:tcPr>
            <w:tcW w:w="1985" w:type="dxa"/>
          </w:tcPr>
          <w:p w14:paraId="53BAC90B" w14:textId="77777777" w:rsidR="00E95C23" w:rsidRPr="0017699B" w:rsidRDefault="6480D3C6" w:rsidP="007E6D8F">
            <w:pPr>
              <w:bidi/>
              <w:spacing w:before="40"/>
              <w:rPr>
                <w:rFonts w:eastAsiaTheme="majorEastAsia" w:cs="Calibri"/>
                <w:rtl/>
              </w:rPr>
            </w:pPr>
            <w:r w:rsidRPr="0017699B">
              <w:rPr>
                <w:rFonts w:cs="Calibri"/>
              </w:rPr>
              <w:t>IPSASB</w:t>
            </w:r>
          </w:p>
        </w:tc>
        <w:tc>
          <w:tcPr>
            <w:tcW w:w="283" w:type="dxa"/>
          </w:tcPr>
          <w:p w14:paraId="3FBF7CBE"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30216562" w14:textId="77777777" w:rsidR="00E95C23" w:rsidRPr="0017699B" w:rsidRDefault="6480D3C6" w:rsidP="007E6D8F">
            <w:pPr>
              <w:bidi/>
              <w:spacing w:before="40"/>
              <w:rPr>
                <w:rFonts w:eastAsia="Times New Roman" w:cs="Calibri"/>
                <w:rtl/>
              </w:rPr>
            </w:pPr>
            <w:r w:rsidRPr="0017699B">
              <w:rPr>
                <w:rFonts w:cs="Calibri" w:hint="cs"/>
                <w:rtl/>
              </w:rPr>
              <w:t>مجلس المعايير المحاسبية الدولية للقطاع العام</w:t>
            </w:r>
          </w:p>
        </w:tc>
      </w:tr>
      <w:tr w:rsidR="00E95C23" w:rsidRPr="0017699B" w14:paraId="1FE1D077" w14:textId="77777777" w:rsidTr="00FF3B92">
        <w:tc>
          <w:tcPr>
            <w:tcW w:w="1985" w:type="dxa"/>
          </w:tcPr>
          <w:p w14:paraId="54E22DE1" w14:textId="16FF964F" w:rsidR="00E95C23" w:rsidRPr="0017699B" w:rsidRDefault="001A6952" w:rsidP="007E6D8F">
            <w:pPr>
              <w:bidi/>
              <w:spacing w:before="40"/>
              <w:rPr>
                <w:rFonts w:eastAsiaTheme="majorEastAsia" w:cs="Calibri"/>
                <w:rtl/>
              </w:rPr>
            </w:pPr>
            <w:r>
              <w:rPr>
                <w:rFonts w:cs="Calibri"/>
              </w:rPr>
              <w:t>ISA</w:t>
            </w:r>
          </w:p>
        </w:tc>
        <w:tc>
          <w:tcPr>
            <w:tcW w:w="283" w:type="dxa"/>
          </w:tcPr>
          <w:p w14:paraId="0406FF90"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1B86DD3B" w14:textId="77777777" w:rsidR="00E95C23" w:rsidRPr="0017699B" w:rsidRDefault="6480D3C6" w:rsidP="007E6D8F">
            <w:pPr>
              <w:bidi/>
              <w:spacing w:before="40"/>
              <w:rPr>
                <w:rFonts w:eastAsiaTheme="majorEastAsia" w:cs="Calibri"/>
                <w:rtl/>
              </w:rPr>
            </w:pPr>
            <w:r w:rsidRPr="0017699B">
              <w:rPr>
                <w:rFonts w:cs="Calibri" w:hint="cs"/>
                <w:rtl/>
              </w:rPr>
              <w:t>معايير التدقيق الدولية</w:t>
            </w:r>
          </w:p>
        </w:tc>
      </w:tr>
      <w:tr w:rsidR="00E95C23" w:rsidRPr="0017699B" w14:paraId="1CAE5C19" w14:textId="77777777" w:rsidTr="00FF3B92">
        <w:tc>
          <w:tcPr>
            <w:tcW w:w="1985" w:type="dxa"/>
          </w:tcPr>
          <w:p w14:paraId="35072944" w14:textId="77777777" w:rsidR="00E95C23" w:rsidRPr="0017699B" w:rsidRDefault="6480D3C6" w:rsidP="007E6D8F">
            <w:pPr>
              <w:bidi/>
              <w:spacing w:before="40"/>
              <w:rPr>
                <w:rFonts w:eastAsiaTheme="majorEastAsia" w:cs="Calibri"/>
                <w:rtl/>
              </w:rPr>
            </w:pPr>
            <w:r w:rsidRPr="0017699B">
              <w:rPr>
                <w:rFonts w:cs="Calibri"/>
              </w:rPr>
              <w:t>ISSAI</w:t>
            </w:r>
          </w:p>
        </w:tc>
        <w:tc>
          <w:tcPr>
            <w:tcW w:w="283" w:type="dxa"/>
          </w:tcPr>
          <w:p w14:paraId="6EC6ECD8"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6078FDD2" w14:textId="77777777" w:rsidR="00E95C23" w:rsidRPr="0017699B" w:rsidRDefault="6480D3C6" w:rsidP="007E6D8F">
            <w:pPr>
              <w:bidi/>
              <w:spacing w:before="40"/>
              <w:jc w:val="both"/>
              <w:rPr>
                <w:rFonts w:cs="Calibri"/>
                <w:rtl/>
              </w:rPr>
            </w:pPr>
            <w:r w:rsidRPr="0017699B">
              <w:rPr>
                <w:rFonts w:cs="Calibri" w:hint="cs"/>
                <w:rtl/>
              </w:rPr>
              <w:t>المعايير الدولية للمؤسسات العليا لمراجعة الحسابات</w:t>
            </w:r>
          </w:p>
        </w:tc>
      </w:tr>
      <w:tr w:rsidR="00E95C23" w:rsidRPr="0017699B" w14:paraId="156F0600" w14:textId="77777777" w:rsidTr="00FF3B92">
        <w:tc>
          <w:tcPr>
            <w:tcW w:w="1985" w:type="dxa"/>
          </w:tcPr>
          <w:p w14:paraId="680FF9C1" w14:textId="77777777" w:rsidR="00E95C23" w:rsidRPr="0017699B" w:rsidRDefault="6480D3C6" w:rsidP="007E6D8F">
            <w:pPr>
              <w:bidi/>
              <w:spacing w:before="40"/>
              <w:rPr>
                <w:rFonts w:eastAsiaTheme="majorEastAsia" w:cs="Calibri"/>
                <w:rtl/>
              </w:rPr>
            </w:pPr>
            <w:r w:rsidRPr="0017699B">
              <w:rPr>
                <w:rFonts w:cs="Calibri"/>
              </w:rPr>
              <w:t>IT</w:t>
            </w:r>
          </w:p>
        </w:tc>
        <w:tc>
          <w:tcPr>
            <w:tcW w:w="283" w:type="dxa"/>
          </w:tcPr>
          <w:p w14:paraId="47ED56AD"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77230475" w14:textId="77777777" w:rsidR="00E95C23" w:rsidRPr="0017699B" w:rsidRDefault="6480D3C6" w:rsidP="007E6D8F">
            <w:pPr>
              <w:bidi/>
              <w:spacing w:before="40"/>
              <w:jc w:val="both"/>
              <w:rPr>
                <w:rFonts w:cs="Calibri"/>
                <w:rtl/>
              </w:rPr>
            </w:pPr>
            <w:r w:rsidRPr="0017699B">
              <w:rPr>
                <w:rFonts w:cs="Calibri" w:hint="cs"/>
                <w:rtl/>
              </w:rPr>
              <w:t>تكنولوجيا المعلومات</w:t>
            </w:r>
          </w:p>
        </w:tc>
      </w:tr>
      <w:tr w:rsidR="00E95C23" w:rsidRPr="0017699B" w14:paraId="69F2136C" w14:textId="77777777" w:rsidTr="00FF3B92">
        <w:tc>
          <w:tcPr>
            <w:tcW w:w="1985" w:type="dxa"/>
          </w:tcPr>
          <w:p w14:paraId="5F45ED76" w14:textId="38B2A2D5" w:rsidR="00E95C23" w:rsidRPr="0017699B" w:rsidRDefault="00FA1CF1" w:rsidP="007E6D8F">
            <w:pPr>
              <w:bidi/>
              <w:spacing w:before="40"/>
              <w:rPr>
                <w:rFonts w:eastAsia="Times New Roman" w:cs="Calibri"/>
                <w:rtl/>
              </w:rPr>
            </w:pPr>
            <w:r w:rsidRPr="0017699B">
              <w:rPr>
                <w:rFonts w:cs="Calibri"/>
              </w:rPr>
              <w:t>KPI</w:t>
            </w:r>
          </w:p>
        </w:tc>
        <w:tc>
          <w:tcPr>
            <w:tcW w:w="283" w:type="dxa"/>
          </w:tcPr>
          <w:p w14:paraId="18B3C24E"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4331D62B" w14:textId="75B4707A" w:rsidR="00E95C23" w:rsidRPr="0017699B" w:rsidRDefault="00FA1CF1" w:rsidP="007E6D8F">
            <w:pPr>
              <w:bidi/>
              <w:spacing w:before="40"/>
              <w:rPr>
                <w:rFonts w:eastAsia="Times New Roman" w:cs="Calibri"/>
                <w:rtl/>
              </w:rPr>
            </w:pPr>
            <w:r w:rsidRPr="0017699B">
              <w:rPr>
                <w:rFonts w:cs="Calibri" w:hint="cs"/>
                <w:rtl/>
              </w:rPr>
              <w:t>مؤشرات الأداء الأساسية</w:t>
            </w:r>
          </w:p>
        </w:tc>
      </w:tr>
      <w:tr w:rsidR="009B21E4" w:rsidRPr="0017699B" w14:paraId="3E29FC25" w14:textId="77777777" w:rsidTr="00FF3B92">
        <w:tc>
          <w:tcPr>
            <w:tcW w:w="1985" w:type="dxa"/>
          </w:tcPr>
          <w:p w14:paraId="64695E1F" w14:textId="59B1E97E" w:rsidR="009B21E4" w:rsidRPr="0017699B" w:rsidRDefault="79374EB5" w:rsidP="007E6D8F">
            <w:pPr>
              <w:bidi/>
              <w:spacing w:before="40"/>
              <w:rPr>
                <w:rFonts w:eastAsia="Times New Roman" w:cs="Calibri"/>
                <w:rtl/>
              </w:rPr>
            </w:pPr>
            <w:r w:rsidRPr="0017699B">
              <w:rPr>
                <w:rFonts w:cs="Calibri"/>
              </w:rPr>
              <w:t>LTAs</w:t>
            </w:r>
          </w:p>
        </w:tc>
        <w:tc>
          <w:tcPr>
            <w:tcW w:w="283" w:type="dxa"/>
          </w:tcPr>
          <w:p w14:paraId="394CBB21" w14:textId="62CDD524" w:rsidR="009B21E4" w:rsidRPr="0017699B" w:rsidRDefault="79374EB5" w:rsidP="007E6D8F">
            <w:pPr>
              <w:bidi/>
              <w:spacing w:before="40"/>
              <w:rPr>
                <w:rFonts w:eastAsiaTheme="majorEastAsia" w:cs="Calibri"/>
                <w:rtl/>
              </w:rPr>
            </w:pPr>
            <w:r w:rsidRPr="0017699B">
              <w:rPr>
                <w:rFonts w:cs="Calibri" w:hint="cs"/>
                <w:rtl/>
              </w:rPr>
              <w:t>:</w:t>
            </w:r>
          </w:p>
        </w:tc>
        <w:tc>
          <w:tcPr>
            <w:tcW w:w="7655" w:type="dxa"/>
          </w:tcPr>
          <w:p w14:paraId="4FB3C218" w14:textId="64317DBF" w:rsidR="009B21E4" w:rsidRPr="0017699B" w:rsidRDefault="79374EB5" w:rsidP="007E6D8F">
            <w:pPr>
              <w:bidi/>
              <w:spacing w:before="40"/>
              <w:rPr>
                <w:rFonts w:eastAsia="Times New Roman" w:cs="Calibri"/>
                <w:rtl/>
              </w:rPr>
            </w:pPr>
            <w:r w:rsidRPr="0017699B">
              <w:rPr>
                <w:rFonts w:cs="Calibri" w:hint="cs"/>
                <w:rtl/>
              </w:rPr>
              <w:t>اتفاقات طويلة الأجل</w:t>
            </w:r>
          </w:p>
        </w:tc>
      </w:tr>
      <w:tr w:rsidR="00E95C23" w:rsidRPr="0017699B" w14:paraId="71CE14A2" w14:textId="77777777" w:rsidTr="00FF3B92">
        <w:tc>
          <w:tcPr>
            <w:tcW w:w="1985" w:type="dxa"/>
          </w:tcPr>
          <w:p w14:paraId="32B621CE" w14:textId="46DEA1C1" w:rsidR="00E95C23" w:rsidRPr="0017699B" w:rsidRDefault="79374EB5" w:rsidP="007E6D8F">
            <w:pPr>
              <w:bidi/>
              <w:spacing w:before="40"/>
              <w:rPr>
                <w:rFonts w:eastAsia="Times New Roman" w:cs="Calibri"/>
                <w:rtl/>
              </w:rPr>
            </w:pPr>
            <w:r w:rsidRPr="0017699B">
              <w:rPr>
                <w:rFonts w:cs="Calibri"/>
              </w:rPr>
              <w:t>MIRIS</w:t>
            </w:r>
          </w:p>
        </w:tc>
        <w:tc>
          <w:tcPr>
            <w:tcW w:w="283" w:type="dxa"/>
          </w:tcPr>
          <w:p w14:paraId="103BA964" w14:textId="65739FA9"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5BDE14BA" w14:textId="3E500E26" w:rsidR="00E95C23" w:rsidRPr="0017699B" w:rsidRDefault="009B21E4" w:rsidP="007E6D8F">
            <w:pPr>
              <w:bidi/>
              <w:spacing w:before="40"/>
              <w:rPr>
                <w:rFonts w:cs="Calibri"/>
                <w:rtl/>
              </w:rPr>
            </w:pPr>
            <w:r w:rsidRPr="0017699B">
              <w:rPr>
                <w:rStyle w:val="normaltextrun"/>
                <w:rFonts w:cs="Calibri" w:hint="cs"/>
                <w:rtl/>
              </w:rPr>
              <w:t>نظام معلومات سجلات مدريد الدولية</w:t>
            </w:r>
          </w:p>
        </w:tc>
      </w:tr>
      <w:tr w:rsidR="009B21E4" w:rsidRPr="0017699B" w14:paraId="774920EF" w14:textId="77777777" w:rsidTr="00FF3B92">
        <w:tc>
          <w:tcPr>
            <w:tcW w:w="1985" w:type="dxa"/>
          </w:tcPr>
          <w:p w14:paraId="570CEAE1" w14:textId="62E662D9" w:rsidR="009B21E4" w:rsidRPr="0017699B" w:rsidRDefault="79374EB5" w:rsidP="007E6D8F">
            <w:pPr>
              <w:bidi/>
              <w:spacing w:before="40"/>
              <w:rPr>
                <w:rFonts w:eastAsia="Times New Roman" w:cs="Calibri"/>
                <w:rtl/>
              </w:rPr>
            </w:pPr>
            <w:r w:rsidRPr="0017699B">
              <w:rPr>
                <w:rFonts w:cs="Calibri"/>
              </w:rPr>
              <w:t>MTSP</w:t>
            </w:r>
          </w:p>
        </w:tc>
        <w:tc>
          <w:tcPr>
            <w:tcW w:w="283" w:type="dxa"/>
          </w:tcPr>
          <w:p w14:paraId="259B971A" w14:textId="2E573E94" w:rsidR="009B21E4" w:rsidRPr="0017699B" w:rsidRDefault="79374EB5" w:rsidP="007E6D8F">
            <w:pPr>
              <w:bidi/>
              <w:spacing w:before="40"/>
              <w:rPr>
                <w:rFonts w:eastAsiaTheme="majorEastAsia" w:cs="Calibri"/>
                <w:rtl/>
              </w:rPr>
            </w:pPr>
            <w:r w:rsidRPr="0017699B">
              <w:rPr>
                <w:rFonts w:cs="Calibri" w:hint="cs"/>
                <w:rtl/>
              </w:rPr>
              <w:t>:</w:t>
            </w:r>
          </w:p>
        </w:tc>
        <w:tc>
          <w:tcPr>
            <w:tcW w:w="7655" w:type="dxa"/>
          </w:tcPr>
          <w:p w14:paraId="5D00805C" w14:textId="0FEA65FC" w:rsidR="009B21E4" w:rsidRPr="0017699B" w:rsidRDefault="79374EB5" w:rsidP="007E6D8F">
            <w:pPr>
              <w:bidi/>
              <w:spacing w:before="40"/>
              <w:rPr>
                <w:rStyle w:val="normaltextrun"/>
                <w:rFonts w:cs="Calibri"/>
                <w:rtl/>
              </w:rPr>
            </w:pPr>
            <w:r w:rsidRPr="0017699B">
              <w:rPr>
                <w:rFonts w:cs="Calibri" w:hint="cs"/>
                <w:rtl/>
              </w:rPr>
              <w:t>الخطة الاستراتيجية المتوسطة الأجل</w:t>
            </w:r>
          </w:p>
        </w:tc>
      </w:tr>
      <w:tr w:rsidR="00FA1CF1" w:rsidRPr="0017699B" w14:paraId="582A2D2A" w14:textId="77777777" w:rsidTr="00FF3B92">
        <w:tc>
          <w:tcPr>
            <w:tcW w:w="1985" w:type="dxa"/>
          </w:tcPr>
          <w:p w14:paraId="1119DB29" w14:textId="7E2665AA" w:rsidR="00FA1CF1" w:rsidRPr="0017699B" w:rsidRDefault="00FA1CF1" w:rsidP="007E6D8F">
            <w:pPr>
              <w:bidi/>
              <w:spacing w:before="40"/>
              <w:rPr>
                <w:rFonts w:eastAsia="Times New Roman" w:cs="Calibri"/>
                <w:rtl/>
              </w:rPr>
            </w:pPr>
            <w:r w:rsidRPr="0017699B">
              <w:rPr>
                <w:rFonts w:cs="Calibri"/>
              </w:rPr>
              <w:t>OI</w:t>
            </w:r>
          </w:p>
        </w:tc>
        <w:tc>
          <w:tcPr>
            <w:tcW w:w="283" w:type="dxa"/>
          </w:tcPr>
          <w:p w14:paraId="27F98040" w14:textId="1D52C0DB" w:rsidR="00FA1CF1" w:rsidRPr="0017699B" w:rsidRDefault="00FA1CF1" w:rsidP="007E6D8F">
            <w:pPr>
              <w:bidi/>
              <w:spacing w:before="40"/>
              <w:rPr>
                <w:rFonts w:eastAsiaTheme="majorEastAsia" w:cs="Calibri"/>
                <w:rtl/>
              </w:rPr>
            </w:pPr>
            <w:r w:rsidRPr="0017699B">
              <w:rPr>
                <w:rFonts w:cs="Calibri" w:hint="cs"/>
                <w:rtl/>
              </w:rPr>
              <w:t>:</w:t>
            </w:r>
          </w:p>
        </w:tc>
        <w:tc>
          <w:tcPr>
            <w:tcW w:w="7655" w:type="dxa"/>
          </w:tcPr>
          <w:p w14:paraId="29B9CE40" w14:textId="21D53890" w:rsidR="00FA1CF1" w:rsidRPr="0017699B" w:rsidRDefault="00FA1CF1" w:rsidP="007E6D8F">
            <w:pPr>
              <w:bidi/>
              <w:spacing w:before="40"/>
              <w:rPr>
                <w:rFonts w:cs="Calibri"/>
                <w:rtl/>
              </w:rPr>
            </w:pPr>
            <w:r w:rsidRPr="0017699B">
              <w:rPr>
                <w:rFonts w:cs="Calibri" w:hint="cs"/>
                <w:rtl/>
              </w:rPr>
              <w:t>التعميم الإداري</w:t>
            </w:r>
          </w:p>
        </w:tc>
      </w:tr>
      <w:tr w:rsidR="00E95C23" w:rsidRPr="0017699B" w14:paraId="2ADA3CF6" w14:textId="77777777" w:rsidTr="00FF3B92">
        <w:tc>
          <w:tcPr>
            <w:tcW w:w="1985" w:type="dxa"/>
          </w:tcPr>
          <w:p w14:paraId="09FA8EBB" w14:textId="6A5783A6" w:rsidR="00E95C23" w:rsidRPr="0017699B" w:rsidRDefault="001A6952" w:rsidP="007E6D8F">
            <w:pPr>
              <w:bidi/>
              <w:spacing w:before="40"/>
              <w:rPr>
                <w:rFonts w:eastAsia="Times New Roman" w:cs="Calibri"/>
                <w:rtl/>
              </w:rPr>
            </w:pPr>
            <w:r>
              <w:rPr>
                <w:rFonts w:cs="Calibri"/>
              </w:rPr>
              <w:t>PCT</w:t>
            </w:r>
          </w:p>
        </w:tc>
        <w:tc>
          <w:tcPr>
            <w:tcW w:w="283" w:type="dxa"/>
          </w:tcPr>
          <w:p w14:paraId="6C42436B"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45215582" w14:textId="77777777" w:rsidR="00E95C23" w:rsidRPr="0017699B" w:rsidRDefault="6480D3C6" w:rsidP="007E6D8F">
            <w:pPr>
              <w:bidi/>
              <w:spacing w:before="40"/>
              <w:rPr>
                <w:rFonts w:cs="Calibri"/>
                <w:rtl/>
              </w:rPr>
            </w:pPr>
            <w:r w:rsidRPr="0017699B">
              <w:rPr>
                <w:rFonts w:cs="Calibri" w:hint="cs"/>
                <w:rtl/>
              </w:rPr>
              <w:t>معاهدة البراءات</w:t>
            </w:r>
          </w:p>
        </w:tc>
      </w:tr>
      <w:tr w:rsidR="66352ADB" w:rsidRPr="0017699B" w14:paraId="0F8970B1" w14:textId="77777777" w:rsidTr="00FF3B92">
        <w:trPr>
          <w:trHeight w:val="300"/>
        </w:trPr>
        <w:tc>
          <w:tcPr>
            <w:tcW w:w="1985" w:type="dxa"/>
          </w:tcPr>
          <w:p w14:paraId="487FF1B2" w14:textId="6B470FAC" w:rsidR="66352ADB" w:rsidRPr="0017699B" w:rsidRDefault="4EFFF4E4" w:rsidP="007E6D8F">
            <w:pPr>
              <w:bidi/>
              <w:spacing w:before="40"/>
              <w:rPr>
                <w:rFonts w:eastAsiaTheme="majorEastAsia" w:cs="Calibri"/>
                <w:rtl/>
              </w:rPr>
            </w:pPr>
            <w:r w:rsidRPr="0017699B">
              <w:rPr>
                <w:rFonts w:cs="Calibri"/>
              </w:rPr>
              <w:t>POs</w:t>
            </w:r>
          </w:p>
        </w:tc>
        <w:tc>
          <w:tcPr>
            <w:tcW w:w="283" w:type="dxa"/>
          </w:tcPr>
          <w:p w14:paraId="03A15730" w14:textId="3C43F62C" w:rsidR="66352ADB" w:rsidRPr="0017699B" w:rsidRDefault="4EFFF4E4" w:rsidP="007E6D8F">
            <w:pPr>
              <w:bidi/>
              <w:spacing w:before="40"/>
              <w:rPr>
                <w:rFonts w:eastAsiaTheme="majorEastAsia" w:cs="Calibri"/>
                <w:rtl/>
              </w:rPr>
            </w:pPr>
            <w:r w:rsidRPr="0017699B">
              <w:rPr>
                <w:rFonts w:cs="Calibri" w:hint="cs"/>
                <w:rtl/>
              </w:rPr>
              <w:t>:</w:t>
            </w:r>
          </w:p>
        </w:tc>
        <w:tc>
          <w:tcPr>
            <w:tcW w:w="7655" w:type="dxa"/>
          </w:tcPr>
          <w:p w14:paraId="611D36E1" w14:textId="6517D112" w:rsidR="66352ADB" w:rsidRPr="0017699B" w:rsidRDefault="4EFFF4E4" w:rsidP="007E6D8F">
            <w:pPr>
              <w:bidi/>
              <w:spacing w:before="40"/>
              <w:rPr>
                <w:rFonts w:eastAsia="Times New Roman" w:cs="Calibri"/>
                <w:rtl/>
              </w:rPr>
            </w:pPr>
            <w:r w:rsidRPr="0017699B">
              <w:rPr>
                <w:rFonts w:cs="Calibri" w:hint="cs"/>
                <w:rtl/>
              </w:rPr>
              <w:t>طلبات الشراء</w:t>
            </w:r>
          </w:p>
        </w:tc>
      </w:tr>
      <w:tr w:rsidR="00E95C23" w:rsidRPr="0017699B" w14:paraId="2CA8AF87" w14:textId="77777777" w:rsidTr="00FF3B92">
        <w:tc>
          <w:tcPr>
            <w:tcW w:w="1985" w:type="dxa"/>
          </w:tcPr>
          <w:p w14:paraId="11616FF4" w14:textId="77777777" w:rsidR="00E95C23" w:rsidRPr="0017699B" w:rsidRDefault="6480D3C6" w:rsidP="007E6D8F">
            <w:pPr>
              <w:bidi/>
              <w:spacing w:before="40"/>
              <w:rPr>
                <w:rFonts w:eastAsiaTheme="majorEastAsia" w:cs="Calibri"/>
                <w:rtl/>
              </w:rPr>
            </w:pPr>
            <w:proofErr w:type="spellStart"/>
            <w:r w:rsidRPr="0017699B">
              <w:rPr>
                <w:rFonts w:cs="Calibri"/>
              </w:rPr>
              <w:t>PoW&amp;B</w:t>
            </w:r>
            <w:proofErr w:type="spellEnd"/>
          </w:p>
        </w:tc>
        <w:tc>
          <w:tcPr>
            <w:tcW w:w="283" w:type="dxa"/>
          </w:tcPr>
          <w:p w14:paraId="62109B29" w14:textId="77777777" w:rsidR="00E95C23" w:rsidRPr="0017699B" w:rsidRDefault="6480D3C6" w:rsidP="007E6D8F">
            <w:pPr>
              <w:bidi/>
              <w:spacing w:before="40"/>
              <w:rPr>
                <w:rFonts w:eastAsiaTheme="majorEastAsia" w:cs="Calibri"/>
                <w:rtl/>
              </w:rPr>
            </w:pPr>
            <w:r w:rsidRPr="0017699B">
              <w:rPr>
                <w:rFonts w:cs="Calibri" w:hint="cs"/>
                <w:rtl/>
              </w:rPr>
              <w:t>:</w:t>
            </w:r>
          </w:p>
        </w:tc>
        <w:tc>
          <w:tcPr>
            <w:tcW w:w="7655" w:type="dxa"/>
          </w:tcPr>
          <w:p w14:paraId="321D6496" w14:textId="41AA3843" w:rsidR="00E95C23" w:rsidRPr="0017699B" w:rsidRDefault="6480D3C6" w:rsidP="007E6D8F">
            <w:pPr>
              <w:bidi/>
              <w:spacing w:before="40"/>
              <w:rPr>
                <w:rFonts w:eastAsia="Times New Roman" w:cs="Calibri"/>
                <w:rtl/>
              </w:rPr>
            </w:pPr>
            <w:r w:rsidRPr="0017699B">
              <w:rPr>
                <w:rFonts w:cs="Calibri" w:hint="cs"/>
                <w:rtl/>
              </w:rPr>
              <w:t>برنامج العمل والميزانية</w:t>
            </w:r>
          </w:p>
        </w:tc>
      </w:tr>
      <w:tr w:rsidR="00574433" w:rsidRPr="0017699B" w14:paraId="14E903AA" w14:textId="77777777" w:rsidTr="00FF3B92">
        <w:tc>
          <w:tcPr>
            <w:tcW w:w="1985" w:type="dxa"/>
          </w:tcPr>
          <w:p w14:paraId="58240BA0" w14:textId="0DF0D2C7" w:rsidR="00574433" w:rsidRPr="0017699B" w:rsidRDefault="00574433" w:rsidP="00574433">
            <w:pPr>
              <w:bidi/>
              <w:spacing w:before="40"/>
              <w:rPr>
                <w:rFonts w:eastAsiaTheme="majorEastAsia" w:cs="Calibri"/>
                <w:rtl/>
              </w:rPr>
            </w:pPr>
            <w:r w:rsidRPr="0017699B">
              <w:rPr>
                <w:rFonts w:cs="Calibri"/>
              </w:rPr>
              <w:t>RBM</w:t>
            </w:r>
          </w:p>
        </w:tc>
        <w:tc>
          <w:tcPr>
            <w:tcW w:w="283" w:type="dxa"/>
          </w:tcPr>
          <w:p w14:paraId="79DEEA6A" w14:textId="6AD2E69F" w:rsidR="00574433" w:rsidRPr="0017699B" w:rsidRDefault="00574433" w:rsidP="00574433">
            <w:pPr>
              <w:bidi/>
              <w:spacing w:before="40"/>
              <w:rPr>
                <w:rFonts w:eastAsiaTheme="majorEastAsia" w:cs="Calibri"/>
                <w:rtl/>
              </w:rPr>
            </w:pPr>
            <w:r w:rsidRPr="0017699B">
              <w:rPr>
                <w:rFonts w:cs="Calibri" w:hint="cs"/>
                <w:rtl/>
              </w:rPr>
              <w:t>:</w:t>
            </w:r>
          </w:p>
        </w:tc>
        <w:tc>
          <w:tcPr>
            <w:tcW w:w="7655" w:type="dxa"/>
          </w:tcPr>
          <w:p w14:paraId="77D3D6EC" w14:textId="37E642CB" w:rsidR="00574433" w:rsidRPr="0017699B" w:rsidRDefault="00574433" w:rsidP="00574433">
            <w:pPr>
              <w:bidi/>
              <w:spacing w:before="40"/>
              <w:rPr>
                <w:rFonts w:eastAsia="Times New Roman" w:cs="Calibri"/>
                <w:rtl/>
              </w:rPr>
            </w:pPr>
            <w:r w:rsidRPr="0017699B">
              <w:rPr>
                <w:rStyle w:val="normaltextrun"/>
                <w:rFonts w:cs="Calibri" w:hint="cs"/>
                <w:rtl/>
              </w:rPr>
              <w:t>الإدارة القائمة على النتائج</w:t>
            </w:r>
            <w:r w:rsidRPr="0017699B">
              <w:rPr>
                <w:rFonts w:cs="Calibri" w:hint="cs"/>
                <w:rtl/>
              </w:rPr>
              <w:t xml:space="preserve"> </w:t>
            </w:r>
          </w:p>
        </w:tc>
      </w:tr>
      <w:tr w:rsidR="00574433" w:rsidRPr="0017699B" w14:paraId="32817310" w14:textId="77777777" w:rsidTr="00FF3B92">
        <w:tc>
          <w:tcPr>
            <w:tcW w:w="1985" w:type="dxa"/>
          </w:tcPr>
          <w:p w14:paraId="38B0B944" w14:textId="35809549" w:rsidR="00574433" w:rsidRPr="0017699B" w:rsidRDefault="00574433" w:rsidP="00574433">
            <w:pPr>
              <w:bidi/>
              <w:spacing w:before="40"/>
              <w:rPr>
                <w:rFonts w:eastAsiaTheme="majorEastAsia" w:cs="Calibri"/>
                <w:rtl/>
              </w:rPr>
            </w:pPr>
            <w:r w:rsidRPr="0017699B">
              <w:rPr>
                <w:rFonts w:cs="Calibri"/>
              </w:rPr>
              <w:t>RO</w:t>
            </w:r>
          </w:p>
        </w:tc>
        <w:tc>
          <w:tcPr>
            <w:tcW w:w="283" w:type="dxa"/>
          </w:tcPr>
          <w:p w14:paraId="6EC02BAF" w14:textId="20EBEAB0" w:rsidR="00574433" w:rsidRPr="0017699B" w:rsidRDefault="00574433" w:rsidP="00574433">
            <w:pPr>
              <w:bidi/>
              <w:spacing w:before="40"/>
              <w:rPr>
                <w:rFonts w:eastAsiaTheme="majorEastAsia" w:cs="Calibri"/>
                <w:rtl/>
              </w:rPr>
            </w:pPr>
            <w:r w:rsidRPr="0017699B">
              <w:rPr>
                <w:rFonts w:cs="Calibri" w:hint="cs"/>
                <w:rtl/>
              </w:rPr>
              <w:t>:</w:t>
            </w:r>
          </w:p>
        </w:tc>
        <w:tc>
          <w:tcPr>
            <w:tcW w:w="7655" w:type="dxa"/>
          </w:tcPr>
          <w:p w14:paraId="5D58CB70" w14:textId="571F3406" w:rsidR="00574433" w:rsidRPr="0017699B" w:rsidRDefault="00574433" w:rsidP="00574433">
            <w:pPr>
              <w:bidi/>
              <w:spacing w:before="40"/>
              <w:rPr>
                <w:rFonts w:eastAsia="Times New Roman" w:cs="Calibri"/>
                <w:rtl/>
              </w:rPr>
            </w:pPr>
            <w:r w:rsidRPr="0017699B">
              <w:rPr>
                <w:rFonts w:cs="Calibri" w:hint="cs"/>
                <w:rtl/>
              </w:rPr>
              <w:t>مكتب إقليمي</w:t>
            </w:r>
          </w:p>
        </w:tc>
      </w:tr>
      <w:tr w:rsidR="00574433" w:rsidRPr="0017699B" w14:paraId="354A3110" w14:textId="77777777" w:rsidTr="00FF3B92">
        <w:tc>
          <w:tcPr>
            <w:tcW w:w="1985" w:type="dxa"/>
          </w:tcPr>
          <w:p w14:paraId="139477E2" w14:textId="77777777" w:rsidR="00574433" w:rsidRPr="0017699B" w:rsidRDefault="00574433" w:rsidP="00574433">
            <w:pPr>
              <w:bidi/>
              <w:spacing w:before="40"/>
              <w:rPr>
                <w:rFonts w:eastAsiaTheme="majorEastAsia" w:cs="Calibri"/>
                <w:rtl/>
              </w:rPr>
            </w:pPr>
            <w:r w:rsidRPr="0017699B">
              <w:rPr>
                <w:rFonts w:cs="Calibri"/>
              </w:rPr>
              <w:t>SOP</w:t>
            </w:r>
          </w:p>
        </w:tc>
        <w:tc>
          <w:tcPr>
            <w:tcW w:w="283" w:type="dxa"/>
          </w:tcPr>
          <w:p w14:paraId="41C7D0B3" w14:textId="77777777" w:rsidR="00574433" w:rsidRPr="0017699B" w:rsidRDefault="00574433" w:rsidP="00574433">
            <w:pPr>
              <w:bidi/>
              <w:spacing w:before="40"/>
              <w:rPr>
                <w:rFonts w:eastAsiaTheme="majorEastAsia" w:cs="Calibri"/>
                <w:rtl/>
              </w:rPr>
            </w:pPr>
            <w:r w:rsidRPr="0017699B">
              <w:rPr>
                <w:rFonts w:cs="Calibri" w:hint="cs"/>
                <w:rtl/>
              </w:rPr>
              <w:t>:</w:t>
            </w:r>
          </w:p>
        </w:tc>
        <w:tc>
          <w:tcPr>
            <w:tcW w:w="7655" w:type="dxa"/>
          </w:tcPr>
          <w:p w14:paraId="299E3454" w14:textId="77777777" w:rsidR="00574433" w:rsidRPr="0017699B" w:rsidRDefault="00574433" w:rsidP="00574433">
            <w:pPr>
              <w:bidi/>
              <w:spacing w:before="40"/>
              <w:rPr>
                <w:rFonts w:eastAsiaTheme="majorEastAsia" w:cs="Calibri"/>
                <w:rtl/>
              </w:rPr>
            </w:pPr>
            <w:r w:rsidRPr="0017699B">
              <w:rPr>
                <w:rFonts w:cs="Calibri" w:hint="cs"/>
                <w:rtl/>
              </w:rPr>
              <w:t>إجراءات التشغيل المعيارية</w:t>
            </w:r>
          </w:p>
        </w:tc>
      </w:tr>
      <w:tr w:rsidR="00574433" w:rsidRPr="0017699B" w14:paraId="13B4096F" w14:textId="77777777" w:rsidTr="00FF3B92">
        <w:tc>
          <w:tcPr>
            <w:tcW w:w="1985" w:type="dxa"/>
          </w:tcPr>
          <w:p w14:paraId="0AC507A9" w14:textId="5922B335" w:rsidR="00574433" w:rsidRPr="0017699B" w:rsidRDefault="00574433" w:rsidP="00574433">
            <w:pPr>
              <w:bidi/>
              <w:spacing w:before="40"/>
              <w:rPr>
                <w:rFonts w:eastAsiaTheme="majorEastAsia" w:cs="Calibri"/>
                <w:rtl/>
              </w:rPr>
            </w:pPr>
            <w:r w:rsidRPr="0017699B">
              <w:rPr>
                <w:rFonts w:cs="Calibri"/>
              </w:rPr>
              <w:t>SPR</w:t>
            </w:r>
          </w:p>
        </w:tc>
        <w:tc>
          <w:tcPr>
            <w:tcW w:w="283" w:type="dxa"/>
          </w:tcPr>
          <w:p w14:paraId="43C38E20" w14:textId="2341CF2C" w:rsidR="00574433" w:rsidRPr="0017699B" w:rsidRDefault="00574433" w:rsidP="00574433">
            <w:pPr>
              <w:bidi/>
              <w:spacing w:before="40"/>
              <w:rPr>
                <w:rFonts w:eastAsiaTheme="majorEastAsia" w:cs="Calibri"/>
                <w:rtl/>
              </w:rPr>
            </w:pPr>
            <w:r w:rsidRPr="0017699B">
              <w:rPr>
                <w:rFonts w:cs="Calibri" w:hint="cs"/>
                <w:rtl/>
              </w:rPr>
              <w:t>:</w:t>
            </w:r>
          </w:p>
        </w:tc>
        <w:tc>
          <w:tcPr>
            <w:tcW w:w="7655" w:type="dxa"/>
          </w:tcPr>
          <w:p w14:paraId="40303026" w14:textId="37FB8100" w:rsidR="00574433" w:rsidRPr="0017699B" w:rsidRDefault="00574433" w:rsidP="00574433">
            <w:pPr>
              <w:bidi/>
              <w:spacing w:before="40"/>
              <w:rPr>
                <w:rFonts w:eastAsia="Times New Roman" w:cs="Calibri"/>
                <w:rtl/>
              </w:rPr>
            </w:pPr>
            <w:r w:rsidRPr="0017699B">
              <w:rPr>
                <w:rFonts w:cs="Calibri" w:hint="cs"/>
                <w:rtl/>
              </w:rPr>
              <w:t>مراجعة إدارة الموردين</w:t>
            </w:r>
          </w:p>
        </w:tc>
      </w:tr>
      <w:tr w:rsidR="00574433" w:rsidRPr="0017699B" w14:paraId="18ED4AF0" w14:textId="77777777" w:rsidTr="00FF3B92">
        <w:tc>
          <w:tcPr>
            <w:tcW w:w="1985" w:type="dxa"/>
          </w:tcPr>
          <w:p w14:paraId="7A4915A4" w14:textId="77777777" w:rsidR="00574433" w:rsidRPr="0017699B" w:rsidRDefault="00574433" w:rsidP="00574433">
            <w:pPr>
              <w:bidi/>
              <w:spacing w:before="40"/>
              <w:rPr>
                <w:rFonts w:eastAsiaTheme="majorEastAsia" w:cs="Calibri"/>
                <w:rtl/>
              </w:rPr>
            </w:pPr>
            <w:r w:rsidRPr="0017699B">
              <w:rPr>
                <w:rFonts w:cs="Calibri"/>
              </w:rPr>
              <w:t>UN</w:t>
            </w:r>
          </w:p>
        </w:tc>
        <w:tc>
          <w:tcPr>
            <w:tcW w:w="283" w:type="dxa"/>
          </w:tcPr>
          <w:p w14:paraId="60D024D2" w14:textId="77777777" w:rsidR="00574433" w:rsidRPr="0017699B" w:rsidRDefault="00574433" w:rsidP="00574433">
            <w:pPr>
              <w:bidi/>
              <w:spacing w:before="40"/>
              <w:rPr>
                <w:rFonts w:eastAsiaTheme="majorEastAsia" w:cs="Calibri"/>
                <w:rtl/>
              </w:rPr>
            </w:pPr>
            <w:r w:rsidRPr="0017699B">
              <w:rPr>
                <w:rFonts w:cs="Calibri" w:hint="cs"/>
                <w:rtl/>
              </w:rPr>
              <w:t>:</w:t>
            </w:r>
          </w:p>
        </w:tc>
        <w:tc>
          <w:tcPr>
            <w:tcW w:w="7655" w:type="dxa"/>
          </w:tcPr>
          <w:p w14:paraId="2C216A07" w14:textId="77777777" w:rsidR="00574433" w:rsidRPr="0017699B" w:rsidRDefault="00574433" w:rsidP="00574433">
            <w:pPr>
              <w:bidi/>
              <w:spacing w:before="40"/>
              <w:rPr>
                <w:rFonts w:eastAsia="Times New Roman" w:cs="Calibri"/>
                <w:rtl/>
              </w:rPr>
            </w:pPr>
            <w:r w:rsidRPr="0017699B">
              <w:rPr>
                <w:rFonts w:cs="Calibri" w:hint="cs"/>
                <w:rtl/>
              </w:rPr>
              <w:t>الأمم المتحدة</w:t>
            </w:r>
          </w:p>
        </w:tc>
      </w:tr>
      <w:tr w:rsidR="00574433" w:rsidRPr="0017699B" w14:paraId="3F7B54B1" w14:textId="77777777" w:rsidTr="00FF3B92">
        <w:tc>
          <w:tcPr>
            <w:tcW w:w="1985" w:type="dxa"/>
          </w:tcPr>
          <w:p w14:paraId="62609C19" w14:textId="7EEFF3C2" w:rsidR="00574433" w:rsidRPr="0017699B" w:rsidRDefault="001A6952" w:rsidP="00574433">
            <w:pPr>
              <w:bidi/>
              <w:spacing w:before="40"/>
              <w:rPr>
                <w:rFonts w:eastAsiaTheme="majorEastAsia" w:cs="Calibri"/>
                <w:rtl/>
              </w:rPr>
            </w:pPr>
            <w:r>
              <w:rPr>
                <w:rFonts w:cs="Calibri"/>
              </w:rPr>
              <w:t>WIPO</w:t>
            </w:r>
          </w:p>
        </w:tc>
        <w:tc>
          <w:tcPr>
            <w:tcW w:w="283" w:type="dxa"/>
          </w:tcPr>
          <w:p w14:paraId="2F514CCA" w14:textId="77777777" w:rsidR="00574433" w:rsidRPr="0017699B" w:rsidRDefault="00574433" w:rsidP="00574433">
            <w:pPr>
              <w:bidi/>
              <w:spacing w:before="40"/>
              <w:rPr>
                <w:rFonts w:eastAsiaTheme="majorEastAsia" w:cs="Calibri"/>
                <w:rtl/>
              </w:rPr>
            </w:pPr>
            <w:r w:rsidRPr="0017699B">
              <w:rPr>
                <w:rFonts w:cs="Calibri" w:hint="cs"/>
                <w:rtl/>
              </w:rPr>
              <w:t>:</w:t>
            </w:r>
          </w:p>
        </w:tc>
        <w:tc>
          <w:tcPr>
            <w:tcW w:w="7655" w:type="dxa"/>
          </w:tcPr>
          <w:p w14:paraId="5CFBB5D3" w14:textId="77777777" w:rsidR="00574433" w:rsidRPr="0017699B" w:rsidRDefault="00574433" w:rsidP="00574433">
            <w:pPr>
              <w:bidi/>
              <w:spacing w:before="40"/>
              <w:rPr>
                <w:rFonts w:eastAsia="Times New Roman" w:cs="Calibri"/>
                <w:rtl/>
              </w:rPr>
            </w:pPr>
            <w:r w:rsidRPr="0017699B">
              <w:rPr>
                <w:rFonts w:cs="Calibri" w:hint="cs"/>
                <w:rtl/>
              </w:rPr>
              <w:t xml:space="preserve">المنظمة العالمية للملكية الفكرية </w:t>
            </w:r>
          </w:p>
        </w:tc>
      </w:tr>
    </w:tbl>
    <w:p w14:paraId="6D671F13" w14:textId="77777777" w:rsidR="00A3688F" w:rsidRPr="0017699B" w:rsidRDefault="00A3688F" w:rsidP="002F07D8">
      <w:pPr>
        <w:bidi/>
        <w:rPr>
          <w:rFonts w:cs="Calibri"/>
          <w:rtl/>
        </w:rPr>
      </w:pPr>
      <w:bookmarkStart w:id="224" w:name="_Toc96949277"/>
      <w:bookmarkStart w:id="225" w:name="_Toc96965729"/>
      <w:bookmarkStart w:id="226" w:name="_Toc96966235"/>
      <w:bookmarkStart w:id="227" w:name="_Toc96966451"/>
      <w:bookmarkStart w:id="228" w:name="_Toc227826050"/>
    </w:p>
    <w:bookmarkEnd w:id="224"/>
    <w:bookmarkEnd w:id="225"/>
    <w:bookmarkEnd w:id="226"/>
    <w:bookmarkEnd w:id="227"/>
    <w:bookmarkEnd w:id="228"/>
    <w:p w14:paraId="157C8D5F" w14:textId="77777777" w:rsidR="00281292" w:rsidRPr="0017699B" w:rsidRDefault="00281292" w:rsidP="002F07D8">
      <w:pPr>
        <w:rPr>
          <w:rFonts w:cs="Calibri"/>
        </w:rPr>
      </w:pPr>
    </w:p>
    <w:sectPr w:rsidR="00281292" w:rsidRPr="0017699B" w:rsidSect="0083626B">
      <w:headerReference w:type="even" r:id="rId35"/>
      <w:headerReference w:type="default" r:id="rId36"/>
      <w:footerReference w:type="default" r:id="rId37"/>
      <w:headerReference w:type="first" r:id="rId38"/>
      <w:pgSz w:w="11906" w:h="16838" w:code="9"/>
      <w:pgMar w:top="1814" w:right="1418" w:bottom="1440" w:left="1440" w:header="709" w:footer="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B7B5" w14:textId="77777777" w:rsidR="00E1368D" w:rsidRDefault="00E1368D" w:rsidP="00691B0A">
      <w:r>
        <w:separator/>
      </w:r>
    </w:p>
  </w:endnote>
  <w:endnote w:type="continuationSeparator" w:id="0">
    <w:p w14:paraId="5BA95B69" w14:textId="77777777" w:rsidR="00E1368D" w:rsidRDefault="00E1368D" w:rsidP="00691B0A">
      <w:r>
        <w:continuationSeparator/>
      </w:r>
    </w:p>
  </w:endnote>
  <w:endnote w:type="continuationNotice" w:id="1">
    <w:p w14:paraId="19CE52B8" w14:textId="77777777" w:rsidR="00E1368D" w:rsidRDefault="00E13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7D5" w14:textId="79EB9207" w:rsidR="007F5BD5" w:rsidRDefault="00D33816">
    <w:pPr>
      <w:pStyle w:val="Footer"/>
      <w:framePr w:wrap="none" w:vAnchor="text" w:hAnchor="margin" w:xAlign="right" w:y="1"/>
      <w:bidi/>
      <w:rPr>
        <w:rStyle w:val="PageNumber"/>
        <w:rtl/>
      </w:rPr>
    </w:pPr>
    <w:r>
      <w:rPr>
        <w:rFonts w:hint="cs"/>
        <w:noProof/>
        <w:rtl/>
      </w:rPr>
      <mc:AlternateContent>
        <mc:Choice Requires="wps">
          <w:drawing>
            <wp:anchor distT="0" distB="0" distL="0" distR="0" simplePos="0" relativeHeight="251658242" behindDoc="0" locked="0" layoutInCell="1" allowOverlap="1" wp14:anchorId="5D4E056F" wp14:editId="67695BE9">
              <wp:simplePos x="635" y="635"/>
              <wp:positionH relativeFrom="page">
                <wp:align>center</wp:align>
              </wp:positionH>
              <wp:positionV relativeFrom="page">
                <wp:align>bottom</wp:align>
              </wp:positionV>
              <wp:extent cx="1188720" cy="357505"/>
              <wp:effectExtent l="0" t="0" r="11430" b="0"/>
              <wp:wrapNone/>
              <wp:docPr id="1332207692"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720" cy="357505"/>
                      </a:xfrm>
                      <a:prstGeom prst="rect">
                        <a:avLst/>
                      </a:prstGeom>
                      <a:noFill/>
                      <a:ln>
                        <a:noFill/>
                      </a:ln>
                    </wps:spPr>
                    <wps:txbx>
                      <w:txbxContent>
                        <w:p w14:paraId="6409867D" w14:textId="5C796378" w:rsidR="00D33816" w:rsidRPr="00D33816" w:rsidRDefault="00D33816" w:rsidP="00D33816">
                          <w:pPr>
                            <w:bidi/>
                            <w:rPr>
                              <w:rFonts w:ascii="Aptos" w:eastAsia="Aptos" w:hAnsi="Aptos"/>
                              <w:color w:val="FF0000"/>
                              <w:sz w:val="20"/>
                              <w:szCs w:val="20"/>
                              <w:rtl/>
                            </w:rPr>
                          </w:pPr>
                          <w:r>
                            <w:rPr>
                              <w:rFonts w:ascii="Aptos" w:hAnsi="Aptos"/>
                              <w:color w:val="FF0000"/>
                              <w:sz w:val="20"/>
                              <w:szCs w:val="20"/>
                            </w:rPr>
                            <w:t>WIPO CONFIDENTIAL</w:t>
                          </w:r>
                          <w:r>
                            <w:rPr>
                              <w:rFonts w:hint="cs"/>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E056F" id="_x0000_t202" coordsize="21600,21600" o:spt="202" path="m,l,21600r21600,l21600,xe">
              <v:stroke joinstyle="miter"/>
              <v:path gradientshapeok="t" o:connecttype="rect"/>
            </v:shapetype>
            <v:shape id="Text Box 2" o:spid="_x0000_s1036" type="#_x0000_t202" alt="WIPO CONFIDENTIAL " style="position:absolute;left:0;text-align:left;margin-left:0;margin-top:0;width:93.6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" filled="f" stroked="f">
              <v:textbox style="mso-fit-shape-to-text:t" inset="0,0,0,15pt">
                <w:txbxContent>
                  <w:p w14:paraId="6409867D" w14:textId="5C796378" w:rsidR="00D33816" w:rsidRPr="00D33816" w:rsidRDefault="00D33816" w:rsidP="00D33816">
                    <w:pPr>
                      <w:bidi/>
                      <w:rPr>
                        <w:rFonts w:ascii="Aptos" w:eastAsia="Aptos" w:hAnsi="Aptos"/>
                        <w:color w:val="FF0000"/>
                        <w:sz w:val="20"/>
                        <w:szCs w:val="20"/>
                        <w:rtl/>
                      </w:rPr>
                    </w:pPr>
                    <w:r>
                      <w:rPr>
                        <w:rFonts w:ascii="Aptos" w:hAnsi="Aptos"/>
                        <w:color w:val="FF0000"/>
                        <w:sz w:val="20"/>
                        <w:szCs w:val="20"/>
                      </w:rPr>
                      <w:t>WIPO CONFIDENTIAL</w:t>
                    </w:r>
                    <w:r>
                      <w:rPr>
                        <w:rFonts w:hint="cs"/>
                        <w:rtl/>
                      </w:rPr>
                      <w:t xml:space="preserve"> </w:t>
                    </w:r>
                  </w:p>
                </w:txbxContent>
              </v:textbox>
              <w10:wrap anchorx="page" anchory="page"/>
            </v:shape>
          </w:pict>
        </mc:Fallback>
      </mc:AlternateContent>
    </w:r>
    <w:sdt>
      <w:sdtPr>
        <w:rPr>
          <w:rStyle w:val="PageNumber"/>
          <w:rtl/>
        </w:rPr>
        <w:id w:val="-1809774934"/>
        <w:docPartObj>
          <w:docPartGallery w:val="Page Numbers (Bottom of Page)"/>
          <w:docPartUnique/>
        </w:docPartObj>
      </w:sdtPr>
      <w:sdtContent>
        <w:r w:rsidR="007F5BD5">
          <w:rPr>
            <w:rStyle w:val="PageNumber"/>
            <w:rFonts w:hint="cs"/>
            <w:rtl/>
          </w:rPr>
          <w:fldChar w:fldCharType="begin"/>
        </w:r>
        <w:r>
          <w:rPr>
            <w:rtl/>
          </w:rPr>
          <w:instrText xml:space="preserve"> </w:instrText>
        </w:r>
        <w:r w:rsidR="007F5BD5">
          <w:rPr>
            <w:rStyle w:val="PageNumber"/>
            <w:rFonts w:hint="cs"/>
          </w:rPr>
          <w:instrText xml:space="preserve">PAGE </w:instrText>
        </w:r>
        <w:r w:rsidR="007F5BD5">
          <w:rPr>
            <w:rStyle w:val="PageNumber"/>
            <w:rFonts w:hint="cs"/>
            <w:rtl/>
          </w:rPr>
          <w:fldChar w:fldCharType="separate"/>
        </w:r>
        <w:r w:rsidR="007F5BD5" w:rsidRPr="66DE4C64">
          <w:rPr>
            <w:rStyle w:val="PageNumber"/>
            <w:rFonts w:hint="cs"/>
            <w:rtl/>
          </w:rPr>
          <w:t>5</w:t>
        </w:r>
        <w:r w:rsidR="007F5BD5">
          <w:rPr>
            <w:rStyle w:val="PageNumber"/>
            <w:rFonts w:hint="cs"/>
            <w:rtl/>
          </w:rPr>
          <w:fldChar w:fldCharType="end"/>
        </w:r>
      </w:sdtContent>
    </w:sdt>
  </w:p>
  <w:p w14:paraId="57587175" w14:textId="77777777" w:rsidR="007F5BD5" w:rsidRDefault="007F5B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1462" w14:textId="49738582" w:rsidR="007F5BD5" w:rsidRPr="00B65CF6" w:rsidRDefault="007F5BD5" w:rsidP="00B65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7ED8" w14:textId="39DEAC6A" w:rsidR="007F5BD5" w:rsidRDefault="007F5BD5" w:rsidP="00CD66EC">
    <w:pPr>
      <w:pStyle w:val="Footer"/>
      <w:tabs>
        <w:tab w:val="clear" w:pos="9360"/>
        <w:tab w:val="left" w:pos="8931"/>
        <w:tab w:val="right" w:pos="949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F3AB" w14:textId="77777777" w:rsidR="000B5662" w:rsidRDefault="000B5662" w:rsidP="000B5662">
    <w:pPr>
      <w:pStyle w:val="Footer"/>
      <w:bidi/>
      <w:rPr>
        <w:rFonts w:ascii="Times New Roman" w:hAnsi="Times New Roman"/>
        <w:sz w:val="20"/>
        <w:szCs w:val="20"/>
        <w:rtl/>
      </w:rPr>
    </w:pPr>
    <w:r>
      <w:rPr>
        <w:rFonts w:ascii="Times New Roman" w:hAnsi="Times New Roman" w:hint="cs"/>
        <w:noProof/>
        <w:sz w:val="20"/>
        <w:rtl/>
      </w:rPr>
      <mc:AlternateContent>
        <mc:Choice Requires="wps">
          <w:drawing>
            <wp:anchor distT="0" distB="0" distL="114300" distR="114300" simplePos="0" relativeHeight="251658244" behindDoc="0" locked="0" layoutInCell="1" allowOverlap="1" wp14:anchorId="4A7028C3" wp14:editId="4BD8906A">
              <wp:simplePos x="0" y="0"/>
              <wp:positionH relativeFrom="column">
                <wp:posOffset>5080</wp:posOffset>
              </wp:positionH>
              <wp:positionV relativeFrom="paragraph">
                <wp:posOffset>119049</wp:posOffset>
              </wp:positionV>
              <wp:extent cx="5778500" cy="0"/>
              <wp:effectExtent l="0" t="0" r="0" b="0"/>
              <wp:wrapNone/>
              <wp:docPr id="878728098" name="Straight Connector 878728098"/>
              <wp:cNvGraphicFramePr/>
              <a:graphic xmlns:a="http://schemas.openxmlformats.org/drawingml/2006/main">
                <a:graphicData uri="http://schemas.microsoft.com/office/word/2010/wordprocessingShape">
                  <wps:wsp>
                    <wps:cNvCnPr/>
                    <wps:spPr>
                      <a:xfrm flipV="1">
                        <a:off x="0" y="0"/>
                        <a:ext cx="5778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38266D4" id="Straight Connector 87872809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35pt" to="455.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" strokecolor="windowText" strokeweight="1pt">
              <v:stroke joinstyle="miter"/>
            </v:line>
          </w:pict>
        </mc:Fallback>
      </mc:AlternateContent>
    </w:r>
  </w:p>
  <w:p w14:paraId="243C9316" w14:textId="0CFB4556" w:rsidR="007F5BD5" w:rsidRPr="000B5662" w:rsidRDefault="000B5662" w:rsidP="000B5662">
    <w:pPr>
      <w:pStyle w:val="Footer"/>
      <w:bidi/>
      <w:rPr>
        <w:rFonts w:ascii="Times New Roman" w:hAnsi="Times New Roman"/>
        <w:sz w:val="20"/>
        <w:szCs w:val="20"/>
        <w:rtl/>
      </w:rPr>
    </w:pPr>
    <w:r>
      <w:rPr>
        <w:rFonts w:hint="cs"/>
        <w:rtl/>
      </w:rPr>
      <w:t xml:space="preserve">تقرير </w:t>
    </w:r>
    <w:r>
      <w:rPr>
        <w:rFonts w:hint="cs"/>
        <w:rtl/>
      </w:rPr>
      <w:t xml:space="preserve">التدقيق للمنظمة العالمية للملكية الفكرية </w:t>
    </w:r>
    <w:sdt>
      <w:sdtPr>
        <w:rPr>
          <w:rFonts w:ascii="Times New Roman" w:hAnsi="Times New Roman" w:cs="Times New Roman"/>
          <w:sz w:val="20"/>
          <w:szCs w:val="20"/>
          <w:rtl/>
        </w:rPr>
        <w:id w:val="-1352953534"/>
        <w:docPartObj>
          <w:docPartGallery w:val="Page Numbers (Bottom of Page)"/>
          <w:docPartUnique/>
        </w:docPartObj>
      </w:sdtPr>
      <w:sdtContent>
        <w:r>
          <w:rPr>
            <w:rFonts w:ascii="Times New Roman" w:hAnsi="Times New Roman" w:hint="cs"/>
            <w:sz w:val="20"/>
            <w:rtl/>
          </w:rPr>
          <w:fldChar w:fldCharType="begin"/>
        </w:r>
        <w:r>
          <w:rPr>
            <w:rtl/>
          </w:rPr>
          <w:instrText xml:space="preserve"> </w:instrText>
        </w:r>
        <w:r>
          <w:rPr>
            <w:rFonts w:ascii="Times New Roman" w:hAnsi="Times New Roman" w:hint="cs"/>
            <w:sz w:val="20"/>
          </w:rPr>
          <w:instrText xml:space="preserve">PAGE  \* roman  \* MERGEFORMAT </w:instrText>
        </w:r>
        <w:r>
          <w:rPr>
            <w:rFonts w:ascii="Times New Roman" w:hAnsi="Times New Roman" w:hint="cs"/>
            <w:sz w:val="20"/>
            <w:rtl/>
          </w:rPr>
          <w:fldChar w:fldCharType="separate"/>
        </w:r>
        <w:r w:rsidR="00EC4DD4">
          <w:rPr>
            <w:rFonts w:ascii="Times New Roman" w:hAnsi="Times New Roman" w:hint="cs"/>
            <w:sz w:val="20"/>
            <w:rtl/>
          </w:rPr>
          <w:t>ii</w:t>
        </w:r>
        <w:r>
          <w:rPr>
            <w:rFonts w:ascii="Times New Roman" w:hAnsi="Times New Roman" w:hint="cs"/>
            <w:sz w:val="20"/>
            <w:rtl/>
          </w:rPr>
          <w:fldChar w:fldCharType="end"/>
        </w:r>
        <w:r>
          <w:rPr>
            <w:rFonts w:ascii="Times New Roman" w:hAnsi="Times New Roman" w:hint="cs"/>
            <w:sz w:val="20"/>
            <w:szCs w:val="20"/>
            <w:rtl/>
          </w:rPr>
          <w:t xml:space="preserve"> | الصفحة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7B23" w14:textId="46846F9F" w:rsidR="005328CB" w:rsidRPr="00FC443A" w:rsidRDefault="005328CB" w:rsidP="00FC44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259" w14:textId="77777777" w:rsidR="007F5BD5" w:rsidRPr="009A2DD6" w:rsidRDefault="007F5BD5" w:rsidP="009A2D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B530" w14:textId="7DE635A7" w:rsidR="007F5BD5" w:rsidRPr="005708A7" w:rsidRDefault="007F5BD5" w:rsidP="005708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00DC" w14:textId="59215096" w:rsidR="007F5BD5" w:rsidRPr="00E24DCF" w:rsidRDefault="007F5BD5" w:rsidP="00E24DC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848" w14:textId="7F220585" w:rsidR="007F5BD5" w:rsidRPr="007F703C" w:rsidRDefault="007F5BD5" w:rsidP="007F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22D45" w14:textId="77777777" w:rsidR="00E1368D" w:rsidRDefault="00E1368D" w:rsidP="00691B0A">
      <w:r>
        <w:separator/>
      </w:r>
    </w:p>
  </w:footnote>
  <w:footnote w:type="continuationSeparator" w:id="0">
    <w:p w14:paraId="1B9BE6CC" w14:textId="77777777" w:rsidR="00E1368D" w:rsidRDefault="00E1368D" w:rsidP="00691B0A">
      <w:r>
        <w:continuationSeparator/>
      </w:r>
    </w:p>
  </w:footnote>
  <w:footnote w:type="continuationNotice" w:id="1">
    <w:p w14:paraId="48A4D844" w14:textId="77777777" w:rsidR="00E1368D" w:rsidRDefault="00E13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0E05" w14:textId="77777777" w:rsidR="00D2664B" w:rsidRDefault="00D2664B" w:rsidP="00477D6B">
    <w:pPr>
      <w:bidi/>
      <w:jc w:val="right"/>
      <w:rPr>
        <w:rtl/>
      </w:rPr>
    </w:pPr>
    <w:bookmarkStart w:id="1" w:name="Code2"/>
    <w:bookmarkEnd w:id="1"/>
    <w:r>
      <w:t>WO/PBC/40/3</w:t>
    </w:r>
  </w:p>
  <w:p w14:paraId="5948B8B8" w14:textId="77777777" w:rsidR="00D2664B" w:rsidRDefault="00D2664B" w:rsidP="00477D6B">
    <w:pPr>
      <w:bidi/>
      <w:jc w:val="right"/>
      <w:rPr>
        <w:rtl/>
      </w:rPr>
    </w:pPr>
    <w:r>
      <w:t xml:space="preserve">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55E3620E" w14:textId="77777777" w:rsidR="00D2664B" w:rsidRDefault="00D2664B" w:rsidP="00477D6B">
    <w:pPr>
      <w:jc w:val="right"/>
    </w:pPr>
  </w:p>
  <w:p w14:paraId="0F358C8E" w14:textId="77777777" w:rsidR="00D2664B" w:rsidRDefault="00D266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818A" w14:textId="77777777" w:rsidR="00E24DCF" w:rsidRDefault="00E24DCF" w:rsidP="00E24DCF">
    <w:pPr>
      <w:bidi/>
      <w:jc w:val="right"/>
      <w:rPr>
        <w:rtl/>
      </w:rPr>
    </w:pPr>
    <w:r>
      <w:t>WO/PBC/40/3</w:t>
    </w:r>
  </w:p>
  <w:p w14:paraId="26C496BA" w14:textId="0065C79C" w:rsidR="001A6952" w:rsidRPr="001A6952" w:rsidRDefault="001A6952" w:rsidP="001A6952">
    <w:pPr>
      <w:bidi/>
      <w:jc w:val="right"/>
    </w:pPr>
    <w:r>
      <w:t>ANNEX I</w:t>
    </w:r>
  </w:p>
  <w:p w14:paraId="2BAD41C2" w14:textId="1FBD1D9D" w:rsidR="00E24DCF" w:rsidRPr="001A6952" w:rsidRDefault="00E24DCF" w:rsidP="00E24DCF">
    <w:pPr>
      <w:bidi/>
      <w:jc w:val="right"/>
      <w:rPr>
        <w:rFonts w:cs="Calibri"/>
        <w:rtl/>
      </w:rPr>
    </w:pPr>
    <w:r w:rsidRPr="001A6952">
      <w:rPr>
        <w:rFonts w:cs="Calibri" w:hint="cs"/>
        <w:rtl/>
      </w:rPr>
      <w:t>المرفق الأول</w:t>
    </w:r>
  </w:p>
  <w:p w14:paraId="605A4EB3" w14:textId="384662A3" w:rsidR="007F5BD5" w:rsidRDefault="007F5B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0171" w14:textId="25F16E50" w:rsidR="007F5BD5" w:rsidRDefault="007F5B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88015132"/>
      <w:docPartObj>
        <w:docPartGallery w:val="Page Numbers (Top of Page)"/>
        <w:docPartUnique/>
      </w:docPartObj>
    </w:sdtPr>
    <w:sdtEndPr>
      <w:rPr>
        <w:rFonts w:asciiTheme="minorHAnsi" w:hAnsiTheme="minorHAnsi" w:cstheme="minorHAnsi"/>
        <w:noProof/>
      </w:rPr>
    </w:sdtEndPr>
    <w:sdtContent>
      <w:p w14:paraId="0CEBD876" w14:textId="77777777" w:rsidR="00183285" w:rsidRDefault="00183285" w:rsidP="00183285">
        <w:pPr>
          <w:bidi/>
          <w:jc w:val="right"/>
        </w:pPr>
        <w:r>
          <w:t>WO/PBC/40/3</w:t>
        </w:r>
      </w:p>
      <w:p w14:paraId="7C3DAF23" w14:textId="37A37A39" w:rsidR="001A6952" w:rsidRPr="001A6952" w:rsidRDefault="001A6952" w:rsidP="001A6952">
        <w:pPr>
          <w:bidi/>
          <w:jc w:val="right"/>
        </w:pPr>
        <w:r>
          <w:t>ANNEX II</w:t>
        </w:r>
      </w:p>
      <w:p w14:paraId="4EDBDBC4" w14:textId="30223DE8" w:rsidR="00183285" w:rsidRPr="001A6952" w:rsidRDefault="00183285" w:rsidP="00183285">
        <w:pPr>
          <w:pStyle w:val="Header"/>
          <w:bidi/>
          <w:jc w:val="right"/>
          <w:rPr>
            <w:rFonts w:asciiTheme="minorHAnsi" w:hAnsiTheme="minorHAnsi" w:cstheme="minorHAnsi"/>
            <w:rtl/>
          </w:rPr>
        </w:pPr>
        <w:r w:rsidRPr="001A6952">
          <w:rPr>
            <w:rFonts w:asciiTheme="minorHAnsi" w:hAnsiTheme="minorHAnsi" w:cstheme="minorHAnsi"/>
            <w:rtl/>
          </w:rPr>
          <w:t>المرفق الثاني</w:t>
        </w:r>
      </w:p>
    </w:sdtContent>
  </w:sdt>
  <w:p w14:paraId="09E6BCCA" w14:textId="67E2AECD" w:rsidR="007F5BD5" w:rsidRDefault="007F5BD5" w:rsidP="0018328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FE75" w14:textId="5AAE2C57" w:rsidR="007F5BD5" w:rsidRDefault="007F5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32946189"/>
      <w:docPartObj>
        <w:docPartGallery w:val="Page Numbers (Top of Page)"/>
        <w:docPartUnique/>
      </w:docPartObj>
    </w:sdtPr>
    <w:sdtEndPr>
      <w:rPr>
        <w:noProof/>
      </w:rPr>
    </w:sdtEndPr>
    <w:sdtContent>
      <w:p w14:paraId="2E8EEE55" w14:textId="77777777" w:rsidR="00526FEF" w:rsidRPr="00526FEF" w:rsidRDefault="00526FEF" w:rsidP="00526FEF">
        <w:pPr>
          <w:bidi/>
          <w:jc w:val="right"/>
          <w:rPr>
            <w:rtl/>
          </w:rPr>
        </w:pPr>
        <w:r>
          <w:t>WO/PBC/40/3</w:t>
        </w:r>
      </w:p>
      <w:p w14:paraId="2FDE5259" w14:textId="1D30A357" w:rsidR="00526FEF" w:rsidRDefault="00526FEF" w:rsidP="00526FEF">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5C2D3467" w14:textId="77777777" w:rsidR="007F5BD5" w:rsidRDefault="007F5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9369503"/>
      <w:docPartObj>
        <w:docPartGallery w:val="Page Numbers (Top of Page)"/>
        <w:docPartUnique/>
      </w:docPartObj>
    </w:sdtPr>
    <w:sdtEndPr>
      <w:rPr>
        <w:noProof/>
      </w:rPr>
    </w:sdtEndPr>
    <w:sdtContent>
      <w:p w14:paraId="6B6C69E2" w14:textId="77777777" w:rsidR="005708A7" w:rsidRPr="00526FEF" w:rsidRDefault="005708A7" w:rsidP="005708A7">
        <w:pPr>
          <w:bidi/>
          <w:jc w:val="right"/>
          <w:rPr>
            <w:rtl/>
          </w:rPr>
        </w:pPr>
        <w:r>
          <w:t>WO/PBC/40/3</w:t>
        </w:r>
      </w:p>
      <w:p w14:paraId="6865AF26" w14:textId="7CF2FADE" w:rsidR="009F428A" w:rsidRDefault="009F428A" w:rsidP="005708A7">
        <w:pPr>
          <w:pStyle w:val="Header"/>
          <w:bidi/>
          <w:jc w:val="right"/>
          <w:rPr>
            <w:rtl/>
          </w:rPr>
        </w:pPr>
        <w:r>
          <w:rPr>
            <w:rFonts w:hint="cs"/>
            <w:rtl/>
          </w:rPr>
          <w:fldChar w:fldCharType="begin"/>
        </w:r>
        <w:r w:rsidR="005708A7">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1AE17F11" w14:textId="77777777" w:rsidR="007F5BD5" w:rsidRPr="0090665E" w:rsidRDefault="007F5BD5" w:rsidP="009066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48171355"/>
      <w:docPartObj>
        <w:docPartGallery w:val="Page Numbers (Top of Page)"/>
        <w:docPartUnique/>
      </w:docPartObj>
    </w:sdtPr>
    <w:sdtEndPr>
      <w:rPr>
        <w:noProof/>
        <w:rtl w:val="0"/>
      </w:rPr>
    </w:sdtEndPr>
    <w:sdtContent>
      <w:sdt>
        <w:sdtPr>
          <w:rPr>
            <w:rtl/>
          </w:rPr>
          <w:id w:val="2035069778"/>
          <w:docPartObj>
            <w:docPartGallery w:val="Page Numbers (Top of Page)"/>
            <w:docPartUnique/>
          </w:docPartObj>
        </w:sdtPr>
        <w:sdtEndPr>
          <w:rPr>
            <w:rFonts w:hint="cs"/>
            <w:noProof/>
          </w:rPr>
        </w:sdtEndPr>
        <w:sdtContent>
          <w:p w14:paraId="5798113E" w14:textId="77777777" w:rsidR="009F428A" w:rsidRPr="00526FEF" w:rsidRDefault="009F428A" w:rsidP="009F428A">
            <w:pPr>
              <w:bidi/>
              <w:jc w:val="right"/>
              <w:rPr>
                <w:rtl/>
              </w:rPr>
            </w:pPr>
            <w:r>
              <w:t>WO/PBC/40/3</w:t>
            </w:r>
          </w:p>
          <w:p w14:paraId="7FDA5016" w14:textId="722DA9FC" w:rsidR="009F428A" w:rsidRDefault="009F428A" w:rsidP="009F428A">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t>3</w:t>
            </w:r>
            <w:r>
              <w:rPr>
                <w:rFonts w:hint="cs"/>
                <w:rtl/>
              </w:rPr>
              <w:fldChar w:fldCharType="end"/>
            </w:r>
          </w:p>
        </w:sdtContent>
      </w:sdt>
      <w:p w14:paraId="753F50A7" w14:textId="77777777" w:rsidR="009F428A" w:rsidRDefault="009F428A" w:rsidP="009F428A">
        <w:pPr>
          <w:pStyle w:val="Header"/>
        </w:pPr>
      </w:p>
      <w:p w14:paraId="4EE37C9F" w14:textId="27840B20" w:rsidR="009F428A" w:rsidRDefault="00000000">
        <w:pPr>
          <w:pStyle w:val="Header"/>
          <w:jc w:val="right"/>
        </w:pPr>
      </w:p>
    </w:sdtContent>
  </w:sdt>
  <w:p w14:paraId="7A31363A" w14:textId="77777777" w:rsidR="009F428A" w:rsidRDefault="009F42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940D" w14:textId="76D0A318" w:rsidR="007F5BD5" w:rsidRDefault="007F5B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0D7F" w14:textId="160D3253" w:rsidR="007F5BD5" w:rsidRDefault="007F5BD5" w:rsidP="00962A41">
    <w:pPr>
      <w:pStyle w:val="Header"/>
      <w:jc w:val="center"/>
    </w:pPr>
  </w:p>
  <w:p w14:paraId="7E0814EC" w14:textId="77777777" w:rsidR="007F5BD5" w:rsidRDefault="007F5BD5">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26734395"/>
      <w:docPartObj>
        <w:docPartGallery w:val="Page Numbers (Top of Page)"/>
        <w:docPartUnique/>
      </w:docPartObj>
    </w:sdtPr>
    <w:sdtEndPr>
      <w:rPr>
        <w:noProof/>
      </w:rPr>
    </w:sdtEndPr>
    <w:sdtContent>
      <w:p w14:paraId="493B5007" w14:textId="77777777" w:rsidR="005708A7" w:rsidRPr="00526FEF" w:rsidRDefault="005708A7" w:rsidP="005708A7">
        <w:pPr>
          <w:bidi/>
          <w:jc w:val="right"/>
          <w:rPr>
            <w:rtl/>
          </w:rPr>
        </w:pPr>
        <w:r>
          <w:t>WO/PBC/40/3</w:t>
        </w:r>
      </w:p>
      <w:p w14:paraId="0379E71A" w14:textId="3CFBC1F1" w:rsidR="005708A7" w:rsidRDefault="005708A7" w:rsidP="005708A7">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76A379A7" w14:textId="77777777" w:rsidR="005708A7" w:rsidRPr="0090665E" w:rsidRDefault="005708A7" w:rsidP="009066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8411" w14:textId="1C40490B" w:rsidR="007F5BD5" w:rsidRDefault="007F5B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50478471"/>
      <w:docPartObj>
        <w:docPartGallery w:val="Page Numbers (Top of Page)"/>
        <w:docPartUnique/>
      </w:docPartObj>
    </w:sdtPr>
    <w:sdtEndPr>
      <w:rPr>
        <w:noProof/>
      </w:rPr>
    </w:sdtEndPr>
    <w:sdtContent>
      <w:p w14:paraId="00E47C82" w14:textId="77777777" w:rsidR="00E24DCF" w:rsidRDefault="00E24DCF" w:rsidP="00E24DCF">
        <w:pPr>
          <w:bidi/>
          <w:jc w:val="right"/>
          <w:rPr>
            <w:rtl/>
          </w:rPr>
        </w:pPr>
        <w:r>
          <w:t>WO/PBC/40/3</w:t>
        </w:r>
      </w:p>
      <w:p w14:paraId="30600A3C" w14:textId="066C0C39" w:rsidR="001A6952" w:rsidRPr="001A6952" w:rsidRDefault="001A6952" w:rsidP="001A6952">
        <w:pPr>
          <w:bidi/>
          <w:jc w:val="right"/>
        </w:pPr>
        <w:r>
          <w:t>Annex I</w:t>
        </w:r>
      </w:p>
      <w:p w14:paraId="17B2FA76" w14:textId="60C9DDD8" w:rsidR="00E24DCF" w:rsidRDefault="00E24DCF">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C1EE54" w14:textId="25B3BC37" w:rsidR="007F5BD5" w:rsidRDefault="007F5BD5" w:rsidP="000715F7">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kPxmBnUWOnRtAh" int2:id="0tSDwq9g">
      <int2:state int2:value="Rejected" int2:type="spell"/>
    </int2:textHash>
    <int2:textHash int2:hashCode="H5MVlXhvLxeDWN" int2:id="X9lm9pPp">
      <int2:state int2:value="Rejected" int2:type="spell"/>
    </int2:textHash>
    <int2:textHash int2:hashCode="wUUYRBelJv5o7w" int2:id="YCIeVORJ">
      <int2:state int2:value="Rejected" int2:type="spell"/>
    </int2:textHash>
    <int2:textHash int2:hashCode="bkns8BfwRVmF06" int2:id="ZrkwmEoQ">
      <int2:state int2:value="Rejected" int2:type="spell"/>
    </int2:textHash>
    <int2:textHash int2:hashCode="i5SID0s0udSJv2" int2:id="niX2LKg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A63"/>
    <w:multiLevelType w:val="hybridMultilevel"/>
    <w:tmpl w:val="6656569A"/>
    <w:lvl w:ilvl="0" w:tplc="4D88D6DC">
      <w:start w:val="1"/>
      <w:numFmt w:val="arabicAbjad"/>
      <w:lvlText w:val="(%1)"/>
      <w:lvlJc w:val="left"/>
      <w:pPr>
        <w:ind w:left="12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9E32B2"/>
    <w:multiLevelType w:val="hybridMultilevel"/>
    <w:tmpl w:val="1E50612C"/>
    <w:lvl w:ilvl="0" w:tplc="0409000F">
      <w:start w:val="1"/>
      <w:numFmt w:val="decimal"/>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118132FB"/>
    <w:multiLevelType w:val="hybridMultilevel"/>
    <w:tmpl w:val="B0AC51C0"/>
    <w:lvl w:ilvl="0" w:tplc="B6624CFE">
      <w:start w:val="1"/>
      <w:numFmt w:val="decimal"/>
      <w:pStyle w:val="LFARPara"/>
      <w:lvlText w:val="%1."/>
      <w:lvlJc w:val="left"/>
      <w:pPr>
        <w:ind w:left="786"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632" w:hanging="360"/>
      </w:pPr>
    </w:lvl>
    <w:lvl w:ilvl="2" w:tplc="0409001B">
      <w:start w:val="1"/>
      <w:numFmt w:val="lowerRoman"/>
      <w:lvlText w:val="%3."/>
      <w:lvlJc w:val="right"/>
      <w:pPr>
        <w:ind w:left="316" w:hanging="180"/>
      </w:pPr>
    </w:lvl>
    <w:lvl w:ilvl="3" w:tplc="0409000F">
      <w:start w:val="1"/>
      <w:numFmt w:val="decimal"/>
      <w:lvlText w:val="%4."/>
      <w:lvlJc w:val="left"/>
      <w:pPr>
        <w:ind w:left="1036" w:hanging="360"/>
      </w:pPr>
    </w:lvl>
    <w:lvl w:ilvl="4" w:tplc="04090019" w:tentative="1">
      <w:start w:val="1"/>
      <w:numFmt w:val="lowerLetter"/>
      <w:lvlText w:val="%5."/>
      <w:lvlJc w:val="left"/>
      <w:pPr>
        <w:ind w:left="1756" w:hanging="360"/>
      </w:pPr>
    </w:lvl>
    <w:lvl w:ilvl="5" w:tplc="0409001B" w:tentative="1">
      <w:start w:val="1"/>
      <w:numFmt w:val="lowerRoman"/>
      <w:lvlText w:val="%6."/>
      <w:lvlJc w:val="right"/>
      <w:pPr>
        <w:ind w:left="2476" w:hanging="180"/>
      </w:pPr>
    </w:lvl>
    <w:lvl w:ilvl="6" w:tplc="0409000F" w:tentative="1">
      <w:start w:val="1"/>
      <w:numFmt w:val="decimal"/>
      <w:lvlText w:val="%7."/>
      <w:lvlJc w:val="left"/>
      <w:pPr>
        <w:ind w:left="3196" w:hanging="360"/>
      </w:pPr>
    </w:lvl>
    <w:lvl w:ilvl="7" w:tplc="04090019" w:tentative="1">
      <w:start w:val="1"/>
      <w:numFmt w:val="lowerLetter"/>
      <w:lvlText w:val="%8."/>
      <w:lvlJc w:val="left"/>
      <w:pPr>
        <w:ind w:left="3916" w:hanging="360"/>
      </w:pPr>
    </w:lvl>
    <w:lvl w:ilvl="8" w:tplc="0409001B" w:tentative="1">
      <w:start w:val="1"/>
      <w:numFmt w:val="lowerRoman"/>
      <w:lvlText w:val="%9."/>
      <w:lvlJc w:val="right"/>
      <w:pPr>
        <w:ind w:left="4636" w:hanging="180"/>
      </w:pPr>
    </w:lvl>
  </w:abstractNum>
  <w:abstractNum w:abstractNumId="3" w15:restartNumberingAfterBreak="0">
    <w:nsid w:val="118A055D"/>
    <w:multiLevelType w:val="hybridMultilevel"/>
    <w:tmpl w:val="3DB83090"/>
    <w:lvl w:ilvl="0" w:tplc="EAB826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18C4CF8"/>
    <w:multiLevelType w:val="hybridMultilevel"/>
    <w:tmpl w:val="04CAF80C"/>
    <w:lvl w:ilvl="0" w:tplc="AB9AC5C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8E8F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901C4B"/>
    <w:multiLevelType w:val="multilevel"/>
    <w:tmpl w:val="E58A90A8"/>
    <w:lvl w:ilvl="0">
      <w:start w:val="1"/>
      <w:numFmt w:val="arabicAbjad"/>
      <w:lvlText w:val="%1."/>
      <w:lvlJc w:val="left"/>
      <w:pPr>
        <w:ind w:left="360" w:hanging="360"/>
      </w:pPr>
      <w:rPr>
        <w:rFonts w:ascii="Arial" w:eastAsia="Arial" w:hAnsi="Arial" w:cs="Arial" w:hint="default"/>
        <w:b w:val="0"/>
        <w:bCs w:val="0"/>
        <w:i w:val="0"/>
        <w:iCs w:val="0"/>
        <w:caps w:val="0"/>
        <w:strike w:val="0"/>
        <w:dstrike w:val="0"/>
        <w:vanish w:val="0"/>
        <w:spacing w:val="-1"/>
        <w:w w:val="100"/>
        <w:sz w:val="22"/>
        <w:szCs w:val="22"/>
        <w:vertAlign w:val="baseline"/>
      </w:rPr>
    </w:lvl>
    <w:lvl w:ilvl="1">
      <w:start w:val="1"/>
      <w:numFmt w:val="low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AEE4642"/>
    <w:multiLevelType w:val="hybridMultilevel"/>
    <w:tmpl w:val="576AE29A"/>
    <w:lvl w:ilvl="0" w:tplc="4D88D6DC">
      <w:start w:val="1"/>
      <w:numFmt w:val="arabicAbjad"/>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8" w15:restartNumberingAfterBreak="0">
    <w:nsid w:val="1D010FAF"/>
    <w:multiLevelType w:val="hybridMultilevel"/>
    <w:tmpl w:val="C2EECD8A"/>
    <w:lvl w:ilvl="0" w:tplc="4D88D6DC">
      <w:start w:val="1"/>
      <w:numFmt w:val="arabicAbjad"/>
      <w:lvlText w:val="(%1)"/>
      <w:lvlJc w:val="left"/>
      <w:pPr>
        <w:ind w:left="786" w:hanging="360"/>
      </w:pPr>
      <w:rPr>
        <w:rFonts w:hint="default"/>
      </w:rPr>
    </w:lvl>
    <w:lvl w:ilvl="1" w:tplc="D99A8206">
      <w:start w:val="1"/>
      <w:numFmt w:val="lowerLetter"/>
      <w:lvlText w:val="%2."/>
      <w:lvlJc w:val="left"/>
      <w:pPr>
        <w:ind w:left="1506" w:hanging="360"/>
      </w:pPr>
    </w:lvl>
    <w:lvl w:ilvl="2" w:tplc="B3D81822">
      <w:start w:val="1"/>
      <w:numFmt w:val="lowerRoman"/>
      <w:lvlText w:val="%3."/>
      <w:lvlJc w:val="right"/>
      <w:pPr>
        <w:ind w:left="2226" w:hanging="180"/>
      </w:pPr>
    </w:lvl>
    <w:lvl w:ilvl="3" w:tplc="2FF2A2E2">
      <w:start w:val="1"/>
      <w:numFmt w:val="decimal"/>
      <w:lvlText w:val="%4."/>
      <w:lvlJc w:val="left"/>
      <w:pPr>
        <w:ind w:left="2946" w:hanging="360"/>
      </w:pPr>
    </w:lvl>
    <w:lvl w:ilvl="4" w:tplc="56847BC0">
      <w:start w:val="1"/>
      <w:numFmt w:val="lowerLetter"/>
      <w:lvlText w:val="%5."/>
      <w:lvlJc w:val="left"/>
      <w:pPr>
        <w:ind w:left="3666" w:hanging="360"/>
      </w:pPr>
    </w:lvl>
    <w:lvl w:ilvl="5" w:tplc="195C37F8">
      <w:start w:val="1"/>
      <w:numFmt w:val="lowerRoman"/>
      <w:lvlText w:val="%6."/>
      <w:lvlJc w:val="right"/>
      <w:pPr>
        <w:ind w:left="4386" w:hanging="180"/>
      </w:pPr>
    </w:lvl>
    <w:lvl w:ilvl="6" w:tplc="B07AB97E">
      <w:start w:val="1"/>
      <w:numFmt w:val="decimal"/>
      <w:lvlText w:val="%7."/>
      <w:lvlJc w:val="left"/>
      <w:pPr>
        <w:ind w:left="5106" w:hanging="360"/>
      </w:pPr>
    </w:lvl>
    <w:lvl w:ilvl="7" w:tplc="A9A2469E">
      <w:start w:val="1"/>
      <w:numFmt w:val="lowerLetter"/>
      <w:lvlText w:val="%8."/>
      <w:lvlJc w:val="left"/>
      <w:pPr>
        <w:ind w:left="5826" w:hanging="360"/>
      </w:pPr>
    </w:lvl>
    <w:lvl w:ilvl="8" w:tplc="7FFC559C">
      <w:start w:val="1"/>
      <w:numFmt w:val="lowerRoman"/>
      <w:lvlText w:val="%9."/>
      <w:lvlJc w:val="right"/>
      <w:pPr>
        <w:ind w:left="6546" w:hanging="180"/>
      </w:pPr>
    </w:lvl>
  </w:abstractNum>
  <w:abstractNum w:abstractNumId="9" w15:restartNumberingAfterBreak="0">
    <w:nsid w:val="1EAA0C34"/>
    <w:multiLevelType w:val="hybridMultilevel"/>
    <w:tmpl w:val="90E8A0AC"/>
    <w:lvl w:ilvl="0" w:tplc="4D88D6DC">
      <w:start w:val="1"/>
      <w:numFmt w:val="arabicAbjad"/>
      <w:lvlText w:val="(%1)"/>
      <w:lvlJc w:val="left"/>
      <w:pPr>
        <w:ind w:left="644" w:hanging="360"/>
      </w:pPr>
      <w:rPr>
        <w:rFonts w:hint="default"/>
      </w:rPr>
    </w:lvl>
    <w:lvl w:ilvl="1" w:tplc="FFFFFFFF">
      <w:start w:val="1"/>
      <w:numFmt w:val="lowerLetter"/>
      <w:lvlText w:val="%2."/>
      <w:lvlJc w:val="left"/>
      <w:pPr>
        <w:ind w:left="872" w:hanging="360"/>
      </w:pPr>
    </w:lvl>
    <w:lvl w:ilvl="2" w:tplc="FFFFFFFF">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10" w15:restartNumberingAfterBreak="0">
    <w:nsid w:val="1FAF45A5"/>
    <w:multiLevelType w:val="hybridMultilevel"/>
    <w:tmpl w:val="B5B09320"/>
    <w:lvl w:ilvl="0" w:tplc="0409000F">
      <w:start w:val="1"/>
      <w:numFmt w:val="decimal"/>
      <w:lvlText w:val="%1."/>
      <w:lvlJc w:val="left"/>
      <w:pPr>
        <w:ind w:left="360" w:hanging="360"/>
      </w:pPr>
      <w:rPr>
        <w:rFonts w:hint="default"/>
        <w:b/>
        <w:i w:val="0"/>
        <w:color w:val="auto"/>
        <w:sz w:val="22"/>
        <w:szCs w:val="22"/>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1" w15:restartNumberingAfterBreak="0">
    <w:nsid w:val="24151A66"/>
    <w:multiLevelType w:val="hybridMultilevel"/>
    <w:tmpl w:val="6D90BC7C"/>
    <w:lvl w:ilvl="0" w:tplc="4D88D6DC">
      <w:start w:val="1"/>
      <w:numFmt w:val="arabicAbjad"/>
      <w:lvlText w:val="(%1)"/>
      <w:lvlJc w:val="left"/>
      <w:pPr>
        <w:ind w:left="780" w:hanging="360"/>
      </w:pPr>
      <w:rPr>
        <w:rFonts w:hint="default"/>
      </w:rPr>
    </w:lvl>
    <w:lvl w:ilvl="1" w:tplc="478408E6">
      <w:start w:val="1"/>
      <w:numFmt w:val="lowerLetter"/>
      <w:lvlText w:val="%2."/>
      <w:lvlJc w:val="left"/>
      <w:pPr>
        <w:ind w:left="1500" w:hanging="360"/>
      </w:pPr>
    </w:lvl>
    <w:lvl w:ilvl="2" w:tplc="B31A81CC">
      <w:start w:val="1"/>
      <w:numFmt w:val="lowerRoman"/>
      <w:lvlText w:val="%3."/>
      <w:lvlJc w:val="right"/>
      <w:pPr>
        <w:ind w:left="2220" w:hanging="180"/>
      </w:pPr>
    </w:lvl>
    <w:lvl w:ilvl="3" w:tplc="13F879EE">
      <w:start w:val="1"/>
      <w:numFmt w:val="decimal"/>
      <w:lvlText w:val="%4."/>
      <w:lvlJc w:val="left"/>
      <w:pPr>
        <w:ind w:left="2940" w:hanging="360"/>
      </w:pPr>
    </w:lvl>
    <w:lvl w:ilvl="4" w:tplc="25081A2E">
      <w:start w:val="1"/>
      <w:numFmt w:val="lowerLetter"/>
      <w:lvlText w:val="%5."/>
      <w:lvlJc w:val="left"/>
      <w:pPr>
        <w:ind w:left="3660" w:hanging="360"/>
      </w:pPr>
    </w:lvl>
    <w:lvl w:ilvl="5" w:tplc="E0CCB038">
      <w:start w:val="1"/>
      <w:numFmt w:val="lowerRoman"/>
      <w:lvlText w:val="%6."/>
      <w:lvlJc w:val="right"/>
      <w:pPr>
        <w:ind w:left="4380" w:hanging="180"/>
      </w:pPr>
    </w:lvl>
    <w:lvl w:ilvl="6" w:tplc="05780BCA">
      <w:start w:val="1"/>
      <w:numFmt w:val="decimal"/>
      <w:lvlText w:val="%7."/>
      <w:lvlJc w:val="left"/>
      <w:pPr>
        <w:ind w:left="5100" w:hanging="360"/>
      </w:pPr>
    </w:lvl>
    <w:lvl w:ilvl="7" w:tplc="86C23BDE">
      <w:start w:val="1"/>
      <w:numFmt w:val="lowerLetter"/>
      <w:lvlText w:val="%8."/>
      <w:lvlJc w:val="left"/>
      <w:pPr>
        <w:ind w:left="5820" w:hanging="360"/>
      </w:pPr>
    </w:lvl>
    <w:lvl w:ilvl="8" w:tplc="05029040">
      <w:start w:val="1"/>
      <w:numFmt w:val="lowerRoman"/>
      <w:lvlText w:val="%9."/>
      <w:lvlJc w:val="right"/>
      <w:pPr>
        <w:ind w:left="6540" w:hanging="180"/>
      </w:pPr>
    </w:lvl>
  </w:abstractNum>
  <w:abstractNum w:abstractNumId="12" w15:restartNumberingAfterBreak="0">
    <w:nsid w:val="357B5F65"/>
    <w:multiLevelType w:val="hybridMultilevel"/>
    <w:tmpl w:val="BF4C7AD8"/>
    <w:lvl w:ilvl="0" w:tplc="234A418C">
      <w:start w:val="1"/>
      <w:numFmt w:val="upp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3F896A"/>
    <w:multiLevelType w:val="hybridMultilevel"/>
    <w:tmpl w:val="0D48C48C"/>
    <w:lvl w:ilvl="0" w:tplc="4D88D6DC">
      <w:start w:val="1"/>
      <w:numFmt w:val="arabicAbjad"/>
      <w:lvlText w:val="(%1)"/>
      <w:lvlJc w:val="left"/>
      <w:pPr>
        <w:ind w:left="720" w:hanging="360"/>
      </w:pPr>
      <w:rPr>
        <w:rFonts w:hint="default"/>
      </w:rPr>
    </w:lvl>
    <w:lvl w:ilvl="1" w:tplc="E570AA40">
      <w:start w:val="1"/>
      <w:numFmt w:val="lowerLetter"/>
      <w:lvlText w:val="%2."/>
      <w:lvlJc w:val="left"/>
      <w:pPr>
        <w:ind w:left="1440" w:hanging="360"/>
      </w:pPr>
    </w:lvl>
    <w:lvl w:ilvl="2" w:tplc="0D4A43A0">
      <w:start w:val="1"/>
      <w:numFmt w:val="lowerRoman"/>
      <w:lvlText w:val="%3."/>
      <w:lvlJc w:val="right"/>
      <w:pPr>
        <w:ind w:left="2160" w:hanging="180"/>
      </w:pPr>
    </w:lvl>
    <w:lvl w:ilvl="3" w:tplc="BB845CF0">
      <w:start w:val="1"/>
      <w:numFmt w:val="decimal"/>
      <w:lvlText w:val="%4."/>
      <w:lvlJc w:val="left"/>
      <w:pPr>
        <w:ind w:left="2880" w:hanging="360"/>
      </w:pPr>
    </w:lvl>
    <w:lvl w:ilvl="4" w:tplc="F9E43C68">
      <w:start w:val="1"/>
      <w:numFmt w:val="lowerLetter"/>
      <w:lvlText w:val="%5."/>
      <w:lvlJc w:val="left"/>
      <w:pPr>
        <w:ind w:left="3600" w:hanging="360"/>
      </w:pPr>
    </w:lvl>
    <w:lvl w:ilvl="5" w:tplc="B4B0307E">
      <w:start w:val="1"/>
      <w:numFmt w:val="lowerRoman"/>
      <w:lvlText w:val="%6."/>
      <w:lvlJc w:val="right"/>
      <w:pPr>
        <w:ind w:left="4320" w:hanging="180"/>
      </w:pPr>
    </w:lvl>
    <w:lvl w:ilvl="6" w:tplc="DF904676">
      <w:start w:val="1"/>
      <w:numFmt w:val="decimal"/>
      <w:lvlText w:val="%7."/>
      <w:lvlJc w:val="left"/>
      <w:pPr>
        <w:ind w:left="5040" w:hanging="360"/>
      </w:pPr>
    </w:lvl>
    <w:lvl w:ilvl="7" w:tplc="7E9224EA">
      <w:start w:val="1"/>
      <w:numFmt w:val="lowerLetter"/>
      <w:lvlText w:val="%8."/>
      <w:lvlJc w:val="left"/>
      <w:pPr>
        <w:ind w:left="5760" w:hanging="360"/>
      </w:pPr>
    </w:lvl>
    <w:lvl w:ilvl="8" w:tplc="6BDC64A2">
      <w:start w:val="1"/>
      <w:numFmt w:val="lowerRoman"/>
      <w:lvlText w:val="%9."/>
      <w:lvlJc w:val="right"/>
      <w:pPr>
        <w:ind w:left="6480" w:hanging="180"/>
      </w:pPr>
    </w:lvl>
  </w:abstractNum>
  <w:abstractNum w:abstractNumId="14" w15:restartNumberingAfterBreak="0">
    <w:nsid w:val="3FD876C8"/>
    <w:multiLevelType w:val="hybridMultilevel"/>
    <w:tmpl w:val="6720CD5A"/>
    <w:lvl w:ilvl="0" w:tplc="8FB6CF80">
      <w:start w:val="1"/>
      <w:numFmt w:val="upperLetter"/>
      <w:lvlText w:val="%1."/>
      <w:lvlJc w:val="left"/>
      <w:pPr>
        <w:ind w:left="360" w:hanging="360"/>
      </w:pPr>
      <w:rPr>
        <w:rFonts w:ascii="Times New Roman" w:hAnsi="Times New Roman" w:cs="Times New Roman" w:hint="default"/>
        <w:sz w:val="22"/>
        <w:szCs w:val="22"/>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436AC384"/>
    <w:multiLevelType w:val="hybridMultilevel"/>
    <w:tmpl w:val="FFFFFFFF"/>
    <w:lvl w:ilvl="0" w:tplc="35789114">
      <w:start w:val="1"/>
      <w:numFmt w:val="lowerLetter"/>
      <w:lvlText w:val="%1."/>
      <w:lvlJc w:val="left"/>
      <w:pPr>
        <w:ind w:left="158" w:hanging="360"/>
      </w:pPr>
    </w:lvl>
    <w:lvl w:ilvl="1" w:tplc="2BA85418">
      <w:start w:val="1"/>
      <w:numFmt w:val="lowerLetter"/>
      <w:lvlText w:val="%2."/>
      <w:lvlJc w:val="left"/>
      <w:pPr>
        <w:ind w:left="878" w:hanging="360"/>
      </w:pPr>
    </w:lvl>
    <w:lvl w:ilvl="2" w:tplc="6C4ACBF4">
      <w:start w:val="1"/>
      <w:numFmt w:val="lowerRoman"/>
      <w:lvlText w:val="%3."/>
      <w:lvlJc w:val="right"/>
      <w:pPr>
        <w:ind w:left="1598" w:hanging="180"/>
      </w:pPr>
    </w:lvl>
    <w:lvl w:ilvl="3" w:tplc="E49A7DB6">
      <w:start w:val="1"/>
      <w:numFmt w:val="decimal"/>
      <w:lvlText w:val="%4."/>
      <w:lvlJc w:val="left"/>
      <w:pPr>
        <w:ind w:left="2318" w:hanging="360"/>
      </w:pPr>
    </w:lvl>
    <w:lvl w:ilvl="4" w:tplc="35D227F4">
      <w:start w:val="1"/>
      <w:numFmt w:val="lowerLetter"/>
      <w:lvlText w:val="%5."/>
      <w:lvlJc w:val="left"/>
      <w:pPr>
        <w:ind w:left="3038" w:hanging="360"/>
      </w:pPr>
    </w:lvl>
    <w:lvl w:ilvl="5" w:tplc="17DA5CDC">
      <w:start w:val="1"/>
      <w:numFmt w:val="lowerRoman"/>
      <w:lvlText w:val="%6."/>
      <w:lvlJc w:val="right"/>
      <w:pPr>
        <w:ind w:left="3758" w:hanging="180"/>
      </w:pPr>
    </w:lvl>
    <w:lvl w:ilvl="6" w:tplc="BE78A86C">
      <w:start w:val="1"/>
      <w:numFmt w:val="decimal"/>
      <w:lvlText w:val="%7."/>
      <w:lvlJc w:val="left"/>
      <w:pPr>
        <w:ind w:left="4478" w:hanging="360"/>
      </w:pPr>
    </w:lvl>
    <w:lvl w:ilvl="7" w:tplc="BE900BCE">
      <w:start w:val="1"/>
      <w:numFmt w:val="lowerLetter"/>
      <w:lvlText w:val="%8."/>
      <w:lvlJc w:val="left"/>
      <w:pPr>
        <w:ind w:left="5198" w:hanging="360"/>
      </w:pPr>
    </w:lvl>
    <w:lvl w:ilvl="8" w:tplc="423C6210">
      <w:start w:val="1"/>
      <w:numFmt w:val="lowerRoman"/>
      <w:lvlText w:val="%9."/>
      <w:lvlJc w:val="right"/>
      <w:pPr>
        <w:ind w:left="5918" w:hanging="180"/>
      </w:pPr>
    </w:lvl>
  </w:abstractNum>
  <w:abstractNum w:abstractNumId="16" w15:restartNumberingAfterBreak="0">
    <w:nsid w:val="4A2110FC"/>
    <w:multiLevelType w:val="hybridMultilevel"/>
    <w:tmpl w:val="95C05B7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DF19D1D"/>
    <w:multiLevelType w:val="hybridMultilevel"/>
    <w:tmpl w:val="FFFFFFFF"/>
    <w:lvl w:ilvl="0" w:tplc="5A2EFB0C">
      <w:start w:val="1"/>
      <w:numFmt w:val="lowerLetter"/>
      <w:lvlText w:val="%1."/>
      <w:lvlJc w:val="left"/>
      <w:pPr>
        <w:ind w:left="720" w:hanging="360"/>
      </w:pPr>
    </w:lvl>
    <w:lvl w:ilvl="1" w:tplc="7F3ED73C">
      <w:start w:val="1"/>
      <w:numFmt w:val="lowerLetter"/>
      <w:lvlText w:val="%2."/>
      <w:lvlJc w:val="left"/>
      <w:pPr>
        <w:ind w:left="1440" w:hanging="360"/>
      </w:pPr>
    </w:lvl>
    <w:lvl w:ilvl="2" w:tplc="B3F686F6">
      <w:start w:val="1"/>
      <w:numFmt w:val="lowerRoman"/>
      <w:lvlText w:val="%3."/>
      <w:lvlJc w:val="right"/>
      <w:pPr>
        <w:ind w:left="2160" w:hanging="180"/>
      </w:pPr>
    </w:lvl>
    <w:lvl w:ilvl="3" w:tplc="26EA5CBE">
      <w:start w:val="1"/>
      <w:numFmt w:val="decimal"/>
      <w:lvlText w:val="%4."/>
      <w:lvlJc w:val="left"/>
      <w:pPr>
        <w:ind w:left="2880" w:hanging="360"/>
      </w:pPr>
    </w:lvl>
    <w:lvl w:ilvl="4" w:tplc="6DC2495E">
      <w:start w:val="1"/>
      <w:numFmt w:val="lowerLetter"/>
      <w:lvlText w:val="%5."/>
      <w:lvlJc w:val="left"/>
      <w:pPr>
        <w:ind w:left="3600" w:hanging="360"/>
      </w:pPr>
    </w:lvl>
    <w:lvl w:ilvl="5" w:tplc="E84E8E0E">
      <w:start w:val="1"/>
      <w:numFmt w:val="lowerRoman"/>
      <w:lvlText w:val="%6."/>
      <w:lvlJc w:val="right"/>
      <w:pPr>
        <w:ind w:left="4320" w:hanging="180"/>
      </w:pPr>
    </w:lvl>
    <w:lvl w:ilvl="6" w:tplc="18F26AF2">
      <w:start w:val="1"/>
      <w:numFmt w:val="decimal"/>
      <w:lvlText w:val="%7."/>
      <w:lvlJc w:val="left"/>
      <w:pPr>
        <w:ind w:left="5040" w:hanging="360"/>
      </w:pPr>
    </w:lvl>
    <w:lvl w:ilvl="7" w:tplc="3E3CED50">
      <w:start w:val="1"/>
      <w:numFmt w:val="lowerLetter"/>
      <w:lvlText w:val="%8."/>
      <w:lvlJc w:val="left"/>
      <w:pPr>
        <w:ind w:left="5760" w:hanging="360"/>
      </w:pPr>
    </w:lvl>
    <w:lvl w:ilvl="8" w:tplc="DF72A6B2">
      <w:start w:val="1"/>
      <w:numFmt w:val="lowerRoman"/>
      <w:lvlText w:val="%9."/>
      <w:lvlJc w:val="right"/>
      <w:pPr>
        <w:ind w:left="6480" w:hanging="180"/>
      </w:pPr>
    </w:lvl>
  </w:abstractNum>
  <w:abstractNum w:abstractNumId="18" w15:restartNumberingAfterBreak="0">
    <w:nsid w:val="50F06035"/>
    <w:multiLevelType w:val="hybridMultilevel"/>
    <w:tmpl w:val="2A28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F7FA0"/>
    <w:multiLevelType w:val="hybridMultilevel"/>
    <w:tmpl w:val="A5008D1E"/>
    <w:lvl w:ilvl="0" w:tplc="3A789202">
      <w:start w:val="1"/>
      <w:numFmt w:val="lowerLetter"/>
      <w:lvlText w:val="%1."/>
      <w:lvlJc w:val="left"/>
      <w:pPr>
        <w:ind w:left="1440" w:hanging="360"/>
      </w:pPr>
    </w:lvl>
    <w:lvl w:ilvl="1" w:tplc="E6E4388E">
      <w:start w:val="1"/>
      <w:numFmt w:val="lowerLetter"/>
      <w:lvlText w:val="%2."/>
      <w:lvlJc w:val="left"/>
      <w:pPr>
        <w:ind w:left="2160" w:hanging="360"/>
      </w:pPr>
    </w:lvl>
    <w:lvl w:ilvl="2" w:tplc="26D2A35E" w:tentative="1">
      <w:start w:val="1"/>
      <w:numFmt w:val="lowerRoman"/>
      <w:lvlText w:val="%3."/>
      <w:lvlJc w:val="right"/>
      <w:pPr>
        <w:ind w:left="2880" w:hanging="180"/>
      </w:pPr>
    </w:lvl>
    <w:lvl w:ilvl="3" w:tplc="E508EA5E" w:tentative="1">
      <w:start w:val="1"/>
      <w:numFmt w:val="decimal"/>
      <w:lvlText w:val="%4."/>
      <w:lvlJc w:val="left"/>
      <w:pPr>
        <w:ind w:left="3600" w:hanging="360"/>
      </w:pPr>
    </w:lvl>
    <w:lvl w:ilvl="4" w:tplc="9ACAA182" w:tentative="1">
      <w:start w:val="1"/>
      <w:numFmt w:val="lowerLetter"/>
      <w:lvlText w:val="%5."/>
      <w:lvlJc w:val="left"/>
      <w:pPr>
        <w:ind w:left="4320" w:hanging="360"/>
      </w:pPr>
    </w:lvl>
    <w:lvl w:ilvl="5" w:tplc="972CEA66" w:tentative="1">
      <w:start w:val="1"/>
      <w:numFmt w:val="lowerRoman"/>
      <w:lvlText w:val="%6."/>
      <w:lvlJc w:val="right"/>
      <w:pPr>
        <w:ind w:left="5040" w:hanging="180"/>
      </w:pPr>
    </w:lvl>
    <w:lvl w:ilvl="6" w:tplc="13CA9B82" w:tentative="1">
      <w:start w:val="1"/>
      <w:numFmt w:val="decimal"/>
      <w:lvlText w:val="%7."/>
      <w:lvlJc w:val="left"/>
      <w:pPr>
        <w:ind w:left="5760" w:hanging="360"/>
      </w:pPr>
    </w:lvl>
    <w:lvl w:ilvl="7" w:tplc="73526C30" w:tentative="1">
      <w:start w:val="1"/>
      <w:numFmt w:val="lowerLetter"/>
      <w:lvlText w:val="%8."/>
      <w:lvlJc w:val="left"/>
      <w:pPr>
        <w:ind w:left="6480" w:hanging="360"/>
      </w:pPr>
    </w:lvl>
    <w:lvl w:ilvl="8" w:tplc="EE3C0C28" w:tentative="1">
      <w:start w:val="1"/>
      <w:numFmt w:val="lowerRoman"/>
      <w:lvlText w:val="%9."/>
      <w:lvlJc w:val="right"/>
      <w:pPr>
        <w:ind w:left="7200" w:hanging="180"/>
      </w:pPr>
    </w:lvl>
  </w:abstractNum>
  <w:abstractNum w:abstractNumId="20" w15:restartNumberingAfterBreak="0">
    <w:nsid w:val="5604284F"/>
    <w:multiLevelType w:val="hybridMultilevel"/>
    <w:tmpl w:val="D9E22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C6E48"/>
    <w:multiLevelType w:val="multilevel"/>
    <w:tmpl w:val="2A2C279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5D10D4"/>
    <w:multiLevelType w:val="hybridMultilevel"/>
    <w:tmpl w:val="69181B14"/>
    <w:lvl w:ilvl="0" w:tplc="4D88D6DC">
      <w:start w:val="1"/>
      <w:numFmt w:val="arabicAbjad"/>
      <w:lvlText w:val="(%1)"/>
      <w:lvlJc w:val="left"/>
      <w:pPr>
        <w:ind w:left="786" w:hanging="360"/>
      </w:pPr>
      <w:rPr>
        <w:rFonts w:hint="default"/>
      </w:rPr>
    </w:lvl>
    <w:lvl w:ilvl="1" w:tplc="B41ABF84">
      <w:start w:val="1"/>
      <w:numFmt w:val="lowerLetter"/>
      <w:lvlText w:val="%2."/>
      <w:lvlJc w:val="left"/>
      <w:pPr>
        <w:ind w:left="1506" w:hanging="360"/>
      </w:pPr>
    </w:lvl>
    <w:lvl w:ilvl="2" w:tplc="9B5236A4">
      <w:start w:val="1"/>
      <w:numFmt w:val="lowerRoman"/>
      <w:lvlText w:val="%3."/>
      <w:lvlJc w:val="right"/>
      <w:pPr>
        <w:ind w:left="2226" w:hanging="180"/>
      </w:pPr>
    </w:lvl>
    <w:lvl w:ilvl="3" w:tplc="AF1664C6">
      <w:start w:val="1"/>
      <w:numFmt w:val="decimal"/>
      <w:lvlText w:val="%4."/>
      <w:lvlJc w:val="left"/>
      <w:pPr>
        <w:ind w:left="2946" w:hanging="360"/>
      </w:pPr>
    </w:lvl>
    <w:lvl w:ilvl="4" w:tplc="8A46389C">
      <w:start w:val="1"/>
      <w:numFmt w:val="lowerLetter"/>
      <w:lvlText w:val="%5."/>
      <w:lvlJc w:val="left"/>
      <w:pPr>
        <w:ind w:left="3666" w:hanging="360"/>
      </w:pPr>
    </w:lvl>
    <w:lvl w:ilvl="5" w:tplc="1CECD32C">
      <w:start w:val="1"/>
      <w:numFmt w:val="lowerRoman"/>
      <w:lvlText w:val="%6."/>
      <w:lvlJc w:val="right"/>
      <w:pPr>
        <w:ind w:left="4386" w:hanging="180"/>
      </w:pPr>
    </w:lvl>
    <w:lvl w:ilvl="6" w:tplc="C95A2192">
      <w:start w:val="1"/>
      <w:numFmt w:val="decimal"/>
      <w:lvlText w:val="%7."/>
      <w:lvlJc w:val="left"/>
      <w:pPr>
        <w:ind w:left="5106" w:hanging="360"/>
      </w:pPr>
    </w:lvl>
    <w:lvl w:ilvl="7" w:tplc="4F6EC722">
      <w:start w:val="1"/>
      <w:numFmt w:val="lowerLetter"/>
      <w:lvlText w:val="%8."/>
      <w:lvlJc w:val="left"/>
      <w:pPr>
        <w:ind w:left="5826" w:hanging="360"/>
      </w:pPr>
    </w:lvl>
    <w:lvl w:ilvl="8" w:tplc="1C1EF480">
      <w:start w:val="1"/>
      <w:numFmt w:val="lowerRoman"/>
      <w:lvlText w:val="%9."/>
      <w:lvlJc w:val="right"/>
      <w:pPr>
        <w:ind w:left="6546" w:hanging="180"/>
      </w:pPr>
    </w:lvl>
  </w:abstractNum>
  <w:abstractNum w:abstractNumId="23" w15:restartNumberingAfterBreak="0">
    <w:nsid w:val="60E9280A"/>
    <w:multiLevelType w:val="hybridMultilevel"/>
    <w:tmpl w:val="FFFFFFFF"/>
    <w:lvl w:ilvl="0" w:tplc="6F12A600">
      <w:start w:val="1"/>
      <w:numFmt w:val="lowerLetter"/>
      <w:lvlText w:val="%1."/>
      <w:lvlJc w:val="left"/>
      <w:pPr>
        <w:ind w:left="720" w:hanging="360"/>
      </w:pPr>
    </w:lvl>
    <w:lvl w:ilvl="1" w:tplc="FE00DF7A">
      <w:start w:val="1"/>
      <w:numFmt w:val="lowerLetter"/>
      <w:lvlText w:val="%2."/>
      <w:lvlJc w:val="left"/>
      <w:pPr>
        <w:ind w:left="1440" w:hanging="360"/>
      </w:pPr>
    </w:lvl>
    <w:lvl w:ilvl="2" w:tplc="C82E219C">
      <w:start w:val="1"/>
      <w:numFmt w:val="lowerRoman"/>
      <w:lvlText w:val="%3."/>
      <w:lvlJc w:val="right"/>
      <w:pPr>
        <w:ind w:left="2160" w:hanging="180"/>
      </w:pPr>
    </w:lvl>
    <w:lvl w:ilvl="3" w:tplc="9E989496">
      <w:start w:val="1"/>
      <w:numFmt w:val="decimal"/>
      <w:lvlText w:val="%4."/>
      <w:lvlJc w:val="left"/>
      <w:pPr>
        <w:ind w:left="2880" w:hanging="360"/>
      </w:pPr>
    </w:lvl>
    <w:lvl w:ilvl="4" w:tplc="CAFA4BC4">
      <w:start w:val="1"/>
      <w:numFmt w:val="lowerLetter"/>
      <w:lvlText w:val="%5."/>
      <w:lvlJc w:val="left"/>
      <w:pPr>
        <w:ind w:left="3600" w:hanging="360"/>
      </w:pPr>
    </w:lvl>
    <w:lvl w:ilvl="5" w:tplc="10D4DA70">
      <w:start w:val="1"/>
      <w:numFmt w:val="lowerRoman"/>
      <w:lvlText w:val="%6."/>
      <w:lvlJc w:val="right"/>
      <w:pPr>
        <w:ind w:left="4320" w:hanging="180"/>
      </w:pPr>
    </w:lvl>
    <w:lvl w:ilvl="6" w:tplc="AC1ADD82">
      <w:start w:val="1"/>
      <w:numFmt w:val="decimal"/>
      <w:lvlText w:val="%7."/>
      <w:lvlJc w:val="left"/>
      <w:pPr>
        <w:ind w:left="5040" w:hanging="360"/>
      </w:pPr>
    </w:lvl>
    <w:lvl w:ilvl="7" w:tplc="5E5C5198">
      <w:start w:val="1"/>
      <w:numFmt w:val="lowerLetter"/>
      <w:lvlText w:val="%8."/>
      <w:lvlJc w:val="left"/>
      <w:pPr>
        <w:ind w:left="5760" w:hanging="360"/>
      </w:pPr>
    </w:lvl>
    <w:lvl w:ilvl="8" w:tplc="BEEE4FA8">
      <w:start w:val="1"/>
      <w:numFmt w:val="lowerRoman"/>
      <w:lvlText w:val="%9."/>
      <w:lvlJc w:val="right"/>
      <w:pPr>
        <w:ind w:left="6480" w:hanging="180"/>
      </w:pPr>
    </w:lvl>
  </w:abstractNum>
  <w:abstractNum w:abstractNumId="24" w15:restartNumberingAfterBreak="0">
    <w:nsid w:val="60F30A01"/>
    <w:multiLevelType w:val="hybridMultilevel"/>
    <w:tmpl w:val="0CCC6AB2"/>
    <w:lvl w:ilvl="0" w:tplc="38090001">
      <w:start w:val="1"/>
      <w:numFmt w:val="bullet"/>
      <w:lvlText w:val=""/>
      <w:lvlJc w:val="left"/>
      <w:pPr>
        <w:ind w:left="644" w:hanging="360"/>
      </w:pPr>
      <w:rPr>
        <w:rFonts w:ascii="Symbol" w:hAnsi="Symbol"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5" w15:restartNumberingAfterBreak="0">
    <w:nsid w:val="638FAF8C"/>
    <w:multiLevelType w:val="hybridMultilevel"/>
    <w:tmpl w:val="FFFFFFFF"/>
    <w:lvl w:ilvl="0" w:tplc="36129B0C">
      <w:start w:val="1"/>
      <w:numFmt w:val="lowerLetter"/>
      <w:lvlText w:val="%1."/>
      <w:lvlJc w:val="left"/>
      <w:pPr>
        <w:ind w:left="720" w:hanging="360"/>
      </w:pPr>
    </w:lvl>
    <w:lvl w:ilvl="1" w:tplc="91E48022">
      <w:start w:val="1"/>
      <w:numFmt w:val="lowerLetter"/>
      <w:lvlText w:val="%2."/>
      <w:lvlJc w:val="left"/>
      <w:pPr>
        <w:ind w:left="1440" w:hanging="360"/>
      </w:pPr>
    </w:lvl>
    <w:lvl w:ilvl="2" w:tplc="F59ABEB2">
      <w:start w:val="1"/>
      <w:numFmt w:val="lowerRoman"/>
      <w:lvlText w:val="%3."/>
      <w:lvlJc w:val="right"/>
      <w:pPr>
        <w:ind w:left="2160" w:hanging="180"/>
      </w:pPr>
    </w:lvl>
    <w:lvl w:ilvl="3" w:tplc="5F92F2E8">
      <w:start w:val="1"/>
      <w:numFmt w:val="decimal"/>
      <w:lvlText w:val="%4."/>
      <w:lvlJc w:val="left"/>
      <w:pPr>
        <w:ind w:left="2880" w:hanging="360"/>
      </w:pPr>
    </w:lvl>
    <w:lvl w:ilvl="4" w:tplc="502E7BAC">
      <w:start w:val="1"/>
      <w:numFmt w:val="lowerLetter"/>
      <w:lvlText w:val="%5."/>
      <w:lvlJc w:val="left"/>
      <w:pPr>
        <w:ind w:left="3600" w:hanging="360"/>
      </w:pPr>
    </w:lvl>
    <w:lvl w:ilvl="5" w:tplc="0C4E7332">
      <w:start w:val="1"/>
      <w:numFmt w:val="lowerRoman"/>
      <w:lvlText w:val="%6."/>
      <w:lvlJc w:val="right"/>
      <w:pPr>
        <w:ind w:left="4320" w:hanging="180"/>
      </w:pPr>
    </w:lvl>
    <w:lvl w:ilvl="6" w:tplc="A6EACA5C">
      <w:start w:val="1"/>
      <w:numFmt w:val="decimal"/>
      <w:lvlText w:val="%7."/>
      <w:lvlJc w:val="left"/>
      <w:pPr>
        <w:ind w:left="5040" w:hanging="360"/>
      </w:pPr>
    </w:lvl>
    <w:lvl w:ilvl="7" w:tplc="A6E0824E">
      <w:start w:val="1"/>
      <w:numFmt w:val="lowerLetter"/>
      <w:lvlText w:val="%8."/>
      <w:lvlJc w:val="left"/>
      <w:pPr>
        <w:ind w:left="5760" w:hanging="360"/>
      </w:pPr>
    </w:lvl>
    <w:lvl w:ilvl="8" w:tplc="63E47CCE">
      <w:start w:val="1"/>
      <w:numFmt w:val="lowerRoman"/>
      <w:lvlText w:val="%9."/>
      <w:lvlJc w:val="right"/>
      <w:pPr>
        <w:ind w:left="6480" w:hanging="180"/>
      </w:pPr>
    </w:lvl>
  </w:abstractNum>
  <w:abstractNum w:abstractNumId="26" w15:restartNumberingAfterBreak="0">
    <w:nsid w:val="63A212FF"/>
    <w:multiLevelType w:val="hybridMultilevel"/>
    <w:tmpl w:val="CBAC2748"/>
    <w:lvl w:ilvl="0" w:tplc="656C6A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C6351"/>
    <w:multiLevelType w:val="hybridMultilevel"/>
    <w:tmpl w:val="E68C393C"/>
    <w:lvl w:ilvl="0" w:tplc="656C6A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52886"/>
    <w:multiLevelType w:val="hybridMultilevel"/>
    <w:tmpl w:val="FFFFFFFF"/>
    <w:lvl w:ilvl="0" w:tplc="FDFC7812">
      <w:start w:val="1"/>
      <w:numFmt w:val="lowerLetter"/>
      <w:lvlText w:val="%1."/>
      <w:lvlJc w:val="left"/>
      <w:pPr>
        <w:ind w:left="720" w:hanging="360"/>
      </w:pPr>
    </w:lvl>
    <w:lvl w:ilvl="1" w:tplc="A584470E">
      <w:start w:val="1"/>
      <w:numFmt w:val="lowerLetter"/>
      <w:lvlText w:val="%2."/>
      <w:lvlJc w:val="left"/>
      <w:pPr>
        <w:ind w:left="1440" w:hanging="360"/>
      </w:pPr>
    </w:lvl>
    <w:lvl w:ilvl="2" w:tplc="751E75C0">
      <w:start w:val="1"/>
      <w:numFmt w:val="lowerRoman"/>
      <w:lvlText w:val="%3."/>
      <w:lvlJc w:val="right"/>
      <w:pPr>
        <w:ind w:left="2160" w:hanging="180"/>
      </w:pPr>
    </w:lvl>
    <w:lvl w:ilvl="3" w:tplc="E20CA994">
      <w:start w:val="1"/>
      <w:numFmt w:val="decimal"/>
      <w:lvlText w:val="%4."/>
      <w:lvlJc w:val="left"/>
      <w:pPr>
        <w:ind w:left="2880" w:hanging="360"/>
      </w:pPr>
    </w:lvl>
    <w:lvl w:ilvl="4" w:tplc="320A2A08">
      <w:start w:val="1"/>
      <w:numFmt w:val="lowerLetter"/>
      <w:lvlText w:val="%5."/>
      <w:lvlJc w:val="left"/>
      <w:pPr>
        <w:ind w:left="3600" w:hanging="360"/>
      </w:pPr>
    </w:lvl>
    <w:lvl w:ilvl="5" w:tplc="FED02542">
      <w:start w:val="1"/>
      <w:numFmt w:val="lowerRoman"/>
      <w:lvlText w:val="%6."/>
      <w:lvlJc w:val="right"/>
      <w:pPr>
        <w:ind w:left="4320" w:hanging="180"/>
      </w:pPr>
    </w:lvl>
    <w:lvl w:ilvl="6" w:tplc="A100F7AC">
      <w:start w:val="1"/>
      <w:numFmt w:val="decimal"/>
      <w:lvlText w:val="%7."/>
      <w:lvlJc w:val="left"/>
      <w:pPr>
        <w:ind w:left="5040" w:hanging="360"/>
      </w:pPr>
    </w:lvl>
    <w:lvl w:ilvl="7" w:tplc="4B72CBC6">
      <w:start w:val="1"/>
      <w:numFmt w:val="lowerLetter"/>
      <w:lvlText w:val="%8."/>
      <w:lvlJc w:val="left"/>
      <w:pPr>
        <w:ind w:left="5760" w:hanging="360"/>
      </w:pPr>
    </w:lvl>
    <w:lvl w:ilvl="8" w:tplc="240AFDA8">
      <w:start w:val="1"/>
      <w:numFmt w:val="lowerRoman"/>
      <w:lvlText w:val="%9."/>
      <w:lvlJc w:val="right"/>
      <w:pPr>
        <w:ind w:left="6480" w:hanging="180"/>
      </w:pPr>
    </w:lvl>
  </w:abstractNum>
  <w:abstractNum w:abstractNumId="29" w15:restartNumberingAfterBreak="0">
    <w:nsid w:val="69496B96"/>
    <w:multiLevelType w:val="hybridMultilevel"/>
    <w:tmpl w:val="E5BC11B4"/>
    <w:lvl w:ilvl="0" w:tplc="A5F06F00">
      <w:start w:val="1"/>
      <w:numFmt w:val="decimal"/>
      <w:pStyle w:val="Heading4"/>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69801AF9"/>
    <w:multiLevelType w:val="hybridMultilevel"/>
    <w:tmpl w:val="2A2C27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0ED71F2"/>
    <w:multiLevelType w:val="hybridMultilevel"/>
    <w:tmpl w:val="32E6F9BE"/>
    <w:lvl w:ilvl="0" w:tplc="B72CBE5E">
      <w:start w:val="1"/>
      <w:numFmt w:val="decimal"/>
      <w:lvlText w:val="&quot;%1&quot;"/>
      <w:lvlJc w:val="left"/>
      <w:pPr>
        <w:ind w:left="780" w:hanging="720"/>
      </w:pPr>
      <w:rPr>
        <w:rFonts w:ascii="Arial" w:hAnsi="Arial" w:cs="Calibri" w:hint="default"/>
        <w:sz w:val="20"/>
        <w:szCs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7B47151B"/>
    <w:multiLevelType w:val="multilevel"/>
    <w:tmpl w:val="87AA1024"/>
    <w:lvl w:ilvl="0">
      <w:start w:val="1"/>
      <w:numFmt w:val="arabicAbjad"/>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08263440">
    <w:abstractNumId w:val="2"/>
  </w:num>
  <w:num w:numId="2" w16cid:durableId="960452092">
    <w:abstractNumId w:val="20"/>
  </w:num>
  <w:num w:numId="3" w16cid:durableId="1177384751">
    <w:abstractNumId w:val="10"/>
  </w:num>
  <w:num w:numId="4" w16cid:durableId="370805498">
    <w:abstractNumId w:val="24"/>
  </w:num>
  <w:num w:numId="5" w16cid:durableId="128474949">
    <w:abstractNumId w:val="6"/>
  </w:num>
  <w:num w:numId="6" w16cid:durableId="775559251">
    <w:abstractNumId w:val="27"/>
  </w:num>
  <w:num w:numId="7" w16cid:durableId="578029393">
    <w:abstractNumId w:val="26"/>
  </w:num>
  <w:num w:numId="8" w16cid:durableId="615214387">
    <w:abstractNumId w:val="19"/>
  </w:num>
  <w:num w:numId="9" w16cid:durableId="106510415">
    <w:abstractNumId w:val="0"/>
  </w:num>
  <w:num w:numId="10" w16cid:durableId="1468275893">
    <w:abstractNumId w:val="5"/>
  </w:num>
  <w:num w:numId="11" w16cid:durableId="1739787685">
    <w:abstractNumId w:val="25"/>
  </w:num>
  <w:num w:numId="12" w16cid:durableId="615405778">
    <w:abstractNumId w:val="13"/>
  </w:num>
  <w:num w:numId="13" w16cid:durableId="548416037">
    <w:abstractNumId w:val="28"/>
  </w:num>
  <w:num w:numId="14" w16cid:durableId="470097959">
    <w:abstractNumId w:val="17"/>
  </w:num>
  <w:num w:numId="15" w16cid:durableId="1698702022">
    <w:abstractNumId w:val="23"/>
  </w:num>
  <w:num w:numId="16" w16cid:durableId="1109928005">
    <w:abstractNumId w:val="15"/>
  </w:num>
  <w:num w:numId="17" w16cid:durableId="1180776184">
    <w:abstractNumId w:val="32"/>
  </w:num>
  <w:num w:numId="18" w16cid:durableId="982123605">
    <w:abstractNumId w:val="29"/>
  </w:num>
  <w:num w:numId="19" w16cid:durableId="420178643">
    <w:abstractNumId w:val="9"/>
  </w:num>
  <w:num w:numId="20" w16cid:durableId="1502356752">
    <w:abstractNumId w:val="7"/>
  </w:num>
  <w:num w:numId="21" w16cid:durableId="1635797375">
    <w:abstractNumId w:val="29"/>
    <w:lvlOverride w:ilvl="0">
      <w:startOverride w:val="1"/>
    </w:lvlOverride>
  </w:num>
  <w:num w:numId="22" w16cid:durableId="240331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536046">
    <w:abstractNumId w:val="4"/>
  </w:num>
  <w:num w:numId="24" w16cid:durableId="1254389054">
    <w:abstractNumId w:val="22"/>
  </w:num>
  <w:num w:numId="25" w16cid:durableId="666707326">
    <w:abstractNumId w:val="8"/>
  </w:num>
  <w:num w:numId="26" w16cid:durableId="547493097">
    <w:abstractNumId w:val="11"/>
  </w:num>
  <w:num w:numId="27" w16cid:durableId="999230919">
    <w:abstractNumId w:val="10"/>
  </w:num>
  <w:num w:numId="28" w16cid:durableId="1891843623">
    <w:abstractNumId w:val="12"/>
  </w:num>
  <w:num w:numId="29" w16cid:durableId="1428575163">
    <w:abstractNumId w:val="16"/>
  </w:num>
  <w:num w:numId="30" w16cid:durableId="1318270011">
    <w:abstractNumId w:val="2"/>
  </w:num>
  <w:num w:numId="31" w16cid:durableId="846292524">
    <w:abstractNumId w:val="2"/>
  </w:num>
  <w:num w:numId="32" w16cid:durableId="454712363">
    <w:abstractNumId w:val="2"/>
  </w:num>
  <w:num w:numId="33" w16cid:durableId="101800283">
    <w:abstractNumId w:val="2"/>
  </w:num>
  <w:num w:numId="34" w16cid:durableId="1657344970">
    <w:abstractNumId w:val="14"/>
  </w:num>
  <w:num w:numId="35" w16cid:durableId="1046951786">
    <w:abstractNumId w:val="2"/>
  </w:num>
  <w:num w:numId="36" w16cid:durableId="702287334">
    <w:abstractNumId w:val="31"/>
  </w:num>
  <w:num w:numId="37" w16cid:durableId="167598739">
    <w:abstractNumId w:val="1"/>
  </w:num>
  <w:num w:numId="38" w16cid:durableId="436607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46898">
    <w:abstractNumId w:val="18"/>
  </w:num>
  <w:num w:numId="40" w16cid:durableId="608926460">
    <w:abstractNumId w:val="30"/>
  </w:num>
  <w:num w:numId="41" w16cid:durableId="212765199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pt-PT" w:vendorID="64" w:dllVersion="0" w:nlCheck="1" w:checkStyle="0"/>
  <w:activeWritingStyle w:appName="MSWord" w:lang="en-GB" w:vendorID="64" w:dllVersion="0" w:nlCheck="1" w:checkStyle="0"/>
  <w:activeWritingStyle w:appName="MSWord" w:lang="ar-SA"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D7"/>
    <w:rsid w:val="000006C5"/>
    <w:rsid w:val="000008F5"/>
    <w:rsid w:val="00000C40"/>
    <w:rsid w:val="00000E11"/>
    <w:rsid w:val="00000EE4"/>
    <w:rsid w:val="000012E7"/>
    <w:rsid w:val="00001A95"/>
    <w:rsid w:val="0000223C"/>
    <w:rsid w:val="000027FF"/>
    <w:rsid w:val="000038BA"/>
    <w:rsid w:val="00003B16"/>
    <w:rsid w:val="00003C28"/>
    <w:rsid w:val="00004581"/>
    <w:rsid w:val="00004CD9"/>
    <w:rsid w:val="00004D10"/>
    <w:rsid w:val="000057A8"/>
    <w:rsid w:val="00005A8F"/>
    <w:rsid w:val="00005B24"/>
    <w:rsid w:val="0000609E"/>
    <w:rsid w:val="000068FD"/>
    <w:rsid w:val="0000693E"/>
    <w:rsid w:val="0000711F"/>
    <w:rsid w:val="0000760C"/>
    <w:rsid w:val="000079BF"/>
    <w:rsid w:val="00007A28"/>
    <w:rsid w:val="00007A3B"/>
    <w:rsid w:val="00007AE3"/>
    <w:rsid w:val="00007AEB"/>
    <w:rsid w:val="000101DD"/>
    <w:rsid w:val="000106BE"/>
    <w:rsid w:val="00010AA7"/>
    <w:rsid w:val="00010ADC"/>
    <w:rsid w:val="00010AF4"/>
    <w:rsid w:val="000114DA"/>
    <w:rsid w:val="000117B9"/>
    <w:rsid w:val="00011F3C"/>
    <w:rsid w:val="00012E62"/>
    <w:rsid w:val="000130CE"/>
    <w:rsid w:val="00013239"/>
    <w:rsid w:val="00013450"/>
    <w:rsid w:val="0001356C"/>
    <w:rsid w:val="000135E6"/>
    <w:rsid w:val="0001365B"/>
    <w:rsid w:val="00013BAA"/>
    <w:rsid w:val="00014174"/>
    <w:rsid w:val="0001493E"/>
    <w:rsid w:val="00014ED9"/>
    <w:rsid w:val="00015464"/>
    <w:rsid w:val="0001567D"/>
    <w:rsid w:val="0001578D"/>
    <w:rsid w:val="000159B3"/>
    <w:rsid w:val="00015E3B"/>
    <w:rsid w:val="000160D8"/>
    <w:rsid w:val="0001626A"/>
    <w:rsid w:val="00016695"/>
    <w:rsid w:val="00016A80"/>
    <w:rsid w:val="00016B56"/>
    <w:rsid w:val="00016C11"/>
    <w:rsid w:val="00016F80"/>
    <w:rsid w:val="00016FF9"/>
    <w:rsid w:val="00017699"/>
    <w:rsid w:val="000178C8"/>
    <w:rsid w:val="00017B6E"/>
    <w:rsid w:val="00017EFC"/>
    <w:rsid w:val="00020C2A"/>
    <w:rsid w:val="00020C44"/>
    <w:rsid w:val="00020D72"/>
    <w:rsid w:val="00020E90"/>
    <w:rsid w:val="00020EB7"/>
    <w:rsid w:val="0002110E"/>
    <w:rsid w:val="00021542"/>
    <w:rsid w:val="00021708"/>
    <w:rsid w:val="00021B1E"/>
    <w:rsid w:val="00022015"/>
    <w:rsid w:val="0002232D"/>
    <w:rsid w:val="0002241A"/>
    <w:rsid w:val="000226C9"/>
    <w:rsid w:val="00022B5F"/>
    <w:rsid w:val="000231D4"/>
    <w:rsid w:val="00023746"/>
    <w:rsid w:val="000239B6"/>
    <w:rsid w:val="00023E2E"/>
    <w:rsid w:val="0002403C"/>
    <w:rsid w:val="00024602"/>
    <w:rsid w:val="00024841"/>
    <w:rsid w:val="0002588B"/>
    <w:rsid w:val="00025E44"/>
    <w:rsid w:val="0002600D"/>
    <w:rsid w:val="000261DE"/>
    <w:rsid w:val="00026D92"/>
    <w:rsid w:val="00026E2D"/>
    <w:rsid w:val="000272BE"/>
    <w:rsid w:val="000276F5"/>
    <w:rsid w:val="00027881"/>
    <w:rsid w:val="00027FE4"/>
    <w:rsid w:val="000301E2"/>
    <w:rsid w:val="00030466"/>
    <w:rsid w:val="000306D6"/>
    <w:rsid w:val="00030B53"/>
    <w:rsid w:val="00030E18"/>
    <w:rsid w:val="00031D2B"/>
    <w:rsid w:val="00031D68"/>
    <w:rsid w:val="00031E8C"/>
    <w:rsid w:val="00031F4F"/>
    <w:rsid w:val="0003226E"/>
    <w:rsid w:val="000325D9"/>
    <w:rsid w:val="00032F40"/>
    <w:rsid w:val="00032F59"/>
    <w:rsid w:val="00033266"/>
    <w:rsid w:val="0003333C"/>
    <w:rsid w:val="00033653"/>
    <w:rsid w:val="000338E1"/>
    <w:rsid w:val="00033F11"/>
    <w:rsid w:val="00033F88"/>
    <w:rsid w:val="0003464F"/>
    <w:rsid w:val="00034663"/>
    <w:rsid w:val="00035039"/>
    <w:rsid w:val="0003512C"/>
    <w:rsid w:val="00035470"/>
    <w:rsid w:val="0003591F"/>
    <w:rsid w:val="00035A89"/>
    <w:rsid w:val="00035CE0"/>
    <w:rsid w:val="00035E98"/>
    <w:rsid w:val="00036299"/>
    <w:rsid w:val="0003671E"/>
    <w:rsid w:val="00036875"/>
    <w:rsid w:val="000368F8"/>
    <w:rsid w:val="00036A39"/>
    <w:rsid w:val="00036ECC"/>
    <w:rsid w:val="000371CE"/>
    <w:rsid w:val="000373D9"/>
    <w:rsid w:val="000374D3"/>
    <w:rsid w:val="0003796B"/>
    <w:rsid w:val="00037B03"/>
    <w:rsid w:val="00037BE5"/>
    <w:rsid w:val="00037FB6"/>
    <w:rsid w:val="0004075D"/>
    <w:rsid w:val="00040D70"/>
    <w:rsid w:val="000416C4"/>
    <w:rsid w:val="000417EA"/>
    <w:rsid w:val="00041930"/>
    <w:rsid w:val="00041C90"/>
    <w:rsid w:val="00041DA3"/>
    <w:rsid w:val="00041F35"/>
    <w:rsid w:val="000423FB"/>
    <w:rsid w:val="00042C19"/>
    <w:rsid w:val="00043263"/>
    <w:rsid w:val="000436D9"/>
    <w:rsid w:val="00043811"/>
    <w:rsid w:val="00044431"/>
    <w:rsid w:val="00044BD5"/>
    <w:rsid w:val="00045D6A"/>
    <w:rsid w:val="0004708C"/>
    <w:rsid w:val="000472E6"/>
    <w:rsid w:val="00047319"/>
    <w:rsid w:val="00047698"/>
    <w:rsid w:val="000476C3"/>
    <w:rsid w:val="000501A2"/>
    <w:rsid w:val="00050309"/>
    <w:rsid w:val="0005060F"/>
    <w:rsid w:val="0005081C"/>
    <w:rsid w:val="000508D3"/>
    <w:rsid w:val="00050A79"/>
    <w:rsid w:val="00050CBD"/>
    <w:rsid w:val="0005122F"/>
    <w:rsid w:val="000512D4"/>
    <w:rsid w:val="000514F0"/>
    <w:rsid w:val="0005165E"/>
    <w:rsid w:val="0005187D"/>
    <w:rsid w:val="00051890"/>
    <w:rsid w:val="00051912"/>
    <w:rsid w:val="00052518"/>
    <w:rsid w:val="0005270D"/>
    <w:rsid w:val="00052E01"/>
    <w:rsid w:val="0005355E"/>
    <w:rsid w:val="00053983"/>
    <w:rsid w:val="00053F1B"/>
    <w:rsid w:val="00053FF3"/>
    <w:rsid w:val="00054244"/>
    <w:rsid w:val="00054372"/>
    <w:rsid w:val="000545E4"/>
    <w:rsid w:val="00054971"/>
    <w:rsid w:val="000549E0"/>
    <w:rsid w:val="00054DE0"/>
    <w:rsid w:val="00055524"/>
    <w:rsid w:val="000558A3"/>
    <w:rsid w:val="00055C19"/>
    <w:rsid w:val="0005636C"/>
    <w:rsid w:val="000565A8"/>
    <w:rsid w:val="00056CF1"/>
    <w:rsid w:val="0005774D"/>
    <w:rsid w:val="00057FE2"/>
    <w:rsid w:val="00060062"/>
    <w:rsid w:val="00060290"/>
    <w:rsid w:val="00060554"/>
    <w:rsid w:val="000608B4"/>
    <w:rsid w:val="00060DA9"/>
    <w:rsid w:val="00061609"/>
    <w:rsid w:val="0006269E"/>
    <w:rsid w:val="000627BC"/>
    <w:rsid w:val="00062B80"/>
    <w:rsid w:val="00063100"/>
    <w:rsid w:val="000639CB"/>
    <w:rsid w:val="00064096"/>
    <w:rsid w:val="0006419D"/>
    <w:rsid w:val="00064949"/>
    <w:rsid w:val="00065619"/>
    <w:rsid w:val="00065805"/>
    <w:rsid w:val="000660B4"/>
    <w:rsid w:val="0006687A"/>
    <w:rsid w:val="00066A2E"/>
    <w:rsid w:val="00066AC0"/>
    <w:rsid w:val="00066D34"/>
    <w:rsid w:val="00066E9B"/>
    <w:rsid w:val="000671A6"/>
    <w:rsid w:val="00067242"/>
    <w:rsid w:val="00067288"/>
    <w:rsid w:val="0006766E"/>
    <w:rsid w:val="00067A6B"/>
    <w:rsid w:val="00067B19"/>
    <w:rsid w:val="00067BAC"/>
    <w:rsid w:val="00067D4E"/>
    <w:rsid w:val="00067E93"/>
    <w:rsid w:val="00067F02"/>
    <w:rsid w:val="00070145"/>
    <w:rsid w:val="0007024C"/>
    <w:rsid w:val="0007064A"/>
    <w:rsid w:val="0007138A"/>
    <w:rsid w:val="000715F7"/>
    <w:rsid w:val="0007166D"/>
    <w:rsid w:val="000716F9"/>
    <w:rsid w:val="00071741"/>
    <w:rsid w:val="000717B2"/>
    <w:rsid w:val="00071BED"/>
    <w:rsid w:val="00071C5C"/>
    <w:rsid w:val="00072011"/>
    <w:rsid w:val="000722C6"/>
    <w:rsid w:val="000725E0"/>
    <w:rsid w:val="00072784"/>
    <w:rsid w:val="00072C88"/>
    <w:rsid w:val="000732DE"/>
    <w:rsid w:val="000733D1"/>
    <w:rsid w:val="00073791"/>
    <w:rsid w:val="00073ED4"/>
    <w:rsid w:val="0007421A"/>
    <w:rsid w:val="0007448B"/>
    <w:rsid w:val="00074704"/>
    <w:rsid w:val="00074DFB"/>
    <w:rsid w:val="0007502E"/>
    <w:rsid w:val="00075585"/>
    <w:rsid w:val="000757AE"/>
    <w:rsid w:val="00075917"/>
    <w:rsid w:val="00075C61"/>
    <w:rsid w:val="00075CE5"/>
    <w:rsid w:val="000763F4"/>
    <w:rsid w:val="000774E8"/>
    <w:rsid w:val="00077677"/>
    <w:rsid w:val="000779F9"/>
    <w:rsid w:val="00077C31"/>
    <w:rsid w:val="00077CBE"/>
    <w:rsid w:val="00077DAE"/>
    <w:rsid w:val="0008038C"/>
    <w:rsid w:val="000806B3"/>
    <w:rsid w:val="000809FE"/>
    <w:rsid w:val="00080CA1"/>
    <w:rsid w:val="0008156B"/>
    <w:rsid w:val="00081A34"/>
    <w:rsid w:val="00081D4B"/>
    <w:rsid w:val="00081D59"/>
    <w:rsid w:val="000823E0"/>
    <w:rsid w:val="00082404"/>
    <w:rsid w:val="00082F20"/>
    <w:rsid w:val="00082F3E"/>
    <w:rsid w:val="00083295"/>
    <w:rsid w:val="0008343E"/>
    <w:rsid w:val="000839C1"/>
    <w:rsid w:val="00084003"/>
    <w:rsid w:val="00084052"/>
    <w:rsid w:val="0008444F"/>
    <w:rsid w:val="00084628"/>
    <w:rsid w:val="0008462E"/>
    <w:rsid w:val="00085174"/>
    <w:rsid w:val="000857CA"/>
    <w:rsid w:val="00085C08"/>
    <w:rsid w:val="00086041"/>
    <w:rsid w:val="0008659A"/>
    <w:rsid w:val="000866C7"/>
    <w:rsid w:val="00086799"/>
    <w:rsid w:val="00086B4C"/>
    <w:rsid w:val="00086FE8"/>
    <w:rsid w:val="00087F20"/>
    <w:rsid w:val="00090670"/>
    <w:rsid w:val="00090BB4"/>
    <w:rsid w:val="00091073"/>
    <w:rsid w:val="0009126C"/>
    <w:rsid w:val="000912A1"/>
    <w:rsid w:val="00091447"/>
    <w:rsid w:val="0009172C"/>
    <w:rsid w:val="00091D4F"/>
    <w:rsid w:val="0009217A"/>
    <w:rsid w:val="00092655"/>
    <w:rsid w:val="000926E6"/>
    <w:rsid w:val="000928C2"/>
    <w:rsid w:val="00092A76"/>
    <w:rsid w:val="00093187"/>
    <w:rsid w:val="00093340"/>
    <w:rsid w:val="00093700"/>
    <w:rsid w:val="00093E24"/>
    <w:rsid w:val="00093E36"/>
    <w:rsid w:val="00093E78"/>
    <w:rsid w:val="00093FDF"/>
    <w:rsid w:val="0009409F"/>
    <w:rsid w:val="0009424A"/>
    <w:rsid w:val="000945F9"/>
    <w:rsid w:val="000950C8"/>
    <w:rsid w:val="00095142"/>
    <w:rsid w:val="0009558F"/>
    <w:rsid w:val="00095654"/>
    <w:rsid w:val="00095776"/>
    <w:rsid w:val="00095B5A"/>
    <w:rsid w:val="00095B7A"/>
    <w:rsid w:val="00096118"/>
    <w:rsid w:val="0009669A"/>
    <w:rsid w:val="00096B17"/>
    <w:rsid w:val="00096BEA"/>
    <w:rsid w:val="00096CBB"/>
    <w:rsid w:val="00096D45"/>
    <w:rsid w:val="000973F4"/>
    <w:rsid w:val="000979A9"/>
    <w:rsid w:val="000979BF"/>
    <w:rsid w:val="00097B1F"/>
    <w:rsid w:val="00097FB5"/>
    <w:rsid w:val="000A08CA"/>
    <w:rsid w:val="000A093A"/>
    <w:rsid w:val="000A0DB6"/>
    <w:rsid w:val="000A1009"/>
    <w:rsid w:val="000A1D48"/>
    <w:rsid w:val="000A230E"/>
    <w:rsid w:val="000A238F"/>
    <w:rsid w:val="000A28F4"/>
    <w:rsid w:val="000A2B8E"/>
    <w:rsid w:val="000A2DA8"/>
    <w:rsid w:val="000A31A8"/>
    <w:rsid w:val="000A31FA"/>
    <w:rsid w:val="000A35C4"/>
    <w:rsid w:val="000A3D88"/>
    <w:rsid w:val="000A3DF7"/>
    <w:rsid w:val="000A3F64"/>
    <w:rsid w:val="000A44BB"/>
    <w:rsid w:val="000A4A84"/>
    <w:rsid w:val="000A537A"/>
    <w:rsid w:val="000A5D5F"/>
    <w:rsid w:val="000A5DAA"/>
    <w:rsid w:val="000A618F"/>
    <w:rsid w:val="000A620C"/>
    <w:rsid w:val="000A71DB"/>
    <w:rsid w:val="000A7239"/>
    <w:rsid w:val="000A7E7B"/>
    <w:rsid w:val="000B0479"/>
    <w:rsid w:val="000B0800"/>
    <w:rsid w:val="000B129F"/>
    <w:rsid w:val="000B1341"/>
    <w:rsid w:val="000B1425"/>
    <w:rsid w:val="000B193A"/>
    <w:rsid w:val="000B19F3"/>
    <w:rsid w:val="000B19FE"/>
    <w:rsid w:val="000B1AAE"/>
    <w:rsid w:val="000B1AAF"/>
    <w:rsid w:val="000B1C6B"/>
    <w:rsid w:val="000B1CA1"/>
    <w:rsid w:val="000B1D1C"/>
    <w:rsid w:val="000B223F"/>
    <w:rsid w:val="000B2B9E"/>
    <w:rsid w:val="000B2F97"/>
    <w:rsid w:val="000B3E4C"/>
    <w:rsid w:val="000B409F"/>
    <w:rsid w:val="000B41EA"/>
    <w:rsid w:val="000B48DE"/>
    <w:rsid w:val="000B4AA3"/>
    <w:rsid w:val="000B4EBD"/>
    <w:rsid w:val="000B510C"/>
    <w:rsid w:val="000B547C"/>
    <w:rsid w:val="000B5662"/>
    <w:rsid w:val="000B578B"/>
    <w:rsid w:val="000B5B0B"/>
    <w:rsid w:val="000B604C"/>
    <w:rsid w:val="000B650F"/>
    <w:rsid w:val="000B658C"/>
    <w:rsid w:val="000B6932"/>
    <w:rsid w:val="000B6A83"/>
    <w:rsid w:val="000B6DF9"/>
    <w:rsid w:val="000B6F2F"/>
    <w:rsid w:val="000B72A4"/>
    <w:rsid w:val="000C0F08"/>
    <w:rsid w:val="000C1339"/>
    <w:rsid w:val="000C13D4"/>
    <w:rsid w:val="000C1405"/>
    <w:rsid w:val="000C142E"/>
    <w:rsid w:val="000C18B8"/>
    <w:rsid w:val="000C1CB7"/>
    <w:rsid w:val="000C1DFC"/>
    <w:rsid w:val="000C1F26"/>
    <w:rsid w:val="000C30A9"/>
    <w:rsid w:val="000C362D"/>
    <w:rsid w:val="000C3B5F"/>
    <w:rsid w:val="000C44BC"/>
    <w:rsid w:val="000C44C2"/>
    <w:rsid w:val="000C49A0"/>
    <w:rsid w:val="000C4B11"/>
    <w:rsid w:val="000C4B9A"/>
    <w:rsid w:val="000C4E02"/>
    <w:rsid w:val="000C508B"/>
    <w:rsid w:val="000C535F"/>
    <w:rsid w:val="000C6337"/>
    <w:rsid w:val="000C6D91"/>
    <w:rsid w:val="000C6F81"/>
    <w:rsid w:val="000C7B4E"/>
    <w:rsid w:val="000D04C5"/>
    <w:rsid w:val="000D05B1"/>
    <w:rsid w:val="000D0693"/>
    <w:rsid w:val="000D0A0C"/>
    <w:rsid w:val="000D1986"/>
    <w:rsid w:val="000D1C62"/>
    <w:rsid w:val="000D1CA1"/>
    <w:rsid w:val="000D1D13"/>
    <w:rsid w:val="000D1D6E"/>
    <w:rsid w:val="000D2424"/>
    <w:rsid w:val="000D2B79"/>
    <w:rsid w:val="000D2DD0"/>
    <w:rsid w:val="000D2FB0"/>
    <w:rsid w:val="000D3BC6"/>
    <w:rsid w:val="000D3F22"/>
    <w:rsid w:val="000D404F"/>
    <w:rsid w:val="000D43DB"/>
    <w:rsid w:val="000D4BD5"/>
    <w:rsid w:val="000D4F99"/>
    <w:rsid w:val="000D56A4"/>
    <w:rsid w:val="000D5ADA"/>
    <w:rsid w:val="000D5E0D"/>
    <w:rsid w:val="000D63C5"/>
    <w:rsid w:val="000D6628"/>
    <w:rsid w:val="000D66FF"/>
    <w:rsid w:val="000D6860"/>
    <w:rsid w:val="000D7167"/>
    <w:rsid w:val="000D723B"/>
    <w:rsid w:val="000D7CB1"/>
    <w:rsid w:val="000E0439"/>
    <w:rsid w:val="000E0BB7"/>
    <w:rsid w:val="000E0C0E"/>
    <w:rsid w:val="000E10A6"/>
    <w:rsid w:val="000E1354"/>
    <w:rsid w:val="000E1639"/>
    <w:rsid w:val="000E17D8"/>
    <w:rsid w:val="000E1A2A"/>
    <w:rsid w:val="000E1F06"/>
    <w:rsid w:val="000E2044"/>
    <w:rsid w:val="000E216A"/>
    <w:rsid w:val="000E258B"/>
    <w:rsid w:val="000E27DD"/>
    <w:rsid w:val="000E2E41"/>
    <w:rsid w:val="000E2F9A"/>
    <w:rsid w:val="000E31E9"/>
    <w:rsid w:val="000E3F99"/>
    <w:rsid w:val="000E40AA"/>
    <w:rsid w:val="000E4692"/>
    <w:rsid w:val="000E4A34"/>
    <w:rsid w:val="000E4D17"/>
    <w:rsid w:val="000E4E5F"/>
    <w:rsid w:val="000E5414"/>
    <w:rsid w:val="000E544E"/>
    <w:rsid w:val="000E5C0C"/>
    <w:rsid w:val="000E7218"/>
    <w:rsid w:val="000E7598"/>
    <w:rsid w:val="000E7A2C"/>
    <w:rsid w:val="000E7A33"/>
    <w:rsid w:val="000F03E6"/>
    <w:rsid w:val="000F04DB"/>
    <w:rsid w:val="000F0782"/>
    <w:rsid w:val="000F0934"/>
    <w:rsid w:val="000F0A08"/>
    <w:rsid w:val="000F0D0A"/>
    <w:rsid w:val="000F1058"/>
    <w:rsid w:val="000F135D"/>
    <w:rsid w:val="000F13ED"/>
    <w:rsid w:val="000F1C3C"/>
    <w:rsid w:val="000F1D44"/>
    <w:rsid w:val="000F2339"/>
    <w:rsid w:val="000F335C"/>
    <w:rsid w:val="000F38B2"/>
    <w:rsid w:val="000F3C4A"/>
    <w:rsid w:val="000F3D92"/>
    <w:rsid w:val="000F3DE7"/>
    <w:rsid w:val="000F4035"/>
    <w:rsid w:val="000F4651"/>
    <w:rsid w:val="000F4CB4"/>
    <w:rsid w:val="000F4F46"/>
    <w:rsid w:val="000F5C83"/>
    <w:rsid w:val="000F5D1C"/>
    <w:rsid w:val="000F5D70"/>
    <w:rsid w:val="000F5FB0"/>
    <w:rsid w:val="000F60D5"/>
    <w:rsid w:val="000F6208"/>
    <w:rsid w:val="000F6BB7"/>
    <w:rsid w:val="000F6BE8"/>
    <w:rsid w:val="000F6FED"/>
    <w:rsid w:val="000F7100"/>
    <w:rsid w:val="000F716C"/>
    <w:rsid w:val="000F7B9D"/>
    <w:rsid w:val="000F7DD2"/>
    <w:rsid w:val="0010013A"/>
    <w:rsid w:val="00100245"/>
    <w:rsid w:val="00100389"/>
    <w:rsid w:val="0010038E"/>
    <w:rsid w:val="00100CCD"/>
    <w:rsid w:val="00100D4A"/>
    <w:rsid w:val="001016F8"/>
    <w:rsid w:val="00101B36"/>
    <w:rsid w:val="00101C02"/>
    <w:rsid w:val="00101C35"/>
    <w:rsid w:val="00103446"/>
    <w:rsid w:val="001034A5"/>
    <w:rsid w:val="001035C2"/>
    <w:rsid w:val="00103C50"/>
    <w:rsid w:val="00103F6B"/>
    <w:rsid w:val="0010405B"/>
    <w:rsid w:val="00104658"/>
    <w:rsid w:val="00104ADD"/>
    <w:rsid w:val="00105256"/>
    <w:rsid w:val="0010553F"/>
    <w:rsid w:val="0010591C"/>
    <w:rsid w:val="00105CEC"/>
    <w:rsid w:val="00105CFF"/>
    <w:rsid w:val="001068D9"/>
    <w:rsid w:val="00106DB4"/>
    <w:rsid w:val="00107000"/>
    <w:rsid w:val="00107B1C"/>
    <w:rsid w:val="00107D16"/>
    <w:rsid w:val="00107F0A"/>
    <w:rsid w:val="001109BC"/>
    <w:rsid w:val="00110B2E"/>
    <w:rsid w:val="00111325"/>
    <w:rsid w:val="001113DE"/>
    <w:rsid w:val="00111461"/>
    <w:rsid w:val="001116C0"/>
    <w:rsid w:val="00111AE2"/>
    <w:rsid w:val="00111C0B"/>
    <w:rsid w:val="00111F86"/>
    <w:rsid w:val="00112181"/>
    <w:rsid w:val="0011234D"/>
    <w:rsid w:val="0011277A"/>
    <w:rsid w:val="00113331"/>
    <w:rsid w:val="001136F4"/>
    <w:rsid w:val="00113D94"/>
    <w:rsid w:val="00114871"/>
    <w:rsid w:val="00115029"/>
    <w:rsid w:val="00115197"/>
    <w:rsid w:val="00115521"/>
    <w:rsid w:val="00115D85"/>
    <w:rsid w:val="00115E63"/>
    <w:rsid w:val="00115EF9"/>
    <w:rsid w:val="001164CB"/>
    <w:rsid w:val="00116C62"/>
    <w:rsid w:val="00117A21"/>
    <w:rsid w:val="00117BF2"/>
    <w:rsid w:val="00117DD0"/>
    <w:rsid w:val="0012056A"/>
    <w:rsid w:val="00120E32"/>
    <w:rsid w:val="001214B1"/>
    <w:rsid w:val="0012165D"/>
    <w:rsid w:val="0012196F"/>
    <w:rsid w:val="00121B6D"/>
    <w:rsid w:val="0012218B"/>
    <w:rsid w:val="00122A64"/>
    <w:rsid w:val="00122E06"/>
    <w:rsid w:val="00122F63"/>
    <w:rsid w:val="00123070"/>
    <w:rsid w:val="001233E2"/>
    <w:rsid w:val="00123876"/>
    <w:rsid w:val="00123F53"/>
    <w:rsid w:val="00124AA0"/>
    <w:rsid w:val="00125283"/>
    <w:rsid w:val="001252EA"/>
    <w:rsid w:val="00125471"/>
    <w:rsid w:val="0012578C"/>
    <w:rsid w:val="00125DC0"/>
    <w:rsid w:val="001264D7"/>
    <w:rsid w:val="0012652B"/>
    <w:rsid w:val="001266F2"/>
    <w:rsid w:val="0012696D"/>
    <w:rsid w:val="00126970"/>
    <w:rsid w:val="00127B8A"/>
    <w:rsid w:val="00127F39"/>
    <w:rsid w:val="001300D6"/>
    <w:rsid w:val="001304B3"/>
    <w:rsid w:val="00130566"/>
    <w:rsid w:val="00130620"/>
    <w:rsid w:val="0013093F"/>
    <w:rsid w:val="00130BE9"/>
    <w:rsid w:val="00130BF7"/>
    <w:rsid w:val="00131383"/>
    <w:rsid w:val="00131429"/>
    <w:rsid w:val="00131594"/>
    <w:rsid w:val="001315A0"/>
    <w:rsid w:val="00131B48"/>
    <w:rsid w:val="00131CD4"/>
    <w:rsid w:val="00132041"/>
    <w:rsid w:val="00132102"/>
    <w:rsid w:val="00132539"/>
    <w:rsid w:val="00132944"/>
    <w:rsid w:val="001332EC"/>
    <w:rsid w:val="00133329"/>
    <w:rsid w:val="00133564"/>
    <w:rsid w:val="00133593"/>
    <w:rsid w:val="00133AC3"/>
    <w:rsid w:val="00134161"/>
    <w:rsid w:val="001349E5"/>
    <w:rsid w:val="00135477"/>
    <w:rsid w:val="001358A6"/>
    <w:rsid w:val="00135980"/>
    <w:rsid w:val="00135C35"/>
    <w:rsid w:val="00135D24"/>
    <w:rsid w:val="00135DFB"/>
    <w:rsid w:val="00135EBC"/>
    <w:rsid w:val="00136D2D"/>
    <w:rsid w:val="0013705A"/>
    <w:rsid w:val="001370AE"/>
    <w:rsid w:val="00140009"/>
    <w:rsid w:val="0014026A"/>
    <w:rsid w:val="00140614"/>
    <w:rsid w:val="0014084C"/>
    <w:rsid w:val="00140B86"/>
    <w:rsid w:val="00140D08"/>
    <w:rsid w:val="00141574"/>
    <w:rsid w:val="001418A1"/>
    <w:rsid w:val="00141AC1"/>
    <w:rsid w:val="00141C8E"/>
    <w:rsid w:val="00141F51"/>
    <w:rsid w:val="00141F6B"/>
    <w:rsid w:val="001429EB"/>
    <w:rsid w:val="00142A73"/>
    <w:rsid w:val="00142EB4"/>
    <w:rsid w:val="001432EA"/>
    <w:rsid w:val="0014348C"/>
    <w:rsid w:val="0014403B"/>
    <w:rsid w:val="001446EE"/>
    <w:rsid w:val="00144D38"/>
    <w:rsid w:val="00144FAD"/>
    <w:rsid w:val="00145654"/>
    <w:rsid w:val="00146163"/>
    <w:rsid w:val="0014618B"/>
    <w:rsid w:val="001464D5"/>
    <w:rsid w:val="00146561"/>
    <w:rsid w:val="00146A15"/>
    <w:rsid w:val="00146C80"/>
    <w:rsid w:val="00147161"/>
    <w:rsid w:val="00147DCE"/>
    <w:rsid w:val="0015037C"/>
    <w:rsid w:val="001505CD"/>
    <w:rsid w:val="001506FB"/>
    <w:rsid w:val="001507C0"/>
    <w:rsid w:val="00150A51"/>
    <w:rsid w:val="0015101F"/>
    <w:rsid w:val="001518A4"/>
    <w:rsid w:val="001522A2"/>
    <w:rsid w:val="00152562"/>
    <w:rsid w:val="0015289F"/>
    <w:rsid w:val="00152999"/>
    <w:rsid w:val="00152A1E"/>
    <w:rsid w:val="00152E35"/>
    <w:rsid w:val="0015343E"/>
    <w:rsid w:val="001540AC"/>
    <w:rsid w:val="00154661"/>
    <w:rsid w:val="001546BD"/>
    <w:rsid w:val="00154B60"/>
    <w:rsid w:val="00154DF5"/>
    <w:rsid w:val="00154EE6"/>
    <w:rsid w:val="00155BF2"/>
    <w:rsid w:val="00155C71"/>
    <w:rsid w:val="00155E7A"/>
    <w:rsid w:val="001562B4"/>
    <w:rsid w:val="001562B9"/>
    <w:rsid w:val="0015632C"/>
    <w:rsid w:val="001564BE"/>
    <w:rsid w:val="00156C5F"/>
    <w:rsid w:val="00156C8E"/>
    <w:rsid w:val="0015717D"/>
    <w:rsid w:val="001578BB"/>
    <w:rsid w:val="00157B25"/>
    <w:rsid w:val="00157C4C"/>
    <w:rsid w:val="00157D04"/>
    <w:rsid w:val="0016087C"/>
    <w:rsid w:val="00160EFD"/>
    <w:rsid w:val="00161889"/>
    <w:rsid w:val="00161B6D"/>
    <w:rsid w:val="00161D0C"/>
    <w:rsid w:val="00161DC7"/>
    <w:rsid w:val="001622F9"/>
    <w:rsid w:val="00162647"/>
    <w:rsid w:val="00162885"/>
    <w:rsid w:val="001629BE"/>
    <w:rsid w:val="00163108"/>
    <w:rsid w:val="001631A5"/>
    <w:rsid w:val="001631E6"/>
    <w:rsid w:val="001637A6"/>
    <w:rsid w:val="0016392F"/>
    <w:rsid w:val="001640E8"/>
    <w:rsid w:val="00164A25"/>
    <w:rsid w:val="001664D5"/>
    <w:rsid w:val="001664F7"/>
    <w:rsid w:val="001665FA"/>
    <w:rsid w:val="00166EEA"/>
    <w:rsid w:val="00166EF9"/>
    <w:rsid w:val="00167450"/>
    <w:rsid w:val="00167600"/>
    <w:rsid w:val="001679E3"/>
    <w:rsid w:val="001679EA"/>
    <w:rsid w:val="00167D1F"/>
    <w:rsid w:val="00167D6E"/>
    <w:rsid w:val="00171CC7"/>
    <w:rsid w:val="00172094"/>
    <w:rsid w:val="0017244D"/>
    <w:rsid w:val="00172810"/>
    <w:rsid w:val="00172D4E"/>
    <w:rsid w:val="00174AD5"/>
    <w:rsid w:val="001751A1"/>
    <w:rsid w:val="0017531D"/>
    <w:rsid w:val="0017532C"/>
    <w:rsid w:val="00175441"/>
    <w:rsid w:val="00175720"/>
    <w:rsid w:val="00175871"/>
    <w:rsid w:val="00175BFE"/>
    <w:rsid w:val="001760F0"/>
    <w:rsid w:val="0017699B"/>
    <w:rsid w:val="0017716C"/>
    <w:rsid w:val="0017721B"/>
    <w:rsid w:val="001774BA"/>
    <w:rsid w:val="001778C1"/>
    <w:rsid w:val="00177ECD"/>
    <w:rsid w:val="00180460"/>
    <w:rsid w:val="001804F6"/>
    <w:rsid w:val="0018051C"/>
    <w:rsid w:val="0018060E"/>
    <w:rsid w:val="00180666"/>
    <w:rsid w:val="00180A65"/>
    <w:rsid w:val="00180B63"/>
    <w:rsid w:val="001810F4"/>
    <w:rsid w:val="0018114A"/>
    <w:rsid w:val="001811BF"/>
    <w:rsid w:val="001818F9"/>
    <w:rsid w:val="0018218B"/>
    <w:rsid w:val="001821E2"/>
    <w:rsid w:val="00182747"/>
    <w:rsid w:val="00182956"/>
    <w:rsid w:val="00182D54"/>
    <w:rsid w:val="00183285"/>
    <w:rsid w:val="00183BB7"/>
    <w:rsid w:val="00183E19"/>
    <w:rsid w:val="0018403F"/>
    <w:rsid w:val="0018426B"/>
    <w:rsid w:val="00184753"/>
    <w:rsid w:val="00184792"/>
    <w:rsid w:val="001848D5"/>
    <w:rsid w:val="00184A16"/>
    <w:rsid w:val="00184CD1"/>
    <w:rsid w:val="00184D6B"/>
    <w:rsid w:val="00184EDD"/>
    <w:rsid w:val="0018563F"/>
    <w:rsid w:val="00185749"/>
    <w:rsid w:val="00185D74"/>
    <w:rsid w:val="001862FF"/>
    <w:rsid w:val="0018647B"/>
    <w:rsid w:val="001866E9"/>
    <w:rsid w:val="00186C82"/>
    <w:rsid w:val="00187447"/>
    <w:rsid w:val="001874DF"/>
    <w:rsid w:val="00187849"/>
    <w:rsid w:val="001878E1"/>
    <w:rsid w:val="00187B08"/>
    <w:rsid w:val="00187EB4"/>
    <w:rsid w:val="00190043"/>
    <w:rsid w:val="001908B6"/>
    <w:rsid w:val="00190DF9"/>
    <w:rsid w:val="00190F40"/>
    <w:rsid w:val="001910B9"/>
    <w:rsid w:val="0019137B"/>
    <w:rsid w:val="001913BD"/>
    <w:rsid w:val="001913F0"/>
    <w:rsid w:val="00191853"/>
    <w:rsid w:val="00191DC5"/>
    <w:rsid w:val="00192426"/>
    <w:rsid w:val="001927DC"/>
    <w:rsid w:val="00192C4D"/>
    <w:rsid w:val="0019356F"/>
    <w:rsid w:val="00193769"/>
    <w:rsid w:val="00193A1C"/>
    <w:rsid w:val="00193DAD"/>
    <w:rsid w:val="0019440F"/>
    <w:rsid w:val="00194627"/>
    <w:rsid w:val="00194960"/>
    <w:rsid w:val="0019499C"/>
    <w:rsid w:val="00194E1D"/>
    <w:rsid w:val="001950A0"/>
    <w:rsid w:val="00195B86"/>
    <w:rsid w:val="001969C9"/>
    <w:rsid w:val="00196EED"/>
    <w:rsid w:val="00197645"/>
    <w:rsid w:val="0019780A"/>
    <w:rsid w:val="001A028F"/>
    <w:rsid w:val="001A04AA"/>
    <w:rsid w:val="001A04BC"/>
    <w:rsid w:val="001A05E6"/>
    <w:rsid w:val="001A0B11"/>
    <w:rsid w:val="001A0F03"/>
    <w:rsid w:val="001A106E"/>
    <w:rsid w:val="001A12D5"/>
    <w:rsid w:val="001A2285"/>
    <w:rsid w:val="001A2692"/>
    <w:rsid w:val="001A335A"/>
    <w:rsid w:val="001A33F6"/>
    <w:rsid w:val="001A3968"/>
    <w:rsid w:val="001A397F"/>
    <w:rsid w:val="001A420C"/>
    <w:rsid w:val="001A4748"/>
    <w:rsid w:val="001A49C6"/>
    <w:rsid w:val="001A4CFA"/>
    <w:rsid w:val="001A4D8D"/>
    <w:rsid w:val="001A50B0"/>
    <w:rsid w:val="001A54E3"/>
    <w:rsid w:val="001A57FA"/>
    <w:rsid w:val="001A5C63"/>
    <w:rsid w:val="001A60E8"/>
    <w:rsid w:val="001A665C"/>
    <w:rsid w:val="001A6952"/>
    <w:rsid w:val="001A7013"/>
    <w:rsid w:val="001A7079"/>
    <w:rsid w:val="001A72A6"/>
    <w:rsid w:val="001A7357"/>
    <w:rsid w:val="001B0467"/>
    <w:rsid w:val="001B04B0"/>
    <w:rsid w:val="001B08DC"/>
    <w:rsid w:val="001B0A6F"/>
    <w:rsid w:val="001B0A7D"/>
    <w:rsid w:val="001B0B02"/>
    <w:rsid w:val="001B0C3C"/>
    <w:rsid w:val="001B1023"/>
    <w:rsid w:val="001B1146"/>
    <w:rsid w:val="001B13D2"/>
    <w:rsid w:val="001B1716"/>
    <w:rsid w:val="001B1DD2"/>
    <w:rsid w:val="001B22A9"/>
    <w:rsid w:val="001B2350"/>
    <w:rsid w:val="001B250C"/>
    <w:rsid w:val="001B25B0"/>
    <w:rsid w:val="001B2E25"/>
    <w:rsid w:val="001B2F52"/>
    <w:rsid w:val="001B358F"/>
    <w:rsid w:val="001B3948"/>
    <w:rsid w:val="001B3C3F"/>
    <w:rsid w:val="001B425F"/>
    <w:rsid w:val="001B4365"/>
    <w:rsid w:val="001B4554"/>
    <w:rsid w:val="001B4618"/>
    <w:rsid w:val="001B4C10"/>
    <w:rsid w:val="001B4C72"/>
    <w:rsid w:val="001B54A7"/>
    <w:rsid w:val="001B55E3"/>
    <w:rsid w:val="001B5FEB"/>
    <w:rsid w:val="001B615A"/>
    <w:rsid w:val="001B6B21"/>
    <w:rsid w:val="001B702F"/>
    <w:rsid w:val="001B70B6"/>
    <w:rsid w:val="001B715F"/>
    <w:rsid w:val="001B71DA"/>
    <w:rsid w:val="001B7318"/>
    <w:rsid w:val="001B7593"/>
    <w:rsid w:val="001B7740"/>
    <w:rsid w:val="001B7A94"/>
    <w:rsid w:val="001C013D"/>
    <w:rsid w:val="001C0A5B"/>
    <w:rsid w:val="001C0C20"/>
    <w:rsid w:val="001C0F25"/>
    <w:rsid w:val="001C0FA7"/>
    <w:rsid w:val="001C0FC1"/>
    <w:rsid w:val="001C1AEB"/>
    <w:rsid w:val="001C20E1"/>
    <w:rsid w:val="001C20F4"/>
    <w:rsid w:val="001C252F"/>
    <w:rsid w:val="001C2CCB"/>
    <w:rsid w:val="001C3062"/>
    <w:rsid w:val="001C314B"/>
    <w:rsid w:val="001C3A85"/>
    <w:rsid w:val="001C3D70"/>
    <w:rsid w:val="001C3F2C"/>
    <w:rsid w:val="001C4232"/>
    <w:rsid w:val="001C4D16"/>
    <w:rsid w:val="001C50D3"/>
    <w:rsid w:val="001C5249"/>
    <w:rsid w:val="001C54E8"/>
    <w:rsid w:val="001C58A7"/>
    <w:rsid w:val="001C5D05"/>
    <w:rsid w:val="001C5EF2"/>
    <w:rsid w:val="001C61E9"/>
    <w:rsid w:val="001C63D4"/>
    <w:rsid w:val="001C64D5"/>
    <w:rsid w:val="001C6AFA"/>
    <w:rsid w:val="001C6BCC"/>
    <w:rsid w:val="001C706B"/>
    <w:rsid w:val="001C7170"/>
    <w:rsid w:val="001C72C2"/>
    <w:rsid w:val="001C72DB"/>
    <w:rsid w:val="001C7E79"/>
    <w:rsid w:val="001D0DA2"/>
    <w:rsid w:val="001D17E9"/>
    <w:rsid w:val="001D1CC3"/>
    <w:rsid w:val="001D27A5"/>
    <w:rsid w:val="001D2A66"/>
    <w:rsid w:val="001D2FE8"/>
    <w:rsid w:val="001D3161"/>
    <w:rsid w:val="001D3210"/>
    <w:rsid w:val="001D32A5"/>
    <w:rsid w:val="001D369A"/>
    <w:rsid w:val="001D3E28"/>
    <w:rsid w:val="001D3F7B"/>
    <w:rsid w:val="001D40B9"/>
    <w:rsid w:val="001D4298"/>
    <w:rsid w:val="001D46C2"/>
    <w:rsid w:val="001D4B4F"/>
    <w:rsid w:val="001D4BF9"/>
    <w:rsid w:val="001D4CA4"/>
    <w:rsid w:val="001D4EB5"/>
    <w:rsid w:val="001D5188"/>
    <w:rsid w:val="001D53D0"/>
    <w:rsid w:val="001D53EE"/>
    <w:rsid w:val="001D5FBF"/>
    <w:rsid w:val="001D6135"/>
    <w:rsid w:val="001D650F"/>
    <w:rsid w:val="001D6719"/>
    <w:rsid w:val="001D6BC2"/>
    <w:rsid w:val="001D6FEF"/>
    <w:rsid w:val="001D709E"/>
    <w:rsid w:val="001D7782"/>
    <w:rsid w:val="001D786E"/>
    <w:rsid w:val="001D7E4D"/>
    <w:rsid w:val="001E05B2"/>
    <w:rsid w:val="001E1313"/>
    <w:rsid w:val="001E1D8E"/>
    <w:rsid w:val="001E1EBD"/>
    <w:rsid w:val="001E1F22"/>
    <w:rsid w:val="001E2B8A"/>
    <w:rsid w:val="001E2C32"/>
    <w:rsid w:val="001E3239"/>
    <w:rsid w:val="001E3357"/>
    <w:rsid w:val="001E3674"/>
    <w:rsid w:val="001E3E02"/>
    <w:rsid w:val="001E3FA8"/>
    <w:rsid w:val="001E5277"/>
    <w:rsid w:val="001E53D2"/>
    <w:rsid w:val="001E5B17"/>
    <w:rsid w:val="001E5B4D"/>
    <w:rsid w:val="001E64CE"/>
    <w:rsid w:val="001E66E2"/>
    <w:rsid w:val="001E6F39"/>
    <w:rsid w:val="001E727A"/>
    <w:rsid w:val="001E7324"/>
    <w:rsid w:val="001E7454"/>
    <w:rsid w:val="001E757A"/>
    <w:rsid w:val="001E781F"/>
    <w:rsid w:val="001E7A2C"/>
    <w:rsid w:val="001F0199"/>
    <w:rsid w:val="001F06B3"/>
    <w:rsid w:val="001F07C9"/>
    <w:rsid w:val="001F0907"/>
    <w:rsid w:val="001F0CBD"/>
    <w:rsid w:val="001F17EA"/>
    <w:rsid w:val="001F1A68"/>
    <w:rsid w:val="001F1DC2"/>
    <w:rsid w:val="001F1DF2"/>
    <w:rsid w:val="001F1F29"/>
    <w:rsid w:val="001F20A0"/>
    <w:rsid w:val="001F2210"/>
    <w:rsid w:val="001F227C"/>
    <w:rsid w:val="001F2BE6"/>
    <w:rsid w:val="001F3081"/>
    <w:rsid w:val="001F39EF"/>
    <w:rsid w:val="001F3A14"/>
    <w:rsid w:val="001F3F75"/>
    <w:rsid w:val="001F467B"/>
    <w:rsid w:val="001F4924"/>
    <w:rsid w:val="001F50EB"/>
    <w:rsid w:val="001F5592"/>
    <w:rsid w:val="001F5712"/>
    <w:rsid w:val="001F60E5"/>
    <w:rsid w:val="001F632D"/>
    <w:rsid w:val="001F6500"/>
    <w:rsid w:val="001F74D7"/>
    <w:rsid w:val="001F77E5"/>
    <w:rsid w:val="001F78EB"/>
    <w:rsid w:val="001F7F1F"/>
    <w:rsid w:val="0020043A"/>
    <w:rsid w:val="002007E2"/>
    <w:rsid w:val="002008C4"/>
    <w:rsid w:val="0020134B"/>
    <w:rsid w:val="0020135C"/>
    <w:rsid w:val="002018C9"/>
    <w:rsid w:val="00201B9B"/>
    <w:rsid w:val="00201EFD"/>
    <w:rsid w:val="00202A0A"/>
    <w:rsid w:val="00202C84"/>
    <w:rsid w:val="00202ED6"/>
    <w:rsid w:val="002033FB"/>
    <w:rsid w:val="002037D6"/>
    <w:rsid w:val="00203D44"/>
    <w:rsid w:val="0020470C"/>
    <w:rsid w:val="00204878"/>
    <w:rsid w:val="0020497B"/>
    <w:rsid w:val="002053AF"/>
    <w:rsid w:val="00205A9A"/>
    <w:rsid w:val="00205B7E"/>
    <w:rsid w:val="00205EA7"/>
    <w:rsid w:val="00205FDB"/>
    <w:rsid w:val="00206386"/>
    <w:rsid w:val="002068B5"/>
    <w:rsid w:val="00206951"/>
    <w:rsid w:val="00206EF8"/>
    <w:rsid w:val="00207838"/>
    <w:rsid w:val="00207EC7"/>
    <w:rsid w:val="00210191"/>
    <w:rsid w:val="002104F4"/>
    <w:rsid w:val="00210E6E"/>
    <w:rsid w:val="00210FB4"/>
    <w:rsid w:val="0021162E"/>
    <w:rsid w:val="0021167A"/>
    <w:rsid w:val="002119A8"/>
    <w:rsid w:val="00211CAC"/>
    <w:rsid w:val="00211CEB"/>
    <w:rsid w:val="002124E5"/>
    <w:rsid w:val="002138F7"/>
    <w:rsid w:val="00213C48"/>
    <w:rsid w:val="00213D95"/>
    <w:rsid w:val="00214349"/>
    <w:rsid w:val="0021444B"/>
    <w:rsid w:val="002144CF"/>
    <w:rsid w:val="00214B54"/>
    <w:rsid w:val="00214BC4"/>
    <w:rsid w:val="0021523E"/>
    <w:rsid w:val="00215446"/>
    <w:rsid w:val="002157DD"/>
    <w:rsid w:val="0021663F"/>
    <w:rsid w:val="00216E00"/>
    <w:rsid w:val="00217157"/>
    <w:rsid w:val="002173AE"/>
    <w:rsid w:val="0022005C"/>
    <w:rsid w:val="002203FE"/>
    <w:rsid w:val="00220ABB"/>
    <w:rsid w:val="00220CE2"/>
    <w:rsid w:val="0022125A"/>
    <w:rsid w:val="0022137B"/>
    <w:rsid w:val="002220D2"/>
    <w:rsid w:val="00222184"/>
    <w:rsid w:val="002222A9"/>
    <w:rsid w:val="00222345"/>
    <w:rsid w:val="002227C1"/>
    <w:rsid w:val="002228EF"/>
    <w:rsid w:val="0022296A"/>
    <w:rsid w:val="00222BD7"/>
    <w:rsid w:val="00222C74"/>
    <w:rsid w:val="0022307B"/>
    <w:rsid w:val="0022340A"/>
    <w:rsid w:val="00223559"/>
    <w:rsid w:val="00223569"/>
    <w:rsid w:val="0022378E"/>
    <w:rsid w:val="002239C1"/>
    <w:rsid w:val="002239F9"/>
    <w:rsid w:val="00223A25"/>
    <w:rsid w:val="00223CB5"/>
    <w:rsid w:val="00224A6B"/>
    <w:rsid w:val="00225299"/>
    <w:rsid w:val="00225438"/>
    <w:rsid w:val="00225515"/>
    <w:rsid w:val="0022575A"/>
    <w:rsid w:val="0022585E"/>
    <w:rsid w:val="002259A3"/>
    <w:rsid w:val="00225C18"/>
    <w:rsid w:val="00225FB7"/>
    <w:rsid w:val="00226DC8"/>
    <w:rsid w:val="00226F77"/>
    <w:rsid w:val="00227055"/>
    <w:rsid w:val="00227975"/>
    <w:rsid w:val="00227DF4"/>
    <w:rsid w:val="00230F38"/>
    <w:rsid w:val="002312F2"/>
    <w:rsid w:val="00231894"/>
    <w:rsid w:val="00231E68"/>
    <w:rsid w:val="00232226"/>
    <w:rsid w:val="00232277"/>
    <w:rsid w:val="002329E9"/>
    <w:rsid w:val="00232A51"/>
    <w:rsid w:val="00232D53"/>
    <w:rsid w:val="00232EE5"/>
    <w:rsid w:val="002330B7"/>
    <w:rsid w:val="0023378B"/>
    <w:rsid w:val="00233E49"/>
    <w:rsid w:val="00233EFF"/>
    <w:rsid w:val="00233FB0"/>
    <w:rsid w:val="00234107"/>
    <w:rsid w:val="00234453"/>
    <w:rsid w:val="00234935"/>
    <w:rsid w:val="00234E58"/>
    <w:rsid w:val="00234FE3"/>
    <w:rsid w:val="0023545B"/>
    <w:rsid w:val="00236669"/>
    <w:rsid w:val="00236865"/>
    <w:rsid w:val="00236BEE"/>
    <w:rsid w:val="00236F09"/>
    <w:rsid w:val="00237133"/>
    <w:rsid w:val="0023748D"/>
    <w:rsid w:val="00240629"/>
    <w:rsid w:val="002406CF"/>
    <w:rsid w:val="00240AE5"/>
    <w:rsid w:val="00240E43"/>
    <w:rsid w:val="002419F6"/>
    <w:rsid w:val="00241A8C"/>
    <w:rsid w:val="00241B19"/>
    <w:rsid w:val="00241F01"/>
    <w:rsid w:val="002422D1"/>
    <w:rsid w:val="00242641"/>
    <w:rsid w:val="002428B7"/>
    <w:rsid w:val="00242A01"/>
    <w:rsid w:val="00242CE3"/>
    <w:rsid w:val="00242CFE"/>
    <w:rsid w:val="00243268"/>
    <w:rsid w:val="002432C5"/>
    <w:rsid w:val="00243414"/>
    <w:rsid w:val="00243C70"/>
    <w:rsid w:val="00243D4B"/>
    <w:rsid w:val="00243FA2"/>
    <w:rsid w:val="00244156"/>
    <w:rsid w:val="0024425F"/>
    <w:rsid w:val="002448A1"/>
    <w:rsid w:val="00245745"/>
    <w:rsid w:val="00246470"/>
    <w:rsid w:val="00246DC2"/>
    <w:rsid w:val="002470FF"/>
    <w:rsid w:val="0024742B"/>
    <w:rsid w:val="0024799B"/>
    <w:rsid w:val="00247D97"/>
    <w:rsid w:val="0025057D"/>
    <w:rsid w:val="00250A26"/>
    <w:rsid w:val="00251137"/>
    <w:rsid w:val="002516F1"/>
    <w:rsid w:val="00251E33"/>
    <w:rsid w:val="0025291E"/>
    <w:rsid w:val="00252B64"/>
    <w:rsid w:val="00252E82"/>
    <w:rsid w:val="00252F3D"/>
    <w:rsid w:val="002532EE"/>
    <w:rsid w:val="002536F6"/>
    <w:rsid w:val="00254542"/>
    <w:rsid w:val="0025456A"/>
    <w:rsid w:val="00254A04"/>
    <w:rsid w:val="00254AC6"/>
    <w:rsid w:val="002552C8"/>
    <w:rsid w:val="002553D7"/>
    <w:rsid w:val="00255867"/>
    <w:rsid w:val="0025617D"/>
    <w:rsid w:val="0025661F"/>
    <w:rsid w:val="002569E9"/>
    <w:rsid w:val="00256E33"/>
    <w:rsid w:val="00256F4D"/>
    <w:rsid w:val="002574F6"/>
    <w:rsid w:val="0025755F"/>
    <w:rsid w:val="00257B02"/>
    <w:rsid w:val="00260F0F"/>
    <w:rsid w:val="00261186"/>
    <w:rsid w:val="0026146A"/>
    <w:rsid w:val="00263051"/>
    <w:rsid w:val="002636CA"/>
    <w:rsid w:val="0026396E"/>
    <w:rsid w:val="00263CFC"/>
    <w:rsid w:val="00263E07"/>
    <w:rsid w:val="002657D5"/>
    <w:rsid w:val="002661EF"/>
    <w:rsid w:val="00266346"/>
    <w:rsid w:val="0026702F"/>
    <w:rsid w:val="002670F2"/>
    <w:rsid w:val="00267139"/>
    <w:rsid w:val="0026727F"/>
    <w:rsid w:val="00267647"/>
    <w:rsid w:val="002678AB"/>
    <w:rsid w:val="00267AFA"/>
    <w:rsid w:val="00267DE4"/>
    <w:rsid w:val="00270058"/>
    <w:rsid w:val="002700F7"/>
    <w:rsid w:val="002703C4"/>
    <w:rsid w:val="00270598"/>
    <w:rsid w:val="002708BB"/>
    <w:rsid w:val="00270A35"/>
    <w:rsid w:val="00270A85"/>
    <w:rsid w:val="00270F72"/>
    <w:rsid w:val="00271E79"/>
    <w:rsid w:val="00272A0C"/>
    <w:rsid w:val="00272CFD"/>
    <w:rsid w:val="00273391"/>
    <w:rsid w:val="002736FE"/>
    <w:rsid w:val="00273A0D"/>
    <w:rsid w:val="00274576"/>
    <w:rsid w:val="00274D1C"/>
    <w:rsid w:val="00274E58"/>
    <w:rsid w:val="00274EB7"/>
    <w:rsid w:val="0027504D"/>
    <w:rsid w:val="00275226"/>
    <w:rsid w:val="0027525D"/>
    <w:rsid w:val="00275695"/>
    <w:rsid w:val="002758C1"/>
    <w:rsid w:val="002759C6"/>
    <w:rsid w:val="00275A4A"/>
    <w:rsid w:val="00275BA4"/>
    <w:rsid w:val="00275F6D"/>
    <w:rsid w:val="002760B3"/>
    <w:rsid w:val="002766DC"/>
    <w:rsid w:val="00276978"/>
    <w:rsid w:val="00276AD4"/>
    <w:rsid w:val="00276EFA"/>
    <w:rsid w:val="00277180"/>
    <w:rsid w:val="002772E5"/>
    <w:rsid w:val="00277396"/>
    <w:rsid w:val="00277545"/>
    <w:rsid w:val="0027794D"/>
    <w:rsid w:val="00277D5E"/>
    <w:rsid w:val="00280484"/>
    <w:rsid w:val="0028056A"/>
    <w:rsid w:val="002806C2"/>
    <w:rsid w:val="00280A00"/>
    <w:rsid w:val="00281083"/>
    <w:rsid w:val="00281292"/>
    <w:rsid w:val="0028186D"/>
    <w:rsid w:val="00281A3A"/>
    <w:rsid w:val="00281B71"/>
    <w:rsid w:val="002821A7"/>
    <w:rsid w:val="002824AE"/>
    <w:rsid w:val="00282693"/>
    <w:rsid w:val="002832B7"/>
    <w:rsid w:val="00283F03"/>
    <w:rsid w:val="00284B3C"/>
    <w:rsid w:val="00284E76"/>
    <w:rsid w:val="00284FF4"/>
    <w:rsid w:val="002852E9"/>
    <w:rsid w:val="002855FB"/>
    <w:rsid w:val="00285F75"/>
    <w:rsid w:val="002861D4"/>
    <w:rsid w:val="00286E45"/>
    <w:rsid w:val="002874B5"/>
    <w:rsid w:val="002874E2"/>
    <w:rsid w:val="00287867"/>
    <w:rsid w:val="002904DF"/>
    <w:rsid w:val="00290AAE"/>
    <w:rsid w:val="00291273"/>
    <w:rsid w:val="00291AE0"/>
    <w:rsid w:val="00291F17"/>
    <w:rsid w:val="002922D4"/>
    <w:rsid w:val="002927C2"/>
    <w:rsid w:val="00292CD4"/>
    <w:rsid w:val="00293028"/>
    <w:rsid w:val="002933FF"/>
    <w:rsid w:val="002938CF"/>
    <w:rsid w:val="00294618"/>
    <w:rsid w:val="00294798"/>
    <w:rsid w:val="00294C56"/>
    <w:rsid w:val="00294E12"/>
    <w:rsid w:val="00294E57"/>
    <w:rsid w:val="00294F9B"/>
    <w:rsid w:val="00295EB6"/>
    <w:rsid w:val="002967A7"/>
    <w:rsid w:val="00296AA6"/>
    <w:rsid w:val="00296C3E"/>
    <w:rsid w:val="00296D39"/>
    <w:rsid w:val="002973A2"/>
    <w:rsid w:val="00297A83"/>
    <w:rsid w:val="00297BA0"/>
    <w:rsid w:val="00297C1A"/>
    <w:rsid w:val="00297E01"/>
    <w:rsid w:val="002A015E"/>
    <w:rsid w:val="002A0424"/>
    <w:rsid w:val="002A113D"/>
    <w:rsid w:val="002A13E4"/>
    <w:rsid w:val="002A1862"/>
    <w:rsid w:val="002A1B61"/>
    <w:rsid w:val="002A244D"/>
    <w:rsid w:val="002A2613"/>
    <w:rsid w:val="002A2D29"/>
    <w:rsid w:val="002A2F1F"/>
    <w:rsid w:val="002A3047"/>
    <w:rsid w:val="002A32C0"/>
    <w:rsid w:val="002A33B1"/>
    <w:rsid w:val="002A3533"/>
    <w:rsid w:val="002A3888"/>
    <w:rsid w:val="002A3987"/>
    <w:rsid w:val="002A3AB5"/>
    <w:rsid w:val="002A4428"/>
    <w:rsid w:val="002A44D6"/>
    <w:rsid w:val="002A4AF8"/>
    <w:rsid w:val="002A4CE6"/>
    <w:rsid w:val="002A4F27"/>
    <w:rsid w:val="002A5433"/>
    <w:rsid w:val="002A5999"/>
    <w:rsid w:val="002A5E6E"/>
    <w:rsid w:val="002A5E89"/>
    <w:rsid w:val="002A6161"/>
    <w:rsid w:val="002A6432"/>
    <w:rsid w:val="002A65FE"/>
    <w:rsid w:val="002A675D"/>
    <w:rsid w:val="002A68C6"/>
    <w:rsid w:val="002A691C"/>
    <w:rsid w:val="002A692F"/>
    <w:rsid w:val="002A6B99"/>
    <w:rsid w:val="002A6FC6"/>
    <w:rsid w:val="002A72BA"/>
    <w:rsid w:val="002A79D9"/>
    <w:rsid w:val="002B0255"/>
    <w:rsid w:val="002B1298"/>
    <w:rsid w:val="002B14BB"/>
    <w:rsid w:val="002B17C9"/>
    <w:rsid w:val="002B1980"/>
    <w:rsid w:val="002B1D21"/>
    <w:rsid w:val="002B201E"/>
    <w:rsid w:val="002B27CC"/>
    <w:rsid w:val="002B2943"/>
    <w:rsid w:val="002B3387"/>
    <w:rsid w:val="002B388C"/>
    <w:rsid w:val="002B3FCF"/>
    <w:rsid w:val="002B4380"/>
    <w:rsid w:val="002B4880"/>
    <w:rsid w:val="002B4EB0"/>
    <w:rsid w:val="002B5277"/>
    <w:rsid w:val="002B55B0"/>
    <w:rsid w:val="002B646B"/>
    <w:rsid w:val="002B6678"/>
    <w:rsid w:val="002B67CC"/>
    <w:rsid w:val="002B6911"/>
    <w:rsid w:val="002B6DB6"/>
    <w:rsid w:val="002B70A5"/>
    <w:rsid w:val="002B73B2"/>
    <w:rsid w:val="002B7433"/>
    <w:rsid w:val="002B74EB"/>
    <w:rsid w:val="002B7914"/>
    <w:rsid w:val="002B7C25"/>
    <w:rsid w:val="002C0C2F"/>
    <w:rsid w:val="002C1238"/>
    <w:rsid w:val="002C1E08"/>
    <w:rsid w:val="002C2603"/>
    <w:rsid w:val="002C2787"/>
    <w:rsid w:val="002C289D"/>
    <w:rsid w:val="002C2984"/>
    <w:rsid w:val="002C2A79"/>
    <w:rsid w:val="002C2B8E"/>
    <w:rsid w:val="002C2E2D"/>
    <w:rsid w:val="002C2E35"/>
    <w:rsid w:val="002C38DC"/>
    <w:rsid w:val="002C3C4E"/>
    <w:rsid w:val="002C3D1D"/>
    <w:rsid w:val="002C3E61"/>
    <w:rsid w:val="002C4326"/>
    <w:rsid w:val="002C4536"/>
    <w:rsid w:val="002C4A0F"/>
    <w:rsid w:val="002C4FA8"/>
    <w:rsid w:val="002C4FE9"/>
    <w:rsid w:val="002C55DF"/>
    <w:rsid w:val="002C6834"/>
    <w:rsid w:val="002C6849"/>
    <w:rsid w:val="002C735A"/>
    <w:rsid w:val="002C77D9"/>
    <w:rsid w:val="002C7C82"/>
    <w:rsid w:val="002C7F4D"/>
    <w:rsid w:val="002D0DC0"/>
    <w:rsid w:val="002D0E6B"/>
    <w:rsid w:val="002D12B7"/>
    <w:rsid w:val="002D1654"/>
    <w:rsid w:val="002D174E"/>
    <w:rsid w:val="002D1C9B"/>
    <w:rsid w:val="002D1D59"/>
    <w:rsid w:val="002D2C43"/>
    <w:rsid w:val="002D338B"/>
    <w:rsid w:val="002D36CF"/>
    <w:rsid w:val="002D3BB2"/>
    <w:rsid w:val="002D3E03"/>
    <w:rsid w:val="002D4208"/>
    <w:rsid w:val="002D453A"/>
    <w:rsid w:val="002D4983"/>
    <w:rsid w:val="002D4F67"/>
    <w:rsid w:val="002D51F3"/>
    <w:rsid w:val="002D54CC"/>
    <w:rsid w:val="002D5B3B"/>
    <w:rsid w:val="002D5C15"/>
    <w:rsid w:val="002D5D88"/>
    <w:rsid w:val="002D5F7A"/>
    <w:rsid w:val="002D689F"/>
    <w:rsid w:val="002D70A5"/>
    <w:rsid w:val="002D716D"/>
    <w:rsid w:val="002D7906"/>
    <w:rsid w:val="002D7DE1"/>
    <w:rsid w:val="002D7DF5"/>
    <w:rsid w:val="002D7FC9"/>
    <w:rsid w:val="002E080E"/>
    <w:rsid w:val="002E0949"/>
    <w:rsid w:val="002E192E"/>
    <w:rsid w:val="002E1E55"/>
    <w:rsid w:val="002E1EE1"/>
    <w:rsid w:val="002E1F97"/>
    <w:rsid w:val="002E2748"/>
    <w:rsid w:val="002E27FF"/>
    <w:rsid w:val="002E3412"/>
    <w:rsid w:val="002E38B8"/>
    <w:rsid w:val="002E39D9"/>
    <w:rsid w:val="002E3A43"/>
    <w:rsid w:val="002E3BD4"/>
    <w:rsid w:val="002E4889"/>
    <w:rsid w:val="002E5026"/>
    <w:rsid w:val="002E5137"/>
    <w:rsid w:val="002E5209"/>
    <w:rsid w:val="002E53E4"/>
    <w:rsid w:val="002E5446"/>
    <w:rsid w:val="002E5A6E"/>
    <w:rsid w:val="002E63EE"/>
    <w:rsid w:val="002E6403"/>
    <w:rsid w:val="002E6719"/>
    <w:rsid w:val="002E71BD"/>
    <w:rsid w:val="002E72BC"/>
    <w:rsid w:val="002E797A"/>
    <w:rsid w:val="002F02B7"/>
    <w:rsid w:val="002F04B7"/>
    <w:rsid w:val="002F074E"/>
    <w:rsid w:val="002F07D8"/>
    <w:rsid w:val="002F0BB2"/>
    <w:rsid w:val="002F14C6"/>
    <w:rsid w:val="002F1FE2"/>
    <w:rsid w:val="002F2A16"/>
    <w:rsid w:val="002F2BA7"/>
    <w:rsid w:val="002F2C62"/>
    <w:rsid w:val="002F2CE7"/>
    <w:rsid w:val="002F2FBD"/>
    <w:rsid w:val="002F2FD4"/>
    <w:rsid w:val="002F35B9"/>
    <w:rsid w:val="002F3866"/>
    <w:rsid w:val="002F3E2C"/>
    <w:rsid w:val="002F3FFD"/>
    <w:rsid w:val="002F4644"/>
    <w:rsid w:val="002F4CA5"/>
    <w:rsid w:val="002F6048"/>
    <w:rsid w:val="002F621C"/>
    <w:rsid w:val="002F7A0C"/>
    <w:rsid w:val="0030095A"/>
    <w:rsid w:val="00300F2F"/>
    <w:rsid w:val="0030127E"/>
    <w:rsid w:val="003012A8"/>
    <w:rsid w:val="003013E1"/>
    <w:rsid w:val="003013FA"/>
    <w:rsid w:val="0030153E"/>
    <w:rsid w:val="00301971"/>
    <w:rsid w:val="00301D0A"/>
    <w:rsid w:val="003021A3"/>
    <w:rsid w:val="00302233"/>
    <w:rsid w:val="003024AD"/>
    <w:rsid w:val="0030307F"/>
    <w:rsid w:val="003039F9"/>
    <w:rsid w:val="00303B07"/>
    <w:rsid w:val="00303CE1"/>
    <w:rsid w:val="00304493"/>
    <w:rsid w:val="0030463B"/>
    <w:rsid w:val="00304818"/>
    <w:rsid w:val="00304A14"/>
    <w:rsid w:val="00304B2B"/>
    <w:rsid w:val="00304B5B"/>
    <w:rsid w:val="0030513F"/>
    <w:rsid w:val="003054A4"/>
    <w:rsid w:val="00305A05"/>
    <w:rsid w:val="00305AAB"/>
    <w:rsid w:val="003075C8"/>
    <w:rsid w:val="00307711"/>
    <w:rsid w:val="00310004"/>
    <w:rsid w:val="00310294"/>
    <w:rsid w:val="003104E8"/>
    <w:rsid w:val="00310BF2"/>
    <w:rsid w:val="00311105"/>
    <w:rsid w:val="003111FF"/>
    <w:rsid w:val="003113D5"/>
    <w:rsid w:val="00311A83"/>
    <w:rsid w:val="00311AD7"/>
    <w:rsid w:val="00312473"/>
    <w:rsid w:val="00312523"/>
    <w:rsid w:val="0031344B"/>
    <w:rsid w:val="0031379F"/>
    <w:rsid w:val="00313C91"/>
    <w:rsid w:val="00313F54"/>
    <w:rsid w:val="00314ACC"/>
    <w:rsid w:val="00315022"/>
    <w:rsid w:val="00315882"/>
    <w:rsid w:val="00315F3D"/>
    <w:rsid w:val="00316061"/>
    <w:rsid w:val="0031611C"/>
    <w:rsid w:val="00316168"/>
    <w:rsid w:val="0031681E"/>
    <w:rsid w:val="00316B6D"/>
    <w:rsid w:val="00316E13"/>
    <w:rsid w:val="00316FED"/>
    <w:rsid w:val="0031767A"/>
    <w:rsid w:val="00317759"/>
    <w:rsid w:val="0031790F"/>
    <w:rsid w:val="00317D3F"/>
    <w:rsid w:val="00317FBB"/>
    <w:rsid w:val="003203A3"/>
    <w:rsid w:val="0032063B"/>
    <w:rsid w:val="003208B7"/>
    <w:rsid w:val="0032091B"/>
    <w:rsid w:val="0032099C"/>
    <w:rsid w:val="00320BA4"/>
    <w:rsid w:val="00320FBA"/>
    <w:rsid w:val="003213CD"/>
    <w:rsid w:val="0032142E"/>
    <w:rsid w:val="003216BD"/>
    <w:rsid w:val="00321E4D"/>
    <w:rsid w:val="00322027"/>
    <w:rsid w:val="0032232F"/>
    <w:rsid w:val="00322456"/>
    <w:rsid w:val="0032245F"/>
    <w:rsid w:val="003229C7"/>
    <w:rsid w:val="00322ECD"/>
    <w:rsid w:val="003237AC"/>
    <w:rsid w:val="00323E3F"/>
    <w:rsid w:val="0032430B"/>
    <w:rsid w:val="0032476B"/>
    <w:rsid w:val="00324DFF"/>
    <w:rsid w:val="003253CE"/>
    <w:rsid w:val="003258C7"/>
    <w:rsid w:val="00326B3B"/>
    <w:rsid w:val="00326FD4"/>
    <w:rsid w:val="003273CA"/>
    <w:rsid w:val="00327D18"/>
    <w:rsid w:val="00327FD7"/>
    <w:rsid w:val="00330290"/>
    <w:rsid w:val="0033045C"/>
    <w:rsid w:val="003306D1"/>
    <w:rsid w:val="003307EA"/>
    <w:rsid w:val="00330998"/>
    <w:rsid w:val="003311AE"/>
    <w:rsid w:val="00331517"/>
    <w:rsid w:val="00331B8E"/>
    <w:rsid w:val="00331E7F"/>
    <w:rsid w:val="00331EEA"/>
    <w:rsid w:val="00332193"/>
    <w:rsid w:val="00332295"/>
    <w:rsid w:val="00332538"/>
    <w:rsid w:val="00332664"/>
    <w:rsid w:val="003327E5"/>
    <w:rsid w:val="00332A08"/>
    <w:rsid w:val="00333781"/>
    <w:rsid w:val="003338ED"/>
    <w:rsid w:val="00333CBC"/>
    <w:rsid w:val="00333D06"/>
    <w:rsid w:val="00333D15"/>
    <w:rsid w:val="00333F57"/>
    <w:rsid w:val="00333FCD"/>
    <w:rsid w:val="003349FE"/>
    <w:rsid w:val="00334BBE"/>
    <w:rsid w:val="00335126"/>
    <w:rsid w:val="00335342"/>
    <w:rsid w:val="00335A66"/>
    <w:rsid w:val="00335CAF"/>
    <w:rsid w:val="00335F65"/>
    <w:rsid w:val="00336C6F"/>
    <w:rsid w:val="00336F42"/>
    <w:rsid w:val="003374AD"/>
    <w:rsid w:val="00337614"/>
    <w:rsid w:val="00337956"/>
    <w:rsid w:val="00337DFA"/>
    <w:rsid w:val="00340296"/>
    <w:rsid w:val="0034039B"/>
    <w:rsid w:val="003403E9"/>
    <w:rsid w:val="00340804"/>
    <w:rsid w:val="00340B39"/>
    <w:rsid w:val="00341609"/>
    <w:rsid w:val="00342059"/>
    <w:rsid w:val="003420C8"/>
    <w:rsid w:val="003425E8"/>
    <w:rsid w:val="00342FA6"/>
    <w:rsid w:val="00343022"/>
    <w:rsid w:val="00343242"/>
    <w:rsid w:val="0034463E"/>
    <w:rsid w:val="0034481B"/>
    <w:rsid w:val="00344F36"/>
    <w:rsid w:val="0034525A"/>
    <w:rsid w:val="00345333"/>
    <w:rsid w:val="0034554E"/>
    <w:rsid w:val="00346053"/>
    <w:rsid w:val="003468B2"/>
    <w:rsid w:val="003469D9"/>
    <w:rsid w:val="00346D23"/>
    <w:rsid w:val="00346F31"/>
    <w:rsid w:val="003470C0"/>
    <w:rsid w:val="00347193"/>
    <w:rsid w:val="00347B49"/>
    <w:rsid w:val="00347C93"/>
    <w:rsid w:val="00347CD2"/>
    <w:rsid w:val="0035019E"/>
    <w:rsid w:val="003504AF"/>
    <w:rsid w:val="00350A08"/>
    <w:rsid w:val="00350FD5"/>
    <w:rsid w:val="00351018"/>
    <w:rsid w:val="00351300"/>
    <w:rsid w:val="003519C2"/>
    <w:rsid w:val="00352816"/>
    <w:rsid w:val="00352D00"/>
    <w:rsid w:val="00352FBC"/>
    <w:rsid w:val="003533C4"/>
    <w:rsid w:val="003533FE"/>
    <w:rsid w:val="003535E0"/>
    <w:rsid w:val="00353848"/>
    <w:rsid w:val="00353C59"/>
    <w:rsid w:val="00353E6D"/>
    <w:rsid w:val="00354212"/>
    <w:rsid w:val="0035490B"/>
    <w:rsid w:val="00354A7A"/>
    <w:rsid w:val="00354B01"/>
    <w:rsid w:val="00354EF9"/>
    <w:rsid w:val="003554D1"/>
    <w:rsid w:val="0035594D"/>
    <w:rsid w:val="00355A74"/>
    <w:rsid w:val="00355B35"/>
    <w:rsid w:val="00355B87"/>
    <w:rsid w:val="00355DEF"/>
    <w:rsid w:val="0035627A"/>
    <w:rsid w:val="0035680A"/>
    <w:rsid w:val="003569DA"/>
    <w:rsid w:val="00356A06"/>
    <w:rsid w:val="00356A48"/>
    <w:rsid w:val="00356E21"/>
    <w:rsid w:val="003571E2"/>
    <w:rsid w:val="003579B2"/>
    <w:rsid w:val="00357C3C"/>
    <w:rsid w:val="00357E6A"/>
    <w:rsid w:val="00360350"/>
    <w:rsid w:val="00360C08"/>
    <w:rsid w:val="003611CD"/>
    <w:rsid w:val="003620B2"/>
    <w:rsid w:val="003623BC"/>
    <w:rsid w:val="00362576"/>
    <w:rsid w:val="0036281D"/>
    <w:rsid w:val="00362D5A"/>
    <w:rsid w:val="00363048"/>
    <w:rsid w:val="003638E3"/>
    <w:rsid w:val="003642D5"/>
    <w:rsid w:val="0036445F"/>
    <w:rsid w:val="0036496D"/>
    <w:rsid w:val="00364C1F"/>
    <w:rsid w:val="00364CC3"/>
    <w:rsid w:val="00364E79"/>
    <w:rsid w:val="0036512A"/>
    <w:rsid w:val="003655A6"/>
    <w:rsid w:val="003658A2"/>
    <w:rsid w:val="00365B7B"/>
    <w:rsid w:val="00365CED"/>
    <w:rsid w:val="00365FE3"/>
    <w:rsid w:val="00366078"/>
    <w:rsid w:val="003661AC"/>
    <w:rsid w:val="00366208"/>
    <w:rsid w:val="0036624C"/>
    <w:rsid w:val="003662A5"/>
    <w:rsid w:val="0036638D"/>
    <w:rsid w:val="003678A2"/>
    <w:rsid w:val="00367C6A"/>
    <w:rsid w:val="003700A8"/>
    <w:rsid w:val="0037010E"/>
    <w:rsid w:val="003703DD"/>
    <w:rsid w:val="0037052D"/>
    <w:rsid w:val="003714B2"/>
    <w:rsid w:val="00371523"/>
    <w:rsid w:val="003715F9"/>
    <w:rsid w:val="00371AA9"/>
    <w:rsid w:val="00371E95"/>
    <w:rsid w:val="0037240C"/>
    <w:rsid w:val="0037242D"/>
    <w:rsid w:val="0037251B"/>
    <w:rsid w:val="0037263C"/>
    <w:rsid w:val="003728BC"/>
    <w:rsid w:val="0037298F"/>
    <w:rsid w:val="0037299B"/>
    <w:rsid w:val="00373041"/>
    <w:rsid w:val="0037314D"/>
    <w:rsid w:val="00373320"/>
    <w:rsid w:val="0037392A"/>
    <w:rsid w:val="00374563"/>
    <w:rsid w:val="003749B0"/>
    <w:rsid w:val="00374A91"/>
    <w:rsid w:val="00375244"/>
    <w:rsid w:val="003754B0"/>
    <w:rsid w:val="00375D5E"/>
    <w:rsid w:val="003764DB"/>
    <w:rsid w:val="00376680"/>
    <w:rsid w:val="0037745A"/>
    <w:rsid w:val="00377951"/>
    <w:rsid w:val="00377B4D"/>
    <w:rsid w:val="00377B99"/>
    <w:rsid w:val="00380D1E"/>
    <w:rsid w:val="00380FBA"/>
    <w:rsid w:val="0038133C"/>
    <w:rsid w:val="00381691"/>
    <w:rsid w:val="0038184B"/>
    <w:rsid w:val="0038196E"/>
    <w:rsid w:val="00381989"/>
    <w:rsid w:val="003819D1"/>
    <w:rsid w:val="003819DC"/>
    <w:rsid w:val="003825F8"/>
    <w:rsid w:val="00382FC0"/>
    <w:rsid w:val="0038300B"/>
    <w:rsid w:val="003830D8"/>
    <w:rsid w:val="0038318F"/>
    <w:rsid w:val="003832A2"/>
    <w:rsid w:val="003833E7"/>
    <w:rsid w:val="0038380F"/>
    <w:rsid w:val="00383AB9"/>
    <w:rsid w:val="00383B8E"/>
    <w:rsid w:val="00383D75"/>
    <w:rsid w:val="00383DF2"/>
    <w:rsid w:val="0038427A"/>
    <w:rsid w:val="0038442C"/>
    <w:rsid w:val="00385125"/>
    <w:rsid w:val="00385510"/>
    <w:rsid w:val="00385649"/>
    <w:rsid w:val="00385667"/>
    <w:rsid w:val="003858FB"/>
    <w:rsid w:val="00385A2B"/>
    <w:rsid w:val="00385D56"/>
    <w:rsid w:val="003861B4"/>
    <w:rsid w:val="003865BB"/>
    <w:rsid w:val="003867DC"/>
    <w:rsid w:val="003868B0"/>
    <w:rsid w:val="00386A91"/>
    <w:rsid w:val="00386DC9"/>
    <w:rsid w:val="00387611"/>
    <w:rsid w:val="00387791"/>
    <w:rsid w:val="00387CEE"/>
    <w:rsid w:val="0039003D"/>
    <w:rsid w:val="00390935"/>
    <w:rsid w:val="00390CA9"/>
    <w:rsid w:val="0039134D"/>
    <w:rsid w:val="00391429"/>
    <w:rsid w:val="003919C0"/>
    <w:rsid w:val="00391D05"/>
    <w:rsid w:val="00392625"/>
    <w:rsid w:val="003928AD"/>
    <w:rsid w:val="0039300D"/>
    <w:rsid w:val="00393668"/>
    <w:rsid w:val="0039384F"/>
    <w:rsid w:val="00393AEC"/>
    <w:rsid w:val="00393EA5"/>
    <w:rsid w:val="00393F6E"/>
    <w:rsid w:val="0039431F"/>
    <w:rsid w:val="003949E0"/>
    <w:rsid w:val="00394B3D"/>
    <w:rsid w:val="003956E5"/>
    <w:rsid w:val="00395774"/>
    <w:rsid w:val="00395AC9"/>
    <w:rsid w:val="00395D1F"/>
    <w:rsid w:val="00396A60"/>
    <w:rsid w:val="00396CAC"/>
    <w:rsid w:val="00396D7C"/>
    <w:rsid w:val="00397167"/>
    <w:rsid w:val="00397866"/>
    <w:rsid w:val="003A0591"/>
    <w:rsid w:val="003A08C0"/>
    <w:rsid w:val="003A0FFE"/>
    <w:rsid w:val="003A185E"/>
    <w:rsid w:val="003A24DC"/>
    <w:rsid w:val="003A2515"/>
    <w:rsid w:val="003A2866"/>
    <w:rsid w:val="003A2D10"/>
    <w:rsid w:val="003A2E0C"/>
    <w:rsid w:val="003A312B"/>
    <w:rsid w:val="003A35C8"/>
    <w:rsid w:val="003A3F3B"/>
    <w:rsid w:val="003A462E"/>
    <w:rsid w:val="003A46A2"/>
    <w:rsid w:val="003A4A45"/>
    <w:rsid w:val="003A4D85"/>
    <w:rsid w:val="003A5972"/>
    <w:rsid w:val="003A5AD8"/>
    <w:rsid w:val="003A5D69"/>
    <w:rsid w:val="003A5E5A"/>
    <w:rsid w:val="003A6395"/>
    <w:rsid w:val="003A6FF9"/>
    <w:rsid w:val="003A7231"/>
    <w:rsid w:val="003A72AB"/>
    <w:rsid w:val="003A7A92"/>
    <w:rsid w:val="003A7CC8"/>
    <w:rsid w:val="003A7DB4"/>
    <w:rsid w:val="003A7F76"/>
    <w:rsid w:val="003AE9C3"/>
    <w:rsid w:val="003B12D4"/>
    <w:rsid w:val="003B14AE"/>
    <w:rsid w:val="003B16F0"/>
    <w:rsid w:val="003B18FF"/>
    <w:rsid w:val="003B1CF6"/>
    <w:rsid w:val="003B23B9"/>
    <w:rsid w:val="003B243B"/>
    <w:rsid w:val="003B269E"/>
    <w:rsid w:val="003B2B1F"/>
    <w:rsid w:val="003B3437"/>
    <w:rsid w:val="003B3582"/>
    <w:rsid w:val="003B3A4D"/>
    <w:rsid w:val="003B3B35"/>
    <w:rsid w:val="003B3DB3"/>
    <w:rsid w:val="003B4E0A"/>
    <w:rsid w:val="003B4E11"/>
    <w:rsid w:val="003B5514"/>
    <w:rsid w:val="003B5A01"/>
    <w:rsid w:val="003B5A92"/>
    <w:rsid w:val="003B5BF6"/>
    <w:rsid w:val="003B5F90"/>
    <w:rsid w:val="003B6276"/>
    <w:rsid w:val="003B627F"/>
    <w:rsid w:val="003B6917"/>
    <w:rsid w:val="003B6DC9"/>
    <w:rsid w:val="003B6E10"/>
    <w:rsid w:val="003B7170"/>
    <w:rsid w:val="003B7488"/>
    <w:rsid w:val="003B7E5F"/>
    <w:rsid w:val="003C0320"/>
    <w:rsid w:val="003C041B"/>
    <w:rsid w:val="003C04C7"/>
    <w:rsid w:val="003C0969"/>
    <w:rsid w:val="003C1546"/>
    <w:rsid w:val="003C186D"/>
    <w:rsid w:val="003C1B80"/>
    <w:rsid w:val="003C1E96"/>
    <w:rsid w:val="003C1F1D"/>
    <w:rsid w:val="003C21A5"/>
    <w:rsid w:val="003C24A7"/>
    <w:rsid w:val="003C280E"/>
    <w:rsid w:val="003C28E1"/>
    <w:rsid w:val="003C3239"/>
    <w:rsid w:val="003C3575"/>
    <w:rsid w:val="003C3ACC"/>
    <w:rsid w:val="003C3D2C"/>
    <w:rsid w:val="003C3ECC"/>
    <w:rsid w:val="003C45F7"/>
    <w:rsid w:val="003C496D"/>
    <w:rsid w:val="003C4A7B"/>
    <w:rsid w:val="003C525C"/>
    <w:rsid w:val="003C56BB"/>
    <w:rsid w:val="003C58AA"/>
    <w:rsid w:val="003C5930"/>
    <w:rsid w:val="003C5947"/>
    <w:rsid w:val="003C5A16"/>
    <w:rsid w:val="003C5D70"/>
    <w:rsid w:val="003C5FCA"/>
    <w:rsid w:val="003C6081"/>
    <w:rsid w:val="003C61ED"/>
    <w:rsid w:val="003C6427"/>
    <w:rsid w:val="003C6669"/>
    <w:rsid w:val="003C6807"/>
    <w:rsid w:val="003C7024"/>
    <w:rsid w:val="003C7AF6"/>
    <w:rsid w:val="003C7DFE"/>
    <w:rsid w:val="003C7EE5"/>
    <w:rsid w:val="003D03CC"/>
    <w:rsid w:val="003D06CB"/>
    <w:rsid w:val="003D0855"/>
    <w:rsid w:val="003D0A95"/>
    <w:rsid w:val="003D0E67"/>
    <w:rsid w:val="003D0F23"/>
    <w:rsid w:val="003D109B"/>
    <w:rsid w:val="003D1924"/>
    <w:rsid w:val="003D1BB2"/>
    <w:rsid w:val="003D1D3F"/>
    <w:rsid w:val="003D273F"/>
    <w:rsid w:val="003D2843"/>
    <w:rsid w:val="003D28AF"/>
    <w:rsid w:val="003D2985"/>
    <w:rsid w:val="003D29AC"/>
    <w:rsid w:val="003D2A17"/>
    <w:rsid w:val="003D2D74"/>
    <w:rsid w:val="003D333B"/>
    <w:rsid w:val="003D3429"/>
    <w:rsid w:val="003D3720"/>
    <w:rsid w:val="003D4371"/>
    <w:rsid w:val="003D483F"/>
    <w:rsid w:val="003D4F5B"/>
    <w:rsid w:val="003D51E7"/>
    <w:rsid w:val="003D5358"/>
    <w:rsid w:val="003D5393"/>
    <w:rsid w:val="003D6657"/>
    <w:rsid w:val="003D6C6E"/>
    <w:rsid w:val="003D7517"/>
    <w:rsid w:val="003D77AC"/>
    <w:rsid w:val="003D791D"/>
    <w:rsid w:val="003E0C00"/>
    <w:rsid w:val="003E0CB2"/>
    <w:rsid w:val="003E10DE"/>
    <w:rsid w:val="003E20D1"/>
    <w:rsid w:val="003E27F3"/>
    <w:rsid w:val="003E2842"/>
    <w:rsid w:val="003E3693"/>
    <w:rsid w:val="003E3805"/>
    <w:rsid w:val="003E3A04"/>
    <w:rsid w:val="003E3BC3"/>
    <w:rsid w:val="003E409C"/>
    <w:rsid w:val="003E4395"/>
    <w:rsid w:val="003E450F"/>
    <w:rsid w:val="003E487E"/>
    <w:rsid w:val="003E499F"/>
    <w:rsid w:val="003E5582"/>
    <w:rsid w:val="003E5725"/>
    <w:rsid w:val="003E5AD5"/>
    <w:rsid w:val="003E72EF"/>
    <w:rsid w:val="003E77B9"/>
    <w:rsid w:val="003E7815"/>
    <w:rsid w:val="003E783B"/>
    <w:rsid w:val="003F047B"/>
    <w:rsid w:val="003F05CA"/>
    <w:rsid w:val="003F0FE0"/>
    <w:rsid w:val="003F10F7"/>
    <w:rsid w:val="003F133B"/>
    <w:rsid w:val="003F1D91"/>
    <w:rsid w:val="003F1E76"/>
    <w:rsid w:val="003F22C6"/>
    <w:rsid w:val="003F2777"/>
    <w:rsid w:val="003F2C3B"/>
    <w:rsid w:val="003F2D47"/>
    <w:rsid w:val="003F410E"/>
    <w:rsid w:val="003F4439"/>
    <w:rsid w:val="003F452D"/>
    <w:rsid w:val="003F4531"/>
    <w:rsid w:val="003F50E5"/>
    <w:rsid w:val="003F5784"/>
    <w:rsid w:val="003F57CD"/>
    <w:rsid w:val="003F5973"/>
    <w:rsid w:val="003F648B"/>
    <w:rsid w:val="003F656D"/>
    <w:rsid w:val="003F65C2"/>
    <w:rsid w:val="003F71CC"/>
    <w:rsid w:val="003F72AB"/>
    <w:rsid w:val="003F7742"/>
    <w:rsid w:val="003F787C"/>
    <w:rsid w:val="003F7ACC"/>
    <w:rsid w:val="003F7B65"/>
    <w:rsid w:val="003F7B98"/>
    <w:rsid w:val="00400122"/>
    <w:rsid w:val="00400420"/>
    <w:rsid w:val="004009A2"/>
    <w:rsid w:val="00400C0D"/>
    <w:rsid w:val="00400F80"/>
    <w:rsid w:val="004010A3"/>
    <w:rsid w:val="0040125A"/>
    <w:rsid w:val="00401DBC"/>
    <w:rsid w:val="004023DF"/>
    <w:rsid w:val="00402681"/>
    <w:rsid w:val="004027BB"/>
    <w:rsid w:val="00403167"/>
    <w:rsid w:val="00403602"/>
    <w:rsid w:val="00403996"/>
    <w:rsid w:val="00403CC6"/>
    <w:rsid w:val="00404112"/>
    <w:rsid w:val="004041CF"/>
    <w:rsid w:val="00404305"/>
    <w:rsid w:val="00404326"/>
    <w:rsid w:val="004047F4"/>
    <w:rsid w:val="00404A0F"/>
    <w:rsid w:val="00404A73"/>
    <w:rsid w:val="00404C04"/>
    <w:rsid w:val="0040519B"/>
    <w:rsid w:val="004058E1"/>
    <w:rsid w:val="00405C91"/>
    <w:rsid w:val="0040605A"/>
    <w:rsid w:val="0040644E"/>
    <w:rsid w:val="00406645"/>
    <w:rsid w:val="004066B4"/>
    <w:rsid w:val="00406749"/>
    <w:rsid w:val="00406E76"/>
    <w:rsid w:val="00407157"/>
    <w:rsid w:val="00407404"/>
    <w:rsid w:val="004077A7"/>
    <w:rsid w:val="00407A07"/>
    <w:rsid w:val="00407E93"/>
    <w:rsid w:val="00407FEB"/>
    <w:rsid w:val="004106FF"/>
    <w:rsid w:val="00410882"/>
    <w:rsid w:val="0041089E"/>
    <w:rsid w:val="00410B6D"/>
    <w:rsid w:val="00410BC4"/>
    <w:rsid w:val="00410C40"/>
    <w:rsid w:val="00410CDF"/>
    <w:rsid w:val="00411017"/>
    <w:rsid w:val="00411140"/>
    <w:rsid w:val="00411685"/>
    <w:rsid w:val="00411874"/>
    <w:rsid w:val="00411BE0"/>
    <w:rsid w:val="00411BF4"/>
    <w:rsid w:val="00411F88"/>
    <w:rsid w:val="00412EA2"/>
    <w:rsid w:val="004136FC"/>
    <w:rsid w:val="004137D1"/>
    <w:rsid w:val="00413C86"/>
    <w:rsid w:val="00414884"/>
    <w:rsid w:val="004148F8"/>
    <w:rsid w:val="00414BE1"/>
    <w:rsid w:val="004155A0"/>
    <w:rsid w:val="004159E0"/>
    <w:rsid w:val="00415A9F"/>
    <w:rsid w:val="00415D33"/>
    <w:rsid w:val="00416831"/>
    <w:rsid w:val="0041695F"/>
    <w:rsid w:val="00416C4E"/>
    <w:rsid w:val="00416C4F"/>
    <w:rsid w:val="00416C53"/>
    <w:rsid w:val="00416EB2"/>
    <w:rsid w:val="00417050"/>
    <w:rsid w:val="00417210"/>
    <w:rsid w:val="00417274"/>
    <w:rsid w:val="0041732A"/>
    <w:rsid w:val="00417ED2"/>
    <w:rsid w:val="00420396"/>
    <w:rsid w:val="00420662"/>
    <w:rsid w:val="004211F4"/>
    <w:rsid w:val="004214FD"/>
    <w:rsid w:val="0042174D"/>
    <w:rsid w:val="00421A58"/>
    <w:rsid w:val="00421B07"/>
    <w:rsid w:val="00422173"/>
    <w:rsid w:val="00422209"/>
    <w:rsid w:val="00422477"/>
    <w:rsid w:val="00422B88"/>
    <w:rsid w:val="00422E1F"/>
    <w:rsid w:val="0042367A"/>
    <w:rsid w:val="00423869"/>
    <w:rsid w:val="0042395A"/>
    <w:rsid w:val="00424084"/>
    <w:rsid w:val="004241FD"/>
    <w:rsid w:val="0042432F"/>
    <w:rsid w:val="00424443"/>
    <w:rsid w:val="004246AD"/>
    <w:rsid w:val="00424775"/>
    <w:rsid w:val="004250F4"/>
    <w:rsid w:val="00425415"/>
    <w:rsid w:val="004255DA"/>
    <w:rsid w:val="00425804"/>
    <w:rsid w:val="00425A4C"/>
    <w:rsid w:val="00425DF4"/>
    <w:rsid w:val="004264F5"/>
    <w:rsid w:val="00426571"/>
    <w:rsid w:val="0042681A"/>
    <w:rsid w:val="00426A04"/>
    <w:rsid w:val="00426A64"/>
    <w:rsid w:val="00426EA2"/>
    <w:rsid w:val="00427280"/>
    <w:rsid w:val="00427623"/>
    <w:rsid w:val="00427B96"/>
    <w:rsid w:val="00427E3B"/>
    <w:rsid w:val="00431496"/>
    <w:rsid w:val="0043169D"/>
    <w:rsid w:val="004319E2"/>
    <w:rsid w:val="00431A18"/>
    <w:rsid w:val="00431DF3"/>
    <w:rsid w:val="004321BD"/>
    <w:rsid w:val="00432345"/>
    <w:rsid w:val="00432357"/>
    <w:rsid w:val="00432C41"/>
    <w:rsid w:val="0043305B"/>
    <w:rsid w:val="00433157"/>
    <w:rsid w:val="00433226"/>
    <w:rsid w:val="00434863"/>
    <w:rsid w:val="00434A0B"/>
    <w:rsid w:val="0043514C"/>
    <w:rsid w:val="00435616"/>
    <w:rsid w:val="00435923"/>
    <w:rsid w:val="004359BF"/>
    <w:rsid w:val="00435C72"/>
    <w:rsid w:val="00435E71"/>
    <w:rsid w:val="00436180"/>
    <w:rsid w:val="00436454"/>
    <w:rsid w:val="004368C7"/>
    <w:rsid w:val="004373AC"/>
    <w:rsid w:val="00437DBB"/>
    <w:rsid w:val="00437DF9"/>
    <w:rsid w:val="004401AE"/>
    <w:rsid w:val="00440241"/>
    <w:rsid w:val="00440631"/>
    <w:rsid w:val="00440F6F"/>
    <w:rsid w:val="00441051"/>
    <w:rsid w:val="00441C89"/>
    <w:rsid w:val="00441F9B"/>
    <w:rsid w:val="004423C2"/>
    <w:rsid w:val="0044265D"/>
    <w:rsid w:val="004426CB"/>
    <w:rsid w:val="004426F6"/>
    <w:rsid w:val="00442D97"/>
    <w:rsid w:val="00443D0E"/>
    <w:rsid w:val="00443D8D"/>
    <w:rsid w:val="00443FE4"/>
    <w:rsid w:val="004440A2"/>
    <w:rsid w:val="004443A4"/>
    <w:rsid w:val="00445400"/>
    <w:rsid w:val="00445E5E"/>
    <w:rsid w:val="004462D0"/>
    <w:rsid w:val="004465F9"/>
    <w:rsid w:val="00446AE8"/>
    <w:rsid w:val="00447273"/>
    <w:rsid w:val="00447EDF"/>
    <w:rsid w:val="00450010"/>
    <w:rsid w:val="00450242"/>
    <w:rsid w:val="004505B1"/>
    <w:rsid w:val="004510FE"/>
    <w:rsid w:val="00451273"/>
    <w:rsid w:val="004512D0"/>
    <w:rsid w:val="00451D6B"/>
    <w:rsid w:val="00451F91"/>
    <w:rsid w:val="00451FC3"/>
    <w:rsid w:val="004522DC"/>
    <w:rsid w:val="004522E8"/>
    <w:rsid w:val="00452457"/>
    <w:rsid w:val="0045249A"/>
    <w:rsid w:val="00452551"/>
    <w:rsid w:val="004528F1"/>
    <w:rsid w:val="00452B9D"/>
    <w:rsid w:val="00453755"/>
    <w:rsid w:val="00453A15"/>
    <w:rsid w:val="00453A4D"/>
    <w:rsid w:val="00453AC2"/>
    <w:rsid w:val="0045431A"/>
    <w:rsid w:val="004543A5"/>
    <w:rsid w:val="00454853"/>
    <w:rsid w:val="00454E6C"/>
    <w:rsid w:val="00455BFE"/>
    <w:rsid w:val="00456233"/>
    <w:rsid w:val="00456381"/>
    <w:rsid w:val="004565C2"/>
    <w:rsid w:val="00456C68"/>
    <w:rsid w:val="00456E7C"/>
    <w:rsid w:val="0045707E"/>
    <w:rsid w:val="00457605"/>
    <w:rsid w:val="0045765C"/>
    <w:rsid w:val="004579EC"/>
    <w:rsid w:val="00457A11"/>
    <w:rsid w:val="00457E54"/>
    <w:rsid w:val="00457F15"/>
    <w:rsid w:val="0046035D"/>
    <w:rsid w:val="004604B5"/>
    <w:rsid w:val="00460DF1"/>
    <w:rsid w:val="00460E01"/>
    <w:rsid w:val="0046128F"/>
    <w:rsid w:val="00461896"/>
    <w:rsid w:val="00461993"/>
    <w:rsid w:val="00461C34"/>
    <w:rsid w:val="00461DFF"/>
    <w:rsid w:val="00461E0C"/>
    <w:rsid w:val="00461F68"/>
    <w:rsid w:val="0046234D"/>
    <w:rsid w:val="00462856"/>
    <w:rsid w:val="00462F45"/>
    <w:rsid w:val="00463342"/>
    <w:rsid w:val="0046340E"/>
    <w:rsid w:val="00463A8B"/>
    <w:rsid w:val="00463DC6"/>
    <w:rsid w:val="00464A7F"/>
    <w:rsid w:val="00464BBC"/>
    <w:rsid w:val="00465106"/>
    <w:rsid w:val="004653BC"/>
    <w:rsid w:val="00466E6E"/>
    <w:rsid w:val="00466EF6"/>
    <w:rsid w:val="004678B6"/>
    <w:rsid w:val="00470558"/>
    <w:rsid w:val="00470FF8"/>
    <w:rsid w:val="00471016"/>
    <w:rsid w:val="004718D2"/>
    <w:rsid w:val="004719C9"/>
    <w:rsid w:val="00471E9E"/>
    <w:rsid w:val="00471F9C"/>
    <w:rsid w:val="00472843"/>
    <w:rsid w:val="004728C8"/>
    <w:rsid w:val="00472CBA"/>
    <w:rsid w:val="00472CC7"/>
    <w:rsid w:val="00473119"/>
    <w:rsid w:val="00473242"/>
    <w:rsid w:val="00473767"/>
    <w:rsid w:val="0047385E"/>
    <w:rsid w:val="004738D2"/>
    <w:rsid w:val="00473F4B"/>
    <w:rsid w:val="004741C8"/>
    <w:rsid w:val="00474440"/>
    <w:rsid w:val="00474C84"/>
    <w:rsid w:val="004752E0"/>
    <w:rsid w:val="00475421"/>
    <w:rsid w:val="004757DC"/>
    <w:rsid w:val="00476A2C"/>
    <w:rsid w:val="00476A59"/>
    <w:rsid w:val="00476B7F"/>
    <w:rsid w:val="00477734"/>
    <w:rsid w:val="00477AFE"/>
    <w:rsid w:val="00477B6A"/>
    <w:rsid w:val="00477C5E"/>
    <w:rsid w:val="00477CF6"/>
    <w:rsid w:val="004804DA"/>
    <w:rsid w:val="00480647"/>
    <w:rsid w:val="00480745"/>
    <w:rsid w:val="004807DE"/>
    <w:rsid w:val="00480BC7"/>
    <w:rsid w:val="0048148F"/>
    <w:rsid w:val="0048153A"/>
    <w:rsid w:val="004815B5"/>
    <w:rsid w:val="00481693"/>
    <w:rsid w:val="0048240E"/>
    <w:rsid w:val="00482653"/>
    <w:rsid w:val="004826B2"/>
    <w:rsid w:val="0048280E"/>
    <w:rsid w:val="004828B6"/>
    <w:rsid w:val="00482FD7"/>
    <w:rsid w:val="0048332C"/>
    <w:rsid w:val="004833DD"/>
    <w:rsid w:val="0048375B"/>
    <w:rsid w:val="004838D5"/>
    <w:rsid w:val="004839D4"/>
    <w:rsid w:val="00483A33"/>
    <w:rsid w:val="00484155"/>
    <w:rsid w:val="00484191"/>
    <w:rsid w:val="00484199"/>
    <w:rsid w:val="0048451B"/>
    <w:rsid w:val="00484CDA"/>
    <w:rsid w:val="00485BDF"/>
    <w:rsid w:val="00485BF9"/>
    <w:rsid w:val="004864B8"/>
    <w:rsid w:val="0048658E"/>
    <w:rsid w:val="00486B46"/>
    <w:rsid w:val="00486D08"/>
    <w:rsid w:val="004877A0"/>
    <w:rsid w:val="00487A62"/>
    <w:rsid w:val="00487B8F"/>
    <w:rsid w:val="00487ECD"/>
    <w:rsid w:val="004907EC"/>
    <w:rsid w:val="00490D4F"/>
    <w:rsid w:val="004910BF"/>
    <w:rsid w:val="00491100"/>
    <w:rsid w:val="004912DB"/>
    <w:rsid w:val="004918CD"/>
    <w:rsid w:val="00491E3A"/>
    <w:rsid w:val="00491F3B"/>
    <w:rsid w:val="0049247C"/>
    <w:rsid w:val="00493068"/>
    <w:rsid w:val="004930EB"/>
    <w:rsid w:val="004937D4"/>
    <w:rsid w:val="00493B72"/>
    <w:rsid w:val="004945EF"/>
    <w:rsid w:val="00494733"/>
    <w:rsid w:val="004948D2"/>
    <w:rsid w:val="00494ECF"/>
    <w:rsid w:val="00495241"/>
    <w:rsid w:val="004953AE"/>
    <w:rsid w:val="0049574A"/>
    <w:rsid w:val="00495797"/>
    <w:rsid w:val="004959E6"/>
    <w:rsid w:val="00495C53"/>
    <w:rsid w:val="00495EB5"/>
    <w:rsid w:val="00496079"/>
    <w:rsid w:val="00496446"/>
    <w:rsid w:val="004965F6"/>
    <w:rsid w:val="00496751"/>
    <w:rsid w:val="0049685B"/>
    <w:rsid w:val="00497328"/>
    <w:rsid w:val="0049770A"/>
    <w:rsid w:val="0049779C"/>
    <w:rsid w:val="004977AC"/>
    <w:rsid w:val="00497AAD"/>
    <w:rsid w:val="00497BE4"/>
    <w:rsid w:val="00497F5F"/>
    <w:rsid w:val="004A0A6A"/>
    <w:rsid w:val="004A114D"/>
    <w:rsid w:val="004A11E2"/>
    <w:rsid w:val="004A17D6"/>
    <w:rsid w:val="004A19BE"/>
    <w:rsid w:val="004A1BB9"/>
    <w:rsid w:val="004A1CA7"/>
    <w:rsid w:val="004A2495"/>
    <w:rsid w:val="004A262D"/>
    <w:rsid w:val="004A26A5"/>
    <w:rsid w:val="004A2804"/>
    <w:rsid w:val="004A2D8F"/>
    <w:rsid w:val="004A2F84"/>
    <w:rsid w:val="004A3305"/>
    <w:rsid w:val="004A46FE"/>
    <w:rsid w:val="004A47D0"/>
    <w:rsid w:val="004A491C"/>
    <w:rsid w:val="004A4E01"/>
    <w:rsid w:val="004A4E11"/>
    <w:rsid w:val="004A4E6B"/>
    <w:rsid w:val="004A51E4"/>
    <w:rsid w:val="004A584F"/>
    <w:rsid w:val="004A5887"/>
    <w:rsid w:val="004A5EE7"/>
    <w:rsid w:val="004A5F38"/>
    <w:rsid w:val="004A5F58"/>
    <w:rsid w:val="004A65FD"/>
    <w:rsid w:val="004A6A56"/>
    <w:rsid w:val="004A6D27"/>
    <w:rsid w:val="004A6EA1"/>
    <w:rsid w:val="004A6EBA"/>
    <w:rsid w:val="004A7110"/>
    <w:rsid w:val="004A73DB"/>
    <w:rsid w:val="004A7A9B"/>
    <w:rsid w:val="004A7B4C"/>
    <w:rsid w:val="004B012C"/>
    <w:rsid w:val="004B0C24"/>
    <w:rsid w:val="004B0E59"/>
    <w:rsid w:val="004B1044"/>
    <w:rsid w:val="004B109E"/>
    <w:rsid w:val="004B1395"/>
    <w:rsid w:val="004B1B78"/>
    <w:rsid w:val="004B1ECF"/>
    <w:rsid w:val="004B23FD"/>
    <w:rsid w:val="004B25B6"/>
    <w:rsid w:val="004B29FF"/>
    <w:rsid w:val="004B2A78"/>
    <w:rsid w:val="004B2F16"/>
    <w:rsid w:val="004B355D"/>
    <w:rsid w:val="004B3574"/>
    <w:rsid w:val="004B35D6"/>
    <w:rsid w:val="004B371F"/>
    <w:rsid w:val="004B3945"/>
    <w:rsid w:val="004B3AE0"/>
    <w:rsid w:val="004B3DA0"/>
    <w:rsid w:val="004B4009"/>
    <w:rsid w:val="004B40EE"/>
    <w:rsid w:val="004B43B7"/>
    <w:rsid w:val="004B448E"/>
    <w:rsid w:val="004B44DC"/>
    <w:rsid w:val="004B472B"/>
    <w:rsid w:val="004B54C2"/>
    <w:rsid w:val="004B554A"/>
    <w:rsid w:val="004B59EB"/>
    <w:rsid w:val="004B5AE9"/>
    <w:rsid w:val="004B5F41"/>
    <w:rsid w:val="004B612B"/>
    <w:rsid w:val="004B6B6C"/>
    <w:rsid w:val="004B7155"/>
    <w:rsid w:val="004B7480"/>
    <w:rsid w:val="004B759F"/>
    <w:rsid w:val="004B7B2A"/>
    <w:rsid w:val="004B7EDC"/>
    <w:rsid w:val="004C0047"/>
    <w:rsid w:val="004C01A2"/>
    <w:rsid w:val="004C08E2"/>
    <w:rsid w:val="004C0AD2"/>
    <w:rsid w:val="004C0FF6"/>
    <w:rsid w:val="004C110B"/>
    <w:rsid w:val="004C130D"/>
    <w:rsid w:val="004C15BF"/>
    <w:rsid w:val="004C1FE8"/>
    <w:rsid w:val="004C2A5A"/>
    <w:rsid w:val="004C2C20"/>
    <w:rsid w:val="004C2CCC"/>
    <w:rsid w:val="004C2DE1"/>
    <w:rsid w:val="004C2E58"/>
    <w:rsid w:val="004C381C"/>
    <w:rsid w:val="004C3833"/>
    <w:rsid w:val="004C3D49"/>
    <w:rsid w:val="004C3F4A"/>
    <w:rsid w:val="004C3FB0"/>
    <w:rsid w:val="004C4483"/>
    <w:rsid w:val="004C4826"/>
    <w:rsid w:val="004C4CCE"/>
    <w:rsid w:val="004C4CDF"/>
    <w:rsid w:val="004C59E4"/>
    <w:rsid w:val="004C6265"/>
    <w:rsid w:val="004C64BB"/>
    <w:rsid w:val="004C67EF"/>
    <w:rsid w:val="004C6B4D"/>
    <w:rsid w:val="004C6BBC"/>
    <w:rsid w:val="004C6C55"/>
    <w:rsid w:val="004C7052"/>
    <w:rsid w:val="004C76D9"/>
    <w:rsid w:val="004C773D"/>
    <w:rsid w:val="004C7ECD"/>
    <w:rsid w:val="004D04C6"/>
    <w:rsid w:val="004D0BC3"/>
    <w:rsid w:val="004D107A"/>
    <w:rsid w:val="004D1222"/>
    <w:rsid w:val="004D1253"/>
    <w:rsid w:val="004D156F"/>
    <w:rsid w:val="004D17EA"/>
    <w:rsid w:val="004D1F6E"/>
    <w:rsid w:val="004D1FA5"/>
    <w:rsid w:val="004D1FF5"/>
    <w:rsid w:val="004D27F3"/>
    <w:rsid w:val="004D2BF5"/>
    <w:rsid w:val="004D2D06"/>
    <w:rsid w:val="004D3A4D"/>
    <w:rsid w:val="004D3BD4"/>
    <w:rsid w:val="004D3CEC"/>
    <w:rsid w:val="004D4119"/>
    <w:rsid w:val="004D44A1"/>
    <w:rsid w:val="004D4EF5"/>
    <w:rsid w:val="004D51B0"/>
    <w:rsid w:val="004D5459"/>
    <w:rsid w:val="004D547E"/>
    <w:rsid w:val="004D57EB"/>
    <w:rsid w:val="004D5B61"/>
    <w:rsid w:val="004D64EF"/>
    <w:rsid w:val="004D70E2"/>
    <w:rsid w:val="004E06E4"/>
    <w:rsid w:val="004E0735"/>
    <w:rsid w:val="004E0B9C"/>
    <w:rsid w:val="004E0C10"/>
    <w:rsid w:val="004E0CE9"/>
    <w:rsid w:val="004E12EF"/>
    <w:rsid w:val="004E14B8"/>
    <w:rsid w:val="004E1892"/>
    <w:rsid w:val="004E219F"/>
    <w:rsid w:val="004E22E0"/>
    <w:rsid w:val="004E2B88"/>
    <w:rsid w:val="004E30F5"/>
    <w:rsid w:val="004E3428"/>
    <w:rsid w:val="004E347C"/>
    <w:rsid w:val="004E34CA"/>
    <w:rsid w:val="004E3724"/>
    <w:rsid w:val="004E39DD"/>
    <w:rsid w:val="004E3B4A"/>
    <w:rsid w:val="004E40F3"/>
    <w:rsid w:val="004E424F"/>
    <w:rsid w:val="004E45DE"/>
    <w:rsid w:val="004E47FE"/>
    <w:rsid w:val="004E4A7D"/>
    <w:rsid w:val="004E4B9A"/>
    <w:rsid w:val="004E4FCD"/>
    <w:rsid w:val="004E55BD"/>
    <w:rsid w:val="004E5ADE"/>
    <w:rsid w:val="004E5B05"/>
    <w:rsid w:val="004E5BEC"/>
    <w:rsid w:val="004E6106"/>
    <w:rsid w:val="004E62F7"/>
    <w:rsid w:val="004E65FD"/>
    <w:rsid w:val="004E69D3"/>
    <w:rsid w:val="004E6E8B"/>
    <w:rsid w:val="004E7133"/>
    <w:rsid w:val="004E71DD"/>
    <w:rsid w:val="004E7280"/>
    <w:rsid w:val="004E75DA"/>
    <w:rsid w:val="004E7B99"/>
    <w:rsid w:val="004E7E3A"/>
    <w:rsid w:val="004F019E"/>
    <w:rsid w:val="004F0254"/>
    <w:rsid w:val="004F09D7"/>
    <w:rsid w:val="004F118A"/>
    <w:rsid w:val="004F1340"/>
    <w:rsid w:val="004F1367"/>
    <w:rsid w:val="004F1373"/>
    <w:rsid w:val="004F1646"/>
    <w:rsid w:val="004F1734"/>
    <w:rsid w:val="004F1762"/>
    <w:rsid w:val="004F2283"/>
    <w:rsid w:val="004F25EC"/>
    <w:rsid w:val="004F26EF"/>
    <w:rsid w:val="004F27DD"/>
    <w:rsid w:val="004F29D0"/>
    <w:rsid w:val="004F2DDF"/>
    <w:rsid w:val="004F3B20"/>
    <w:rsid w:val="004F3B69"/>
    <w:rsid w:val="004F3C7E"/>
    <w:rsid w:val="004F44D8"/>
    <w:rsid w:val="004F4601"/>
    <w:rsid w:val="004F460C"/>
    <w:rsid w:val="004F472A"/>
    <w:rsid w:val="004F4C1C"/>
    <w:rsid w:val="004F4DAD"/>
    <w:rsid w:val="004F5317"/>
    <w:rsid w:val="004F5374"/>
    <w:rsid w:val="004F53F2"/>
    <w:rsid w:val="004F5467"/>
    <w:rsid w:val="004F585B"/>
    <w:rsid w:val="004F5CE1"/>
    <w:rsid w:val="004F5D12"/>
    <w:rsid w:val="004F62A4"/>
    <w:rsid w:val="004F63B3"/>
    <w:rsid w:val="004F6928"/>
    <w:rsid w:val="004F6E80"/>
    <w:rsid w:val="004F7F37"/>
    <w:rsid w:val="00500156"/>
    <w:rsid w:val="00500217"/>
    <w:rsid w:val="005003E8"/>
    <w:rsid w:val="00500D2E"/>
    <w:rsid w:val="00500DAD"/>
    <w:rsid w:val="00500DD4"/>
    <w:rsid w:val="0050129B"/>
    <w:rsid w:val="00501FA0"/>
    <w:rsid w:val="00502FAE"/>
    <w:rsid w:val="00503004"/>
    <w:rsid w:val="0050394C"/>
    <w:rsid w:val="005039CB"/>
    <w:rsid w:val="005039DE"/>
    <w:rsid w:val="00503B60"/>
    <w:rsid w:val="00503D18"/>
    <w:rsid w:val="005040EA"/>
    <w:rsid w:val="0050416C"/>
    <w:rsid w:val="005047E7"/>
    <w:rsid w:val="00504FA7"/>
    <w:rsid w:val="00506283"/>
    <w:rsid w:val="005069B9"/>
    <w:rsid w:val="00506AE0"/>
    <w:rsid w:val="00506C53"/>
    <w:rsid w:val="00507367"/>
    <w:rsid w:val="00507532"/>
    <w:rsid w:val="00507838"/>
    <w:rsid w:val="00507A28"/>
    <w:rsid w:val="00507C0D"/>
    <w:rsid w:val="00507E6B"/>
    <w:rsid w:val="00507F29"/>
    <w:rsid w:val="0050ED3C"/>
    <w:rsid w:val="005116C9"/>
    <w:rsid w:val="00511D96"/>
    <w:rsid w:val="0051267D"/>
    <w:rsid w:val="0051275A"/>
    <w:rsid w:val="00512C32"/>
    <w:rsid w:val="00512CCC"/>
    <w:rsid w:val="00513594"/>
    <w:rsid w:val="00513EF9"/>
    <w:rsid w:val="00514325"/>
    <w:rsid w:val="00514378"/>
    <w:rsid w:val="00514587"/>
    <w:rsid w:val="00514656"/>
    <w:rsid w:val="005146E4"/>
    <w:rsid w:val="0051487E"/>
    <w:rsid w:val="005148BC"/>
    <w:rsid w:val="00514A7A"/>
    <w:rsid w:val="00514D16"/>
    <w:rsid w:val="0051540C"/>
    <w:rsid w:val="00515C70"/>
    <w:rsid w:val="005167D7"/>
    <w:rsid w:val="00516990"/>
    <w:rsid w:val="00516DFE"/>
    <w:rsid w:val="005179D9"/>
    <w:rsid w:val="0052080B"/>
    <w:rsid w:val="00520B87"/>
    <w:rsid w:val="0052121F"/>
    <w:rsid w:val="00521675"/>
    <w:rsid w:val="00521913"/>
    <w:rsid w:val="0052193E"/>
    <w:rsid w:val="0052194C"/>
    <w:rsid w:val="00521E8F"/>
    <w:rsid w:val="00522217"/>
    <w:rsid w:val="00522302"/>
    <w:rsid w:val="00522632"/>
    <w:rsid w:val="005232E4"/>
    <w:rsid w:val="00523323"/>
    <w:rsid w:val="0052366D"/>
    <w:rsid w:val="00523850"/>
    <w:rsid w:val="00523A75"/>
    <w:rsid w:val="0052461B"/>
    <w:rsid w:val="00524786"/>
    <w:rsid w:val="005249EC"/>
    <w:rsid w:val="005249F9"/>
    <w:rsid w:val="00524A8C"/>
    <w:rsid w:val="00524B2F"/>
    <w:rsid w:val="00524BBB"/>
    <w:rsid w:val="0052510B"/>
    <w:rsid w:val="00525AF2"/>
    <w:rsid w:val="005268CA"/>
    <w:rsid w:val="0052692A"/>
    <w:rsid w:val="00526BBE"/>
    <w:rsid w:val="00526F28"/>
    <w:rsid w:val="00526FEF"/>
    <w:rsid w:val="0052799F"/>
    <w:rsid w:val="00530545"/>
    <w:rsid w:val="0053090F"/>
    <w:rsid w:val="00530AC4"/>
    <w:rsid w:val="00531673"/>
    <w:rsid w:val="00531731"/>
    <w:rsid w:val="0053223A"/>
    <w:rsid w:val="005328CB"/>
    <w:rsid w:val="00532A21"/>
    <w:rsid w:val="005333E6"/>
    <w:rsid w:val="005335C2"/>
    <w:rsid w:val="00534931"/>
    <w:rsid w:val="00534B65"/>
    <w:rsid w:val="00534F30"/>
    <w:rsid w:val="00534F3C"/>
    <w:rsid w:val="005352F0"/>
    <w:rsid w:val="005353DD"/>
    <w:rsid w:val="005359EE"/>
    <w:rsid w:val="00535E0D"/>
    <w:rsid w:val="0053638B"/>
    <w:rsid w:val="005364B9"/>
    <w:rsid w:val="005365EB"/>
    <w:rsid w:val="00536D1D"/>
    <w:rsid w:val="005371A6"/>
    <w:rsid w:val="00537314"/>
    <w:rsid w:val="005375A2"/>
    <w:rsid w:val="00537E1D"/>
    <w:rsid w:val="00537FDC"/>
    <w:rsid w:val="005400A0"/>
    <w:rsid w:val="00540206"/>
    <w:rsid w:val="005406F5"/>
    <w:rsid w:val="005407B5"/>
    <w:rsid w:val="005408C6"/>
    <w:rsid w:val="00540D8A"/>
    <w:rsid w:val="00540F49"/>
    <w:rsid w:val="00540F81"/>
    <w:rsid w:val="0054101B"/>
    <w:rsid w:val="005411D2"/>
    <w:rsid w:val="0054142C"/>
    <w:rsid w:val="00541C6C"/>
    <w:rsid w:val="00541D01"/>
    <w:rsid w:val="00541F98"/>
    <w:rsid w:val="005423C4"/>
    <w:rsid w:val="005426CE"/>
    <w:rsid w:val="00542808"/>
    <w:rsid w:val="0054372B"/>
    <w:rsid w:val="00544310"/>
    <w:rsid w:val="00544835"/>
    <w:rsid w:val="00544B42"/>
    <w:rsid w:val="00544D88"/>
    <w:rsid w:val="00544E88"/>
    <w:rsid w:val="0054511A"/>
    <w:rsid w:val="005456DB"/>
    <w:rsid w:val="005457E9"/>
    <w:rsid w:val="005459EA"/>
    <w:rsid w:val="0054651B"/>
    <w:rsid w:val="00546781"/>
    <w:rsid w:val="005467F8"/>
    <w:rsid w:val="00546ACD"/>
    <w:rsid w:val="00547582"/>
    <w:rsid w:val="005479C2"/>
    <w:rsid w:val="00550685"/>
    <w:rsid w:val="005518A2"/>
    <w:rsid w:val="00551D5B"/>
    <w:rsid w:val="00552119"/>
    <w:rsid w:val="00552194"/>
    <w:rsid w:val="00552965"/>
    <w:rsid w:val="00553374"/>
    <w:rsid w:val="0055338F"/>
    <w:rsid w:val="005536ED"/>
    <w:rsid w:val="005536EF"/>
    <w:rsid w:val="005537B0"/>
    <w:rsid w:val="00553BB0"/>
    <w:rsid w:val="0055405C"/>
    <w:rsid w:val="0055494E"/>
    <w:rsid w:val="00554A7E"/>
    <w:rsid w:val="00554B62"/>
    <w:rsid w:val="00554C0C"/>
    <w:rsid w:val="00554E03"/>
    <w:rsid w:val="00555333"/>
    <w:rsid w:val="0055545E"/>
    <w:rsid w:val="0055561E"/>
    <w:rsid w:val="005557ED"/>
    <w:rsid w:val="0055596E"/>
    <w:rsid w:val="00555C4F"/>
    <w:rsid w:val="00555DB0"/>
    <w:rsid w:val="00555F55"/>
    <w:rsid w:val="0055635E"/>
    <w:rsid w:val="00556A12"/>
    <w:rsid w:val="00557CE3"/>
    <w:rsid w:val="00557EEC"/>
    <w:rsid w:val="0056015C"/>
    <w:rsid w:val="0056085B"/>
    <w:rsid w:val="00560935"/>
    <w:rsid w:val="0056131D"/>
    <w:rsid w:val="0056155D"/>
    <w:rsid w:val="00561A8A"/>
    <w:rsid w:val="00561D16"/>
    <w:rsid w:val="00562094"/>
    <w:rsid w:val="005623EC"/>
    <w:rsid w:val="00562A05"/>
    <w:rsid w:val="00562B05"/>
    <w:rsid w:val="005632A6"/>
    <w:rsid w:val="00563A58"/>
    <w:rsid w:val="005646FA"/>
    <w:rsid w:val="00564979"/>
    <w:rsid w:val="00564A83"/>
    <w:rsid w:val="00564E2E"/>
    <w:rsid w:val="00564F35"/>
    <w:rsid w:val="005652A5"/>
    <w:rsid w:val="00565401"/>
    <w:rsid w:val="00565B2F"/>
    <w:rsid w:val="00565FCF"/>
    <w:rsid w:val="00566AE8"/>
    <w:rsid w:val="00566C74"/>
    <w:rsid w:val="00566CB3"/>
    <w:rsid w:val="005670AE"/>
    <w:rsid w:val="0056715E"/>
    <w:rsid w:val="00567398"/>
    <w:rsid w:val="00567CE8"/>
    <w:rsid w:val="00567D66"/>
    <w:rsid w:val="00567DF0"/>
    <w:rsid w:val="0057069D"/>
    <w:rsid w:val="005707D1"/>
    <w:rsid w:val="005708A7"/>
    <w:rsid w:val="00570B47"/>
    <w:rsid w:val="00570C7D"/>
    <w:rsid w:val="00570D86"/>
    <w:rsid w:val="00570E72"/>
    <w:rsid w:val="005710B2"/>
    <w:rsid w:val="005717B7"/>
    <w:rsid w:val="00571BF5"/>
    <w:rsid w:val="00571C18"/>
    <w:rsid w:val="00572A42"/>
    <w:rsid w:val="00572C3D"/>
    <w:rsid w:val="00572C8C"/>
    <w:rsid w:val="005732FB"/>
    <w:rsid w:val="00573C20"/>
    <w:rsid w:val="00573C8B"/>
    <w:rsid w:val="00573F89"/>
    <w:rsid w:val="0057409F"/>
    <w:rsid w:val="00574296"/>
    <w:rsid w:val="00574433"/>
    <w:rsid w:val="00574D02"/>
    <w:rsid w:val="005756FB"/>
    <w:rsid w:val="00575D74"/>
    <w:rsid w:val="0057635B"/>
    <w:rsid w:val="005763BD"/>
    <w:rsid w:val="005769EC"/>
    <w:rsid w:val="00576CAD"/>
    <w:rsid w:val="00577545"/>
    <w:rsid w:val="005775F7"/>
    <w:rsid w:val="00577D3F"/>
    <w:rsid w:val="0058030C"/>
    <w:rsid w:val="00580A03"/>
    <w:rsid w:val="00580CE1"/>
    <w:rsid w:val="00581751"/>
    <w:rsid w:val="00582987"/>
    <w:rsid w:val="00582A2E"/>
    <w:rsid w:val="00582F21"/>
    <w:rsid w:val="00583114"/>
    <w:rsid w:val="0058372B"/>
    <w:rsid w:val="00583A2C"/>
    <w:rsid w:val="00583E6F"/>
    <w:rsid w:val="005840D0"/>
    <w:rsid w:val="005850CD"/>
    <w:rsid w:val="0058532B"/>
    <w:rsid w:val="00585A84"/>
    <w:rsid w:val="00585E01"/>
    <w:rsid w:val="00585E5A"/>
    <w:rsid w:val="00586207"/>
    <w:rsid w:val="005862DC"/>
    <w:rsid w:val="00586713"/>
    <w:rsid w:val="00586A9F"/>
    <w:rsid w:val="00587277"/>
    <w:rsid w:val="00587325"/>
    <w:rsid w:val="00587509"/>
    <w:rsid w:val="00587895"/>
    <w:rsid w:val="00587A6C"/>
    <w:rsid w:val="00590723"/>
    <w:rsid w:val="005907FD"/>
    <w:rsid w:val="00590973"/>
    <w:rsid w:val="00590AF3"/>
    <w:rsid w:val="005911A9"/>
    <w:rsid w:val="0059148A"/>
    <w:rsid w:val="005917FA"/>
    <w:rsid w:val="005918EF"/>
    <w:rsid w:val="0059210E"/>
    <w:rsid w:val="00592AE9"/>
    <w:rsid w:val="005930A2"/>
    <w:rsid w:val="005931E1"/>
    <w:rsid w:val="005932C3"/>
    <w:rsid w:val="0059350F"/>
    <w:rsid w:val="00593D85"/>
    <w:rsid w:val="0059435C"/>
    <w:rsid w:val="00594ABA"/>
    <w:rsid w:val="00594C55"/>
    <w:rsid w:val="00594EB2"/>
    <w:rsid w:val="00595194"/>
    <w:rsid w:val="005958CA"/>
    <w:rsid w:val="00595C3B"/>
    <w:rsid w:val="00596165"/>
    <w:rsid w:val="00596262"/>
    <w:rsid w:val="005964D8"/>
    <w:rsid w:val="0059687A"/>
    <w:rsid w:val="00597042"/>
    <w:rsid w:val="0059738C"/>
    <w:rsid w:val="00597971"/>
    <w:rsid w:val="005979AF"/>
    <w:rsid w:val="00597C91"/>
    <w:rsid w:val="00597E35"/>
    <w:rsid w:val="005A032B"/>
    <w:rsid w:val="005A0604"/>
    <w:rsid w:val="005A0AF8"/>
    <w:rsid w:val="005A0D51"/>
    <w:rsid w:val="005A11F5"/>
    <w:rsid w:val="005A1273"/>
    <w:rsid w:val="005A162B"/>
    <w:rsid w:val="005A1B96"/>
    <w:rsid w:val="005A2488"/>
    <w:rsid w:val="005A2561"/>
    <w:rsid w:val="005A2584"/>
    <w:rsid w:val="005A2CCE"/>
    <w:rsid w:val="005A2DE7"/>
    <w:rsid w:val="005A2E1E"/>
    <w:rsid w:val="005A2F40"/>
    <w:rsid w:val="005A3300"/>
    <w:rsid w:val="005A37C8"/>
    <w:rsid w:val="005A3886"/>
    <w:rsid w:val="005A3E67"/>
    <w:rsid w:val="005A4489"/>
    <w:rsid w:val="005A4A09"/>
    <w:rsid w:val="005A5A1F"/>
    <w:rsid w:val="005A5ECB"/>
    <w:rsid w:val="005A63B3"/>
    <w:rsid w:val="005A6442"/>
    <w:rsid w:val="005A67A2"/>
    <w:rsid w:val="005A6887"/>
    <w:rsid w:val="005A6CCF"/>
    <w:rsid w:val="005A6CFB"/>
    <w:rsid w:val="005A7224"/>
    <w:rsid w:val="005A72CA"/>
    <w:rsid w:val="005A7582"/>
    <w:rsid w:val="005A7C95"/>
    <w:rsid w:val="005A7DE0"/>
    <w:rsid w:val="005A7FB3"/>
    <w:rsid w:val="005B0E43"/>
    <w:rsid w:val="005B11A8"/>
    <w:rsid w:val="005B1330"/>
    <w:rsid w:val="005B18F1"/>
    <w:rsid w:val="005B1BF2"/>
    <w:rsid w:val="005B23D9"/>
    <w:rsid w:val="005B3017"/>
    <w:rsid w:val="005B3690"/>
    <w:rsid w:val="005B3B41"/>
    <w:rsid w:val="005B400F"/>
    <w:rsid w:val="005B4600"/>
    <w:rsid w:val="005B4877"/>
    <w:rsid w:val="005B48B0"/>
    <w:rsid w:val="005B48BD"/>
    <w:rsid w:val="005B4F82"/>
    <w:rsid w:val="005B5510"/>
    <w:rsid w:val="005B5670"/>
    <w:rsid w:val="005B57DC"/>
    <w:rsid w:val="005B59FC"/>
    <w:rsid w:val="005B5A97"/>
    <w:rsid w:val="005B6248"/>
    <w:rsid w:val="005B627B"/>
    <w:rsid w:val="005B64B4"/>
    <w:rsid w:val="005B6B9F"/>
    <w:rsid w:val="005B6F5E"/>
    <w:rsid w:val="005B722C"/>
    <w:rsid w:val="005B72E4"/>
    <w:rsid w:val="005B760C"/>
    <w:rsid w:val="005B771C"/>
    <w:rsid w:val="005B7FAB"/>
    <w:rsid w:val="005C05FC"/>
    <w:rsid w:val="005C13F0"/>
    <w:rsid w:val="005C1442"/>
    <w:rsid w:val="005C14E4"/>
    <w:rsid w:val="005C1519"/>
    <w:rsid w:val="005C1569"/>
    <w:rsid w:val="005C15EA"/>
    <w:rsid w:val="005C2153"/>
    <w:rsid w:val="005C2370"/>
    <w:rsid w:val="005C2A7D"/>
    <w:rsid w:val="005C2CC4"/>
    <w:rsid w:val="005C3667"/>
    <w:rsid w:val="005C3A35"/>
    <w:rsid w:val="005C3C63"/>
    <w:rsid w:val="005C3E9A"/>
    <w:rsid w:val="005C416F"/>
    <w:rsid w:val="005C4372"/>
    <w:rsid w:val="005C454F"/>
    <w:rsid w:val="005C478D"/>
    <w:rsid w:val="005C4955"/>
    <w:rsid w:val="005C4C62"/>
    <w:rsid w:val="005C5011"/>
    <w:rsid w:val="005C57FD"/>
    <w:rsid w:val="005C5AEB"/>
    <w:rsid w:val="005C5E8A"/>
    <w:rsid w:val="005C6001"/>
    <w:rsid w:val="005C63A1"/>
    <w:rsid w:val="005C661B"/>
    <w:rsid w:val="005C69D1"/>
    <w:rsid w:val="005C78E2"/>
    <w:rsid w:val="005C7AFE"/>
    <w:rsid w:val="005C7DA5"/>
    <w:rsid w:val="005C7FB9"/>
    <w:rsid w:val="005D00F6"/>
    <w:rsid w:val="005D071F"/>
    <w:rsid w:val="005D088F"/>
    <w:rsid w:val="005D0B33"/>
    <w:rsid w:val="005D0C58"/>
    <w:rsid w:val="005D0D39"/>
    <w:rsid w:val="005D0DF5"/>
    <w:rsid w:val="005D11B7"/>
    <w:rsid w:val="005D16AA"/>
    <w:rsid w:val="005D1888"/>
    <w:rsid w:val="005D2877"/>
    <w:rsid w:val="005D2E11"/>
    <w:rsid w:val="005D2EDF"/>
    <w:rsid w:val="005D34F8"/>
    <w:rsid w:val="005D3573"/>
    <w:rsid w:val="005D43D7"/>
    <w:rsid w:val="005D44C0"/>
    <w:rsid w:val="005D4527"/>
    <w:rsid w:val="005D502B"/>
    <w:rsid w:val="005D5370"/>
    <w:rsid w:val="005D6085"/>
    <w:rsid w:val="005D60AD"/>
    <w:rsid w:val="005D63E4"/>
    <w:rsid w:val="005D6730"/>
    <w:rsid w:val="005D676C"/>
    <w:rsid w:val="005D6E27"/>
    <w:rsid w:val="005D7319"/>
    <w:rsid w:val="005D79B1"/>
    <w:rsid w:val="005D7E09"/>
    <w:rsid w:val="005E092E"/>
    <w:rsid w:val="005E0EDC"/>
    <w:rsid w:val="005E12C7"/>
    <w:rsid w:val="005E14B0"/>
    <w:rsid w:val="005E14B8"/>
    <w:rsid w:val="005E1526"/>
    <w:rsid w:val="005E1A3F"/>
    <w:rsid w:val="005E22E1"/>
    <w:rsid w:val="005E337F"/>
    <w:rsid w:val="005E406D"/>
    <w:rsid w:val="005E4090"/>
    <w:rsid w:val="005E4487"/>
    <w:rsid w:val="005E489A"/>
    <w:rsid w:val="005E4CAA"/>
    <w:rsid w:val="005E50E3"/>
    <w:rsid w:val="005E556D"/>
    <w:rsid w:val="005E5631"/>
    <w:rsid w:val="005E57A8"/>
    <w:rsid w:val="005E60F5"/>
    <w:rsid w:val="005E67A7"/>
    <w:rsid w:val="005E67B0"/>
    <w:rsid w:val="005E68DE"/>
    <w:rsid w:val="005E6C9E"/>
    <w:rsid w:val="005E6D82"/>
    <w:rsid w:val="005E6E87"/>
    <w:rsid w:val="005E6EF2"/>
    <w:rsid w:val="005E7786"/>
    <w:rsid w:val="005F0136"/>
    <w:rsid w:val="005F02D2"/>
    <w:rsid w:val="005F051B"/>
    <w:rsid w:val="005F059A"/>
    <w:rsid w:val="005F0703"/>
    <w:rsid w:val="005F0957"/>
    <w:rsid w:val="005F0AFD"/>
    <w:rsid w:val="005F0B48"/>
    <w:rsid w:val="005F147C"/>
    <w:rsid w:val="005F160C"/>
    <w:rsid w:val="005F1648"/>
    <w:rsid w:val="005F17C3"/>
    <w:rsid w:val="005F17CD"/>
    <w:rsid w:val="005F1B50"/>
    <w:rsid w:val="005F2C57"/>
    <w:rsid w:val="005F3319"/>
    <w:rsid w:val="005F3456"/>
    <w:rsid w:val="005F3BFC"/>
    <w:rsid w:val="005F3C71"/>
    <w:rsid w:val="005F3DD1"/>
    <w:rsid w:val="005F3FF0"/>
    <w:rsid w:val="005F4134"/>
    <w:rsid w:val="005F42D1"/>
    <w:rsid w:val="005F44F1"/>
    <w:rsid w:val="005F4510"/>
    <w:rsid w:val="005F46A3"/>
    <w:rsid w:val="005F47A0"/>
    <w:rsid w:val="005F48E4"/>
    <w:rsid w:val="005F4DF2"/>
    <w:rsid w:val="005F52F7"/>
    <w:rsid w:val="005F54AD"/>
    <w:rsid w:val="005F54AF"/>
    <w:rsid w:val="005F5C16"/>
    <w:rsid w:val="005F5E27"/>
    <w:rsid w:val="005F62BB"/>
    <w:rsid w:val="005F64B1"/>
    <w:rsid w:val="005F659D"/>
    <w:rsid w:val="005F6739"/>
    <w:rsid w:val="005F6BB9"/>
    <w:rsid w:val="005F6C90"/>
    <w:rsid w:val="005F7551"/>
    <w:rsid w:val="005F7942"/>
    <w:rsid w:val="005F7C6C"/>
    <w:rsid w:val="00600014"/>
    <w:rsid w:val="00600065"/>
    <w:rsid w:val="0060009E"/>
    <w:rsid w:val="006000FA"/>
    <w:rsid w:val="006004B2"/>
    <w:rsid w:val="006005D0"/>
    <w:rsid w:val="006008AF"/>
    <w:rsid w:val="00600A3D"/>
    <w:rsid w:val="00600B26"/>
    <w:rsid w:val="00600B69"/>
    <w:rsid w:val="00602873"/>
    <w:rsid w:val="00602B2F"/>
    <w:rsid w:val="00602BE8"/>
    <w:rsid w:val="00602F45"/>
    <w:rsid w:val="0060340F"/>
    <w:rsid w:val="0060356A"/>
    <w:rsid w:val="0060357E"/>
    <w:rsid w:val="0060358E"/>
    <w:rsid w:val="00603673"/>
    <w:rsid w:val="00603DFE"/>
    <w:rsid w:val="00603EC2"/>
    <w:rsid w:val="00604151"/>
    <w:rsid w:val="006041C9"/>
    <w:rsid w:val="0060450F"/>
    <w:rsid w:val="00605053"/>
    <w:rsid w:val="00605866"/>
    <w:rsid w:val="0060621B"/>
    <w:rsid w:val="0060671D"/>
    <w:rsid w:val="0060678E"/>
    <w:rsid w:val="0060689D"/>
    <w:rsid w:val="00606B85"/>
    <w:rsid w:val="00606EFF"/>
    <w:rsid w:val="00607005"/>
    <w:rsid w:val="00607785"/>
    <w:rsid w:val="00607AC0"/>
    <w:rsid w:val="00607B94"/>
    <w:rsid w:val="00610341"/>
    <w:rsid w:val="006103B3"/>
    <w:rsid w:val="00611017"/>
    <w:rsid w:val="0061120F"/>
    <w:rsid w:val="0061151C"/>
    <w:rsid w:val="00611ABE"/>
    <w:rsid w:val="00611C27"/>
    <w:rsid w:val="00612543"/>
    <w:rsid w:val="006125ED"/>
    <w:rsid w:val="006126A9"/>
    <w:rsid w:val="00612B41"/>
    <w:rsid w:val="00612F0B"/>
    <w:rsid w:val="006134E3"/>
    <w:rsid w:val="0061379D"/>
    <w:rsid w:val="006138BF"/>
    <w:rsid w:val="00613AA5"/>
    <w:rsid w:val="00613AE9"/>
    <w:rsid w:val="00613F9E"/>
    <w:rsid w:val="006142E6"/>
    <w:rsid w:val="00614405"/>
    <w:rsid w:val="0061480D"/>
    <w:rsid w:val="00614A74"/>
    <w:rsid w:val="00614BAC"/>
    <w:rsid w:val="00614F4C"/>
    <w:rsid w:val="006152FC"/>
    <w:rsid w:val="00615EE1"/>
    <w:rsid w:val="0061645C"/>
    <w:rsid w:val="006168AC"/>
    <w:rsid w:val="006171C4"/>
    <w:rsid w:val="0061726F"/>
    <w:rsid w:val="0062010D"/>
    <w:rsid w:val="00620752"/>
    <w:rsid w:val="00621177"/>
    <w:rsid w:val="00621681"/>
    <w:rsid w:val="0062193A"/>
    <w:rsid w:val="00621AEF"/>
    <w:rsid w:val="00621F55"/>
    <w:rsid w:val="006220F1"/>
    <w:rsid w:val="0062250D"/>
    <w:rsid w:val="00622645"/>
    <w:rsid w:val="00623341"/>
    <w:rsid w:val="0062345A"/>
    <w:rsid w:val="0062349C"/>
    <w:rsid w:val="006237E0"/>
    <w:rsid w:val="0062495A"/>
    <w:rsid w:val="00624BF0"/>
    <w:rsid w:val="00624D64"/>
    <w:rsid w:val="0062528C"/>
    <w:rsid w:val="006253B3"/>
    <w:rsid w:val="006253DD"/>
    <w:rsid w:val="00625DBE"/>
    <w:rsid w:val="00625F04"/>
    <w:rsid w:val="006260DF"/>
    <w:rsid w:val="00626226"/>
    <w:rsid w:val="00626401"/>
    <w:rsid w:val="00626716"/>
    <w:rsid w:val="006268BF"/>
    <w:rsid w:val="006268E5"/>
    <w:rsid w:val="00627595"/>
    <w:rsid w:val="0062769B"/>
    <w:rsid w:val="00627B73"/>
    <w:rsid w:val="00627E8E"/>
    <w:rsid w:val="00630178"/>
    <w:rsid w:val="006305AD"/>
    <w:rsid w:val="00630753"/>
    <w:rsid w:val="00630A13"/>
    <w:rsid w:val="0063136D"/>
    <w:rsid w:val="006318E5"/>
    <w:rsid w:val="00631C91"/>
    <w:rsid w:val="00631D61"/>
    <w:rsid w:val="0063232A"/>
    <w:rsid w:val="00632725"/>
    <w:rsid w:val="00632E5B"/>
    <w:rsid w:val="00633F09"/>
    <w:rsid w:val="00633F31"/>
    <w:rsid w:val="0063467A"/>
    <w:rsid w:val="00634797"/>
    <w:rsid w:val="006350AA"/>
    <w:rsid w:val="006355AD"/>
    <w:rsid w:val="00636171"/>
    <w:rsid w:val="0063640C"/>
    <w:rsid w:val="006364F4"/>
    <w:rsid w:val="006369AB"/>
    <w:rsid w:val="00636D18"/>
    <w:rsid w:val="00636F8D"/>
    <w:rsid w:val="0063739E"/>
    <w:rsid w:val="0063751C"/>
    <w:rsid w:val="00637841"/>
    <w:rsid w:val="006404DA"/>
    <w:rsid w:val="006407F7"/>
    <w:rsid w:val="00640F2A"/>
    <w:rsid w:val="00641084"/>
    <w:rsid w:val="006418B3"/>
    <w:rsid w:val="0064197A"/>
    <w:rsid w:val="00641EBF"/>
    <w:rsid w:val="006428B4"/>
    <w:rsid w:val="006428DB"/>
    <w:rsid w:val="00642DE8"/>
    <w:rsid w:val="00643031"/>
    <w:rsid w:val="006431D2"/>
    <w:rsid w:val="00643391"/>
    <w:rsid w:val="0064363B"/>
    <w:rsid w:val="006438AD"/>
    <w:rsid w:val="006439A9"/>
    <w:rsid w:val="00643DCE"/>
    <w:rsid w:val="006447A4"/>
    <w:rsid w:val="00644980"/>
    <w:rsid w:val="00645701"/>
    <w:rsid w:val="00645A41"/>
    <w:rsid w:val="00645C41"/>
    <w:rsid w:val="00645D19"/>
    <w:rsid w:val="006460B6"/>
    <w:rsid w:val="0064625B"/>
    <w:rsid w:val="0064659B"/>
    <w:rsid w:val="00646AE1"/>
    <w:rsid w:val="00646C93"/>
    <w:rsid w:val="00646E37"/>
    <w:rsid w:val="00646ECC"/>
    <w:rsid w:val="00646F33"/>
    <w:rsid w:val="00647085"/>
    <w:rsid w:val="00647468"/>
    <w:rsid w:val="00647A72"/>
    <w:rsid w:val="00647C84"/>
    <w:rsid w:val="00647DC0"/>
    <w:rsid w:val="00650046"/>
    <w:rsid w:val="006501A4"/>
    <w:rsid w:val="00650313"/>
    <w:rsid w:val="0065067C"/>
    <w:rsid w:val="00650F7D"/>
    <w:rsid w:val="00650F86"/>
    <w:rsid w:val="006517AA"/>
    <w:rsid w:val="00651828"/>
    <w:rsid w:val="00651855"/>
    <w:rsid w:val="0065187C"/>
    <w:rsid w:val="00651D8D"/>
    <w:rsid w:val="00651E8B"/>
    <w:rsid w:val="00651EF0"/>
    <w:rsid w:val="00651F7B"/>
    <w:rsid w:val="006523A9"/>
    <w:rsid w:val="00652D99"/>
    <w:rsid w:val="0065303E"/>
    <w:rsid w:val="00653569"/>
    <w:rsid w:val="00653AC8"/>
    <w:rsid w:val="00653DD6"/>
    <w:rsid w:val="00654268"/>
    <w:rsid w:val="006544B7"/>
    <w:rsid w:val="00654751"/>
    <w:rsid w:val="0065502B"/>
    <w:rsid w:val="006552BF"/>
    <w:rsid w:val="00655404"/>
    <w:rsid w:val="00655B71"/>
    <w:rsid w:val="00655C13"/>
    <w:rsid w:val="00655CD7"/>
    <w:rsid w:val="0065642A"/>
    <w:rsid w:val="006567C7"/>
    <w:rsid w:val="00656E12"/>
    <w:rsid w:val="00657460"/>
    <w:rsid w:val="00657921"/>
    <w:rsid w:val="00657A79"/>
    <w:rsid w:val="00660086"/>
    <w:rsid w:val="0066057C"/>
    <w:rsid w:val="006610A5"/>
    <w:rsid w:val="00661335"/>
    <w:rsid w:val="00661773"/>
    <w:rsid w:val="006617FD"/>
    <w:rsid w:val="00661F88"/>
    <w:rsid w:val="00662107"/>
    <w:rsid w:val="00662928"/>
    <w:rsid w:val="006629F1"/>
    <w:rsid w:val="00662C81"/>
    <w:rsid w:val="00662CC7"/>
    <w:rsid w:val="00662CE6"/>
    <w:rsid w:val="00662EB8"/>
    <w:rsid w:val="00664393"/>
    <w:rsid w:val="00664E28"/>
    <w:rsid w:val="00664EEA"/>
    <w:rsid w:val="00664F1B"/>
    <w:rsid w:val="00665C62"/>
    <w:rsid w:val="0066626E"/>
    <w:rsid w:val="00666F81"/>
    <w:rsid w:val="0066760B"/>
    <w:rsid w:val="00667644"/>
    <w:rsid w:val="0067016D"/>
    <w:rsid w:val="0067041B"/>
    <w:rsid w:val="006704B1"/>
    <w:rsid w:val="006704DA"/>
    <w:rsid w:val="00670CCD"/>
    <w:rsid w:val="00670D3A"/>
    <w:rsid w:val="00670DD2"/>
    <w:rsid w:val="00671651"/>
    <w:rsid w:val="00671C55"/>
    <w:rsid w:val="00671E23"/>
    <w:rsid w:val="00671E7F"/>
    <w:rsid w:val="00671FAB"/>
    <w:rsid w:val="006721CD"/>
    <w:rsid w:val="00672272"/>
    <w:rsid w:val="006724A8"/>
    <w:rsid w:val="006724E1"/>
    <w:rsid w:val="00672737"/>
    <w:rsid w:val="0067315E"/>
    <w:rsid w:val="00673AAF"/>
    <w:rsid w:val="00673FA3"/>
    <w:rsid w:val="006741D6"/>
    <w:rsid w:val="00674675"/>
    <w:rsid w:val="00674AFD"/>
    <w:rsid w:val="00674B24"/>
    <w:rsid w:val="00674BE4"/>
    <w:rsid w:val="00674F10"/>
    <w:rsid w:val="0067527D"/>
    <w:rsid w:val="00675A7F"/>
    <w:rsid w:val="00675B1B"/>
    <w:rsid w:val="0067687E"/>
    <w:rsid w:val="00676996"/>
    <w:rsid w:val="00676B68"/>
    <w:rsid w:val="00676C28"/>
    <w:rsid w:val="00676D8F"/>
    <w:rsid w:val="00677182"/>
    <w:rsid w:val="00677552"/>
    <w:rsid w:val="00677AC5"/>
    <w:rsid w:val="00677B0C"/>
    <w:rsid w:val="00677C5D"/>
    <w:rsid w:val="00677D25"/>
    <w:rsid w:val="00680140"/>
    <w:rsid w:val="006810D4"/>
    <w:rsid w:val="00681452"/>
    <w:rsid w:val="00681BD3"/>
    <w:rsid w:val="00681E59"/>
    <w:rsid w:val="00682777"/>
    <w:rsid w:val="00682AC3"/>
    <w:rsid w:val="00683670"/>
    <w:rsid w:val="006836CF"/>
    <w:rsid w:val="00683AC2"/>
    <w:rsid w:val="00683F78"/>
    <w:rsid w:val="006840A0"/>
    <w:rsid w:val="00684A92"/>
    <w:rsid w:val="00684B0D"/>
    <w:rsid w:val="00685DFA"/>
    <w:rsid w:val="0068650E"/>
    <w:rsid w:val="00686F68"/>
    <w:rsid w:val="0068789B"/>
    <w:rsid w:val="00687A14"/>
    <w:rsid w:val="00687F37"/>
    <w:rsid w:val="00690F18"/>
    <w:rsid w:val="0069143E"/>
    <w:rsid w:val="00691959"/>
    <w:rsid w:val="00691A28"/>
    <w:rsid w:val="00691B0A"/>
    <w:rsid w:val="0069214B"/>
    <w:rsid w:val="00692281"/>
    <w:rsid w:val="006922EF"/>
    <w:rsid w:val="006923D6"/>
    <w:rsid w:val="006926EE"/>
    <w:rsid w:val="00692701"/>
    <w:rsid w:val="00692FDB"/>
    <w:rsid w:val="006930C1"/>
    <w:rsid w:val="0069311A"/>
    <w:rsid w:val="00693AC5"/>
    <w:rsid w:val="00693DF8"/>
    <w:rsid w:val="00693ED3"/>
    <w:rsid w:val="006941CA"/>
    <w:rsid w:val="00694707"/>
    <w:rsid w:val="00694EF9"/>
    <w:rsid w:val="006950B1"/>
    <w:rsid w:val="00695549"/>
    <w:rsid w:val="00695A34"/>
    <w:rsid w:val="0069625A"/>
    <w:rsid w:val="00696654"/>
    <w:rsid w:val="0069694E"/>
    <w:rsid w:val="00696E35"/>
    <w:rsid w:val="006970CA"/>
    <w:rsid w:val="0069749C"/>
    <w:rsid w:val="00697688"/>
    <w:rsid w:val="00697811"/>
    <w:rsid w:val="00697A1C"/>
    <w:rsid w:val="00697A49"/>
    <w:rsid w:val="00697D91"/>
    <w:rsid w:val="00697EAE"/>
    <w:rsid w:val="00697F19"/>
    <w:rsid w:val="006A01A2"/>
    <w:rsid w:val="006A02E6"/>
    <w:rsid w:val="006A0569"/>
    <w:rsid w:val="006A0670"/>
    <w:rsid w:val="006A1276"/>
    <w:rsid w:val="006A1D66"/>
    <w:rsid w:val="006A216D"/>
    <w:rsid w:val="006A2C88"/>
    <w:rsid w:val="006A2DD2"/>
    <w:rsid w:val="006A2E1B"/>
    <w:rsid w:val="006A38D8"/>
    <w:rsid w:val="006A3C67"/>
    <w:rsid w:val="006A3CEB"/>
    <w:rsid w:val="006A3DEB"/>
    <w:rsid w:val="006A3E9D"/>
    <w:rsid w:val="006A3FFA"/>
    <w:rsid w:val="006A5364"/>
    <w:rsid w:val="006A5867"/>
    <w:rsid w:val="006A593B"/>
    <w:rsid w:val="006A5A42"/>
    <w:rsid w:val="006A6D16"/>
    <w:rsid w:val="006A6D4A"/>
    <w:rsid w:val="006A6E82"/>
    <w:rsid w:val="006A7639"/>
    <w:rsid w:val="006B001E"/>
    <w:rsid w:val="006B0058"/>
    <w:rsid w:val="006B07DF"/>
    <w:rsid w:val="006B0DB8"/>
    <w:rsid w:val="006B1404"/>
    <w:rsid w:val="006B1963"/>
    <w:rsid w:val="006B1DBD"/>
    <w:rsid w:val="006B226A"/>
    <w:rsid w:val="006B2701"/>
    <w:rsid w:val="006B283F"/>
    <w:rsid w:val="006B2D3C"/>
    <w:rsid w:val="006B3F02"/>
    <w:rsid w:val="006B433C"/>
    <w:rsid w:val="006B455F"/>
    <w:rsid w:val="006B465D"/>
    <w:rsid w:val="006B4EEC"/>
    <w:rsid w:val="006B506C"/>
    <w:rsid w:val="006B5A25"/>
    <w:rsid w:val="006B5EB3"/>
    <w:rsid w:val="006B63FF"/>
    <w:rsid w:val="006B7821"/>
    <w:rsid w:val="006B793E"/>
    <w:rsid w:val="006B7D5F"/>
    <w:rsid w:val="006B7D79"/>
    <w:rsid w:val="006B7F77"/>
    <w:rsid w:val="006C02D8"/>
    <w:rsid w:val="006C0815"/>
    <w:rsid w:val="006C0D84"/>
    <w:rsid w:val="006C2052"/>
    <w:rsid w:val="006C24F4"/>
    <w:rsid w:val="006C350C"/>
    <w:rsid w:val="006C35E3"/>
    <w:rsid w:val="006C37B1"/>
    <w:rsid w:val="006C3811"/>
    <w:rsid w:val="006C3B38"/>
    <w:rsid w:val="006C3C18"/>
    <w:rsid w:val="006C4424"/>
    <w:rsid w:val="006C469F"/>
    <w:rsid w:val="006C5A11"/>
    <w:rsid w:val="006C5E4B"/>
    <w:rsid w:val="006C60A4"/>
    <w:rsid w:val="006C61BF"/>
    <w:rsid w:val="006C6418"/>
    <w:rsid w:val="006C6656"/>
    <w:rsid w:val="006C6FD3"/>
    <w:rsid w:val="006C7105"/>
    <w:rsid w:val="006C73A0"/>
    <w:rsid w:val="006C78E8"/>
    <w:rsid w:val="006D0A6D"/>
    <w:rsid w:val="006D18A7"/>
    <w:rsid w:val="006D21AB"/>
    <w:rsid w:val="006D25AA"/>
    <w:rsid w:val="006D2AD0"/>
    <w:rsid w:val="006D2C18"/>
    <w:rsid w:val="006D3454"/>
    <w:rsid w:val="006D3A59"/>
    <w:rsid w:val="006D3AEC"/>
    <w:rsid w:val="006D3E82"/>
    <w:rsid w:val="006D3F92"/>
    <w:rsid w:val="006D4030"/>
    <w:rsid w:val="006D4632"/>
    <w:rsid w:val="006D466B"/>
    <w:rsid w:val="006D4C56"/>
    <w:rsid w:val="006D5659"/>
    <w:rsid w:val="006D5A39"/>
    <w:rsid w:val="006D6393"/>
    <w:rsid w:val="006D6554"/>
    <w:rsid w:val="006D6656"/>
    <w:rsid w:val="006D6EFC"/>
    <w:rsid w:val="006D70FE"/>
    <w:rsid w:val="006D795D"/>
    <w:rsid w:val="006D7ADF"/>
    <w:rsid w:val="006E039B"/>
    <w:rsid w:val="006E03F4"/>
    <w:rsid w:val="006E1396"/>
    <w:rsid w:val="006E1E73"/>
    <w:rsid w:val="006E25DF"/>
    <w:rsid w:val="006E267C"/>
    <w:rsid w:val="006E26C3"/>
    <w:rsid w:val="006E27A9"/>
    <w:rsid w:val="006E294C"/>
    <w:rsid w:val="006E2985"/>
    <w:rsid w:val="006E2BB3"/>
    <w:rsid w:val="006E2E86"/>
    <w:rsid w:val="006E324A"/>
    <w:rsid w:val="006E330E"/>
    <w:rsid w:val="006E3C1D"/>
    <w:rsid w:val="006E3C22"/>
    <w:rsid w:val="006E41D3"/>
    <w:rsid w:val="006E4239"/>
    <w:rsid w:val="006E447E"/>
    <w:rsid w:val="006E5EC5"/>
    <w:rsid w:val="006E62D3"/>
    <w:rsid w:val="006E69E1"/>
    <w:rsid w:val="006E6D71"/>
    <w:rsid w:val="006E6FBC"/>
    <w:rsid w:val="006E7172"/>
    <w:rsid w:val="006E76BC"/>
    <w:rsid w:val="006F0257"/>
    <w:rsid w:val="006F0490"/>
    <w:rsid w:val="006F0A60"/>
    <w:rsid w:val="006F0D1C"/>
    <w:rsid w:val="006F0DBD"/>
    <w:rsid w:val="006F1138"/>
    <w:rsid w:val="006F161C"/>
    <w:rsid w:val="006F1EC7"/>
    <w:rsid w:val="006F1F0C"/>
    <w:rsid w:val="006F2FFA"/>
    <w:rsid w:val="006F36C6"/>
    <w:rsid w:val="006F3CED"/>
    <w:rsid w:val="006F3D26"/>
    <w:rsid w:val="006F3EF5"/>
    <w:rsid w:val="006F41E9"/>
    <w:rsid w:val="006F4917"/>
    <w:rsid w:val="006F5636"/>
    <w:rsid w:val="006F57BA"/>
    <w:rsid w:val="006F59DB"/>
    <w:rsid w:val="006F59EE"/>
    <w:rsid w:val="006F5DCE"/>
    <w:rsid w:val="006F6DF5"/>
    <w:rsid w:val="006F6E81"/>
    <w:rsid w:val="006F7167"/>
    <w:rsid w:val="006F731F"/>
    <w:rsid w:val="006F7A49"/>
    <w:rsid w:val="006F7EAB"/>
    <w:rsid w:val="00700329"/>
    <w:rsid w:val="00700680"/>
    <w:rsid w:val="00700CB8"/>
    <w:rsid w:val="007011B7"/>
    <w:rsid w:val="00701327"/>
    <w:rsid w:val="00701C20"/>
    <w:rsid w:val="00701C9B"/>
    <w:rsid w:val="00701EB2"/>
    <w:rsid w:val="00702A9D"/>
    <w:rsid w:val="00702CD9"/>
    <w:rsid w:val="0070344A"/>
    <w:rsid w:val="00703775"/>
    <w:rsid w:val="007037AB"/>
    <w:rsid w:val="00703800"/>
    <w:rsid w:val="00703ECA"/>
    <w:rsid w:val="00704228"/>
    <w:rsid w:val="007045FC"/>
    <w:rsid w:val="00704796"/>
    <w:rsid w:val="007049ED"/>
    <w:rsid w:val="00704A67"/>
    <w:rsid w:val="00704B69"/>
    <w:rsid w:val="00704BE8"/>
    <w:rsid w:val="0070551E"/>
    <w:rsid w:val="007057F5"/>
    <w:rsid w:val="00705E6A"/>
    <w:rsid w:val="007062B3"/>
    <w:rsid w:val="00706379"/>
    <w:rsid w:val="0070662B"/>
    <w:rsid w:val="007067A3"/>
    <w:rsid w:val="00706EAF"/>
    <w:rsid w:val="007074AF"/>
    <w:rsid w:val="00707616"/>
    <w:rsid w:val="00707695"/>
    <w:rsid w:val="00707905"/>
    <w:rsid w:val="00707D5F"/>
    <w:rsid w:val="00707DF0"/>
    <w:rsid w:val="0071029D"/>
    <w:rsid w:val="00710602"/>
    <w:rsid w:val="00711206"/>
    <w:rsid w:val="007112FA"/>
    <w:rsid w:val="00711357"/>
    <w:rsid w:val="0071196B"/>
    <w:rsid w:val="00711E2A"/>
    <w:rsid w:val="0071205A"/>
    <w:rsid w:val="007123F7"/>
    <w:rsid w:val="00712702"/>
    <w:rsid w:val="00712B26"/>
    <w:rsid w:val="00712BC4"/>
    <w:rsid w:val="007136E6"/>
    <w:rsid w:val="00713A3E"/>
    <w:rsid w:val="0071521E"/>
    <w:rsid w:val="007153BE"/>
    <w:rsid w:val="00715588"/>
    <w:rsid w:val="007156CF"/>
    <w:rsid w:val="00715819"/>
    <w:rsid w:val="00716213"/>
    <w:rsid w:val="007162A6"/>
    <w:rsid w:val="00716388"/>
    <w:rsid w:val="007168F6"/>
    <w:rsid w:val="00716A4D"/>
    <w:rsid w:val="00716BC5"/>
    <w:rsid w:val="00716CBE"/>
    <w:rsid w:val="007171E4"/>
    <w:rsid w:val="0071734B"/>
    <w:rsid w:val="007178EA"/>
    <w:rsid w:val="007178F6"/>
    <w:rsid w:val="00717950"/>
    <w:rsid w:val="00717A0C"/>
    <w:rsid w:val="00717D5E"/>
    <w:rsid w:val="007203EF"/>
    <w:rsid w:val="00720A31"/>
    <w:rsid w:val="00720C5E"/>
    <w:rsid w:val="00720CD5"/>
    <w:rsid w:val="007210B2"/>
    <w:rsid w:val="007210D9"/>
    <w:rsid w:val="00721163"/>
    <w:rsid w:val="007214C0"/>
    <w:rsid w:val="0072204B"/>
    <w:rsid w:val="00722523"/>
    <w:rsid w:val="00722996"/>
    <w:rsid w:val="00722B65"/>
    <w:rsid w:val="00722B7F"/>
    <w:rsid w:val="00723438"/>
    <w:rsid w:val="007237A8"/>
    <w:rsid w:val="007238F9"/>
    <w:rsid w:val="00723A4B"/>
    <w:rsid w:val="00723B51"/>
    <w:rsid w:val="00723F5B"/>
    <w:rsid w:val="007241F4"/>
    <w:rsid w:val="00724974"/>
    <w:rsid w:val="0072520E"/>
    <w:rsid w:val="007254CF"/>
    <w:rsid w:val="00725FA3"/>
    <w:rsid w:val="00727056"/>
    <w:rsid w:val="00727E3D"/>
    <w:rsid w:val="007301EB"/>
    <w:rsid w:val="0073074E"/>
    <w:rsid w:val="00731057"/>
    <w:rsid w:val="00731767"/>
    <w:rsid w:val="0073189D"/>
    <w:rsid w:val="00731BEF"/>
    <w:rsid w:val="00731E45"/>
    <w:rsid w:val="0073285C"/>
    <w:rsid w:val="007328B5"/>
    <w:rsid w:val="00732987"/>
    <w:rsid w:val="00732B03"/>
    <w:rsid w:val="00732DAC"/>
    <w:rsid w:val="00732DE5"/>
    <w:rsid w:val="00732FAF"/>
    <w:rsid w:val="007331A9"/>
    <w:rsid w:val="007332AB"/>
    <w:rsid w:val="00733943"/>
    <w:rsid w:val="00734188"/>
    <w:rsid w:val="00734561"/>
    <w:rsid w:val="0073460F"/>
    <w:rsid w:val="00734BB5"/>
    <w:rsid w:val="00735607"/>
    <w:rsid w:val="00735CE8"/>
    <w:rsid w:val="00735D10"/>
    <w:rsid w:val="00735D2A"/>
    <w:rsid w:val="00736272"/>
    <w:rsid w:val="00736408"/>
    <w:rsid w:val="00736805"/>
    <w:rsid w:val="00736B29"/>
    <w:rsid w:val="00740A04"/>
    <w:rsid w:val="00740A0F"/>
    <w:rsid w:val="00740D97"/>
    <w:rsid w:val="00740F91"/>
    <w:rsid w:val="00741100"/>
    <w:rsid w:val="00741359"/>
    <w:rsid w:val="00741DDF"/>
    <w:rsid w:val="00741E11"/>
    <w:rsid w:val="00742331"/>
    <w:rsid w:val="00742522"/>
    <w:rsid w:val="007429E5"/>
    <w:rsid w:val="00742A52"/>
    <w:rsid w:val="007432A5"/>
    <w:rsid w:val="00743B5C"/>
    <w:rsid w:val="00744038"/>
    <w:rsid w:val="00745546"/>
    <w:rsid w:val="00745B34"/>
    <w:rsid w:val="00745E1A"/>
    <w:rsid w:val="007463E6"/>
    <w:rsid w:val="00746663"/>
    <w:rsid w:val="00746A00"/>
    <w:rsid w:val="00746DB6"/>
    <w:rsid w:val="0074729E"/>
    <w:rsid w:val="0074751B"/>
    <w:rsid w:val="007477D7"/>
    <w:rsid w:val="00747BCD"/>
    <w:rsid w:val="007500E6"/>
    <w:rsid w:val="007503A7"/>
    <w:rsid w:val="007503AB"/>
    <w:rsid w:val="007505E7"/>
    <w:rsid w:val="007506A5"/>
    <w:rsid w:val="00750A9A"/>
    <w:rsid w:val="00750AE1"/>
    <w:rsid w:val="00750BCB"/>
    <w:rsid w:val="00750C7E"/>
    <w:rsid w:val="00750D72"/>
    <w:rsid w:val="00751383"/>
    <w:rsid w:val="00751518"/>
    <w:rsid w:val="00751A3B"/>
    <w:rsid w:val="00751DF9"/>
    <w:rsid w:val="00751EF5"/>
    <w:rsid w:val="00751FD5"/>
    <w:rsid w:val="0075273F"/>
    <w:rsid w:val="007528B5"/>
    <w:rsid w:val="00752E4D"/>
    <w:rsid w:val="00752F91"/>
    <w:rsid w:val="0075332B"/>
    <w:rsid w:val="007539DE"/>
    <w:rsid w:val="0075405E"/>
    <w:rsid w:val="0075484F"/>
    <w:rsid w:val="00754883"/>
    <w:rsid w:val="00754920"/>
    <w:rsid w:val="00755067"/>
    <w:rsid w:val="00755544"/>
    <w:rsid w:val="007556B7"/>
    <w:rsid w:val="00755AB4"/>
    <w:rsid w:val="00755BAD"/>
    <w:rsid w:val="00756125"/>
    <w:rsid w:val="00756141"/>
    <w:rsid w:val="00756DBB"/>
    <w:rsid w:val="0075769A"/>
    <w:rsid w:val="007579D2"/>
    <w:rsid w:val="00757A77"/>
    <w:rsid w:val="00757F19"/>
    <w:rsid w:val="00757FC6"/>
    <w:rsid w:val="007602EF"/>
    <w:rsid w:val="0076052A"/>
    <w:rsid w:val="00760B21"/>
    <w:rsid w:val="00761106"/>
    <w:rsid w:val="007614CA"/>
    <w:rsid w:val="00761553"/>
    <w:rsid w:val="0076156C"/>
    <w:rsid w:val="00762638"/>
    <w:rsid w:val="007626F4"/>
    <w:rsid w:val="00762A79"/>
    <w:rsid w:val="00763076"/>
    <w:rsid w:val="0076378B"/>
    <w:rsid w:val="00763A13"/>
    <w:rsid w:val="00763DCC"/>
    <w:rsid w:val="00763DD8"/>
    <w:rsid w:val="00765384"/>
    <w:rsid w:val="00765BB8"/>
    <w:rsid w:val="00765D8E"/>
    <w:rsid w:val="00765ED8"/>
    <w:rsid w:val="00766946"/>
    <w:rsid w:val="00766F08"/>
    <w:rsid w:val="00766F0C"/>
    <w:rsid w:val="007672C2"/>
    <w:rsid w:val="0076781C"/>
    <w:rsid w:val="00767FA4"/>
    <w:rsid w:val="007704E9"/>
    <w:rsid w:val="007704F8"/>
    <w:rsid w:val="00770517"/>
    <w:rsid w:val="007708A3"/>
    <w:rsid w:val="00770BDC"/>
    <w:rsid w:val="00770E65"/>
    <w:rsid w:val="00771515"/>
    <w:rsid w:val="007718B4"/>
    <w:rsid w:val="00771AFB"/>
    <w:rsid w:val="00771FA6"/>
    <w:rsid w:val="007723CC"/>
    <w:rsid w:val="007724BD"/>
    <w:rsid w:val="00772855"/>
    <w:rsid w:val="00772ACF"/>
    <w:rsid w:val="00772B56"/>
    <w:rsid w:val="00772C25"/>
    <w:rsid w:val="00772F8D"/>
    <w:rsid w:val="007730B7"/>
    <w:rsid w:val="00773566"/>
    <w:rsid w:val="00773BCB"/>
    <w:rsid w:val="00774577"/>
    <w:rsid w:val="007746FD"/>
    <w:rsid w:val="00774A19"/>
    <w:rsid w:val="00774F13"/>
    <w:rsid w:val="007751D3"/>
    <w:rsid w:val="00775A16"/>
    <w:rsid w:val="00775A82"/>
    <w:rsid w:val="00775B8E"/>
    <w:rsid w:val="00775EBA"/>
    <w:rsid w:val="00775F3F"/>
    <w:rsid w:val="007761A5"/>
    <w:rsid w:val="00776246"/>
    <w:rsid w:val="00777016"/>
    <w:rsid w:val="00777B1C"/>
    <w:rsid w:val="00777CD8"/>
    <w:rsid w:val="00780290"/>
    <w:rsid w:val="007802E5"/>
    <w:rsid w:val="007810C0"/>
    <w:rsid w:val="0078126E"/>
    <w:rsid w:val="0078152A"/>
    <w:rsid w:val="00781AB2"/>
    <w:rsid w:val="00781C86"/>
    <w:rsid w:val="00781F32"/>
    <w:rsid w:val="00782073"/>
    <w:rsid w:val="00782C86"/>
    <w:rsid w:val="0078378B"/>
    <w:rsid w:val="007837FC"/>
    <w:rsid w:val="00783825"/>
    <w:rsid w:val="00783F9E"/>
    <w:rsid w:val="00784032"/>
    <w:rsid w:val="00784730"/>
    <w:rsid w:val="00784863"/>
    <w:rsid w:val="00784AEF"/>
    <w:rsid w:val="00784B67"/>
    <w:rsid w:val="00784DBB"/>
    <w:rsid w:val="00785102"/>
    <w:rsid w:val="0078540D"/>
    <w:rsid w:val="00785685"/>
    <w:rsid w:val="00785A2A"/>
    <w:rsid w:val="00785F4F"/>
    <w:rsid w:val="00785FC7"/>
    <w:rsid w:val="00786063"/>
    <w:rsid w:val="007860CA"/>
    <w:rsid w:val="00786A8A"/>
    <w:rsid w:val="00786C50"/>
    <w:rsid w:val="00787204"/>
    <w:rsid w:val="00787810"/>
    <w:rsid w:val="00787B18"/>
    <w:rsid w:val="007902C3"/>
    <w:rsid w:val="00790432"/>
    <w:rsid w:val="00790528"/>
    <w:rsid w:val="00790889"/>
    <w:rsid w:val="00790ABA"/>
    <w:rsid w:val="00790C7D"/>
    <w:rsid w:val="00790C9D"/>
    <w:rsid w:val="007910A7"/>
    <w:rsid w:val="00791A63"/>
    <w:rsid w:val="00791FD3"/>
    <w:rsid w:val="007922E0"/>
    <w:rsid w:val="007926C5"/>
    <w:rsid w:val="007928CD"/>
    <w:rsid w:val="00792E30"/>
    <w:rsid w:val="00793540"/>
    <w:rsid w:val="007936AC"/>
    <w:rsid w:val="00793BF7"/>
    <w:rsid w:val="007943E6"/>
    <w:rsid w:val="00794461"/>
    <w:rsid w:val="00794829"/>
    <w:rsid w:val="00794FF6"/>
    <w:rsid w:val="00795159"/>
    <w:rsid w:val="00795505"/>
    <w:rsid w:val="00795BBB"/>
    <w:rsid w:val="00795D4A"/>
    <w:rsid w:val="00795E88"/>
    <w:rsid w:val="00796D54"/>
    <w:rsid w:val="007A01CE"/>
    <w:rsid w:val="007A0316"/>
    <w:rsid w:val="007A07F2"/>
    <w:rsid w:val="007A09EE"/>
    <w:rsid w:val="007A1157"/>
    <w:rsid w:val="007A1365"/>
    <w:rsid w:val="007A15D3"/>
    <w:rsid w:val="007A1CCE"/>
    <w:rsid w:val="007A1E93"/>
    <w:rsid w:val="007A30F3"/>
    <w:rsid w:val="007A39D4"/>
    <w:rsid w:val="007A3E07"/>
    <w:rsid w:val="007A3ECC"/>
    <w:rsid w:val="007A42CF"/>
    <w:rsid w:val="007A471F"/>
    <w:rsid w:val="007A4868"/>
    <w:rsid w:val="007A4C7C"/>
    <w:rsid w:val="007A5380"/>
    <w:rsid w:val="007A579B"/>
    <w:rsid w:val="007A5A69"/>
    <w:rsid w:val="007A5EBC"/>
    <w:rsid w:val="007A5F0B"/>
    <w:rsid w:val="007A6339"/>
    <w:rsid w:val="007A6CE2"/>
    <w:rsid w:val="007A7192"/>
    <w:rsid w:val="007A797A"/>
    <w:rsid w:val="007B016E"/>
    <w:rsid w:val="007B02A0"/>
    <w:rsid w:val="007B05B0"/>
    <w:rsid w:val="007B0A9D"/>
    <w:rsid w:val="007B0CF8"/>
    <w:rsid w:val="007B1094"/>
    <w:rsid w:val="007B10C9"/>
    <w:rsid w:val="007B1119"/>
    <w:rsid w:val="007B12E2"/>
    <w:rsid w:val="007B12E8"/>
    <w:rsid w:val="007B158F"/>
    <w:rsid w:val="007B1956"/>
    <w:rsid w:val="007B1A3E"/>
    <w:rsid w:val="007B1DAE"/>
    <w:rsid w:val="007B2924"/>
    <w:rsid w:val="007B2D41"/>
    <w:rsid w:val="007B35AC"/>
    <w:rsid w:val="007B38DE"/>
    <w:rsid w:val="007B3F96"/>
    <w:rsid w:val="007B4339"/>
    <w:rsid w:val="007B4A2F"/>
    <w:rsid w:val="007B4B0D"/>
    <w:rsid w:val="007B55F4"/>
    <w:rsid w:val="007B5D5A"/>
    <w:rsid w:val="007B7088"/>
    <w:rsid w:val="007B715E"/>
    <w:rsid w:val="007B7197"/>
    <w:rsid w:val="007B7300"/>
    <w:rsid w:val="007B7492"/>
    <w:rsid w:val="007B79AB"/>
    <w:rsid w:val="007B7BB1"/>
    <w:rsid w:val="007B7BCD"/>
    <w:rsid w:val="007B7D10"/>
    <w:rsid w:val="007B7F2D"/>
    <w:rsid w:val="007B7FF5"/>
    <w:rsid w:val="007C03E5"/>
    <w:rsid w:val="007C099D"/>
    <w:rsid w:val="007C0A3C"/>
    <w:rsid w:val="007C0F1B"/>
    <w:rsid w:val="007C1077"/>
    <w:rsid w:val="007C1124"/>
    <w:rsid w:val="007C177B"/>
    <w:rsid w:val="007C1B09"/>
    <w:rsid w:val="007C1ED1"/>
    <w:rsid w:val="007C2055"/>
    <w:rsid w:val="007C2658"/>
    <w:rsid w:val="007C366B"/>
    <w:rsid w:val="007C37D6"/>
    <w:rsid w:val="007C3B33"/>
    <w:rsid w:val="007C3ED9"/>
    <w:rsid w:val="007C40E8"/>
    <w:rsid w:val="007C440C"/>
    <w:rsid w:val="007C48EA"/>
    <w:rsid w:val="007C4BC1"/>
    <w:rsid w:val="007C4C00"/>
    <w:rsid w:val="007C4D73"/>
    <w:rsid w:val="007C502E"/>
    <w:rsid w:val="007C58B9"/>
    <w:rsid w:val="007C5955"/>
    <w:rsid w:val="007C5FC2"/>
    <w:rsid w:val="007C6117"/>
    <w:rsid w:val="007C6179"/>
    <w:rsid w:val="007C63FF"/>
    <w:rsid w:val="007C64E5"/>
    <w:rsid w:val="007C6711"/>
    <w:rsid w:val="007C6C03"/>
    <w:rsid w:val="007C6C07"/>
    <w:rsid w:val="007C797B"/>
    <w:rsid w:val="007C7C26"/>
    <w:rsid w:val="007D04C9"/>
    <w:rsid w:val="007D0E2D"/>
    <w:rsid w:val="007D1372"/>
    <w:rsid w:val="007D1379"/>
    <w:rsid w:val="007D152C"/>
    <w:rsid w:val="007D1618"/>
    <w:rsid w:val="007D1998"/>
    <w:rsid w:val="007D1F4F"/>
    <w:rsid w:val="007D2098"/>
    <w:rsid w:val="007D21BE"/>
    <w:rsid w:val="007D23B2"/>
    <w:rsid w:val="007D2769"/>
    <w:rsid w:val="007D2B25"/>
    <w:rsid w:val="007D2DCA"/>
    <w:rsid w:val="007D333F"/>
    <w:rsid w:val="007D349A"/>
    <w:rsid w:val="007D470E"/>
    <w:rsid w:val="007D4BA6"/>
    <w:rsid w:val="007D4FE3"/>
    <w:rsid w:val="007D59C3"/>
    <w:rsid w:val="007D5A94"/>
    <w:rsid w:val="007D5AD8"/>
    <w:rsid w:val="007D60CB"/>
    <w:rsid w:val="007D7191"/>
    <w:rsid w:val="007D7193"/>
    <w:rsid w:val="007D71D1"/>
    <w:rsid w:val="007E01EE"/>
    <w:rsid w:val="007E0626"/>
    <w:rsid w:val="007E08E7"/>
    <w:rsid w:val="007E0DAE"/>
    <w:rsid w:val="007E1160"/>
    <w:rsid w:val="007E1344"/>
    <w:rsid w:val="007E1808"/>
    <w:rsid w:val="007E2379"/>
    <w:rsid w:val="007E237E"/>
    <w:rsid w:val="007E2BA1"/>
    <w:rsid w:val="007E2C30"/>
    <w:rsid w:val="007E2C87"/>
    <w:rsid w:val="007E3018"/>
    <w:rsid w:val="007E30D3"/>
    <w:rsid w:val="007E34E4"/>
    <w:rsid w:val="007E3767"/>
    <w:rsid w:val="007E44B9"/>
    <w:rsid w:val="007E4C88"/>
    <w:rsid w:val="007E4F9C"/>
    <w:rsid w:val="007E4FDD"/>
    <w:rsid w:val="007E5011"/>
    <w:rsid w:val="007E50E5"/>
    <w:rsid w:val="007E52CA"/>
    <w:rsid w:val="007E5393"/>
    <w:rsid w:val="007E5453"/>
    <w:rsid w:val="007E5494"/>
    <w:rsid w:val="007E5543"/>
    <w:rsid w:val="007E58DD"/>
    <w:rsid w:val="007E5DA2"/>
    <w:rsid w:val="007E5DEF"/>
    <w:rsid w:val="007E5EC3"/>
    <w:rsid w:val="007E5EDA"/>
    <w:rsid w:val="007E633B"/>
    <w:rsid w:val="007E64F0"/>
    <w:rsid w:val="007E68BD"/>
    <w:rsid w:val="007E69F1"/>
    <w:rsid w:val="007E6D8F"/>
    <w:rsid w:val="007E7026"/>
    <w:rsid w:val="007E724E"/>
    <w:rsid w:val="007E77B1"/>
    <w:rsid w:val="007E7A9B"/>
    <w:rsid w:val="007E7ABE"/>
    <w:rsid w:val="007E7C63"/>
    <w:rsid w:val="007E7FDF"/>
    <w:rsid w:val="007F00EE"/>
    <w:rsid w:val="007F023C"/>
    <w:rsid w:val="007F031E"/>
    <w:rsid w:val="007F0493"/>
    <w:rsid w:val="007F0786"/>
    <w:rsid w:val="007F0B51"/>
    <w:rsid w:val="007F0C60"/>
    <w:rsid w:val="007F110A"/>
    <w:rsid w:val="007F143C"/>
    <w:rsid w:val="007F18C7"/>
    <w:rsid w:val="007F19B9"/>
    <w:rsid w:val="007F1CD7"/>
    <w:rsid w:val="007F225C"/>
    <w:rsid w:val="007F267B"/>
    <w:rsid w:val="007F2BC8"/>
    <w:rsid w:val="007F2EDB"/>
    <w:rsid w:val="007F3415"/>
    <w:rsid w:val="007F365F"/>
    <w:rsid w:val="007F3CFC"/>
    <w:rsid w:val="007F42D6"/>
    <w:rsid w:val="007F4441"/>
    <w:rsid w:val="007F4955"/>
    <w:rsid w:val="007F5077"/>
    <w:rsid w:val="007F50AB"/>
    <w:rsid w:val="007F5295"/>
    <w:rsid w:val="007F5792"/>
    <w:rsid w:val="007F5887"/>
    <w:rsid w:val="007F5BD5"/>
    <w:rsid w:val="007F5F27"/>
    <w:rsid w:val="007F6BAF"/>
    <w:rsid w:val="007F6E92"/>
    <w:rsid w:val="007F703C"/>
    <w:rsid w:val="007F748E"/>
    <w:rsid w:val="007F771D"/>
    <w:rsid w:val="007F7BEB"/>
    <w:rsid w:val="007F7CA2"/>
    <w:rsid w:val="008007A8"/>
    <w:rsid w:val="00800854"/>
    <w:rsid w:val="00800F8D"/>
    <w:rsid w:val="008012CA"/>
    <w:rsid w:val="008017FE"/>
    <w:rsid w:val="00801A99"/>
    <w:rsid w:val="00801DFE"/>
    <w:rsid w:val="00802B3D"/>
    <w:rsid w:val="00802E07"/>
    <w:rsid w:val="00802E89"/>
    <w:rsid w:val="008033FE"/>
    <w:rsid w:val="00803539"/>
    <w:rsid w:val="00803D7E"/>
    <w:rsid w:val="00803D8B"/>
    <w:rsid w:val="00803E00"/>
    <w:rsid w:val="008040FD"/>
    <w:rsid w:val="008041D5"/>
    <w:rsid w:val="0080474C"/>
    <w:rsid w:val="0080493A"/>
    <w:rsid w:val="00804BC8"/>
    <w:rsid w:val="00804C46"/>
    <w:rsid w:val="008053B5"/>
    <w:rsid w:val="00805E2F"/>
    <w:rsid w:val="0080660B"/>
    <w:rsid w:val="0080668C"/>
    <w:rsid w:val="00806A11"/>
    <w:rsid w:val="008072A7"/>
    <w:rsid w:val="0080799C"/>
    <w:rsid w:val="00807A7F"/>
    <w:rsid w:val="008107C5"/>
    <w:rsid w:val="00810E0F"/>
    <w:rsid w:val="0081112C"/>
    <w:rsid w:val="00811449"/>
    <w:rsid w:val="008116D7"/>
    <w:rsid w:val="00811767"/>
    <w:rsid w:val="0081190F"/>
    <w:rsid w:val="00812663"/>
    <w:rsid w:val="00813040"/>
    <w:rsid w:val="0081329B"/>
    <w:rsid w:val="00813FF8"/>
    <w:rsid w:val="008140FD"/>
    <w:rsid w:val="00814CA7"/>
    <w:rsid w:val="00814FAF"/>
    <w:rsid w:val="0081506D"/>
    <w:rsid w:val="0081536F"/>
    <w:rsid w:val="008157EA"/>
    <w:rsid w:val="00816636"/>
    <w:rsid w:val="00816930"/>
    <w:rsid w:val="0081719A"/>
    <w:rsid w:val="00817CE7"/>
    <w:rsid w:val="0082018B"/>
    <w:rsid w:val="00820227"/>
    <w:rsid w:val="00820309"/>
    <w:rsid w:val="00820335"/>
    <w:rsid w:val="00820523"/>
    <w:rsid w:val="0082069E"/>
    <w:rsid w:val="00820F58"/>
    <w:rsid w:val="00821221"/>
    <w:rsid w:val="0082132F"/>
    <w:rsid w:val="00821916"/>
    <w:rsid w:val="00821F7D"/>
    <w:rsid w:val="008222F2"/>
    <w:rsid w:val="00822827"/>
    <w:rsid w:val="0082304B"/>
    <w:rsid w:val="0082375C"/>
    <w:rsid w:val="0082394F"/>
    <w:rsid w:val="00823D53"/>
    <w:rsid w:val="00824123"/>
    <w:rsid w:val="008245B3"/>
    <w:rsid w:val="00824693"/>
    <w:rsid w:val="00824C63"/>
    <w:rsid w:val="008253B9"/>
    <w:rsid w:val="008254D3"/>
    <w:rsid w:val="008255B0"/>
    <w:rsid w:val="00825751"/>
    <w:rsid w:val="00825835"/>
    <w:rsid w:val="008258F9"/>
    <w:rsid w:val="00825F45"/>
    <w:rsid w:val="00825FCB"/>
    <w:rsid w:val="0082626A"/>
    <w:rsid w:val="0082640D"/>
    <w:rsid w:val="008264E7"/>
    <w:rsid w:val="0082693F"/>
    <w:rsid w:val="0082696A"/>
    <w:rsid w:val="00826999"/>
    <w:rsid w:val="00826A1B"/>
    <w:rsid w:val="00826B9D"/>
    <w:rsid w:val="00827874"/>
    <w:rsid w:val="00827BD1"/>
    <w:rsid w:val="00827C40"/>
    <w:rsid w:val="00830171"/>
    <w:rsid w:val="00830879"/>
    <w:rsid w:val="00830AC4"/>
    <w:rsid w:val="00830BEF"/>
    <w:rsid w:val="00830F19"/>
    <w:rsid w:val="008310BB"/>
    <w:rsid w:val="00831639"/>
    <w:rsid w:val="00831954"/>
    <w:rsid w:val="00831B51"/>
    <w:rsid w:val="00831BDA"/>
    <w:rsid w:val="00832494"/>
    <w:rsid w:val="008328A4"/>
    <w:rsid w:val="00832902"/>
    <w:rsid w:val="00833295"/>
    <w:rsid w:val="008333C3"/>
    <w:rsid w:val="00833820"/>
    <w:rsid w:val="00833B0D"/>
    <w:rsid w:val="00833E1A"/>
    <w:rsid w:val="0083432F"/>
    <w:rsid w:val="008346F8"/>
    <w:rsid w:val="008347E4"/>
    <w:rsid w:val="00834896"/>
    <w:rsid w:val="00834B12"/>
    <w:rsid w:val="00834B63"/>
    <w:rsid w:val="008352D7"/>
    <w:rsid w:val="00835454"/>
    <w:rsid w:val="00835598"/>
    <w:rsid w:val="0083574E"/>
    <w:rsid w:val="0083590E"/>
    <w:rsid w:val="00835C51"/>
    <w:rsid w:val="00835DC0"/>
    <w:rsid w:val="008361D2"/>
    <w:rsid w:val="00836220"/>
    <w:rsid w:val="0083626B"/>
    <w:rsid w:val="008368CE"/>
    <w:rsid w:val="00836F27"/>
    <w:rsid w:val="0083728F"/>
    <w:rsid w:val="00840150"/>
    <w:rsid w:val="0084026C"/>
    <w:rsid w:val="00840492"/>
    <w:rsid w:val="00841DF7"/>
    <w:rsid w:val="00842D0F"/>
    <w:rsid w:val="00843116"/>
    <w:rsid w:val="008431C8"/>
    <w:rsid w:val="008432C7"/>
    <w:rsid w:val="0084334E"/>
    <w:rsid w:val="00843E5E"/>
    <w:rsid w:val="00844030"/>
    <w:rsid w:val="008440B1"/>
    <w:rsid w:val="008447AD"/>
    <w:rsid w:val="00844DF2"/>
    <w:rsid w:val="00845575"/>
    <w:rsid w:val="008456D1"/>
    <w:rsid w:val="00845E5D"/>
    <w:rsid w:val="00845E8E"/>
    <w:rsid w:val="008462E5"/>
    <w:rsid w:val="00846368"/>
    <w:rsid w:val="008466BE"/>
    <w:rsid w:val="0084675A"/>
    <w:rsid w:val="008467C6"/>
    <w:rsid w:val="00846980"/>
    <w:rsid w:val="008470B7"/>
    <w:rsid w:val="00847BC3"/>
    <w:rsid w:val="00847EAB"/>
    <w:rsid w:val="00850FD6"/>
    <w:rsid w:val="00851438"/>
    <w:rsid w:val="00851732"/>
    <w:rsid w:val="00851A92"/>
    <w:rsid w:val="00851F49"/>
    <w:rsid w:val="00852656"/>
    <w:rsid w:val="00852DD8"/>
    <w:rsid w:val="0085333B"/>
    <w:rsid w:val="00853F94"/>
    <w:rsid w:val="00854249"/>
    <w:rsid w:val="0085463A"/>
    <w:rsid w:val="008546D3"/>
    <w:rsid w:val="00854EBA"/>
    <w:rsid w:val="00854FEC"/>
    <w:rsid w:val="0085553F"/>
    <w:rsid w:val="008556BB"/>
    <w:rsid w:val="00855753"/>
    <w:rsid w:val="00855B2D"/>
    <w:rsid w:val="00855DB0"/>
    <w:rsid w:val="008563B6"/>
    <w:rsid w:val="0085644B"/>
    <w:rsid w:val="0085648D"/>
    <w:rsid w:val="0085721C"/>
    <w:rsid w:val="00857673"/>
    <w:rsid w:val="00857AC5"/>
    <w:rsid w:val="00857BB1"/>
    <w:rsid w:val="00857BCA"/>
    <w:rsid w:val="00857C74"/>
    <w:rsid w:val="008604F8"/>
    <w:rsid w:val="008609FA"/>
    <w:rsid w:val="00860DFC"/>
    <w:rsid w:val="00861222"/>
    <w:rsid w:val="00861DF3"/>
    <w:rsid w:val="00861E6B"/>
    <w:rsid w:val="008626B1"/>
    <w:rsid w:val="008628D3"/>
    <w:rsid w:val="00862A69"/>
    <w:rsid w:val="00862B9C"/>
    <w:rsid w:val="00862BC0"/>
    <w:rsid w:val="00862E5E"/>
    <w:rsid w:val="00863654"/>
    <w:rsid w:val="008636F1"/>
    <w:rsid w:val="0086378E"/>
    <w:rsid w:val="008639CA"/>
    <w:rsid w:val="00863B28"/>
    <w:rsid w:val="00864075"/>
    <w:rsid w:val="00864233"/>
    <w:rsid w:val="00864633"/>
    <w:rsid w:val="008646F3"/>
    <w:rsid w:val="00864D02"/>
    <w:rsid w:val="00865117"/>
    <w:rsid w:val="008653AD"/>
    <w:rsid w:val="008656EE"/>
    <w:rsid w:val="0086575A"/>
    <w:rsid w:val="008658EC"/>
    <w:rsid w:val="00865B1B"/>
    <w:rsid w:val="00865B8D"/>
    <w:rsid w:val="00865DB4"/>
    <w:rsid w:val="00865F3E"/>
    <w:rsid w:val="00865F75"/>
    <w:rsid w:val="0086623D"/>
    <w:rsid w:val="008665ED"/>
    <w:rsid w:val="008666AB"/>
    <w:rsid w:val="00866867"/>
    <w:rsid w:val="00866C0E"/>
    <w:rsid w:val="0086712F"/>
    <w:rsid w:val="0086732C"/>
    <w:rsid w:val="0086759A"/>
    <w:rsid w:val="008677F7"/>
    <w:rsid w:val="008679A0"/>
    <w:rsid w:val="008703D4"/>
    <w:rsid w:val="00870969"/>
    <w:rsid w:val="0087137F"/>
    <w:rsid w:val="00871481"/>
    <w:rsid w:val="0087181A"/>
    <w:rsid w:val="00871DC5"/>
    <w:rsid w:val="00871E56"/>
    <w:rsid w:val="008734AD"/>
    <w:rsid w:val="0087357E"/>
    <w:rsid w:val="00873835"/>
    <w:rsid w:val="008740C3"/>
    <w:rsid w:val="00874292"/>
    <w:rsid w:val="0087433B"/>
    <w:rsid w:val="00874570"/>
    <w:rsid w:val="008747F2"/>
    <w:rsid w:val="00874CFA"/>
    <w:rsid w:val="008750AE"/>
    <w:rsid w:val="0087551F"/>
    <w:rsid w:val="008756DA"/>
    <w:rsid w:val="00875F4C"/>
    <w:rsid w:val="008766B5"/>
    <w:rsid w:val="0087706A"/>
    <w:rsid w:val="00877184"/>
    <w:rsid w:val="00877960"/>
    <w:rsid w:val="00877B6E"/>
    <w:rsid w:val="00877D76"/>
    <w:rsid w:val="00880188"/>
    <w:rsid w:val="0088050B"/>
    <w:rsid w:val="008806E8"/>
    <w:rsid w:val="00880D94"/>
    <w:rsid w:val="00881243"/>
    <w:rsid w:val="008816C8"/>
    <w:rsid w:val="00881B4C"/>
    <w:rsid w:val="00881BC9"/>
    <w:rsid w:val="008823AA"/>
    <w:rsid w:val="0088274C"/>
    <w:rsid w:val="008827CA"/>
    <w:rsid w:val="00882840"/>
    <w:rsid w:val="00882DD8"/>
    <w:rsid w:val="00883253"/>
    <w:rsid w:val="00883414"/>
    <w:rsid w:val="0088363D"/>
    <w:rsid w:val="008836B9"/>
    <w:rsid w:val="008838E2"/>
    <w:rsid w:val="00883E81"/>
    <w:rsid w:val="00883F63"/>
    <w:rsid w:val="008842A1"/>
    <w:rsid w:val="00884649"/>
    <w:rsid w:val="00884873"/>
    <w:rsid w:val="00885844"/>
    <w:rsid w:val="00885C8F"/>
    <w:rsid w:val="00886A50"/>
    <w:rsid w:val="00886CD5"/>
    <w:rsid w:val="00887018"/>
    <w:rsid w:val="00887DE0"/>
    <w:rsid w:val="0089010E"/>
    <w:rsid w:val="00890403"/>
    <w:rsid w:val="00890A79"/>
    <w:rsid w:val="00890B8B"/>
    <w:rsid w:val="00890C0E"/>
    <w:rsid w:val="008919F7"/>
    <w:rsid w:val="00891BED"/>
    <w:rsid w:val="008924E2"/>
    <w:rsid w:val="00892629"/>
    <w:rsid w:val="00892630"/>
    <w:rsid w:val="00892640"/>
    <w:rsid w:val="00892C88"/>
    <w:rsid w:val="00893C6D"/>
    <w:rsid w:val="00895531"/>
    <w:rsid w:val="00895D27"/>
    <w:rsid w:val="008968A0"/>
    <w:rsid w:val="008968C2"/>
    <w:rsid w:val="00896907"/>
    <w:rsid w:val="008970E2"/>
    <w:rsid w:val="008971C6"/>
    <w:rsid w:val="008971F2"/>
    <w:rsid w:val="0089743A"/>
    <w:rsid w:val="00897728"/>
    <w:rsid w:val="0089790E"/>
    <w:rsid w:val="008A05A0"/>
    <w:rsid w:val="008A078B"/>
    <w:rsid w:val="008A0ED4"/>
    <w:rsid w:val="008A1536"/>
    <w:rsid w:val="008A20F7"/>
    <w:rsid w:val="008A2235"/>
    <w:rsid w:val="008A23D2"/>
    <w:rsid w:val="008A2FAC"/>
    <w:rsid w:val="008A3A10"/>
    <w:rsid w:val="008A3DB2"/>
    <w:rsid w:val="008A45FA"/>
    <w:rsid w:val="008A4611"/>
    <w:rsid w:val="008A47A1"/>
    <w:rsid w:val="008A48D1"/>
    <w:rsid w:val="008A4B0A"/>
    <w:rsid w:val="008A4E65"/>
    <w:rsid w:val="008A4ECB"/>
    <w:rsid w:val="008A5056"/>
    <w:rsid w:val="008A5456"/>
    <w:rsid w:val="008A5661"/>
    <w:rsid w:val="008A5B8F"/>
    <w:rsid w:val="008A5C9A"/>
    <w:rsid w:val="008A5CB1"/>
    <w:rsid w:val="008A61B1"/>
    <w:rsid w:val="008A62BC"/>
    <w:rsid w:val="008A7835"/>
    <w:rsid w:val="008A7A81"/>
    <w:rsid w:val="008A7ABC"/>
    <w:rsid w:val="008B0950"/>
    <w:rsid w:val="008B139F"/>
    <w:rsid w:val="008B13C0"/>
    <w:rsid w:val="008B1738"/>
    <w:rsid w:val="008B1C40"/>
    <w:rsid w:val="008B1E78"/>
    <w:rsid w:val="008B2095"/>
    <w:rsid w:val="008B2950"/>
    <w:rsid w:val="008B29F1"/>
    <w:rsid w:val="008B2E02"/>
    <w:rsid w:val="008B3935"/>
    <w:rsid w:val="008B3948"/>
    <w:rsid w:val="008B3EF2"/>
    <w:rsid w:val="008B4416"/>
    <w:rsid w:val="008B55DF"/>
    <w:rsid w:val="008B5A3A"/>
    <w:rsid w:val="008B6377"/>
    <w:rsid w:val="008B689A"/>
    <w:rsid w:val="008B6EB3"/>
    <w:rsid w:val="008B754C"/>
    <w:rsid w:val="008B7AE0"/>
    <w:rsid w:val="008B7C0C"/>
    <w:rsid w:val="008B7D39"/>
    <w:rsid w:val="008C002F"/>
    <w:rsid w:val="008C033B"/>
    <w:rsid w:val="008C0914"/>
    <w:rsid w:val="008C0E3F"/>
    <w:rsid w:val="008C1478"/>
    <w:rsid w:val="008C18B7"/>
    <w:rsid w:val="008C233D"/>
    <w:rsid w:val="008C2918"/>
    <w:rsid w:val="008C294E"/>
    <w:rsid w:val="008C2980"/>
    <w:rsid w:val="008C3829"/>
    <w:rsid w:val="008C3C22"/>
    <w:rsid w:val="008C4300"/>
    <w:rsid w:val="008C43DC"/>
    <w:rsid w:val="008C455B"/>
    <w:rsid w:val="008C4948"/>
    <w:rsid w:val="008C4E79"/>
    <w:rsid w:val="008C5416"/>
    <w:rsid w:val="008C5585"/>
    <w:rsid w:val="008C55D3"/>
    <w:rsid w:val="008C59F0"/>
    <w:rsid w:val="008C5D66"/>
    <w:rsid w:val="008C65DA"/>
    <w:rsid w:val="008C6604"/>
    <w:rsid w:val="008C67A3"/>
    <w:rsid w:val="008C69C9"/>
    <w:rsid w:val="008C6B85"/>
    <w:rsid w:val="008C6D02"/>
    <w:rsid w:val="008C6EDE"/>
    <w:rsid w:val="008C78C5"/>
    <w:rsid w:val="008C7DBB"/>
    <w:rsid w:val="008D034B"/>
    <w:rsid w:val="008D0C75"/>
    <w:rsid w:val="008D0F2F"/>
    <w:rsid w:val="008D0FEE"/>
    <w:rsid w:val="008D10EC"/>
    <w:rsid w:val="008D1106"/>
    <w:rsid w:val="008D1172"/>
    <w:rsid w:val="008D16A3"/>
    <w:rsid w:val="008D16BA"/>
    <w:rsid w:val="008D186F"/>
    <w:rsid w:val="008D19D9"/>
    <w:rsid w:val="008D1D04"/>
    <w:rsid w:val="008D1D50"/>
    <w:rsid w:val="008D1D7C"/>
    <w:rsid w:val="008D1DF5"/>
    <w:rsid w:val="008D2B9D"/>
    <w:rsid w:val="008D2D79"/>
    <w:rsid w:val="008D38CD"/>
    <w:rsid w:val="008D3B16"/>
    <w:rsid w:val="008D3B19"/>
    <w:rsid w:val="008D3FE8"/>
    <w:rsid w:val="008D428C"/>
    <w:rsid w:val="008D47AC"/>
    <w:rsid w:val="008D49C7"/>
    <w:rsid w:val="008D4CAB"/>
    <w:rsid w:val="008D4F59"/>
    <w:rsid w:val="008D5A27"/>
    <w:rsid w:val="008D5B22"/>
    <w:rsid w:val="008D5E89"/>
    <w:rsid w:val="008D6181"/>
    <w:rsid w:val="008D61BB"/>
    <w:rsid w:val="008D62ED"/>
    <w:rsid w:val="008D669C"/>
    <w:rsid w:val="008D66B2"/>
    <w:rsid w:val="008D6732"/>
    <w:rsid w:val="008D6ACC"/>
    <w:rsid w:val="008D6D62"/>
    <w:rsid w:val="008D6F64"/>
    <w:rsid w:val="008D7AF7"/>
    <w:rsid w:val="008D7E5B"/>
    <w:rsid w:val="008E0B74"/>
    <w:rsid w:val="008E0DAE"/>
    <w:rsid w:val="008E1614"/>
    <w:rsid w:val="008E17F0"/>
    <w:rsid w:val="008E200B"/>
    <w:rsid w:val="008E216D"/>
    <w:rsid w:val="008E227E"/>
    <w:rsid w:val="008E2433"/>
    <w:rsid w:val="008E24F3"/>
    <w:rsid w:val="008E2976"/>
    <w:rsid w:val="008E2E31"/>
    <w:rsid w:val="008E3C76"/>
    <w:rsid w:val="008E3F34"/>
    <w:rsid w:val="008E4971"/>
    <w:rsid w:val="008E4BB6"/>
    <w:rsid w:val="008E4CAF"/>
    <w:rsid w:val="008E58F0"/>
    <w:rsid w:val="008E5A12"/>
    <w:rsid w:val="008E6192"/>
    <w:rsid w:val="008E6231"/>
    <w:rsid w:val="008E6383"/>
    <w:rsid w:val="008E6576"/>
    <w:rsid w:val="008E6879"/>
    <w:rsid w:val="008E689B"/>
    <w:rsid w:val="008E6CA8"/>
    <w:rsid w:val="008E6D22"/>
    <w:rsid w:val="008E6DAB"/>
    <w:rsid w:val="008E7424"/>
    <w:rsid w:val="008F0472"/>
    <w:rsid w:val="008F07FB"/>
    <w:rsid w:val="008F0A3A"/>
    <w:rsid w:val="008F12F5"/>
    <w:rsid w:val="008F1529"/>
    <w:rsid w:val="008F2595"/>
    <w:rsid w:val="008F2683"/>
    <w:rsid w:val="008F2756"/>
    <w:rsid w:val="008F2762"/>
    <w:rsid w:val="008F276F"/>
    <w:rsid w:val="008F2819"/>
    <w:rsid w:val="008F2F6D"/>
    <w:rsid w:val="008F3807"/>
    <w:rsid w:val="008F432D"/>
    <w:rsid w:val="008F4813"/>
    <w:rsid w:val="008F5268"/>
    <w:rsid w:val="008F566E"/>
    <w:rsid w:val="008F58AB"/>
    <w:rsid w:val="008F5954"/>
    <w:rsid w:val="008F5A21"/>
    <w:rsid w:val="008F5A2F"/>
    <w:rsid w:val="008F6033"/>
    <w:rsid w:val="008F6446"/>
    <w:rsid w:val="008F64AA"/>
    <w:rsid w:val="008F67D8"/>
    <w:rsid w:val="008F6B73"/>
    <w:rsid w:val="008F7302"/>
    <w:rsid w:val="008F7516"/>
    <w:rsid w:val="008F76A0"/>
    <w:rsid w:val="00900455"/>
    <w:rsid w:val="00900809"/>
    <w:rsid w:val="00900E11"/>
    <w:rsid w:val="00900F94"/>
    <w:rsid w:val="0090116D"/>
    <w:rsid w:val="009013CB"/>
    <w:rsid w:val="009017DA"/>
    <w:rsid w:val="0090194D"/>
    <w:rsid w:val="00901DD4"/>
    <w:rsid w:val="00902390"/>
    <w:rsid w:val="00902477"/>
    <w:rsid w:val="009024A9"/>
    <w:rsid w:val="009026C4"/>
    <w:rsid w:val="009026E2"/>
    <w:rsid w:val="00902B6B"/>
    <w:rsid w:val="00902D55"/>
    <w:rsid w:val="00902E08"/>
    <w:rsid w:val="009031A5"/>
    <w:rsid w:val="009033FA"/>
    <w:rsid w:val="009038BB"/>
    <w:rsid w:val="00903A35"/>
    <w:rsid w:val="00903BCA"/>
    <w:rsid w:val="00903C9B"/>
    <w:rsid w:val="0090437E"/>
    <w:rsid w:val="00904609"/>
    <w:rsid w:val="00904686"/>
    <w:rsid w:val="00904948"/>
    <w:rsid w:val="00904DC2"/>
    <w:rsid w:val="0090539E"/>
    <w:rsid w:val="00905AE1"/>
    <w:rsid w:val="00905B51"/>
    <w:rsid w:val="00905B8C"/>
    <w:rsid w:val="00905D4D"/>
    <w:rsid w:val="009063AA"/>
    <w:rsid w:val="0090665E"/>
    <w:rsid w:val="00906A6F"/>
    <w:rsid w:val="00906B09"/>
    <w:rsid w:val="00906CCA"/>
    <w:rsid w:val="00907082"/>
    <w:rsid w:val="00907143"/>
    <w:rsid w:val="0090743C"/>
    <w:rsid w:val="009075F5"/>
    <w:rsid w:val="009076C6"/>
    <w:rsid w:val="00907815"/>
    <w:rsid w:val="009078D4"/>
    <w:rsid w:val="00907C7F"/>
    <w:rsid w:val="009107D8"/>
    <w:rsid w:val="00910B7D"/>
    <w:rsid w:val="00910E73"/>
    <w:rsid w:val="00911546"/>
    <w:rsid w:val="00911654"/>
    <w:rsid w:val="00911699"/>
    <w:rsid w:val="00911897"/>
    <w:rsid w:val="00912442"/>
    <w:rsid w:val="00913016"/>
    <w:rsid w:val="009134CB"/>
    <w:rsid w:val="00913B6A"/>
    <w:rsid w:val="00913DEF"/>
    <w:rsid w:val="00914040"/>
    <w:rsid w:val="0091446B"/>
    <w:rsid w:val="00914732"/>
    <w:rsid w:val="00914808"/>
    <w:rsid w:val="00914C9B"/>
    <w:rsid w:val="00914E6C"/>
    <w:rsid w:val="009150A7"/>
    <w:rsid w:val="0091533D"/>
    <w:rsid w:val="009153C9"/>
    <w:rsid w:val="0091581A"/>
    <w:rsid w:val="00915FFC"/>
    <w:rsid w:val="0091643F"/>
    <w:rsid w:val="00916B82"/>
    <w:rsid w:val="00917972"/>
    <w:rsid w:val="009179C1"/>
    <w:rsid w:val="00920A15"/>
    <w:rsid w:val="00920B80"/>
    <w:rsid w:val="00921606"/>
    <w:rsid w:val="00921935"/>
    <w:rsid w:val="009219E8"/>
    <w:rsid w:val="00921D62"/>
    <w:rsid w:val="00922422"/>
    <w:rsid w:val="00922729"/>
    <w:rsid w:val="00922CB3"/>
    <w:rsid w:val="00923586"/>
    <w:rsid w:val="00923A25"/>
    <w:rsid w:val="00923FC8"/>
    <w:rsid w:val="0092425E"/>
    <w:rsid w:val="0092450B"/>
    <w:rsid w:val="009247D4"/>
    <w:rsid w:val="0092481E"/>
    <w:rsid w:val="009249AE"/>
    <w:rsid w:val="00924A2E"/>
    <w:rsid w:val="00924E20"/>
    <w:rsid w:val="00924F60"/>
    <w:rsid w:val="0092525F"/>
    <w:rsid w:val="0092552A"/>
    <w:rsid w:val="009258BE"/>
    <w:rsid w:val="00926954"/>
    <w:rsid w:val="00926F04"/>
    <w:rsid w:val="0092724C"/>
    <w:rsid w:val="0092B2B2"/>
    <w:rsid w:val="0093086D"/>
    <w:rsid w:val="00930BBC"/>
    <w:rsid w:val="0093174D"/>
    <w:rsid w:val="009318F5"/>
    <w:rsid w:val="009323C4"/>
    <w:rsid w:val="00932492"/>
    <w:rsid w:val="00932BE2"/>
    <w:rsid w:val="00932C73"/>
    <w:rsid w:val="00932CCD"/>
    <w:rsid w:val="00932D3E"/>
    <w:rsid w:val="00932DD4"/>
    <w:rsid w:val="009331F5"/>
    <w:rsid w:val="009332EF"/>
    <w:rsid w:val="00933DFE"/>
    <w:rsid w:val="00934112"/>
    <w:rsid w:val="0093425C"/>
    <w:rsid w:val="00934921"/>
    <w:rsid w:val="00934A8F"/>
    <w:rsid w:val="00934CA9"/>
    <w:rsid w:val="0093533E"/>
    <w:rsid w:val="00935402"/>
    <w:rsid w:val="0093542A"/>
    <w:rsid w:val="00935AF5"/>
    <w:rsid w:val="00935B0E"/>
    <w:rsid w:val="00935E07"/>
    <w:rsid w:val="00935E66"/>
    <w:rsid w:val="00936E4F"/>
    <w:rsid w:val="009377BB"/>
    <w:rsid w:val="00937BA8"/>
    <w:rsid w:val="00937C78"/>
    <w:rsid w:val="0094030E"/>
    <w:rsid w:val="00940324"/>
    <w:rsid w:val="0094037C"/>
    <w:rsid w:val="009405D1"/>
    <w:rsid w:val="00940856"/>
    <w:rsid w:val="0094093B"/>
    <w:rsid w:val="0094127C"/>
    <w:rsid w:val="009414C7"/>
    <w:rsid w:val="00942A1C"/>
    <w:rsid w:val="00942E74"/>
    <w:rsid w:val="00942F17"/>
    <w:rsid w:val="00943403"/>
    <w:rsid w:val="00943A1C"/>
    <w:rsid w:val="009448FA"/>
    <w:rsid w:val="00944AEB"/>
    <w:rsid w:val="00944E1A"/>
    <w:rsid w:val="00944E5D"/>
    <w:rsid w:val="00944F05"/>
    <w:rsid w:val="00945672"/>
    <w:rsid w:val="009456F8"/>
    <w:rsid w:val="0094586D"/>
    <w:rsid w:val="00945BD6"/>
    <w:rsid w:val="00945FA8"/>
    <w:rsid w:val="009460D2"/>
    <w:rsid w:val="0094610C"/>
    <w:rsid w:val="009463EF"/>
    <w:rsid w:val="009468C8"/>
    <w:rsid w:val="00946C5A"/>
    <w:rsid w:val="00946E08"/>
    <w:rsid w:val="009474E0"/>
    <w:rsid w:val="009474E2"/>
    <w:rsid w:val="00947622"/>
    <w:rsid w:val="009479AE"/>
    <w:rsid w:val="00947D72"/>
    <w:rsid w:val="00950393"/>
    <w:rsid w:val="00950C0F"/>
    <w:rsid w:val="00952144"/>
    <w:rsid w:val="0095273B"/>
    <w:rsid w:val="009528E0"/>
    <w:rsid w:val="0095312A"/>
    <w:rsid w:val="0095337E"/>
    <w:rsid w:val="00953830"/>
    <w:rsid w:val="00954039"/>
    <w:rsid w:val="009542DF"/>
    <w:rsid w:val="009549D7"/>
    <w:rsid w:val="00954D07"/>
    <w:rsid w:val="00954FF0"/>
    <w:rsid w:val="00955258"/>
    <w:rsid w:val="00955ABE"/>
    <w:rsid w:val="00955B47"/>
    <w:rsid w:val="009560DC"/>
    <w:rsid w:val="0095637C"/>
    <w:rsid w:val="00956395"/>
    <w:rsid w:val="00956E48"/>
    <w:rsid w:val="00956E50"/>
    <w:rsid w:val="00957024"/>
    <w:rsid w:val="0095711B"/>
    <w:rsid w:val="0095745A"/>
    <w:rsid w:val="009574E7"/>
    <w:rsid w:val="00957A37"/>
    <w:rsid w:val="00957AE2"/>
    <w:rsid w:val="00957EC6"/>
    <w:rsid w:val="00960040"/>
    <w:rsid w:val="00960C1A"/>
    <w:rsid w:val="00961138"/>
    <w:rsid w:val="009612EA"/>
    <w:rsid w:val="00961660"/>
    <w:rsid w:val="0096190B"/>
    <w:rsid w:val="009622D5"/>
    <w:rsid w:val="00962A41"/>
    <w:rsid w:val="00962E3A"/>
    <w:rsid w:val="00962F08"/>
    <w:rsid w:val="00962FB2"/>
    <w:rsid w:val="00963003"/>
    <w:rsid w:val="009631F4"/>
    <w:rsid w:val="00963296"/>
    <w:rsid w:val="009632BB"/>
    <w:rsid w:val="0096358E"/>
    <w:rsid w:val="009635CB"/>
    <w:rsid w:val="00963787"/>
    <w:rsid w:val="009638D7"/>
    <w:rsid w:val="00963C17"/>
    <w:rsid w:val="00963F03"/>
    <w:rsid w:val="00964B73"/>
    <w:rsid w:val="00964DE1"/>
    <w:rsid w:val="0096525F"/>
    <w:rsid w:val="00965538"/>
    <w:rsid w:val="00965B80"/>
    <w:rsid w:val="00965CD7"/>
    <w:rsid w:val="0096654B"/>
    <w:rsid w:val="00966620"/>
    <w:rsid w:val="009666C4"/>
    <w:rsid w:val="00966985"/>
    <w:rsid w:val="00966C85"/>
    <w:rsid w:val="00966DC8"/>
    <w:rsid w:val="00966DCF"/>
    <w:rsid w:val="009674AF"/>
    <w:rsid w:val="0096750F"/>
    <w:rsid w:val="0096763A"/>
    <w:rsid w:val="00970B36"/>
    <w:rsid w:val="009711D4"/>
    <w:rsid w:val="00971682"/>
    <w:rsid w:val="00972658"/>
    <w:rsid w:val="00972A18"/>
    <w:rsid w:val="00973044"/>
    <w:rsid w:val="0097326A"/>
    <w:rsid w:val="00973394"/>
    <w:rsid w:val="009736AF"/>
    <w:rsid w:val="009738E0"/>
    <w:rsid w:val="00973A2E"/>
    <w:rsid w:val="00973EA0"/>
    <w:rsid w:val="0097409C"/>
    <w:rsid w:val="0097450C"/>
    <w:rsid w:val="00975A13"/>
    <w:rsid w:val="00975DAB"/>
    <w:rsid w:val="00976054"/>
    <w:rsid w:val="0097773C"/>
    <w:rsid w:val="0097779D"/>
    <w:rsid w:val="00977B1D"/>
    <w:rsid w:val="00980788"/>
    <w:rsid w:val="00980A07"/>
    <w:rsid w:val="00980A65"/>
    <w:rsid w:val="00980BA6"/>
    <w:rsid w:val="00980ED9"/>
    <w:rsid w:val="009810AE"/>
    <w:rsid w:val="0098133C"/>
    <w:rsid w:val="0098146D"/>
    <w:rsid w:val="00981A7D"/>
    <w:rsid w:val="00981D82"/>
    <w:rsid w:val="00982165"/>
    <w:rsid w:val="00982C89"/>
    <w:rsid w:val="00983051"/>
    <w:rsid w:val="00983808"/>
    <w:rsid w:val="00983C4E"/>
    <w:rsid w:val="00983EC7"/>
    <w:rsid w:val="00984593"/>
    <w:rsid w:val="009849A3"/>
    <w:rsid w:val="00984A72"/>
    <w:rsid w:val="00984F0B"/>
    <w:rsid w:val="00985313"/>
    <w:rsid w:val="009854DF"/>
    <w:rsid w:val="0098598A"/>
    <w:rsid w:val="0098599F"/>
    <w:rsid w:val="00986416"/>
    <w:rsid w:val="00986574"/>
    <w:rsid w:val="00986636"/>
    <w:rsid w:val="00986A47"/>
    <w:rsid w:val="00986A65"/>
    <w:rsid w:val="00986A98"/>
    <w:rsid w:val="00986CDA"/>
    <w:rsid w:val="00986E07"/>
    <w:rsid w:val="0098722E"/>
    <w:rsid w:val="00987785"/>
    <w:rsid w:val="009878F4"/>
    <w:rsid w:val="00990392"/>
    <w:rsid w:val="0099094D"/>
    <w:rsid w:val="00990A98"/>
    <w:rsid w:val="009914E4"/>
    <w:rsid w:val="00991849"/>
    <w:rsid w:val="0099184F"/>
    <w:rsid w:val="00992D8A"/>
    <w:rsid w:val="009930F6"/>
    <w:rsid w:val="00993639"/>
    <w:rsid w:val="00994452"/>
    <w:rsid w:val="009945ED"/>
    <w:rsid w:val="00994CBE"/>
    <w:rsid w:val="00994F72"/>
    <w:rsid w:val="00995347"/>
    <w:rsid w:val="009957C8"/>
    <w:rsid w:val="00995A05"/>
    <w:rsid w:val="00995A9B"/>
    <w:rsid w:val="00995E5C"/>
    <w:rsid w:val="00995ECB"/>
    <w:rsid w:val="009960D4"/>
    <w:rsid w:val="009961E7"/>
    <w:rsid w:val="009967A4"/>
    <w:rsid w:val="00996C27"/>
    <w:rsid w:val="00996E16"/>
    <w:rsid w:val="0099751C"/>
    <w:rsid w:val="00997B12"/>
    <w:rsid w:val="00997C01"/>
    <w:rsid w:val="00997EDE"/>
    <w:rsid w:val="009A0395"/>
    <w:rsid w:val="009A0425"/>
    <w:rsid w:val="009A0A3A"/>
    <w:rsid w:val="009A0BFF"/>
    <w:rsid w:val="009A1355"/>
    <w:rsid w:val="009A1D1C"/>
    <w:rsid w:val="009A2230"/>
    <w:rsid w:val="009A2753"/>
    <w:rsid w:val="009A2A9A"/>
    <w:rsid w:val="009A2DD6"/>
    <w:rsid w:val="009A3096"/>
    <w:rsid w:val="009A30DD"/>
    <w:rsid w:val="009A3237"/>
    <w:rsid w:val="009A3DD2"/>
    <w:rsid w:val="009A3E55"/>
    <w:rsid w:val="009A4133"/>
    <w:rsid w:val="009A423F"/>
    <w:rsid w:val="009A469B"/>
    <w:rsid w:val="009A492A"/>
    <w:rsid w:val="009A4BC3"/>
    <w:rsid w:val="009A5985"/>
    <w:rsid w:val="009A5B9C"/>
    <w:rsid w:val="009A5BE0"/>
    <w:rsid w:val="009A6327"/>
    <w:rsid w:val="009A63B3"/>
    <w:rsid w:val="009A67E5"/>
    <w:rsid w:val="009A6DEE"/>
    <w:rsid w:val="009A6FEB"/>
    <w:rsid w:val="009A7A48"/>
    <w:rsid w:val="009A7ACF"/>
    <w:rsid w:val="009A7F12"/>
    <w:rsid w:val="009B03B0"/>
    <w:rsid w:val="009B03F6"/>
    <w:rsid w:val="009B0935"/>
    <w:rsid w:val="009B0AD1"/>
    <w:rsid w:val="009B11A1"/>
    <w:rsid w:val="009B131B"/>
    <w:rsid w:val="009B1E16"/>
    <w:rsid w:val="009B21E4"/>
    <w:rsid w:val="009B29BA"/>
    <w:rsid w:val="009B2DF6"/>
    <w:rsid w:val="009B3298"/>
    <w:rsid w:val="009B3879"/>
    <w:rsid w:val="009B3EC8"/>
    <w:rsid w:val="009B3EE6"/>
    <w:rsid w:val="009B404F"/>
    <w:rsid w:val="009B4259"/>
    <w:rsid w:val="009B4283"/>
    <w:rsid w:val="009B5676"/>
    <w:rsid w:val="009B5995"/>
    <w:rsid w:val="009B61ED"/>
    <w:rsid w:val="009B63E2"/>
    <w:rsid w:val="009B666B"/>
    <w:rsid w:val="009B71B3"/>
    <w:rsid w:val="009B7273"/>
    <w:rsid w:val="009B7301"/>
    <w:rsid w:val="009B78DD"/>
    <w:rsid w:val="009B7C1B"/>
    <w:rsid w:val="009B7F0A"/>
    <w:rsid w:val="009C0382"/>
    <w:rsid w:val="009C0F3C"/>
    <w:rsid w:val="009C22E6"/>
    <w:rsid w:val="009C24BA"/>
    <w:rsid w:val="009C2766"/>
    <w:rsid w:val="009C2778"/>
    <w:rsid w:val="009C2D17"/>
    <w:rsid w:val="009C3161"/>
    <w:rsid w:val="009C34ED"/>
    <w:rsid w:val="009C3524"/>
    <w:rsid w:val="009C3BE3"/>
    <w:rsid w:val="009C423A"/>
    <w:rsid w:val="009C429A"/>
    <w:rsid w:val="009C4559"/>
    <w:rsid w:val="009C48ED"/>
    <w:rsid w:val="009C49DA"/>
    <w:rsid w:val="009C4C60"/>
    <w:rsid w:val="009C58C0"/>
    <w:rsid w:val="009C594A"/>
    <w:rsid w:val="009C5BCF"/>
    <w:rsid w:val="009C5DAB"/>
    <w:rsid w:val="009C5ED5"/>
    <w:rsid w:val="009C6370"/>
    <w:rsid w:val="009C6A3D"/>
    <w:rsid w:val="009C6A6E"/>
    <w:rsid w:val="009C730B"/>
    <w:rsid w:val="009C73A1"/>
    <w:rsid w:val="009C76F5"/>
    <w:rsid w:val="009C7B3C"/>
    <w:rsid w:val="009C7B9D"/>
    <w:rsid w:val="009D02A1"/>
    <w:rsid w:val="009D0531"/>
    <w:rsid w:val="009D0540"/>
    <w:rsid w:val="009D07F4"/>
    <w:rsid w:val="009D0A6B"/>
    <w:rsid w:val="009D0F65"/>
    <w:rsid w:val="009D1B65"/>
    <w:rsid w:val="009D1BC4"/>
    <w:rsid w:val="009D1FE1"/>
    <w:rsid w:val="009D28E4"/>
    <w:rsid w:val="009D29D2"/>
    <w:rsid w:val="009D2A23"/>
    <w:rsid w:val="009D2BE7"/>
    <w:rsid w:val="009D2C47"/>
    <w:rsid w:val="009D2F88"/>
    <w:rsid w:val="009D3385"/>
    <w:rsid w:val="009D3825"/>
    <w:rsid w:val="009D44E4"/>
    <w:rsid w:val="009D4C46"/>
    <w:rsid w:val="009D503B"/>
    <w:rsid w:val="009D513D"/>
    <w:rsid w:val="009D56EE"/>
    <w:rsid w:val="009D5761"/>
    <w:rsid w:val="009D5EA1"/>
    <w:rsid w:val="009D65B8"/>
    <w:rsid w:val="009D65DE"/>
    <w:rsid w:val="009D65F5"/>
    <w:rsid w:val="009D6706"/>
    <w:rsid w:val="009D6BBA"/>
    <w:rsid w:val="009D70F9"/>
    <w:rsid w:val="009D7777"/>
    <w:rsid w:val="009D7D55"/>
    <w:rsid w:val="009E0D48"/>
    <w:rsid w:val="009E0FEF"/>
    <w:rsid w:val="009E0FF4"/>
    <w:rsid w:val="009E10FF"/>
    <w:rsid w:val="009E124E"/>
    <w:rsid w:val="009E153F"/>
    <w:rsid w:val="009E1793"/>
    <w:rsid w:val="009E189C"/>
    <w:rsid w:val="009E18D3"/>
    <w:rsid w:val="009E1BC4"/>
    <w:rsid w:val="009E1F4C"/>
    <w:rsid w:val="009E1F8F"/>
    <w:rsid w:val="009E2287"/>
    <w:rsid w:val="009E253C"/>
    <w:rsid w:val="009E2546"/>
    <w:rsid w:val="009E2838"/>
    <w:rsid w:val="009E2AA0"/>
    <w:rsid w:val="009E2DAF"/>
    <w:rsid w:val="009E31E7"/>
    <w:rsid w:val="009E3413"/>
    <w:rsid w:val="009E3795"/>
    <w:rsid w:val="009E42E1"/>
    <w:rsid w:val="009E464A"/>
    <w:rsid w:val="009E4896"/>
    <w:rsid w:val="009E498C"/>
    <w:rsid w:val="009E4A43"/>
    <w:rsid w:val="009E4D7D"/>
    <w:rsid w:val="009E4EE9"/>
    <w:rsid w:val="009E4FDB"/>
    <w:rsid w:val="009E56E8"/>
    <w:rsid w:val="009E5AB3"/>
    <w:rsid w:val="009E5B08"/>
    <w:rsid w:val="009E5F0B"/>
    <w:rsid w:val="009E6050"/>
    <w:rsid w:val="009E6321"/>
    <w:rsid w:val="009E6ABD"/>
    <w:rsid w:val="009E74DB"/>
    <w:rsid w:val="009E7632"/>
    <w:rsid w:val="009E77EF"/>
    <w:rsid w:val="009E7AB9"/>
    <w:rsid w:val="009F02A6"/>
    <w:rsid w:val="009F06ED"/>
    <w:rsid w:val="009F0782"/>
    <w:rsid w:val="009F13A3"/>
    <w:rsid w:val="009F14E2"/>
    <w:rsid w:val="009F171F"/>
    <w:rsid w:val="009F1A2F"/>
    <w:rsid w:val="009F1BF3"/>
    <w:rsid w:val="009F1EC3"/>
    <w:rsid w:val="009F1ECC"/>
    <w:rsid w:val="009F22CC"/>
    <w:rsid w:val="009F2326"/>
    <w:rsid w:val="009F24AC"/>
    <w:rsid w:val="009F2E45"/>
    <w:rsid w:val="009F36D6"/>
    <w:rsid w:val="009F3B2F"/>
    <w:rsid w:val="009F3C93"/>
    <w:rsid w:val="009F423F"/>
    <w:rsid w:val="009F428A"/>
    <w:rsid w:val="009F43A1"/>
    <w:rsid w:val="009F43B2"/>
    <w:rsid w:val="009F4C4C"/>
    <w:rsid w:val="009F62DB"/>
    <w:rsid w:val="009F62E9"/>
    <w:rsid w:val="009F639A"/>
    <w:rsid w:val="009F63B1"/>
    <w:rsid w:val="009F6D13"/>
    <w:rsid w:val="009F724B"/>
    <w:rsid w:val="009F75F2"/>
    <w:rsid w:val="009F7690"/>
    <w:rsid w:val="009F7F21"/>
    <w:rsid w:val="00A0001D"/>
    <w:rsid w:val="00A000EB"/>
    <w:rsid w:val="00A00253"/>
    <w:rsid w:val="00A007A5"/>
    <w:rsid w:val="00A011E4"/>
    <w:rsid w:val="00A0174B"/>
    <w:rsid w:val="00A01A17"/>
    <w:rsid w:val="00A01EC7"/>
    <w:rsid w:val="00A01F58"/>
    <w:rsid w:val="00A01F7E"/>
    <w:rsid w:val="00A01F9C"/>
    <w:rsid w:val="00A02282"/>
    <w:rsid w:val="00A02563"/>
    <w:rsid w:val="00A02566"/>
    <w:rsid w:val="00A02BBC"/>
    <w:rsid w:val="00A02C7D"/>
    <w:rsid w:val="00A02F30"/>
    <w:rsid w:val="00A02FE8"/>
    <w:rsid w:val="00A032FB"/>
    <w:rsid w:val="00A03329"/>
    <w:rsid w:val="00A03529"/>
    <w:rsid w:val="00A03806"/>
    <w:rsid w:val="00A0390A"/>
    <w:rsid w:val="00A03935"/>
    <w:rsid w:val="00A03B32"/>
    <w:rsid w:val="00A03FA2"/>
    <w:rsid w:val="00A044CA"/>
    <w:rsid w:val="00A046F8"/>
    <w:rsid w:val="00A04EA1"/>
    <w:rsid w:val="00A05535"/>
    <w:rsid w:val="00A0654F"/>
    <w:rsid w:val="00A068F6"/>
    <w:rsid w:val="00A06EAF"/>
    <w:rsid w:val="00A06F62"/>
    <w:rsid w:val="00A07007"/>
    <w:rsid w:val="00A074AF"/>
    <w:rsid w:val="00A07617"/>
    <w:rsid w:val="00A07929"/>
    <w:rsid w:val="00A07A58"/>
    <w:rsid w:val="00A07E33"/>
    <w:rsid w:val="00A102AB"/>
    <w:rsid w:val="00A1046F"/>
    <w:rsid w:val="00A105E4"/>
    <w:rsid w:val="00A107B1"/>
    <w:rsid w:val="00A10CA0"/>
    <w:rsid w:val="00A1124B"/>
    <w:rsid w:val="00A11644"/>
    <w:rsid w:val="00A1172B"/>
    <w:rsid w:val="00A117AF"/>
    <w:rsid w:val="00A11BB6"/>
    <w:rsid w:val="00A11D04"/>
    <w:rsid w:val="00A1248C"/>
    <w:rsid w:val="00A12725"/>
    <w:rsid w:val="00A1359B"/>
    <w:rsid w:val="00A138A7"/>
    <w:rsid w:val="00A13D99"/>
    <w:rsid w:val="00A14045"/>
    <w:rsid w:val="00A142F5"/>
    <w:rsid w:val="00A1448F"/>
    <w:rsid w:val="00A14F79"/>
    <w:rsid w:val="00A14FCA"/>
    <w:rsid w:val="00A1535C"/>
    <w:rsid w:val="00A15705"/>
    <w:rsid w:val="00A157DE"/>
    <w:rsid w:val="00A15838"/>
    <w:rsid w:val="00A16064"/>
    <w:rsid w:val="00A16DC8"/>
    <w:rsid w:val="00A17196"/>
    <w:rsid w:val="00A1735B"/>
    <w:rsid w:val="00A17868"/>
    <w:rsid w:val="00A17FE7"/>
    <w:rsid w:val="00A202A1"/>
    <w:rsid w:val="00A20651"/>
    <w:rsid w:val="00A20C3B"/>
    <w:rsid w:val="00A20DC6"/>
    <w:rsid w:val="00A21458"/>
    <w:rsid w:val="00A21A9C"/>
    <w:rsid w:val="00A21B17"/>
    <w:rsid w:val="00A21F40"/>
    <w:rsid w:val="00A21FF4"/>
    <w:rsid w:val="00A227D3"/>
    <w:rsid w:val="00A22F82"/>
    <w:rsid w:val="00A2323B"/>
    <w:rsid w:val="00A23263"/>
    <w:rsid w:val="00A2369F"/>
    <w:rsid w:val="00A2394F"/>
    <w:rsid w:val="00A239A1"/>
    <w:rsid w:val="00A23BD1"/>
    <w:rsid w:val="00A23F4F"/>
    <w:rsid w:val="00A23FE8"/>
    <w:rsid w:val="00A24C2D"/>
    <w:rsid w:val="00A258FF"/>
    <w:rsid w:val="00A265E2"/>
    <w:rsid w:val="00A2687E"/>
    <w:rsid w:val="00A26E03"/>
    <w:rsid w:val="00A273CB"/>
    <w:rsid w:val="00A274FE"/>
    <w:rsid w:val="00A2764B"/>
    <w:rsid w:val="00A27BCC"/>
    <w:rsid w:val="00A27BFC"/>
    <w:rsid w:val="00A2F2FC"/>
    <w:rsid w:val="00A30ADF"/>
    <w:rsid w:val="00A311A7"/>
    <w:rsid w:val="00A312B9"/>
    <w:rsid w:val="00A31753"/>
    <w:rsid w:val="00A32426"/>
    <w:rsid w:val="00A32630"/>
    <w:rsid w:val="00A33146"/>
    <w:rsid w:val="00A3352A"/>
    <w:rsid w:val="00A339F7"/>
    <w:rsid w:val="00A33BCF"/>
    <w:rsid w:val="00A33F81"/>
    <w:rsid w:val="00A34989"/>
    <w:rsid w:val="00A34C87"/>
    <w:rsid w:val="00A34FA6"/>
    <w:rsid w:val="00A351B3"/>
    <w:rsid w:val="00A35D12"/>
    <w:rsid w:val="00A3688F"/>
    <w:rsid w:val="00A36C5C"/>
    <w:rsid w:val="00A36DEC"/>
    <w:rsid w:val="00A3717A"/>
    <w:rsid w:val="00A37235"/>
    <w:rsid w:val="00A3744F"/>
    <w:rsid w:val="00A374EA"/>
    <w:rsid w:val="00A3779D"/>
    <w:rsid w:val="00A37E50"/>
    <w:rsid w:val="00A40160"/>
    <w:rsid w:val="00A4076E"/>
    <w:rsid w:val="00A40AE2"/>
    <w:rsid w:val="00A415DC"/>
    <w:rsid w:val="00A4175F"/>
    <w:rsid w:val="00A4185A"/>
    <w:rsid w:val="00A41ABA"/>
    <w:rsid w:val="00A430EC"/>
    <w:rsid w:val="00A43768"/>
    <w:rsid w:val="00A43CEC"/>
    <w:rsid w:val="00A441A7"/>
    <w:rsid w:val="00A44549"/>
    <w:rsid w:val="00A44E53"/>
    <w:rsid w:val="00A4508C"/>
    <w:rsid w:val="00A454AE"/>
    <w:rsid w:val="00A455DA"/>
    <w:rsid w:val="00A45870"/>
    <w:rsid w:val="00A459D3"/>
    <w:rsid w:val="00A459DC"/>
    <w:rsid w:val="00A45EC8"/>
    <w:rsid w:val="00A4603D"/>
    <w:rsid w:val="00A46454"/>
    <w:rsid w:val="00A46996"/>
    <w:rsid w:val="00A46B5D"/>
    <w:rsid w:val="00A47076"/>
    <w:rsid w:val="00A47BC7"/>
    <w:rsid w:val="00A50DEB"/>
    <w:rsid w:val="00A50EBE"/>
    <w:rsid w:val="00A510E2"/>
    <w:rsid w:val="00A51A70"/>
    <w:rsid w:val="00A51F12"/>
    <w:rsid w:val="00A52252"/>
    <w:rsid w:val="00A52927"/>
    <w:rsid w:val="00A53440"/>
    <w:rsid w:val="00A536C2"/>
    <w:rsid w:val="00A539CF"/>
    <w:rsid w:val="00A53A90"/>
    <w:rsid w:val="00A54039"/>
    <w:rsid w:val="00A54951"/>
    <w:rsid w:val="00A54C03"/>
    <w:rsid w:val="00A54CC1"/>
    <w:rsid w:val="00A55537"/>
    <w:rsid w:val="00A55F74"/>
    <w:rsid w:val="00A55F79"/>
    <w:rsid w:val="00A55FF2"/>
    <w:rsid w:val="00A56F62"/>
    <w:rsid w:val="00A56F7B"/>
    <w:rsid w:val="00A576A2"/>
    <w:rsid w:val="00A5790A"/>
    <w:rsid w:val="00A57D5B"/>
    <w:rsid w:val="00A57EEE"/>
    <w:rsid w:val="00A607B6"/>
    <w:rsid w:val="00A60FC2"/>
    <w:rsid w:val="00A613E8"/>
    <w:rsid w:val="00A61987"/>
    <w:rsid w:val="00A62580"/>
    <w:rsid w:val="00A62ABA"/>
    <w:rsid w:val="00A62C1F"/>
    <w:rsid w:val="00A632B9"/>
    <w:rsid w:val="00A637DE"/>
    <w:rsid w:val="00A63855"/>
    <w:rsid w:val="00A63E5A"/>
    <w:rsid w:val="00A63FFA"/>
    <w:rsid w:val="00A64121"/>
    <w:rsid w:val="00A6438C"/>
    <w:rsid w:val="00A64A5E"/>
    <w:rsid w:val="00A64BC1"/>
    <w:rsid w:val="00A64D2A"/>
    <w:rsid w:val="00A64FF0"/>
    <w:rsid w:val="00A65640"/>
    <w:rsid w:val="00A65A7C"/>
    <w:rsid w:val="00A65BD1"/>
    <w:rsid w:val="00A6621C"/>
    <w:rsid w:val="00A66442"/>
    <w:rsid w:val="00A66F0D"/>
    <w:rsid w:val="00A6711E"/>
    <w:rsid w:val="00A67166"/>
    <w:rsid w:val="00A67717"/>
    <w:rsid w:val="00A67AE4"/>
    <w:rsid w:val="00A67E30"/>
    <w:rsid w:val="00A67E8B"/>
    <w:rsid w:val="00A67F48"/>
    <w:rsid w:val="00A70751"/>
    <w:rsid w:val="00A717EB"/>
    <w:rsid w:val="00A71CD2"/>
    <w:rsid w:val="00A71DC3"/>
    <w:rsid w:val="00A71EB4"/>
    <w:rsid w:val="00A7211B"/>
    <w:rsid w:val="00A728FF"/>
    <w:rsid w:val="00A72D07"/>
    <w:rsid w:val="00A72FEE"/>
    <w:rsid w:val="00A73012"/>
    <w:rsid w:val="00A7311E"/>
    <w:rsid w:val="00A73B68"/>
    <w:rsid w:val="00A73BD3"/>
    <w:rsid w:val="00A73D91"/>
    <w:rsid w:val="00A73F4E"/>
    <w:rsid w:val="00A74592"/>
    <w:rsid w:val="00A7467E"/>
    <w:rsid w:val="00A74EB3"/>
    <w:rsid w:val="00A75D73"/>
    <w:rsid w:val="00A76200"/>
    <w:rsid w:val="00A7627E"/>
    <w:rsid w:val="00A772E4"/>
    <w:rsid w:val="00A77448"/>
    <w:rsid w:val="00A779C6"/>
    <w:rsid w:val="00A77AB7"/>
    <w:rsid w:val="00A801EC"/>
    <w:rsid w:val="00A804EA"/>
    <w:rsid w:val="00A807D8"/>
    <w:rsid w:val="00A80A1B"/>
    <w:rsid w:val="00A819C6"/>
    <w:rsid w:val="00A81B46"/>
    <w:rsid w:val="00A82813"/>
    <w:rsid w:val="00A828EB"/>
    <w:rsid w:val="00A83416"/>
    <w:rsid w:val="00A83635"/>
    <w:rsid w:val="00A838F9"/>
    <w:rsid w:val="00A838FB"/>
    <w:rsid w:val="00A83C44"/>
    <w:rsid w:val="00A84330"/>
    <w:rsid w:val="00A846FB"/>
    <w:rsid w:val="00A847AF"/>
    <w:rsid w:val="00A84AB7"/>
    <w:rsid w:val="00A84E08"/>
    <w:rsid w:val="00A85043"/>
    <w:rsid w:val="00A852B2"/>
    <w:rsid w:val="00A85336"/>
    <w:rsid w:val="00A85358"/>
    <w:rsid w:val="00A85900"/>
    <w:rsid w:val="00A85D46"/>
    <w:rsid w:val="00A85E65"/>
    <w:rsid w:val="00A860DB"/>
    <w:rsid w:val="00A8657B"/>
    <w:rsid w:val="00A872F7"/>
    <w:rsid w:val="00A87633"/>
    <w:rsid w:val="00A8791C"/>
    <w:rsid w:val="00A879DF"/>
    <w:rsid w:val="00A879F8"/>
    <w:rsid w:val="00A87AD2"/>
    <w:rsid w:val="00A87B27"/>
    <w:rsid w:val="00A87D2F"/>
    <w:rsid w:val="00A9044A"/>
    <w:rsid w:val="00A90720"/>
    <w:rsid w:val="00A90A71"/>
    <w:rsid w:val="00A910DE"/>
    <w:rsid w:val="00A914A7"/>
    <w:rsid w:val="00A91AD5"/>
    <w:rsid w:val="00A91D83"/>
    <w:rsid w:val="00A91FD2"/>
    <w:rsid w:val="00A92222"/>
    <w:rsid w:val="00A92382"/>
    <w:rsid w:val="00A924E7"/>
    <w:rsid w:val="00A92B60"/>
    <w:rsid w:val="00A92F29"/>
    <w:rsid w:val="00A93748"/>
    <w:rsid w:val="00A93B64"/>
    <w:rsid w:val="00A94965"/>
    <w:rsid w:val="00A94B8B"/>
    <w:rsid w:val="00A94BF8"/>
    <w:rsid w:val="00A94FD9"/>
    <w:rsid w:val="00A951CA"/>
    <w:rsid w:val="00A956D3"/>
    <w:rsid w:val="00A965F1"/>
    <w:rsid w:val="00A9792D"/>
    <w:rsid w:val="00AA001D"/>
    <w:rsid w:val="00AA02E0"/>
    <w:rsid w:val="00AA064C"/>
    <w:rsid w:val="00AA085E"/>
    <w:rsid w:val="00AA09FA"/>
    <w:rsid w:val="00AA13CD"/>
    <w:rsid w:val="00AA14F5"/>
    <w:rsid w:val="00AA16FD"/>
    <w:rsid w:val="00AA16FE"/>
    <w:rsid w:val="00AA1FB4"/>
    <w:rsid w:val="00AA2238"/>
    <w:rsid w:val="00AA2400"/>
    <w:rsid w:val="00AA28BE"/>
    <w:rsid w:val="00AA3185"/>
    <w:rsid w:val="00AA37A2"/>
    <w:rsid w:val="00AA3EC6"/>
    <w:rsid w:val="00AA40C9"/>
    <w:rsid w:val="00AA4593"/>
    <w:rsid w:val="00AA4A91"/>
    <w:rsid w:val="00AA51BE"/>
    <w:rsid w:val="00AA5314"/>
    <w:rsid w:val="00AA5687"/>
    <w:rsid w:val="00AA5EDE"/>
    <w:rsid w:val="00AA69D9"/>
    <w:rsid w:val="00AA6B56"/>
    <w:rsid w:val="00AA7163"/>
    <w:rsid w:val="00AA7673"/>
    <w:rsid w:val="00AA779B"/>
    <w:rsid w:val="00AA7934"/>
    <w:rsid w:val="00AA7B8D"/>
    <w:rsid w:val="00AA7E7D"/>
    <w:rsid w:val="00AA7EF9"/>
    <w:rsid w:val="00AB0447"/>
    <w:rsid w:val="00AB0BDB"/>
    <w:rsid w:val="00AB0F2F"/>
    <w:rsid w:val="00AB1398"/>
    <w:rsid w:val="00AB1C83"/>
    <w:rsid w:val="00AB249E"/>
    <w:rsid w:val="00AB27A9"/>
    <w:rsid w:val="00AB2B53"/>
    <w:rsid w:val="00AB300C"/>
    <w:rsid w:val="00AB39B7"/>
    <w:rsid w:val="00AB3D35"/>
    <w:rsid w:val="00AB3DAC"/>
    <w:rsid w:val="00AB3DB4"/>
    <w:rsid w:val="00AB3FFB"/>
    <w:rsid w:val="00AB4400"/>
    <w:rsid w:val="00AB47EE"/>
    <w:rsid w:val="00AB485A"/>
    <w:rsid w:val="00AB4899"/>
    <w:rsid w:val="00AB5336"/>
    <w:rsid w:val="00AB5676"/>
    <w:rsid w:val="00AB57B1"/>
    <w:rsid w:val="00AB59A8"/>
    <w:rsid w:val="00AB6839"/>
    <w:rsid w:val="00AB6BD3"/>
    <w:rsid w:val="00AB6C09"/>
    <w:rsid w:val="00AB6FEA"/>
    <w:rsid w:val="00AB7954"/>
    <w:rsid w:val="00AB797C"/>
    <w:rsid w:val="00AC04AC"/>
    <w:rsid w:val="00AC0780"/>
    <w:rsid w:val="00AC07A1"/>
    <w:rsid w:val="00AC1968"/>
    <w:rsid w:val="00AC1EF2"/>
    <w:rsid w:val="00AC2920"/>
    <w:rsid w:val="00AC2948"/>
    <w:rsid w:val="00AC29FA"/>
    <w:rsid w:val="00AC2D54"/>
    <w:rsid w:val="00AC3E9B"/>
    <w:rsid w:val="00AC40AE"/>
    <w:rsid w:val="00AC428E"/>
    <w:rsid w:val="00AC4541"/>
    <w:rsid w:val="00AC51A7"/>
    <w:rsid w:val="00AC6296"/>
    <w:rsid w:val="00AC65F9"/>
    <w:rsid w:val="00AC6827"/>
    <w:rsid w:val="00AC69B2"/>
    <w:rsid w:val="00AC6B14"/>
    <w:rsid w:val="00AC7232"/>
    <w:rsid w:val="00AC73CF"/>
    <w:rsid w:val="00AC789D"/>
    <w:rsid w:val="00AC7F47"/>
    <w:rsid w:val="00AD0917"/>
    <w:rsid w:val="00AD0934"/>
    <w:rsid w:val="00AD0D74"/>
    <w:rsid w:val="00AD0F26"/>
    <w:rsid w:val="00AD1463"/>
    <w:rsid w:val="00AD1634"/>
    <w:rsid w:val="00AD1B32"/>
    <w:rsid w:val="00AD1C1E"/>
    <w:rsid w:val="00AD1D4A"/>
    <w:rsid w:val="00AD1DBF"/>
    <w:rsid w:val="00AD1EC9"/>
    <w:rsid w:val="00AD1FDC"/>
    <w:rsid w:val="00AD2165"/>
    <w:rsid w:val="00AD2359"/>
    <w:rsid w:val="00AD2DA7"/>
    <w:rsid w:val="00AD3142"/>
    <w:rsid w:val="00AD3224"/>
    <w:rsid w:val="00AD38F6"/>
    <w:rsid w:val="00AD420F"/>
    <w:rsid w:val="00AD43AF"/>
    <w:rsid w:val="00AD4966"/>
    <w:rsid w:val="00AD501D"/>
    <w:rsid w:val="00AD593C"/>
    <w:rsid w:val="00AD5C38"/>
    <w:rsid w:val="00AD6108"/>
    <w:rsid w:val="00AD66D7"/>
    <w:rsid w:val="00AD69FE"/>
    <w:rsid w:val="00AD745B"/>
    <w:rsid w:val="00AD75E6"/>
    <w:rsid w:val="00AD7661"/>
    <w:rsid w:val="00AD76DE"/>
    <w:rsid w:val="00AD7707"/>
    <w:rsid w:val="00AE0250"/>
    <w:rsid w:val="00AE0264"/>
    <w:rsid w:val="00AE02CA"/>
    <w:rsid w:val="00AE0837"/>
    <w:rsid w:val="00AE10EA"/>
    <w:rsid w:val="00AE1252"/>
    <w:rsid w:val="00AE1457"/>
    <w:rsid w:val="00AE15C2"/>
    <w:rsid w:val="00AE1A2C"/>
    <w:rsid w:val="00AE248D"/>
    <w:rsid w:val="00AE2B38"/>
    <w:rsid w:val="00AE2DE4"/>
    <w:rsid w:val="00AE2F5D"/>
    <w:rsid w:val="00AE3085"/>
    <w:rsid w:val="00AE3294"/>
    <w:rsid w:val="00AE3856"/>
    <w:rsid w:val="00AE3CD3"/>
    <w:rsid w:val="00AE4691"/>
    <w:rsid w:val="00AE4F13"/>
    <w:rsid w:val="00AE5017"/>
    <w:rsid w:val="00AE5C55"/>
    <w:rsid w:val="00AE5D4A"/>
    <w:rsid w:val="00AE617A"/>
    <w:rsid w:val="00AE64A9"/>
    <w:rsid w:val="00AE6CC7"/>
    <w:rsid w:val="00AE7AB2"/>
    <w:rsid w:val="00AE7C32"/>
    <w:rsid w:val="00AE7CA0"/>
    <w:rsid w:val="00AF012E"/>
    <w:rsid w:val="00AF0CB9"/>
    <w:rsid w:val="00AF12EF"/>
    <w:rsid w:val="00AF1B24"/>
    <w:rsid w:val="00AF1CF4"/>
    <w:rsid w:val="00AF220C"/>
    <w:rsid w:val="00AF22C1"/>
    <w:rsid w:val="00AF22EC"/>
    <w:rsid w:val="00AF3123"/>
    <w:rsid w:val="00AF3461"/>
    <w:rsid w:val="00AF38B8"/>
    <w:rsid w:val="00AF3976"/>
    <w:rsid w:val="00AF39DC"/>
    <w:rsid w:val="00AF4257"/>
    <w:rsid w:val="00AF42FF"/>
    <w:rsid w:val="00AF43C4"/>
    <w:rsid w:val="00AF4406"/>
    <w:rsid w:val="00AF4557"/>
    <w:rsid w:val="00AF49BF"/>
    <w:rsid w:val="00AF524B"/>
    <w:rsid w:val="00AF5394"/>
    <w:rsid w:val="00AF5595"/>
    <w:rsid w:val="00AF5783"/>
    <w:rsid w:val="00AF698F"/>
    <w:rsid w:val="00AF69E2"/>
    <w:rsid w:val="00AF6D1A"/>
    <w:rsid w:val="00AF753A"/>
    <w:rsid w:val="00B00328"/>
    <w:rsid w:val="00B004D9"/>
    <w:rsid w:val="00B005B5"/>
    <w:rsid w:val="00B00927"/>
    <w:rsid w:val="00B00E54"/>
    <w:rsid w:val="00B00E69"/>
    <w:rsid w:val="00B013A9"/>
    <w:rsid w:val="00B01598"/>
    <w:rsid w:val="00B01DA3"/>
    <w:rsid w:val="00B021C7"/>
    <w:rsid w:val="00B0246D"/>
    <w:rsid w:val="00B026C8"/>
    <w:rsid w:val="00B02E6E"/>
    <w:rsid w:val="00B0302B"/>
    <w:rsid w:val="00B0303C"/>
    <w:rsid w:val="00B03266"/>
    <w:rsid w:val="00B03603"/>
    <w:rsid w:val="00B0381D"/>
    <w:rsid w:val="00B0411E"/>
    <w:rsid w:val="00B04861"/>
    <w:rsid w:val="00B04AEF"/>
    <w:rsid w:val="00B0518B"/>
    <w:rsid w:val="00B0524A"/>
    <w:rsid w:val="00B05F03"/>
    <w:rsid w:val="00B06E59"/>
    <w:rsid w:val="00B06E60"/>
    <w:rsid w:val="00B07379"/>
    <w:rsid w:val="00B076F5"/>
    <w:rsid w:val="00B07A6C"/>
    <w:rsid w:val="00B07AEC"/>
    <w:rsid w:val="00B10283"/>
    <w:rsid w:val="00B10386"/>
    <w:rsid w:val="00B1090A"/>
    <w:rsid w:val="00B109F1"/>
    <w:rsid w:val="00B10FB8"/>
    <w:rsid w:val="00B111CE"/>
    <w:rsid w:val="00B114A0"/>
    <w:rsid w:val="00B117C0"/>
    <w:rsid w:val="00B1218E"/>
    <w:rsid w:val="00B122CD"/>
    <w:rsid w:val="00B122E1"/>
    <w:rsid w:val="00B124CA"/>
    <w:rsid w:val="00B1256E"/>
    <w:rsid w:val="00B12701"/>
    <w:rsid w:val="00B13192"/>
    <w:rsid w:val="00B13290"/>
    <w:rsid w:val="00B135FE"/>
    <w:rsid w:val="00B1391D"/>
    <w:rsid w:val="00B13A86"/>
    <w:rsid w:val="00B13F5E"/>
    <w:rsid w:val="00B14041"/>
    <w:rsid w:val="00B142F7"/>
    <w:rsid w:val="00B14818"/>
    <w:rsid w:val="00B14B38"/>
    <w:rsid w:val="00B14EE0"/>
    <w:rsid w:val="00B15579"/>
    <w:rsid w:val="00B15876"/>
    <w:rsid w:val="00B159E8"/>
    <w:rsid w:val="00B15BF4"/>
    <w:rsid w:val="00B15DD7"/>
    <w:rsid w:val="00B16434"/>
    <w:rsid w:val="00B16785"/>
    <w:rsid w:val="00B16F87"/>
    <w:rsid w:val="00B1715C"/>
    <w:rsid w:val="00B17C10"/>
    <w:rsid w:val="00B20693"/>
    <w:rsid w:val="00B208D4"/>
    <w:rsid w:val="00B2110B"/>
    <w:rsid w:val="00B219C5"/>
    <w:rsid w:val="00B22026"/>
    <w:rsid w:val="00B22305"/>
    <w:rsid w:val="00B226D1"/>
    <w:rsid w:val="00B22833"/>
    <w:rsid w:val="00B22A58"/>
    <w:rsid w:val="00B22CF2"/>
    <w:rsid w:val="00B2310A"/>
    <w:rsid w:val="00B236AF"/>
    <w:rsid w:val="00B2372F"/>
    <w:rsid w:val="00B2381A"/>
    <w:rsid w:val="00B2392E"/>
    <w:rsid w:val="00B23CA0"/>
    <w:rsid w:val="00B240F9"/>
    <w:rsid w:val="00B246BB"/>
    <w:rsid w:val="00B24A71"/>
    <w:rsid w:val="00B25035"/>
    <w:rsid w:val="00B25872"/>
    <w:rsid w:val="00B25F49"/>
    <w:rsid w:val="00B25FBC"/>
    <w:rsid w:val="00B26150"/>
    <w:rsid w:val="00B26693"/>
    <w:rsid w:val="00B26863"/>
    <w:rsid w:val="00B26AF2"/>
    <w:rsid w:val="00B26F0C"/>
    <w:rsid w:val="00B27143"/>
    <w:rsid w:val="00B27256"/>
    <w:rsid w:val="00B272C6"/>
    <w:rsid w:val="00B27434"/>
    <w:rsid w:val="00B27800"/>
    <w:rsid w:val="00B27D4D"/>
    <w:rsid w:val="00B27EC5"/>
    <w:rsid w:val="00B30262"/>
    <w:rsid w:val="00B30456"/>
    <w:rsid w:val="00B30B83"/>
    <w:rsid w:val="00B30C9B"/>
    <w:rsid w:val="00B31373"/>
    <w:rsid w:val="00B31563"/>
    <w:rsid w:val="00B31A2D"/>
    <w:rsid w:val="00B320C0"/>
    <w:rsid w:val="00B32191"/>
    <w:rsid w:val="00B321C7"/>
    <w:rsid w:val="00B32431"/>
    <w:rsid w:val="00B327A4"/>
    <w:rsid w:val="00B32B74"/>
    <w:rsid w:val="00B32BC0"/>
    <w:rsid w:val="00B32C99"/>
    <w:rsid w:val="00B32F64"/>
    <w:rsid w:val="00B3301E"/>
    <w:rsid w:val="00B334AE"/>
    <w:rsid w:val="00B3397E"/>
    <w:rsid w:val="00B3399E"/>
    <w:rsid w:val="00B33A40"/>
    <w:rsid w:val="00B33ACE"/>
    <w:rsid w:val="00B33CE3"/>
    <w:rsid w:val="00B33E24"/>
    <w:rsid w:val="00B34551"/>
    <w:rsid w:val="00B345CC"/>
    <w:rsid w:val="00B34BA5"/>
    <w:rsid w:val="00B34BC5"/>
    <w:rsid w:val="00B35024"/>
    <w:rsid w:val="00B35D2B"/>
    <w:rsid w:val="00B35ECA"/>
    <w:rsid w:val="00B3629A"/>
    <w:rsid w:val="00B3634A"/>
    <w:rsid w:val="00B3669E"/>
    <w:rsid w:val="00B36AD0"/>
    <w:rsid w:val="00B36E09"/>
    <w:rsid w:val="00B37D6C"/>
    <w:rsid w:val="00B37F7A"/>
    <w:rsid w:val="00B401D7"/>
    <w:rsid w:val="00B40695"/>
    <w:rsid w:val="00B40A99"/>
    <w:rsid w:val="00B40ADB"/>
    <w:rsid w:val="00B40AE4"/>
    <w:rsid w:val="00B40E97"/>
    <w:rsid w:val="00B41360"/>
    <w:rsid w:val="00B41389"/>
    <w:rsid w:val="00B415CD"/>
    <w:rsid w:val="00B41D5E"/>
    <w:rsid w:val="00B41DB9"/>
    <w:rsid w:val="00B42177"/>
    <w:rsid w:val="00B422B8"/>
    <w:rsid w:val="00B42375"/>
    <w:rsid w:val="00B42C93"/>
    <w:rsid w:val="00B43619"/>
    <w:rsid w:val="00B436C8"/>
    <w:rsid w:val="00B4376F"/>
    <w:rsid w:val="00B43CFC"/>
    <w:rsid w:val="00B43F18"/>
    <w:rsid w:val="00B442B4"/>
    <w:rsid w:val="00B44602"/>
    <w:rsid w:val="00B44863"/>
    <w:rsid w:val="00B44A18"/>
    <w:rsid w:val="00B44D6A"/>
    <w:rsid w:val="00B44E4A"/>
    <w:rsid w:val="00B44F28"/>
    <w:rsid w:val="00B44F8B"/>
    <w:rsid w:val="00B45625"/>
    <w:rsid w:val="00B45C24"/>
    <w:rsid w:val="00B460FD"/>
    <w:rsid w:val="00B46182"/>
    <w:rsid w:val="00B46935"/>
    <w:rsid w:val="00B46995"/>
    <w:rsid w:val="00B46E29"/>
    <w:rsid w:val="00B46E32"/>
    <w:rsid w:val="00B47392"/>
    <w:rsid w:val="00B476FE"/>
    <w:rsid w:val="00B47EAD"/>
    <w:rsid w:val="00B47F5A"/>
    <w:rsid w:val="00B47FD5"/>
    <w:rsid w:val="00B50560"/>
    <w:rsid w:val="00B507E6"/>
    <w:rsid w:val="00B50BB2"/>
    <w:rsid w:val="00B51F9D"/>
    <w:rsid w:val="00B52192"/>
    <w:rsid w:val="00B52511"/>
    <w:rsid w:val="00B52958"/>
    <w:rsid w:val="00B52DDA"/>
    <w:rsid w:val="00B5304F"/>
    <w:rsid w:val="00B53885"/>
    <w:rsid w:val="00B53940"/>
    <w:rsid w:val="00B53CFA"/>
    <w:rsid w:val="00B53D4E"/>
    <w:rsid w:val="00B53F05"/>
    <w:rsid w:val="00B5463F"/>
    <w:rsid w:val="00B54851"/>
    <w:rsid w:val="00B54ABB"/>
    <w:rsid w:val="00B553E7"/>
    <w:rsid w:val="00B5551B"/>
    <w:rsid w:val="00B55A67"/>
    <w:rsid w:val="00B55B77"/>
    <w:rsid w:val="00B55EDB"/>
    <w:rsid w:val="00B5689D"/>
    <w:rsid w:val="00B56A7A"/>
    <w:rsid w:val="00B5735B"/>
    <w:rsid w:val="00B6239F"/>
    <w:rsid w:val="00B62693"/>
    <w:rsid w:val="00B62903"/>
    <w:rsid w:val="00B62928"/>
    <w:rsid w:val="00B62BF9"/>
    <w:rsid w:val="00B62F7E"/>
    <w:rsid w:val="00B62FC4"/>
    <w:rsid w:val="00B631A6"/>
    <w:rsid w:val="00B63A27"/>
    <w:rsid w:val="00B63AF5"/>
    <w:rsid w:val="00B63B76"/>
    <w:rsid w:val="00B64240"/>
    <w:rsid w:val="00B6426B"/>
    <w:rsid w:val="00B646C5"/>
    <w:rsid w:val="00B64D0B"/>
    <w:rsid w:val="00B65109"/>
    <w:rsid w:val="00B656E5"/>
    <w:rsid w:val="00B65778"/>
    <w:rsid w:val="00B65873"/>
    <w:rsid w:val="00B65C40"/>
    <w:rsid w:val="00B65C4E"/>
    <w:rsid w:val="00B65CF6"/>
    <w:rsid w:val="00B65FC2"/>
    <w:rsid w:val="00B66865"/>
    <w:rsid w:val="00B66905"/>
    <w:rsid w:val="00B66A88"/>
    <w:rsid w:val="00B66E61"/>
    <w:rsid w:val="00B66E7E"/>
    <w:rsid w:val="00B676F2"/>
    <w:rsid w:val="00B67B9A"/>
    <w:rsid w:val="00B67BF5"/>
    <w:rsid w:val="00B67DE8"/>
    <w:rsid w:val="00B703AB"/>
    <w:rsid w:val="00B7041E"/>
    <w:rsid w:val="00B7051B"/>
    <w:rsid w:val="00B70816"/>
    <w:rsid w:val="00B70C64"/>
    <w:rsid w:val="00B712F0"/>
    <w:rsid w:val="00B72678"/>
    <w:rsid w:val="00B72AEB"/>
    <w:rsid w:val="00B72B24"/>
    <w:rsid w:val="00B72E05"/>
    <w:rsid w:val="00B72EB9"/>
    <w:rsid w:val="00B730F7"/>
    <w:rsid w:val="00B7316C"/>
    <w:rsid w:val="00B738EC"/>
    <w:rsid w:val="00B73A51"/>
    <w:rsid w:val="00B73C4A"/>
    <w:rsid w:val="00B73E55"/>
    <w:rsid w:val="00B74282"/>
    <w:rsid w:val="00B74C84"/>
    <w:rsid w:val="00B7577C"/>
    <w:rsid w:val="00B7581E"/>
    <w:rsid w:val="00B75B1D"/>
    <w:rsid w:val="00B75D12"/>
    <w:rsid w:val="00B76187"/>
    <w:rsid w:val="00B76732"/>
    <w:rsid w:val="00B767BD"/>
    <w:rsid w:val="00B768E6"/>
    <w:rsid w:val="00B76FE5"/>
    <w:rsid w:val="00B773CF"/>
    <w:rsid w:val="00B805EF"/>
    <w:rsid w:val="00B80ADF"/>
    <w:rsid w:val="00B80CFF"/>
    <w:rsid w:val="00B80D1E"/>
    <w:rsid w:val="00B810ED"/>
    <w:rsid w:val="00B81A01"/>
    <w:rsid w:val="00B81EDF"/>
    <w:rsid w:val="00B8252E"/>
    <w:rsid w:val="00B830F4"/>
    <w:rsid w:val="00B831A7"/>
    <w:rsid w:val="00B83C75"/>
    <w:rsid w:val="00B83D2F"/>
    <w:rsid w:val="00B83DFD"/>
    <w:rsid w:val="00B83FB5"/>
    <w:rsid w:val="00B84862"/>
    <w:rsid w:val="00B848AD"/>
    <w:rsid w:val="00B84B8B"/>
    <w:rsid w:val="00B84BCC"/>
    <w:rsid w:val="00B852A4"/>
    <w:rsid w:val="00B85803"/>
    <w:rsid w:val="00B8598A"/>
    <w:rsid w:val="00B86150"/>
    <w:rsid w:val="00B868EA"/>
    <w:rsid w:val="00B86BB2"/>
    <w:rsid w:val="00B8701A"/>
    <w:rsid w:val="00B870B0"/>
    <w:rsid w:val="00B87115"/>
    <w:rsid w:val="00B874BF"/>
    <w:rsid w:val="00B87594"/>
    <w:rsid w:val="00B9018D"/>
    <w:rsid w:val="00B90AD5"/>
    <w:rsid w:val="00B90E97"/>
    <w:rsid w:val="00B917B6"/>
    <w:rsid w:val="00B91FED"/>
    <w:rsid w:val="00B920F9"/>
    <w:rsid w:val="00B92497"/>
    <w:rsid w:val="00B925EF"/>
    <w:rsid w:val="00B926AA"/>
    <w:rsid w:val="00B92AC1"/>
    <w:rsid w:val="00B930FF"/>
    <w:rsid w:val="00B93356"/>
    <w:rsid w:val="00B93530"/>
    <w:rsid w:val="00B93662"/>
    <w:rsid w:val="00B93F07"/>
    <w:rsid w:val="00B94578"/>
    <w:rsid w:val="00B94B8E"/>
    <w:rsid w:val="00B94DCB"/>
    <w:rsid w:val="00B950B3"/>
    <w:rsid w:val="00B95ABC"/>
    <w:rsid w:val="00B95FC8"/>
    <w:rsid w:val="00B96977"/>
    <w:rsid w:val="00B97099"/>
    <w:rsid w:val="00B97DD8"/>
    <w:rsid w:val="00B97E1C"/>
    <w:rsid w:val="00B97F1B"/>
    <w:rsid w:val="00BA0167"/>
    <w:rsid w:val="00BA01A0"/>
    <w:rsid w:val="00BA02C9"/>
    <w:rsid w:val="00BA0625"/>
    <w:rsid w:val="00BA0F84"/>
    <w:rsid w:val="00BA178D"/>
    <w:rsid w:val="00BA1E8D"/>
    <w:rsid w:val="00BA24B1"/>
    <w:rsid w:val="00BA26FC"/>
    <w:rsid w:val="00BA2FA3"/>
    <w:rsid w:val="00BA31D8"/>
    <w:rsid w:val="00BA3344"/>
    <w:rsid w:val="00BA4360"/>
    <w:rsid w:val="00BA4676"/>
    <w:rsid w:val="00BA4C83"/>
    <w:rsid w:val="00BA4DBF"/>
    <w:rsid w:val="00BA5409"/>
    <w:rsid w:val="00BA54A0"/>
    <w:rsid w:val="00BA56B6"/>
    <w:rsid w:val="00BA581E"/>
    <w:rsid w:val="00BA5876"/>
    <w:rsid w:val="00BA5ABB"/>
    <w:rsid w:val="00BA5D1F"/>
    <w:rsid w:val="00BA6034"/>
    <w:rsid w:val="00BA658F"/>
    <w:rsid w:val="00BA661D"/>
    <w:rsid w:val="00BA6964"/>
    <w:rsid w:val="00BA70DF"/>
    <w:rsid w:val="00BA70EC"/>
    <w:rsid w:val="00BA7358"/>
    <w:rsid w:val="00BA7369"/>
    <w:rsid w:val="00BA73D4"/>
    <w:rsid w:val="00BA7562"/>
    <w:rsid w:val="00BA7B22"/>
    <w:rsid w:val="00BB03C1"/>
    <w:rsid w:val="00BB15E2"/>
    <w:rsid w:val="00BB1E8A"/>
    <w:rsid w:val="00BB2265"/>
    <w:rsid w:val="00BB241F"/>
    <w:rsid w:val="00BB2520"/>
    <w:rsid w:val="00BB2904"/>
    <w:rsid w:val="00BB3B0C"/>
    <w:rsid w:val="00BB405E"/>
    <w:rsid w:val="00BB46A0"/>
    <w:rsid w:val="00BB46EF"/>
    <w:rsid w:val="00BB4951"/>
    <w:rsid w:val="00BB4B1C"/>
    <w:rsid w:val="00BB5334"/>
    <w:rsid w:val="00BB5B92"/>
    <w:rsid w:val="00BB5CBC"/>
    <w:rsid w:val="00BB6149"/>
    <w:rsid w:val="00BB63B8"/>
    <w:rsid w:val="00BB63D3"/>
    <w:rsid w:val="00BB643A"/>
    <w:rsid w:val="00BB6880"/>
    <w:rsid w:val="00BB6DDC"/>
    <w:rsid w:val="00BB6F78"/>
    <w:rsid w:val="00BB7895"/>
    <w:rsid w:val="00BB799A"/>
    <w:rsid w:val="00BB7C1E"/>
    <w:rsid w:val="00BB7CAA"/>
    <w:rsid w:val="00BB7CC3"/>
    <w:rsid w:val="00BB7EDD"/>
    <w:rsid w:val="00BB7FA0"/>
    <w:rsid w:val="00BC0EE6"/>
    <w:rsid w:val="00BC1148"/>
    <w:rsid w:val="00BC1534"/>
    <w:rsid w:val="00BC1D30"/>
    <w:rsid w:val="00BC1DCA"/>
    <w:rsid w:val="00BC1E61"/>
    <w:rsid w:val="00BC1FE6"/>
    <w:rsid w:val="00BC226F"/>
    <w:rsid w:val="00BC2539"/>
    <w:rsid w:val="00BC2CEE"/>
    <w:rsid w:val="00BC2E2E"/>
    <w:rsid w:val="00BC302B"/>
    <w:rsid w:val="00BC3211"/>
    <w:rsid w:val="00BC32A2"/>
    <w:rsid w:val="00BC32A5"/>
    <w:rsid w:val="00BC43C8"/>
    <w:rsid w:val="00BC53EE"/>
    <w:rsid w:val="00BC57E5"/>
    <w:rsid w:val="00BC6D3F"/>
    <w:rsid w:val="00BC71B6"/>
    <w:rsid w:val="00BC7DCC"/>
    <w:rsid w:val="00BD01E7"/>
    <w:rsid w:val="00BD0388"/>
    <w:rsid w:val="00BD08E8"/>
    <w:rsid w:val="00BD1068"/>
    <w:rsid w:val="00BD123A"/>
    <w:rsid w:val="00BD12BE"/>
    <w:rsid w:val="00BD13C5"/>
    <w:rsid w:val="00BD15BA"/>
    <w:rsid w:val="00BD1609"/>
    <w:rsid w:val="00BD1734"/>
    <w:rsid w:val="00BD186C"/>
    <w:rsid w:val="00BD188E"/>
    <w:rsid w:val="00BD196C"/>
    <w:rsid w:val="00BD1C3D"/>
    <w:rsid w:val="00BD1E3B"/>
    <w:rsid w:val="00BD26B3"/>
    <w:rsid w:val="00BD2759"/>
    <w:rsid w:val="00BD27CE"/>
    <w:rsid w:val="00BD2AD4"/>
    <w:rsid w:val="00BD2DE8"/>
    <w:rsid w:val="00BD3D5E"/>
    <w:rsid w:val="00BD3F09"/>
    <w:rsid w:val="00BD46E2"/>
    <w:rsid w:val="00BD489E"/>
    <w:rsid w:val="00BD4ACC"/>
    <w:rsid w:val="00BD5048"/>
    <w:rsid w:val="00BD6043"/>
    <w:rsid w:val="00BD63C5"/>
    <w:rsid w:val="00BD7067"/>
    <w:rsid w:val="00BD7A65"/>
    <w:rsid w:val="00BD7E19"/>
    <w:rsid w:val="00BE0047"/>
    <w:rsid w:val="00BE01D9"/>
    <w:rsid w:val="00BE02E7"/>
    <w:rsid w:val="00BE0471"/>
    <w:rsid w:val="00BE0671"/>
    <w:rsid w:val="00BE06E3"/>
    <w:rsid w:val="00BE07CD"/>
    <w:rsid w:val="00BE0FB6"/>
    <w:rsid w:val="00BE1108"/>
    <w:rsid w:val="00BE14F4"/>
    <w:rsid w:val="00BE15DF"/>
    <w:rsid w:val="00BE1974"/>
    <w:rsid w:val="00BE21DB"/>
    <w:rsid w:val="00BE22AE"/>
    <w:rsid w:val="00BE22C2"/>
    <w:rsid w:val="00BE2B91"/>
    <w:rsid w:val="00BE31A8"/>
    <w:rsid w:val="00BE3C52"/>
    <w:rsid w:val="00BE3C92"/>
    <w:rsid w:val="00BE4D0A"/>
    <w:rsid w:val="00BE4F8E"/>
    <w:rsid w:val="00BE50E6"/>
    <w:rsid w:val="00BE533E"/>
    <w:rsid w:val="00BE541D"/>
    <w:rsid w:val="00BE5A3A"/>
    <w:rsid w:val="00BE6289"/>
    <w:rsid w:val="00BE687E"/>
    <w:rsid w:val="00BE7205"/>
    <w:rsid w:val="00BE7528"/>
    <w:rsid w:val="00BE7E01"/>
    <w:rsid w:val="00BF00E0"/>
    <w:rsid w:val="00BF01FD"/>
    <w:rsid w:val="00BF05A9"/>
    <w:rsid w:val="00BF0A1B"/>
    <w:rsid w:val="00BF0B59"/>
    <w:rsid w:val="00BF1182"/>
    <w:rsid w:val="00BF1638"/>
    <w:rsid w:val="00BF1B09"/>
    <w:rsid w:val="00BF20B0"/>
    <w:rsid w:val="00BF277C"/>
    <w:rsid w:val="00BF2C75"/>
    <w:rsid w:val="00BF2EB5"/>
    <w:rsid w:val="00BF30F3"/>
    <w:rsid w:val="00BF33C5"/>
    <w:rsid w:val="00BF3861"/>
    <w:rsid w:val="00BF38AD"/>
    <w:rsid w:val="00BF3EDC"/>
    <w:rsid w:val="00BF4669"/>
    <w:rsid w:val="00BF48FD"/>
    <w:rsid w:val="00BF4932"/>
    <w:rsid w:val="00BF4A6A"/>
    <w:rsid w:val="00BF50BD"/>
    <w:rsid w:val="00BF518F"/>
    <w:rsid w:val="00BF550C"/>
    <w:rsid w:val="00BF6416"/>
    <w:rsid w:val="00BF690C"/>
    <w:rsid w:val="00BF6B06"/>
    <w:rsid w:val="00BF6CBD"/>
    <w:rsid w:val="00BF6E6E"/>
    <w:rsid w:val="00BF6F4D"/>
    <w:rsid w:val="00BF756D"/>
    <w:rsid w:val="00BF764F"/>
    <w:rsid w:val="00C00057"/>
    <w:rsid w:val="00C00853"/>
    <w:rsid w:val="00C00F9F"/>
    <w:rsid w:val="00C0121A"/>
    <w:rsid w:val="00C0202F"/>
    <w:rsid w:val="00C02143"/>
    <w:rsid w:val="00C0260C"/>
    <w:rsid w:val="00C0302D"/>
    <w:rsid w:val="00C03B25"/>
    <w:rsid w:val="00C04001"/>
    <w:rsid w:val="00C044B8"/>
    <w:rsid w:val="00C04691"/>
    <w:rsid w:val="00C04CD8"/>
    <w:rsid w:val="00C05648"/>
    <w:rsid w:val="00C0598F"/>
    <w:rsid w:val="00C05B19"/>
    <w:rsid w:val="00C05EB0"/>
    <w:rsid w:val="00C062DA"/>
    <w:rsid w:val="00C06578"/>
    <w:rsid w:val="00C07467"/>
    <w:rsid w:val="00C07D03"/>
    <w:rsid w:val="00C10225"/>
    <w:rsid w:val="00C10543"/>
    <w:rsid w:val="00C1091C"/>
    <w:rsid w:val="00C11068"/>
    <w:rsid w:val="00C1118E"/>
    <w:rsid w:val="00C113F9"/>
    <w:rsid w:val="00C1189F"/>
    <w:rsid w:val="00C11930"/>
    <w:rsid w:val="00C11AB1"/>
    <w:rsid w:val="00C11B7A"/>
    <w:rsid w:val="00C12204"/>
    <w:rsid w:val="00C126BC"/>
    <w:rsid w:val="00C12A27"/>
    <w:rsid w:val="00C12A71"/>
    <w:rsid w:val="00C13261"/>
    <w:rsid w:val="00C13461"/>
    <w:rsid w:val="00C13FCF"/>
    <w:rsid w:val="00C1460F"/>
    <w:rsid w:val="00C14730"/>
    <w:rsid w:val="00C14916"/>
    <w:rsid w:val="00C14B76"/>
    <w:rsid w:val="00C14D40"/>
    <w:rsid w:val="00C15256"/>
    <w:rsid w:val="00C15447"/>
    <w:rsid w:val="00C15916"/>
    <w:rsid w:val="00C15999"/>
    <w:rsid w:val="00C15DEF"/>
    <w:rsid w:val="00C15F5F"/>
    <w:rsid w:val="00C16A37"/>
    <w:rsid w:val="00C16C99"/>
    <w:rsid w:val="00C16F4A"/>
    <w:rsid w:val="00C17CA3"/>
    <w:rsid w:val="00C2014D"/>
    <w:rsid w:val="00C20842"/>
    <w:rsid w:val="00C20A61"/>
    <w:rsid w:val="00C20C0A"/>
    <w:rsid w:val="00C20DBD"/>
    <w:rsid w:val="00C212C9"/>
    <w:rsid w:val="00C21403"/>
    <w:rsid w:val="00C21800"/>
    <w:rsid w:val="00C21B1B"/>
    <w:rsid w:val="00C21F2F"/>
    <w:rsid w:val="00C22465"/>
    <w:rsid w:val="00C22AF1"/>
    <w:rsid w:val="00C22BDE"/>
    <w:rsid w:val="00C22FED"/>
    <w:rsid w:val="00C230CC"/>
    <w:rsid w:val="00C23F06"/>
    <w:rsid w:val="00C240F3"/>
    <w:rsid w:val="00C24683"/>
    <w:rsid w:val="00C24E03"/>
    <w:rsid w:val="00C24F1C"/>
    <w:rsid w:val="00C254CB"/>
    <w:rsid w:val="00C2568B"/>
    <w:rsid w:val="00C256AF"/>
    <w:rsid w:val="00C26297"/>
    <w:rsid w:val="00C274C5"/>
    <w:rsid w:val="00C27A57"/>
    <w:rsid w:val="00C27AE0"/>
    <w:rsid w:val="00C27B25"/>
    <w:rsid w:val="00C27C22"/>
    <w:rsid w:val="00C30282"/>
    <w:rsid w:val="00C30B48"/>
    <w:rsid w:val="00C30CF0"/>
    <w:rsid w:val="00C31298"/>
    <w:rsid w:val="00C312A5"/>
    <w:rsid w:val="00C31398"/>
    <w:rsid w:val="00C315FA"/>
    <w:rsid w:val="00C3169C"/>
    <w:rsid w:val="00C322D8"/>
    <w:rsid w:val="00C325A0"/>
    <w:rsid w:val="00C331E9"/>
    <w:rsid w:val="00C33521"/>
    <w:rsid w:val="00C3356C"/>
    <w:rsid w:val="00C3379F"/>
    <w:rsid w:val="00C3394D"/>
    <w:rsid w:val="00C33D9E"/>
    <w:rsid w:val="00C33F95"/>
    <w:rsid w:val="00C34072"/>
    <w:rsid w:val="00C343AD"/>
    <w:rsid w:val="00C34A41"/>
    <w:rsid w:val="00C350B0"/>
    <w:rsid w:val="00C3539A"/>
    <w:rsid w:val="00C3573D"/>
    <w:rsid w:val="00C35C3E"/>
    <w:rsid w:val="00C35DD8"/>
    <w:rsid w:val="00C361E1"/>
    <w:rsid w:val="00C36265"/>
    <w:rsid w:val="00C3629F"/>
    <w:rsid w:val="00C3671D"/>
    <w:rsid w:val="00C36863"/>
    <w:rsid w:val="00C36895"/>
    <w:rsid w:val="00C36D06"/>
    <w:rsid w:val="00C37E9B"/>
    <w:rsid w:val="00C4052A"/>
    <w:rsid w:val="00C4075F"/>
    <w:rsid w:val="00C40E1C"/>
    <w:rsid w:val="00C40F39"/>
    <w:rsid w:val="00C40F6F"/>
    <w:rsid w:val="00C41057"/>
    <w:rsid w:val="00C410C3"/>
    <w:rsid w:val="00C41C72"/>
    <w:rsid w:val="00C42076"/>
    <w:rsid w:val="00C4254C"/>
    <w:rsid w:val="00C428D6"/>
    <w:rsid w:val="00C42A45"/>
    <w:rsid w:val="00C432CF"/>
    <w:rsid w:val="00C43DE2"/>
    <w:rsid w:val="00C44162"/>
    <w:rsid w:val="00C44642"/>
    <w:rsid w:val="00C45565"/>
    <w:rsid w:val="00C455C5"/>
    <w:rsid w:val="00C45617"/>
    <w:rsid w:val="00C45633"/>
    <w:rsid w:val="00C45F3C"/>
    <w:rsid w:val="00C45F73"/>
    <w:rsid w:val="00C46886"/>
    <w:rsid w:val="00C4718E"/>
    <w:rsid w:val="00C472B5"/>
    <w:rsid w:val="00C47788"/>
    <w:rsid w:val="00C47D74"/>
    <w:rsid w:val="00C505DB"/>
    <w:rsid w:val="00C506A6"/>
    <w:rsid w:val="00C506C1"/>
    <w:rsid w:val="00C50D4E"/>
    <w:rsid w:val="00C50EAA"/>
    <w:rsid w:val="00C51987"/>
    <w:rsid w:val="00C51AB3"/>
    <w:rsid w:val="00C51C9C"/>
    <w:rsid w:val="00C51DA3"/>
    <w:rsid w:val="00C521F9"/>
    <w:rsid w:val="00C529A6"/>
    <w:rsid w:val="00C52ADB"/>
    <w:rsid w:val="00C532A6"/>
    <w:rsid w:val="00C5374F"/>
    <w:rsid w:val="00C537A8"/>
    <w:rsid w:val="00C539A7"/>
    <w:rsid w:val="00C540D8"/>
    <w:rsid w:val="00C540F2"/>
    <w:rsid w:val="00C5473A"/>
    <w:rsid w:val="00C54DF6"/>
    <w:rsid w:val="00C551A8"/>
    <w:rsid w:val="00C551DB"/>
    <w:rsid w:val="00C55455"/>
    <w:rsid w:val="00C55BFE"/>
    <w:rsid w:val="00C55DA4"/>
    <w:rsid w:val="00C56AAA"/>
    <w:rsid w:val="00C57285"/>
    <w:rsid w:val="00C57AD2"/>
    <w:rsid w:val="00C57EEF"/>
    <w:rsid w:val="00C57FBD"/>
    <w:rsid w:val="00C60560"/>
    <w:rsid w:val="00C6065F"/>
    <w:rsid w:val="00C606F9"/>
    <w:rsid w:val="00C60A07"/>
    <w:rsid w:val="00C60A2F"/>
    <w:rsid w:val="00C60D16"/>
    <w:rsid w:val="00C61376"/>
    <w:rsid w:val="00C621F1"/>
    <w:rsid w:val="00C6236A"/>
    <w:rsid w:val="00C62588"/>
    <w:rsid w:val="00C6259A"/>
    <w:rsid w:val="00C634DD"/>
    <w:rsid w:val="00C637B9"/>
    <w:rsid w:val="00C63F6A"/>
    <w:rsid w:val="00C64495"/>
    <w:rsid w:val="00C64502"/>
    <w:rsid w:val="00C64699"/>
    <w:rsid w:val="00C64979"/>
    <w:rsid w:val="00C657B1"/>
    <w:rsid w:val="00C657D9"/>
    <w:rsid w:val="00C65B91"/>
    <w:rsid w:val="00C65CAD"/>
    <w:rsid w:val="00C66816"/>
    <w:rsid w:val="00C66A8E"/>
    <w:rsid w:val="00C66AF7"/>
    <w:rsid w:val="00C6703B"/>
    <w:rsid w:val="00C670C1"/>
    <w:rsid w:val="00C6714A"/>
    <w:rsid w:val="00C6722A"/>
    <w:rsid w:val="00C6723E"/>
    <w:rsid w:val="00C6724E"/>
    <w:rsid w:val="00C67255"/>
    <w:rsid w:val="00C67375"/>
    <w:rsid w:val="00C67521"/>
    <w:rsid w:val="00C6766B"/>
    <w:rsid w:val="00C6785A"/>
    <w:rsid w:val="00C703AC"/>
    <w:rsid w:val="00C707F8"/>
    <w:rsid w:val="00C71232"/>
    <w:rsid w:val="00C71897"/>
    <w:rsid w:val="00C719CF"/>
    <w:rsid w:val="00C71D83"/>
    <w:rsid w:val="00C71EE0"/>
    <w:rsid w:val="00C73B8E"/>
    <w:rsid w:val="00C73E29"/>
    <w:rsid w:val="00C74ACC"/>
    <w:rsid w:val="00C74FD1"/>
    <w:rsid w:val="00C7519F"/>
    <w:rsid w:val="00C7539A"/>
    <w:rsid w:val="00C756CC"/>
    <w:rsid w:val="00C75A57"/>
    <w:rsid w:val="00C75E5E"/>
    <w:rsid w:val="00C763B0"/>
    <w:rsid w:val="00C76F07"/>
    <w:rsid w:val="00C77119"/>
    <w:rsid w:val="00C7733E"/>
    <w:rsid w:val="00C773EF"/>
    <w:rsid w:val="00C7768B"/>
    <w:rsid w:val="00C80743"/>
    <w:rsid w:val="00C8115E"/>
    <w:rsid w:val="00C8135E"/>
    <w:rsid w:val="00C819FE"/>
    <w:rsid w:val="00C81B89"/>
    <w:rsid w:val="00C81DB6"/>
    <w:rsid w:val="00C81F17"/>
    <w:rsid w:val="00C81F95"/>
    <w:rsid w:val="00C823B7"/>
    <w:rsid w:val="00C82856"/>
    <w:rsid w:val="00C82AB2"/>
    <w:rsid w:val="00C84335"/>
    <w:rsid w:val="00C843D4"/>
    <w:rsid w:val="00C84909"/>
    <w:rsid w:val="00C84F14"/>
    <w:rsid w:val="00C854FD"/>
    <w:rsid w:val="00C85522"/>
    <w:rsid w:val="00C85985"/>
    <w:rsid w:val="00C859D7"/>
    <w:rsid w:val="00C85C01"/>
    <w:rsid w:val="00C85EAD"/>
    <w:rsid w:val="00C8622A"/>
    <w:rsid w:val="00C86403"/>
    <w:rsid w:val="00C868BD"/>
    <w:rsid w:val="00C8749A"/>
    <w:rsid w:val="00C87BE5"/>
    <w:rsid w:val="00C87CC8"/>
    <w:rsid w:val="00C87F94"/>
    <w:rsid w:val="00C9039C"/>
    <w:rsid w:val="00C9060E"/>
    <w:rsid w:val="00C906C0"/>
    <w:rsid w:val="00C913E8"/>
    <w:rsid w:val="00C9193B"/>
    <w:rsid w:val="00C92052"/>
    <w:rsid w:val="00C920C5"/>
    <w:rsid w:val="00C92BF1"/>
    <w:rsid w:val="00C92CBE"/>
    <w:rsid w:val="00C93A87"/>
    <w:rsid w:val="00C9446A"/>
    <w:rsid w:val="00C949A7"/>
    <w:rsid w:val="00C94B72"/>
    <w:rsid w:val="00C9510F"/>
    <w:rsid w:val="00C95630"/>
    <w:rsid w:val="00C96308"/>
    <w:rsid w:val="00C964CD"/>
    <w:rsid w:val="00C967F4"/>
    <w:rsid w:val="00C96DF6"/>
    <w:rsid w:val="00C96FBF"/>
    <w:rsid w:val="00C9757F"/>
    <w:rsid w:val="00C976B0"/>
    <w:rsid w:val="00C97C90"/>
    <w:rsid w:val="00CA00E4"/>
    <w:rsid w:val="00CA07EC"/>
    <w:rsid w:val="00CA09D4"/>
    <w:rsid w:val="00CA0A3A"/>
    <w:rsid w:val="00CA0A86"/>
    <w:rsid w:val="00CA0A87"/>
    <w:rsid w:val="00CA1385"/>
    <w:rsid w:val="00CA1461"/>
    <w:rsid w:val="00CA1ED3"/>
    <w:rsid w:val="00CA1F63"/>
    <w:rsid w:val="00CA23D9"/>
    <w:rsid w:val="00CA260D"/>
    <w:rsid w:val="00CA262A"/>
    <w:rsid w:val="00CA2948"/>
    <w:rsid w:val="00CA2CD0"/>
    <w:rsid w:val="00CA3B96"/>
    <w:rsid w:val="00CA3FAF"/>
    <w:rsid w:val="00CA4068"/>
    <w:rsid w:val="00CA40B0"/>
    <w:rsid w:val="00CA432E"/>
    <w:rsid w:val="00CA4766"/>
    <w:rsid w:val="00CA47AE"/>
    <w:rsid w:val="00CA497D"/>
    <w:rsid w:val="00CA4CA4"/>
    <w:rsid w:val="00CA4E1B"/>
    <w:rsid w:val="00CA5530"/>
    <w:rsid w:val="00CA5909"/>
    <w:rsid w:val="00CA5C85"/>
    <w:rsid w:val="00CA603C"/>
    <w:rsid w:val="00CA6526"/>
    <w:rsid w:val="00CA6690"/>
    <w:rsid w:val="00CA68CF"/>
    <w:rsid w:val="00CA6B76"/>
    <w:rsid w:val="00CA720F"/>
    <w:rsid w:val="00CA7373"/>
    <w:rsid w:val="00CA7BB3"/>
    <w:rsid w:val="00CB0367"/>
    <w:rsid w:val="00CB0848"/>
    <w:rsid w:val="00CB0AF7"/>
    <w:rsid w:val="00CB119B"/>
    <w:rsid w:val="00CB18D4"/>
    <w:rsid w:val="00CB1F90"/>
    <w:rsid w:val="00CB2184"/>
    <w:rsid w:val="00CB22B6"/>
    <w:rsid w:val="00CB230E"/>
    <w:rsid w:val="00CB26DE"/>
    <w:rsid w:val="00CB26E3"/>
    <w:rsid w:val="00CB287D"/>
    <w:rsid w:val="00CB2B0B"/>
    <w:rsid w:val="00CB2E20"/>
    <w:rsid w:val="00CB3835"/>
    <w:rsid w:val="00CB3883"/>
    <w:rsid w:val="00CB3936"/>
    <w:rsid w:val="00CB40BE"/>
    <w:rsid w:val="00CB485F"/>
    <w:rsid w:val="00CB4E40"/>
    <w:rsid w:val="00CB506F"/>
    <w:rsid w:val="00CB5DC1"/>
    <w:rsid w:val="00CB610D"/>
    <w:rsid w:val="00CB650E"/>
    <w:rsid w:val="00CB6A62"/>
    <w:rsid w:val="00CB6C52"/>
    <w:rsid w:val="00CB71FA"/>
    <w:rsid w:val="00CB7699"/>
    <w:rsid w:val="00CB7995"/>
    <w:rsid w:val="00CC020D"/>
    <w:rsid w:val="00CC06F2"/>
    <w:rsid w:val="00CC0744"/>
    <w:rsid w:val="00CC1852"/>
    <w:rsid w:val="00CC1CD8"/>
    <w:rsid w:val="00CC1CF6"/>
    <w:rsid w:val="00CC225A"/>
    <w:rsid w:val="00CC261D"/>
    <w:rsid w:val="00CC2B8A"/>
    <w:rsid w:val="00CC2C5A"/>
    <w:rsid w:val="00CC2DDD"/>
    <w:rsid w:val="00CC2FC0"/>
    <w:rsid w:val="00CC36C8"/>
    <w:rsid w:val="00CC3829"/>
    <w:rsid w:val="00CC3BC0"/>
    <w:rsid w:val="00CC3F8E"/>
    <w:rsid w:val="00CC419F"/>
    <w:rsid w:val="00CC4993"/>
    <w:rsid w:val="00CC5450"/>
    <w:rsid w:val="00CC61A6"/>
    <w:rsid w:val="00CC641E"/>
    <w:rsid w:val="00CC6940"/>
    <w:rsid w:val="00CC69E1"/>
    <w:rsid w:val="00CC71BD"/>
    <w:rsid w:val="00CC7C3F"/>
    <w:rsid w:val="00CC7CCD"/>
    <w:rsid w:val="00CD00C3"/>
    <w:rsid w:val="00CD12A0"/>
    <w:rsid w:val="00CD166C"/>
    <w:rsid w:val="00CD18A3"/>
    <w:rsid w:val="00CD1A75"/>
    <w:rsid w:val="00CD24A2"/>
    <w:rsid w:val="00CD29E6"/>
    <w:rsid w:val="00CD2D08"/>
    <w:rsid w:val="00CD2EDE"/>
    <w:rsid w:val="00CD31FE"/>
    <w:rsid w:val="00CD3672"/>
    <w:rsid w:val="00CD36A5"/>
    <w:rsid w:val="00CD42BA"/>
    <w:rsid w:val="00CD4306"/>
    <w:rsid w:val="00CD4660"/>
    <w:rsid w:val="00CD4818"/>
    <w:rsid w:val="00CD485E"/>
    <w:rsid w:val="00CD49A5"/>
    <w:rsid w:val="00CD576E"/>
    <w:rsid w:val="00CD589D"/>
    <w:rsid w:val="00CD5930"/>
    <w:rsid w:val="00CD5D2A"/>
    <w:rsid w:val="00CD6306"/>
    <w:rsid w:val="00CD6583"/>
    <w:rsid w:val="00CD66EC"/>
    <w:rsid w:val="00CD687F"/>
    <w:rsid w:val="00CD6A3E"/>
    <w:rsid w:val="00CD6A9A"/>
    <w:rsid w:val="00CD6B1A"/>
    <w:rsid w:val="00CD6D89"/>
    <w:rsid w:val="00CD6D9C"/>
    <w:rsid w:val="00CD6ECE"/>
    <w:rsid w:val="00CD7B40"/>
    <w:rsid w:val="00CD7EDF"/>
    <w:rsid w:val="00CE0749"/>
    <w:rsid w:val="00CE07C1"/>
    <w:rsid w:val="00CE0953"/>
    <w:rsid w:val="00CE17F9"/>
    <w:rsid w:val="00CE1B9F"/>
    <w:rsid w:val="00CE232F"/>
    <w:rsid w:val="00CE34A0"/>
    <w:rsid w:val="00CE354C"/>
    <w:rsid w:val="00CE396C"/>
    <w:rsid w:val="00CE3C34"/>
    <w:rsid w:val="00CE3E99"/>
    <w:rsid w:val="00CE4165"/>
    <w:rsid w:val="00CE42C3"/>
    <w:rsid w:val="00CE4595"/>
    <w:rsid w:val="00CE4C17"/>
    <w:rsid w:val="00CE4C2C"/>
    <w:rsid w:val="00CE54BE"/>
    <w:rsid w:val="00CE557D"/>
    <w:rsid w:val="00CE5B9C"/>
    <w:rsid w:val="00CE6146"/>
    <w:rsid w:val="00CE61AA"/>
    <w:rsid w:val="00CE6DED"/>
    <w:rsid w:val="00CE70D4"/>
    <w:rsid w:val="00CE711C"/>
    <w:rsid w:val="00CE7DEC"/>
    <w:rsid w:val="00CE7E41"/>
    <w:rsid w:val="00CE7FE7"/>
    <w:rsid w:val="00CF06B6"/>
    <w:rsid w:val="00CF06BE"/>
    <w:rsid w:val="00CF0D7F"/>
    <w:rsid w:val="00CF100A"/>
    <w:rsid w:val="00CF1037"/>
    <w:rsid w:val="00CF132D"/>
    <w:rsid w:val="00CF19E9"/>
    <w:rsid w:val="00CF24D5"/>
    <w:rsid w:val="00CF2546"/>
    <w:rsid w:val="00CF316B"/>
    <w:rsid w:val="00CF34DF"/>
    <w:rsid w:val="00CF3E08"/>
    <w:rsid w:val="00CF3EBC"/>
    <w:rsid w:val="00CF4143"/>
    <w:rsid w:val="00CF44BF"/>
    <w:rsid w:val="00CF45A4"/>
    <w:rsid w:val="00CF4826"/>
    <w:rsid w:val="00CF4D19"/>
    <w:rsid w:val="00CF5154"/>
    <w:rsid w:val="00CF5660"/>
    <w:rsid w:val="00CF5684"/>
    <w:rsid w:val="00CF68D8"/>
    <w:rsid w:val="00CF6BBE"/>
    <w:rsid w:val="00CF6BD3"/>
    <w:rsid w:val="00CF71AC"/>
    <w:rsid w:val="00CF72B3"/>
    <w:rsid w:val="00CF7484"/>
    <w:rsid w:val="00D00B21"/>
    <w:rsid w:val="00D00C8B"/>
    <w:rsid w:val="00D0119F"/>
    <w:rsid w:val="00D01AF6"/>
    <w:rsid w:val="00D026A9"/>
    <w:rsid w:val="00D029E4"/>
    <w:rsid w:val="00D02ED6"/>
    <w:rsid w:val="00D0305A"/>
    <w:rsid w:val="00D037A1"/>
    <w:rsid w:val="00D03B3D"/>
    <w:rsid w:val="00D03B7A"/>
    <w:rsid w:val="00D0401A"/>
    <w:rsid w:val="00D04136"/>
    <w:rsid w:val="00D05087"/>
    <w:rsid w:val="00D05575"/>
    <w:rsid w:val="00D05F34"/>
    <w:rsid w:val="00D060CA"/>
    <w:rsid w:val="00D062E5"/>
    <w:rsid w:val="00D06610"/>
    <w:rsid w:val="00D06620"/>
    <w:rsid w:val="00D069FF"/>
    <w:rsid w:val="00D06DB8"/>
    <w:rsid w:val="00D0709A"/>
    <w:rsid w:val="00D07C3C"/>
    <w:rsid w:val="00D07CB2"/>
    <w:rsid w:val="00D07DB7"/>
    <w:rsid w:val="00D07F5C"/>
    <w:rsid w:val="00D10380"/>
    <w:rsid w:val="00D10776"/>
    <w:rsid w:val="00D10838"/>
    <w:rsid w:val="00D1117E"/>
    <w:rsid w:val="00D111BC"/>
    <w:rsid w:val="00D11F1E"/>
    <w:rsid w:val="00D11FD8"/>
    <w:rsid w:val="00D12574"/>
    <w:rsid w:val="00D1273B"/>
    <w:rsid w:val="00D12914"/>
    <w:rsid w:val="00D1311C"/>
    <w:rsid w:val="00D13193"/>
    <w:rsid w:val="00D13218"/>
    <w:rsid w:val="00D1391E"/>
    <w:rsid w:val="00D13A0F"/>
    <w:rsid w:val="00D13A86"/>
    <w:rsid w:val="00D14E1B"/>
    <w:rsid w:val="00D14E1D"/>
    <w:rsid w:val="00D14EF1"/>
    <w:rsid w:val="00D155AA"/>
    <w:rsid w:val="00D155F4"/>
    <w:rsid w:val="00D1632A"/>
    <w:rsid w:val="00D17B2C"/>
    <w:rsid w:val="00D17DE9"/>
    <w:rsid w:val="00D17F05"/>
    <w:rsid w:val="00D20977"/>
    <w:rsid w:val="00D20B3F"/>
    <w:rsid w:val="00D20F96"/>
    <w:rsid w:val="00D21032"/>
    <w:rsid w:val="00D2111B"/>
    <w:rsid w:val="00D212B2"/>
    <w:rsid w:val="00D216D2"/>
    <w:rsid w:val="00D21F08"/>
    <w:rsid w:val="00D227B4"/>
    <w:rsid w:val="00D2280E"/>
    <w:rsid w:val="00D228D0"/>
    <w:rsid w:val="00D231E6"/>
    <w:rsid w:val="00D233BF"/>
    <w:rsid w:val="00D236E6"/>
    <w:rsid w:val="00D23910"/>
    <w:rsid w:val="00D23EFC"/>
    <w:rsid w:val="00D23F86"/>
    <w:rsid w:val="00D24178"/>
    <w:rsid w:val="00D244A8"/>
    <w:rsid w:val="00D24EBC"/>
    <w:rsid w:val="00D25167"/>
    <w:rsid w:val="00D2518D"/>
    <w:rsid w:val="00D2568E"/>
    <w:rsid w:val="00D25695"/>
    <w:rsid w:val="00D25A79"/>
    <w:rsid w:val="00D25D49"/>
    <w:rsid w:val="00D2600F"/>
    <w:rsid w:val="00D26026"/>
    <w:rsid w:val="00D260B4"/>
    <w:rsid w:val="00D2664B"/>
    <w:rsid w:val="00D26815"/>
    <w:rsid w:val="00D26878"/>
    <w:rsid w:val="00D26A29"/>
    <w:rsid w:val="00D2721D"/>
    <w:rsid w:val="00D279F7"/>
    <w:rsid w:val="00D27E38"/>
    <w:rsid w:val="00D3006C"/>
    <w:rsid w:val="00D30460"/>
    <w:rsid w:val="00D31308"/>
    <w:rsid w:val="00D31780"/>
    <w:rsid w:val="00D31AAF"/>
    <w:rsid w:val="00D31B82"/>
    <w:rsid w:val="00D31E5E"/>
    <w:rsid w:val="00D31F0C"/>
    <w:rsid w:val="00D320B3"/>
    <w:rsid w:val="00D32270"/>
    <w:rsid w:val="00D3236D"/>
    <w:rsid w:val="00D328D1"/>
    <w:rsid w:val="00D32D2F"/>
    <w:rsid w:val="00D33114"/>
    <w:rsid w:val="00D33816"/>
    <w:rsid w:val="00D33848"/>
    <w:rsid w:val="00D33A2C"/>
    <w:rsid w:val="00D33B0A"/>
    <w:rsid w:val="00D34727"/>
    <w:rsid w:val="00D349C1"/>
    <w:rsid w:val="00D34C4D"/>
    <w:rsid w:val="00D35304"/>
    <w:rsid w:val="00D3564E"/>
    <w:rsid w:val="00D35957"/>
    <w:rsid w:val="00D36093"/>
    <w:rsid w:val="00D36507"/>
    <w:rsid w:val="00D36950"/>
    <w:rsid w:val="00D36B51"/>
    <w:rsid w:val="00D37354"/>
    <w:rsid w:val="00D37AA3"/>
    <w:rsid w:val="00D407A1"/>
    <w:rsid w:val="00D40982"/>
    <w:rsid w:val="00D40AF1"/>
    <w:rsid w:val="00D40BAA"/>
    <w:rsid w:val="00D41183"/>
    <w:rsid w:val="00D419AA"/>
    <w:rsid w:val="00D41A88"/>
    <w:rsid w:val="00D41B19"/>
    <w:rsid w:val="00D41C8A"/>
    <w:rsid w:val="00D42B15"/>
    <w:rsid w:val="00D42FC9"/>
    <w:rsid w:val="00D431E7"/>
    <w:rsid w:val="00D43327"/>
    <w:rsid w:val="00D43A6B"/>
    <w:rsid w:val="00D43C3F"/>
    <w:rsid w:val="00D4505D"/>
    <w:rsid w:val="00D45187"/>
    <w:rsid w:val="00D453F1"/>
    <w:rsid w:val="00D4552B"/>
    <w:rsid w:val="00D459C8"/>
    <w:rsid w:val="00D45A67"/>
    <w:rsid w:val="00D46023"/>
    <w:rsid w:val="00D462E0"/>
    <w:rsid w:val="00D46390"/>
    <w:rsid w:val="00D465B6"/>
    <w:rsid w:val="00D46C7F"/>
    <w:rsid w:val="00D46D9F"/>
    <w:rsid w:val="00D47A52"/>
    <w:rsid w:val="00D50086"/>
    <w:rsid w:val="00D504F9"/>
    <w:rsid w:val="00D508EF"/>
    <w:rsid w:val="00D50B9F"/>
    <w:rsid w:val="00D51111"/>
    <w:rsid w:val="00D51DEC"/>
    <w:rsid w:val="00D52027"/>
    <w:rsid w:val="00D52148"/>
    <w:rsid w:val="00D52723"/>
    <w:rsid w:val="00D52CAF"/>
    <w:rsid w:val="00D52F48"/>
    <w:rsid w:val="00D52F5E"/>
    <w:rsid w:val="00D5382A"/>
    <w:rsid w:val="00D53846"/>
    <w:rsid w:val="00D5385E"/>
    <w:rsid w:val="00D53E84"/>
    <w:rsid w:val="00D54180"/>
    <w:rsid w:val="00D5420F"/>
    <w:rsid w:val="00D54229"/>
    <w:rsid w:val="00D5493D"/>
    <w:rsid w:val="00D549A0"/>
    <w:rsid w:val="00D54FC0"/>
    <w:rsid w:val="00D55187"/>
    <w:rsid w:val="00D55674"/>
    <w:rsid w:val="00D55E37"/>
    <w:rsid w:val="00D560FD"/>
    <w:rsid w:val="00D56173"/>
    <w:rsid w:val="00D5663A"/>
    <w:rsid w:val="00D567A4"/>
    <w:rsid w:val="00D56E8C"/>
    <w:rsid w:val="00D5741B"/>
    <w:rsid w:val="00D57672"/>
    <w:rsid w:val="00D57728"/>
    <w:rsid w:val="00D57C1C"/>
    <w:rsid w:val="00D602FD"/>
    <w:rsid w:val="00D60DEA"/>
    <w:rsid w:val="00D60FE3"/>
    <w:rsid w:val="00D611C9"/>
    <w:rsid w:val="00D61203"/>
    <w:rsid w:val="00D61247"/>
    <w:rsid w:val="00D6124C"/>
    <w:rsid w:val="00D61AB7"/>
    <w:rsid w:val="00D6205C"/>
    <w:rsid w:val="00D6207C"/>
    <w:rsid w:val="00D624EA"/>
    <w:rsid w:val="00D62551"/>
    <w:rsid w:val="00D632E2"/>
    <w:rsid w:val="00D63857"/>
    <w:rsid w:val="00D63879"/>
    <w:rsid w:val="00D63BF0"/>
    <w:rsid w:val="00D63E63"/>
    <w:rsid w:val="00D644AA"/>
    <w:rsid w:val="00D64716"/>
    <w:rsid w:val="00D647A0"/>
    <w:rsid w:val="00D6487D"/>
    <w:rsid w:val="00D64A5A"/>
    <w:rsid w:val="00D650E0"/>
    <w:rsid w:val="00D6550E"/>
    <w:rsid w:val="00D66143"/>
    <w:rsid w:val="00D66AEB"/>
    <w:rsid w:val="00D67179"/>
    <w:rsid w:val="00D676E8"/>
    <w:rsid w:val="00D677EC"/>
    <w:rsid w:val="00D67C67"/>
    <w:rsid w:val="00D67E56"/>
    <w:rsid w:val="00D67F57"/>
    <w:rsid w:val="00D7006B"/>
    <w:rsid w:val="00D70279"/>
    <w:rsid w:val="00D702EF"/>
    <w:rsid w:val="00D71291"/>
    <w:rsid w:val="00D71402"/>
    <w:rsid w:val="00D71AA6"/>
    <w:rsid w:val="00D721BC"/>
    <w:rsid w:val="00D721C3"/>
    <w:rsid w:val="00D7235F"/>
    <w:rsid w:val="00D7276C"/>
    <w:rsid w:val="00D73579"/>
    <w:rsid w:val="00D73847"/>
    <w:rsid w:val="00D73D01"/>
    <w:rsid w:val="00D74151"/>
    <w:rsid w:val="00D741B0"/>
    <w:rsid w:val="00D747B4"/>
    <w:rsid w:val="00D748EB"/>
    <w:rsid w:val="00D7516E"/>
    <w:rsid w:val="00D756E4"/>
    <w:rsid w:val="00D7580A"/>
    <w:rsid w:val="00D765E2"/>
    <w:rsid w:val="00D765E3"/>
    <w:rsid w:val="00D7661E"/>
    <w:rsid w:val="00D76A9E"/>
    <w:rsid w:val="00D76AE1"/>
    <w:rsid w:val="00D76EAD"/>
    <w:rsid w:val="00D7709C"/>
    <w:rsid w:val="00D77291"/>
    <w:rsid w:val="00D77552"/>
    <w:rsid w:val="00D77607"/>
    <w:rsid w:val="00D77713"/>
    <w:rsid w:val="00D77775"/>
    <w:rsid w:val="00D77BAE"/>
    <w:rsid w:val="00D77D1C"/>
    <w:rsid w:val="00D80A02"/>
    <w:rsid w:val="00D80CB3"/>
    <w:rsid w:val="00D81767"/>
    <w:rsid w:val="00D817D0"/>
    <w:rsid w:val="00D818F5"/>
    <w:rsid w:val="00D819DF"/>
    <w:rsid w:val="00D81A7F"/>
    <w:rsid w:val="00D81C8F"/>
    <w:rsid w:val="00D8264A"/>
    <w:rsid w:val="00D82B92"/>
    <w:rsid w:val="00D82CC7"/>
    <w:rsid w:val="00D82CEC"/>
    <w:rsid w:val="00D83288"/>
    <w:rsid w:val="00D8330F"/>
    <w:rsid w:val="00D83310"/>
    <w:rsid w:val="00D83923"/>
    <w:rsid w:val="00D83F8E"/>
    <w:rsid w:val="00D842FA"/>
    <w:rsid w:val="00D844B6"/>
    <w:rsid w:val="00D84F1E"/>
    <w:rsid w:val="00D8505A"/>
    <w:rsid w:val="00D8506D"/>
    <w:rsid w:val="00D854CE"/>
    <w:rsid w:val="00D85555"/>
    <w:rsid w:val="00D867AE"/>
    <w:rsid w:val="00D86C1F"/>
    <w:rsid w:val="00D86D11"/>
    <w:rsid w:val="00D872C4"/>
    <w:rsid w:val="00D87895"/>
    <w:rsid w:val="00D87976"/>
    <w:rsid w:val="00D87A19"/>
    <w:rsid w:val="00D87DA6"/>
    <w:rsid w:val="00D90236"/>
    <w:rsid w:val="00D90375"/>
    <w:rsid w:val="00D9047B"/>
    <w:rsid w:val="00D905BD"/>
    <w:rsid w:val="00D90BE9"/>
    <w:rsid w:val="00D91F9B"/>
    <w:rsid w:val="00D9206B"/>
    <w:rsid w:val="00D92923"/>
    <w:rsid w:val="00D9295A"/>
    <w:rsid w:val="00D92D0F"/>
    <w:rsid w:val="00D930DB"/>
    <w:rsid w:val="00D93861"/>
    <w:rsid w:val="00D939BF"/>
    <w:rsid w:val="00D939CC"/>
    <w:rsid w:val="00D93C03"/>
    <w:rsid w:val="00D93F77"/>
    <w:rsid w:val="00D94410"/>
    <w:rsid w:val="00D945FA"/>
    <w:rsid w:val="00D94A1C"/>
    <w:rsid w:val="00D94D90"/>
    <w:rsid w:val="00D94DE7"/>
    <w:rsid w:val="00D94FAE"/>
    <w:rsid w:val="00D95109"/>
    <w:rsid w:val="00D95883"/>
    <w:rsid w:val="00D958B4"/>
    <w:rsid w:val="00D95AB0"/>
    <w:rsid w:val="00D964EA"/>
    <w:rsid w:val="00D9671D"/>
    <w:rsid w:val="00D969B2"/>
    <w:rsid w:val="00D96C97"/>
    <w:rsid w:val="00D9787D"/>
    <w:rsid w:val="00D979AB"/>
    <w:rsid w:val="00D97F79"/>
    <w:rsid w:val="00DA0057"/>
    <w:rsid w:val="00DA0552"/>
    <w:rsid w:val="00DA06E1"/>
    <w:rsid w:val="00DA0B27"/>
    <w:rsid w:val="00DA1187"/>
    <w:rsid w:val="00DA1E12"/>
    <w:rsid w:val="00DA26DE"/>
    <w:rsid w:val="00DA27C1"/>
    <w:rsid w:val="00DA2A01"/>
    <w:rsid w:val="00DA2BB6"/>
    <w:rsid w:val="00DA32FE"/>
    <w:rsid w:val="00DA3380"/>
    <w:rsid w:val="00DA3436"/>
    <w:rsid w:val="00DA3467"/>
    <w:rsid w:val="00DA3D76"/>
    <w:rsid w:val="00DA4D5D"/>
    <w:rsid w:val="00DA4F34"/>
    <w:rsid w:val="00DA5023"/>
    <w:rsid w:val="00DA50A3"/>
    <w:rsid w:val="00DA548A"/>
    <w:rsid w:val="00DA5A2B"/>
    <w:rsid w:val="00DA5AE2"/>
    <w:rsid w:val="00DA5D47"/>
    <w:rsid w:val="00DA6750"/>
    <w:rsid w:val="00DA6C1E"/>
    <w:rsid w:val="00DA6C61"/>
    <w:rsid w:val="00DA6EC0"/>
    <w:rsid w:val="00DA73FC"/>
    <w:rsid w:val="00DA74EF"/>
    <w:rsid w:val="00DA783C"/>
    <w:rsid w:val="00DA794E"/>
    <w:rsid w:val="00DB035C"/>
    <w:rsid w:val="00DB0A4E"/>
    <w:rsid w:val="00DB0B6A"/>
    <w:rsid w:val="00DB0BBC"/>
    <w:rsid w:val="00DB0E17"/>
    <w:rsid w:val="00DB0F76"/>
    <w:rsid w:val="00DB11B0"/>
    <w:rsid w:val="00DB1859"/>
    <w:rsid w:val="00DB1A02"/>
    <w:rsid w:val="00DB1B01"/>
    <w:rsid w:val="00DB1C09"/>
    <w:rsid w:val="00DB2092"/>
    <w:rsid w:val="00DB27E8"/>
    <w:rsid w:val="00DB2800"/>
    <w:rsid w:val="00DB3054"/>
    <w:rsid w:val="00DB3270"/>
    <w:rsid w:val="00DB35C2"/>
    <w:rsid w:val="00DB3796"/>
    <w:rsid w:val="00DB4455"/>
    <w:rsid w:val="00DB481C"/>
    <w:rsid w:val="00DB5359"/>
    <w:rsid w:val="00DB56B0"/>
    <w:rsid w:val="00DB5736"/>
    <w:rsid w:val="00DB5915"/>
    <w:rsid w:val="00DB5BC8"/>
    <w:rsid w:val="00DB61A8"/>
    <w:rsid w:val="00DB61FD"/>
    <w:rsid w:val="00DB6380"/>
    <w:rsid w:val="00DB65D7"/>
    <w:rsid w:val="00DB6617"/>
    <w:rsid w:val="00DB6D9A"/>
    <w:rsid w:val="00DB6E34"/>
    <w:rsid w:val="00DB6E9E"/>
    <w:rsid w:val="00DB72D0"/>
    <w:rsid w:val="00DB7470"/>
    <w:rsid w:val="00DB74B7"/>
    <w:rsid w:val="00DB7535"/>
    <w:rsid w:val="00DB7AE4"/>
    <w:rsid w:val="00DC0C7A"/>
    <w:rsid w:val="00DC0D04"/>
    <w:rsid w:val="00DC0D6C"/>
    <w:rsid w:val="00DC0E9D"/>
    <w:rsid w:val="00DC166C"/>
    <w:rsid w:val="00DC16B0"/>
    <w:rsid w:val="00DC2173"/>
    <w:rsid w:val="00DC2392"/>
    <w:rsid w:val="00DC2B2D"/>
    <w:rsid w:val="00DC2BB5"/>
    <w:rsid w:val="00DC2C2F"/>
    <w:rsid w:val="00DC3ADD"/>
    <w:rsid w:val="00DC3CE4"/>
    <w:rsid w:val="00DC3F7E"/>
    <w:rsid w:val="00DC41CE"/>
    <w:rsid w:val="00DC4A53"/>
    <w:rsid w:val="00DC4A8F"/>
    <w:rsid w:val="00DC506C"/>
    <w:rsid w:val="00DC545D"/>
    <w:rsid w:val="00DC54E0"/>
    <w:rsid w:val="00DC6D72"/>
    <w:rsid w:val="00DC70C5"/>
    <w:rsid w:val="00DC7816"/>
    <w:rsid w:val="00DC7C8D"/>
    <w:rsid w:val="00DC7E22"/>
    <w:rsid w:val="00DD0189"/>
    <w:rsid w:val="00DD028C"/>
    <w:rsid w:val="00DD068C"/>
    <w:rsid w:val="00DD0B64"/>
    <w:rsid w:val="00DD10CD"/>
    <w:rsid w:val="00DD1117"/>
    <w:rsid w:val="00DD1463"/>
    <w:rsid w:val="00DD17E0"/>
    <w:rsid w:val="00DD1996"/>
    <w:rsid w:val="00DD1B30"/>
    <w:rsid w:val="00DD1C82"/>
    <w:rsid w:val="00DD1D86"/>
    <w:rsid w:val="00DD33F0"/>
    <w:rsid w:val="00DD33F7"/>
    <w:rsid w:val="00DD365D"/>
    <w:rsid w:val="00DD39A5"/>
    <w:rsid w:val="00DD3A78"/>
    <w:rsid w:val="00DD3EFF"/>
    <w:rsid w:val="00DD4262"/>
    <w:rsid w:val="00DD42F1"/>
    <w:rsid w:val="00DD46BB"/>
    <w:rsid w:val="00DD487A"/>
    <w:rsid w:val="00DD4F73"/>
    <w:rsid w:val="00DD50F1"/>
    <w:rsid w:val="00DD525F"/>
    <w:rsid w:val="00DD53F8"/>
    <w:rsid w:val="00DD55A4"/>
    <w:rsid w:val="00DD6151"/>
    <w:rsid w:val="00DD6394"/>
    <w:rsid w:val="00DD63CD"/>
    <w:rsid w:val="00DD6721"/>
    <w:rsid w:val="00DD6BB9"/>
    <w:rsid w:val="00DD6E9C"/>
    <w:rsid w:val="00DD7855"/>
    <w:rsid w:val="00DD7985"/>
    <w:rsid w:val="00DD7FD2"/>
    <w:rsid w:val="00DE0587"/>
    <w:rsid w:val="00DE0AC9"/>
    <w:rsid w:val="00DE0AEF"/>
    <w:rsid w:val="00DE16C4"/>
    <w:rsid w:val="00DE1883"/>
    <w:rsid w:val="00DE1E1A"/>
    <w:rsid w:val="00DE1FEB"/>
    <w:rsid w:val="00DE24C6"/>
    <w:rsid w:val="00DE2CE6"/>
    <w:rsid w:val="00DE2FD7"/>
    <w:rsid w:val="00DE3137"/>
    <w:rsid w:val="00DE320E"/>
    <w:rsid w:val="00DE3E57"/>
    <w:rsid w:val="00DE3F02"/>
    <w:rsid w:val="00DE4046"/>
    <w:rsid w:val="00DE4258"/>
    <w:rsid w:val="00DE436E"/>
    <w:rsid w:val="00DE4C04"/>
    <w:rsid w:val="00DE4C3A"/>
    <w:rsid w:val="00DE5061"/>
    <w:rsid w:val="00DE506D"/>
    <w:rsid w:val="00DE50C0"/>
    <w:rsid w:val="00DE5515"/>
    <w:rsid w:val="00DE5871"/>
    <w:rsid w:val="00DE5AEB"/>
    <w:rsid w:val="00DE5F3A"/>
    <w:rsid w:val="00DE6069"/>
    <w:rsid w:val="00DE6308"/>
    <w:rsid w:val="00DE6614"/>
    <w:rsid w:val="00DE683A"/>
    <w:rsid w:val="00DE6C45"/>
    <w:rsid w:val="00DE6D08"/>
    <w:rsid w:val="00DE6F1B"/>
    <w:rsid w:val="00DE715A"/>
    <w:rsid w:val="00DE72FE"/>
    <w:rsid w:val="00DE7572"/>
    <w:rsid w:val="00DE76ED"/>
    <w:rsid w:val="00DE78EA"/>
    <w:rsid w:val="00DE7B45"/>
    <w:rsid w:val="00DF018F"/>
    <w:rsid w:val="00DF031E"/>
    <w:rsid w:val="00DF050F"/>
    <w:rsid w:val="00DF0F70"/>
    <w:rsid w:val="00DF108C"/>
    <w:rsid w:val="00DF1590"/>
    <w:rsid w:val="00DF1C47"/>
    <w:rsid w:val="00DF1C64"/>
    <w:rsid w:val="00DF1E1A"/>
    <w:rsid w:val="00DF240F"/>
    <w:rsid w:val="00DF2BF7"/>
    <w:rsid w:val="00DF2E3B"/>
    <w:rsid w:val="00DF33B2"/>
    <w:rsid w:val="00DF3C30"/>
    <w:rsid w:val="00DF3F54"/>
    <w:rsid w:val="00DF4D9F"/>
    <w:rsid w:val="00DF4DF7"/>
    <w:rsid w:val="00DF4F5A"/>
    <w:rsid w:val="00DF4F74"/>
    <w:rsid w:val="00DF5958"/>
    <w:rsid w:val="00DF5B35"/>
    <w:rsid w:val="00DF5BAB"/>
    <w:rsid w:val="00DF6C5E"/>
    <w:rsid w:val="00DF6DC2"/>
    <w:rsid w:val="00DF70A8"/>
    <w:rsid w:val="00DF7201"/>
    <w:rsid w:val="00DF77DF"/>
    <w:rsid w:val="00DF7DFB"/>
    <w:rsid w:val="00DF7FCC"/>
    <w:rsid w:val="00E00277"/>
    <w:rsid w:val="00E003EB"/>
    <w:rsid w:val="00E00622"/>
    <w:rsid w:val="00E00D01"/>
    <w:rsid w:val="00E00D64"/>
    <w:rsid w:val="00E00E55"/>
    <w:rsid w:val="00E01004"/>
    <w:rsid w:val="00E01606"/>
    <w:rsid w:val="00E017D2"/>
    <w:rsid w:val="00E01838"/>
    <w:rsid w:val="00E0187D"/>
    <w:rsid w:val="00E01EB0"/>
    <w:rsid w:val="00E023D6"/>
    <w:rsid w:val="00E0265B"/>
    <w:rsid w:val="00E02D6D"/>
    <w:rsid w:val="00E036EA"/>
    <w:rsid w:val="00E03926"/>
    <w:rsid w:val="00E03AEA"/>
    <w:rsid w:val="00E03B48"/>
    <w:rsid w:val="00E03BFA"/>
    <w:rsid w:val="00E0438E"/>
    <w:rsid w:val="00E049F7"/>
    <w:rsid w:val="00E04BCB"/>
    <w:rsid w:val="00E04D6F"/>
    <w:rsid w:val="00E053A2"/>
    <w:rsid w:val="00E05C13"/>
    <w:rsid w:val="00E06040"/>
    <w:rsid w:val="00E0662C"/>
    <w:rsid w:val="00E06703"/>
    <w:rsid w:val="00E069A4"/>
    <w:rsid w:val="00E06A26"/>
    <w:rsid w:val="00E06B1C"/>
    <w:rsid w:val="00E06C6A"/>
    <w:rsid w:val="00E0726F"/>
    <w:rsid w:val="00E0738A"/>
    <w:rsid w:val="00E07418"/>
    <w:rsid w:val="00E07C30"/>
    <w:rsid w:val="00E07D06"/>
    <w:rsid w:val="00E10573"/>
    <w:rsid w:val="00E10C45"/>
    <w:rsid w:val="00E10C98"/>
    <w:rsid w:val="00E1141B"/>
    <w:rsid w:val="00E115AE"/>
    <w:rsid w:val="00E1164B"/>
    <w:rsid w:val="00E1176E"/>
    <w:rsid w:val="00E11D4C"/>
    <w:rsid w:val="00E125AE"/>
    <w:rsid w:val="00E12819"/>
    <w:rsid w:val="00E129F2"/>
    <w:rsid w:val="00E12B23"/>
    <w:rsid w:val="00E12F8C"/>
    <w:rsid w:val="00E1313D"/>
    <w:rsid w:val="00E1327B"/>
    <w:rsid w:val="00E13403"/>
    <w:rsid w:val="00E1368D"/>
    <w:rsid w:val="00E13AAB"/>
    <w:rsid w:val="00E13E74"/>
    <w:rsid w:val="00E13F67"/>
    <w:rsid w:val="00E141A6"/>
    <w:rsid w:val="00E144EB"/>
    <w:rsid w:val="00E1469F"/>
    <w:rsid w:val="00E1496B"/>
    <w:rsid w:val="00E14CAB"/>
    <w:rsid w:val="00E14F91"/>
    <w:rsid w:val="00E15ADB"/>
    <w:rsid w:val="00E15DC2"/>
    <w:rsid w:val="00E15E10"/>
    <w:rsid w:val="00E15E13"/>
    <w:rsid w:val="00E15F76"/>
    <w:rsid w:val="00E168F0"/>
    <w:rsid w:val="00E16AFA"/>
    <w:rsid w:val="00E16B9A"/>
    <w:rsid w:val="00E170FD"/>
    <w:rsid w:val="00E17907"/>
    <w:rsid w:val="00E17F85"/>
    <w:rsid w:val="00E2018A"/>
    <w:rsid w:val="00E20773"/>
    <w:rsid w:val="00E2094D"/>
    <w:rsid w:val="00E20B7B"/>
    <w:rsid w:val="00E21384"/>
    <w:rsid w:val="00E21545"/>
    <w:rsid w:val="00E21A49"/>
    <w:rsid w:val="00E21A70"/>
    <w:rsid w:val="00E21D76"/>
    <w:rsid w:val="00E22300"/>
    <w:rsid w:val="00E22603"/>
    <w:rsid w:val="00E226A5"/>
    <w:rsid w:val="00E22C94"/>
    <w:rsid w:val="00E22E7E"/>
    <w:rsid w:val="00E22FAA"/>
    <w:rsid w:val="00E23651"/>
    <w:rsid w:val="00E2396F"/>
    <w:rsid w:val="00E23DDA"/>
    <w:rsid w:val="00E23E23"/>
    <w:rsid w:val="00E2409F"/>
    <w:rsid w:val="00E241A7"/>
    <w:rsid w:val="00E242A6"/>
    <w:rsid w:val="00E245D3"/>
    <w:rsid w:val="00E24DCF"/>
    <w:rsid w:val="00E251C5"/>
    <w:rsid w:val="00E25272"/>
    <w:rsid w:val="00E262B3"/>
    <w:rsid w:val="00E26557"/>
    <w:rsid w:val="00E26590"/>
    <w:rsid w:val="00E266E8"/>
    <w:rsid w:val="00E26854"/>
    <w:rsid w:val="00E2736A"/>
    <w:rsid w:val="00E27684"/>
    <w:rsid w:val="00E278D5"/>
    <w:rsid w:val="00E30184"/>
    <w:rsid w:val="00E30223"/>
    <w:rsid w:val="00E30AD3"/>
    <w:rsid w:val="00E30CA3"/>
    <w:rsid w:val="00E31053"/>
    <w:rsid w:val="00E315B2"/>
    <w:rsid w:val="00E31931"/>
    <w:rsid w:val="00E31D28"/>
    <w:rsid w:val="00E31D9F"/>
    <w:rsid w:val="00E31F1D"/>
    <w:rsid w:val="00E320F5"/>
    <w:rsid w:val="00E32388"/>
    <w:rsid w:val="00E32A3D"/>
    <w:rsid w:val="00E32D0D"/>
    <w:rsid w:val="00E32E69"/>
    <w:rsid w:val="00E33325"/>
    <w:rsid w:val="00E33773"/>
    <w:rsid w:val="00E33925"/>
    <w:rsid w:val="00E33A20"/>
    <w:rsid w:val="00E33AB4"/>
    <w:rsid w:val="00E33B26"/>
    <w:rsid w:val="00E33B8D"/>
    <w:rsid w:val="00E33BC4"/>
    <w:rsid w:val="00E34711"/>
    <w:rsid w:val="00E34DFA"/>
    <w:rsid w:val="00E34ECE"/>
    <w:rsid w:val="00E35811"/>
    <w:rsid w:val="00E35D29"/>
    <w:rsid w:val="00E36429"/>
    <w:rsid w:val="00E36503"/>
    <w:rsid w:val="00E36842"/>
    <w:rsid w:val="00E36896"/>
    <w:rsid w:val="00E36ADA"/>
    <w:rsid w:val="00E36CA9"/>
    <w:rsid w:val="00E36F8B"/>
    <w:rsid w:val="00E371E1"/>
    <w:rsid w:val="00E37904"/>
    <w:rsid w:val="00E37D1C"/>
    <w:rsid w:val="00E37D8E"/>
    <w:rsid w:val="00E37F68"/>
    <w:rsid w:val="00E4030A"/>
    <w:rsid w:val="00E406F2"/>
    <w:rsid w:val="00E4109B"/>
    <w:rsid w:val="00E41290"/>
    <w:rsid w:val="00E41443"/>
    <w:rsid w:val="00E414CC"/>
    <w:rsid w:val="00E416E9"/>
    <w:rsid w:val="00E419CA"/>
    <w:rsid w:val="00E41BB6"/>
    <w:rsid w:val="00E41DC3"/>
    <w:rsid w:val="00E41EA8"/>
    <w:rsid w:val="00E4216C"/>
    <w:rsid w:val="00E42325"/>
    <w:rsid w:val="00E4245F"/>
    <w:rsid w:val="00E42A28"/>
    <w:rsid w:val="00E42A44"/>
    <w:rsid w:val="00E43CBB"/>
    <w:rsid w:val="00E4423A"/>
    <w:rsid w:val="00E4426E"/>
    <w:rsid w:val="00E446F3"/>
    <w:rsid w:val="00E44829"/>
    <w:rsid w:val="00E44E84"/>
    <w:rsid w:val="00E45196"/>
    <w:rsid w:val="00E453F1"/>
    <w:rsid w:val="00E45576"/>
    <w:rsid w:val="00E4578A"/>
    <w:rsid w:val="00E45916"/>
    <w:rsid w:val="00E45C03"/>
    <w:rsid w:val="00E45F0A"/>
    <w:rsid w:val="00E46618"/>
    <w:rsid w:val="00E4709B"/>
    <w:rsid w:val="00E473D1"/>
    <w:rsid w:val="00E47548"/>
    <w:rsid w:val="00E477FE"/>
    <w:rsid w:val="00E47B7C"/>
    <w:rsid w:val="00E5003E"/>
    <w:rsid w:val="00E502CA"/>
    <w:rsid w:val="00E5046E"/>
    <w:rsid w:val="00E50B1A"/>
    <w:rsid w:val="00E50C63"/>
    <w:rsid w:val="00E5105E"/>
    <w:rsid w:val="00E519E8"/>
    <w:rsid w:val="00E51B69"/>
    <w:rsid w:val="00E52337"/>
    <w:rsid w:val="00E52D91"/>
    <w:rsid w:val="00E52DE5"/>
    <w:rsid w:val="00E52F42"/>
    <w:rsid w:val="00E530B1"/>
    <w:rsid w:val="00E530F3"/>
    <w:rsid w:val="00E5344A"/>
    <w:rsid w:val="00E5354D"/>
    <w:rsid w:val="00E5374D"/>
    <w:rsid w:val="00E53C69"/>
    <w:rsid w:val="00E53EFF"/>
    <w:rsid w:val="00E54021"/>
    <w:rsid w:val="00E54F52"/>
    <w:rsid w:val="00E55503"/>
    <w:rsid w:val="00E556D6"/>
    <w:rsid w:val="00E5577B"/>
    <w:rsid w:val="00E55B21"/>
    <w:rsid w:val="00E569E0"/>
    <w:rsid w:val="00E56A63"/>
    <w:rsid w:val="00E56B43"/>
    <w:rsid w:val="00E5703A"/>
    <w:rsid w:val="00E5721A"/>
    <w:rsid w:val="00E577CD"/>
    <w:rsid w:val="00E57D6A"/>
    <w:rsid w:val="00E57FC9"/>
    <w:rsid w:val="00E60408"/>
    <w:rsid w:val="00E605C2"/>
    <w:rsid w:val="00E60A22"/>
    <w:rsid w:val="00E61043"/>
    <w:rsid w:val="00E61C95"/>
    <w:rsid w:val="00E62594"/>
    <w:rsid w:val="00E62CF1"/>
    <w:rsid w:val="00E63EA7"/>
    <w:rsid w:val="00E641F9"/>
    <w:rsid w:val="00E64460"/>
    <w:rsid w:val="00E645A3"/>
    <w:rsid w:val="00E6479D"/>
    <w:rsid w:val="00E64828"/>
    <w:rsid w:val="00E64FB2"/>
    <w:rsid w:val="00E6559A"/>
    <w:rsid w:val="00E65A08"/>
    <w:rsid w:val="00E65B78"/>
    <w:rsid w:val="00E65CDE"/>
    <w:rsid w:val="00E65E10"/>
    <w:rsid w:val="00E65F59"/>
    <w:rsid w:val="00E663A8"/>
    <w:rsid w:val="00E664BD"/>
    <w:rsid w:val="00E66C1C"/>
    <w:rsid w:val="00E66CA3"/>
    <w:rsid w:val="00E66D6F"/>
    <w:rsid w:val="00E674DF"/>
    <w:rsid w:val="00E67637"/>
    <w:rsid w:val="00E67842"/>
    <w:rsid w:val="00E67986"/>
    <w:rsid w:val="00E67AB2"/>
    <w:rsid w:val="00E67B01"/>
    <w:rsid w:val="00E67DED"/>
    <w:rsid w:val="00E67F65"/>
    <w:rsid w:val="00E701B7"/>
    <w:rsid w:val="00E70214"/>
    <w:rsid w:val="00E706DA"/>
    <w:rsid w:val="00E70850"/>
    <w:rsid w:val="00E709EA"/>
    <w:rsid w:val="00E70CB0"/>
    <w:rsid w:val="00E70D57"/>
    <w:rsid w:val="00E712BD"/>
    <w:rsid w:val="00E714C0"/>
    <w:rsid w:val="00E71A2F"/>
    <w:rsid w:val="00E72877"/>
    <w:rsid w:val="00E728D0"/>
    <w:rsid w:val="00E7290C"/>
    <w:rsid w:val="00E72E0B"/>
    <w:rsid w:val="00E73600"/>
    <w:rsid w:val="00E73604"/>
    <w:rsid w:val="00E73A42"/>
    <w:rsid w:val="00E73B76"/>
    <w:rsid w:val="00E7426C"/>
    <w:rsid w:val="00E7441A"/>
    <w:rsid w:val="00E744DA"/>
    <w:rsid w:val="00E74C8C"/>
    <w:rsid w:val="00E74D70"/>
    <w:rsid w:val="00E74F85"/>
    <w:rsid w:val="00E7520C"/>
    <w:rsid w:val="00E75A7E"/>
    <w:rsid w:val="00E75B83"/>
    <w:rsid w:val="00E75DBD"/>
    <w:rsid w:val="00E75F68"/>
    <w:rsid w:val="00E76EC3"/>
    <w:rsid w:val="00E76ED7"/>
    <w:rsid w:val="00E7717F"/>
    <w:rsid w:val="00E77636"/>
    <w:rsid w:val="00E776F2"/>
    <w:rsid w:val="00E778E8"/>
    <w:rsid w:val="00E80AFC"/>
    <w:rsid w:val="00E81003"/>
    <w:rsid w:val="00E8128D"/>
    <w:rsid w:val="00E81AAB"/>
    <w:rsid w:val="00E82189"/>
    <w:rsid w:val="00E82316"/>
    <w:rsid w:val="00E826EE"/>
    <w:rsid w:val="00E82744"/>
    <w:rsid w:val="00E827C4"/>
    <w:rsid w:val="00E838E2"/>
    <w:rsid w:val="00E83DD2"/>
    <w:rsid w:val="00E840F4"/>
    <w:rsid w:val="00E84712"/>
    <w:rsid w:val="00E84907"/>
    <w:rsid w:val="00E84C1B"/>
    <w:rsid w:val="00E84CFA"/>
    <w:rsid w:val="00E84D66"/>
    <w:rsid w:val="00E84D89"/>
    <w:rsid w:val="00E861A7"/>
    <w:rsid w:val="00E86394"/>
    <w:rsid w:val="00E86A53"/>
    <w:rsid w:val="00E86E80"/>
    <w:rsid w:val="00E87041"/>
    <w:rsid w:val="00E876C3"/>
    <w:rsid w:val="00E87C15"/>
    <w:rsid w:val="00E87C77"/>
    <w:rsid w:val="00E87D0C"/>
    <w:rsid w:val="00E909E2"/>
    <w:rsid w:val="00E912F9"/>
    <w:rsid w:val="00E91549"/>
    <w:rsid w:val="00E91944"/>
    <w:rsid w:val="00E91A37"/>
    <w:rsid w:val="00E91D2C"/>
    <w:rsid w:val="00E924B4"/>
    <w:rsid w:val="00E924B9"/>
    <w:rsid w:val="00E92A91"/>
    <w:rsid w:val="00E92AB7"/>
    <w:rsid w:val="00E92B2C"/>
    <w:rsid w:val="00E935E5"/>
    <w:rsid w:val="00E938B9"/>
    <w:rsid w:val="00E93B25"/>
    <w:rsid w:val="00E93BF6"/>
    <w:rsid w:val="00E93DF4"/>
    <w:rsid w:val="00E946AC"/>
    <w:rsid w:val="00E94FA9"/>
    <w:rsid w:val="00E959F8"/>
    <w:rsid w:val="00E95AA0"/>
    <w:rsid w:val="00E95B31"/>
    <w:rsid w:val="00E95C23"/>
    <w:rsid w:val="00E96120"/>
    <w:rsid w:val="00E9643A"/>
    <w:rsid w:val="00E9646D"/>
    <w:rsid w:val="00E96919"/>
    <w:rsid w:val="00E96ABD"/>
    <w:rsid w:val="00E97D66"/>
    <w:rsid w:val="00EA035F"/>
    <w:rsid w:val="00EA07A2"/>
    <w:rsid w:val="00EA10FC"/>
    <w:rsid w:val="00EA1513"/>
    <w:rsid w:val="00EA1814"/>
    <w:rsid w:val="00EA1B1F"/>
    <w:rsid w:val="00EA1C78"/>
    <w:rsid w:val="00EA1DFE"/>
    <w:rsid w:val="00EA2331"/>
    <w:rsid w:val="00EA2401"/>
    <w:rsid w:val="00EA2A7D"/>
    <w:rsid w:val="00EA2B92"/>
    <w:rsid w:val="00EA2EE1"/>
    <w:rsid w:val="00EA35C7"/>
    <w:rsid w:val="00EA3E01"/>
    <w:rsid w:val="00EA4626"/>
    <w:rsid w:val="00EA493B"/>
    <w:rsid w:val="00EA4D7B"/>
    <w:rsid w:val="00EA4EEE"/>
    <w:rsid w:val="00EA6257"/>
    <w:rsid w:val="00EA62F2"/>
    <w:rsid w:val="00EA6315"/>
    <w:rsid w:val="00EA6B5D"/>
    <w:rsid w:val="00EA7029"/>
    <w:rsid w:val="00EA77FE"/>
    <w:rsid w:val="00EA786F"/>
    <w:rsid w:val="00EB00DA"/>
    <w:rsid w:val="00EB01BC"/>
    <w:rsid w:val="00EB1564"/>
    <w:rsid w:val="00EB15D4"/>
    <w:rsid w:val="00EB210F"/>
    <w:rsid w:val="00EB26F3"/>
    <w:rsid w:val="00EB295D"/>
    <w:rsid w:val="00EB2D65"/>
    <w:rsid w:val="00EB344B"/>
    <w:rsid w:val="00EB4105"/>
    <w:rsid w:val="00EB44A7"/>
    <w:rsid w:val="00EB4E90"/>
    <w:rsid w:val="00EB526C"/>
    <w:rsid w:val="00EB5F8A"/>
    <w:rsid w:val="00EB6205"/>
    <w:rsid w:val="00EB68B3"/>
    <w:rsid w:val="00EB692C"/>
    <w:rsid w:val="00EB704B"/>
    <w:rsid w:val="00EB7396"/>
    <w:rsid w:val="00EB78BC"/>
    <w:rsid w:val="00EB7CED"/>
    <w:rsid w:val="00EC0954"/>
    <w:rsid w:val="00EC102D"/>
    <w:rsid w:val="00EC11C0"/>
    <w:rsid w:val="00EC14E6"/>
    <w:rsid w:val="00EC1985"/>
    <w:rsid w:val="00EC1E12"/>
    <w:rsid w:val="00EC25C4"/>
    <w:rsid w:val="00EC25D0"/>
    <w:rsid w:val="00EC2B75"/>
    <w:rsid w:val="00EC3118"/>
    <w:rsid w:val="00EC3818"/>
    <w:rsid w:val="00EC3FF4"/>
    <w:rsid w:val="00EC4014"/>
    <w:rsid w:val="00EC43EC"/>
    <w:rsid w:val="00EC4428"/>
    <w:rsid w:val="00EC448A"/>
    <w:rsid w:val="00EC49A7"/>
    <w:rsid w:val="00EC4A71"/>
    <w:rsid w:val="00EC4DD4"/>
    <w:rsid w:val="00EC4FD0"/>
    <w:rsid w:val="00EC5B29"/>
    <w:rsid w:val="00EC5FC7"/>
    <w:rsid w:val="00EC61AC"/>
    <w:rsid w:val="00EC6238"/>
    <w:rsid w:val="00EC6AFB"/>
    <w:rsid w:val="00ED04A8"/>
    <w:rsid w:val="00ED0897"/>
    <w:rsid w:val="00ED0B71"/>
    <w:rsid w:val="00ED0BAF"/>
    <w:rsid w:val="00ED0BF1"/>
    <w:rsid w:val="00ED1063"/>
    <w:rsid w:val="00ED1EF0"/>
    <w:rsid w:val="00ED2109"/>
    <w:rsid w:val="00ED26F5"/>
    <w:rsid w:val="00ED2725"/>
    <w:rsid w:val="00ED2793"/>
    <w:rsid w:val="00ED2B43"/>
    <w:rsid w:val="00ED2B9E"/>
    <w:rsid w:val="00ED2D26"/>
    <w:rsid w:val="00ED33D6"/>
    <w:rsid w:val="00ED39C8"/>
    <w:rsid w:val="00ED46F0"/>
    <w:rsid w:val="00ED480C"/>
    <w:rsid w:val="00ED498D"/>
    <w:rsid w:val="00ED4D76"/>
    <w:rsid w:val="00ED4EA3"/>
    <w:rsid w:val="00ED4FB1"/>
    <w:rsid w:val="00ED51BD"/>
    <w:rsid w:val="00ED5362"/>
    <w:rsid w:val="00ED53FB"/>
    <w:rsid w:val="00ED55B6"/>
    <w:rsid w:val="00ED5C52"/>
    <w:rsid w:val="00ED67E4"/>
    <w:rsid w:val="00ED6A24"/>
    <w:rsid w:val="00ED6ACE"/>
    <w:rsid w:val="00ED6DC9"/>
    <w:rsid w:val="00ED70FC"/>
    <w:rsid w:val="00ED73C9"/>
    <w:rsid w:val="00ED7B80"/>
    <w:rsid w:val="00EE020F"/>
    <w:rsid w:val="00EE021F"/>
    <w:rsid w:val="00EE085A"/>
    <w:rsid w:val="00EE0C99"/>
    <w:rsid w:val="00EE0E28"/>
    <w:rsid w:val="00EE12EE"/>
    <w:rsid w:val="00EE1938"/>
    <w:rsid w:val="00EE2241"/>
    <w:rsid w:val="00EE2644"/>
    <w:rsid w:val="00EE35CB"/>
    <w:rsid w:val="00EE37D6"/>
    <w:rsid w:val="00EE4198"/>
    <w:rsid w:val="00EE479B"/>
    <w:rsid w:val="00EE4B71"/>
    <w:rsid w:val="00EE4E35"/>
    <w:rsid w:val="00EE4E85"/>
    <w:rsid w:val="00EE4FD3"/>
    <w:rsid w:val="00EE50C1"/>
    <w:rsid w:val="00EE520C"/>
    <w:rsid w:val="00EE5AF6"/>
    <w:rsid w:val="00EE5C2C"/>
    <w:rsid w:val="00EE5F6D"/>
    <w:rsid w:val="00EE62C3"/>
    <w:rsid w:val="00EE666C"/>
    <w:rsid w:val="00EE6738"/>
    <w:rsid w:val="00EE67F4"/>
    <w:rsid w:val="00EE68D3"/>
    <w:rsid w:val="00EE6997"/>
    <w:rsid w:val="00EE73F3"/>
    <w:rsid w:val="00EE7505"/>
    <w:rsid w:val="00EE7B59"/>
    <w:rsid w:val="00EF0269"/>
    <w:rsid w:val="00EF0800"/>
    <w:rsid w:val="00EF0B77"/>
    <w:rsid w:val="00EF0EFB"/>
    <w:rsid w:val="00EF1096"/>
    <w:rsid w:val="00EF149F"/>
    <w:rsid w:val="00EF1E8E"/>
    <w:rsid w:val="00EF1EBB"/>
    <w:rsid w:val="00EF2241"/>
    <w:rsid w:val="00EF31B9"/>
    <w:rsid w:val="00EF32BE"/>
    <w:rsid w:val="00EF3506"/>
    <w:rsid w:val="00EF3AB2"/>
    <w:rsid w:val="00EF3DDB"/>
    <w:rsid w:val="00EF3EF7"/>
    <w:rsid w:val="00EF42DB"/>
    <w:rsid w:val="00EF45E2"/>
    <w:rsid w:val="00EF4600"/>
    <w:rsid w:val="00EF4D0C"/>
    <w:rsid w:val="00EF4DBD"/>
    <w:rsid w:val="00EF5513"/>
    <w:rsid w:val="00EF562A"/>
    <w:rsid w:val="00EF57E0"/>
    <w:rsid w:val="00EF5995"/>
    <w:rsid w:val="00EF5A3D"/>
    <w:rsid w:val="00EF5DED"/>
    <w:rsid w:val="00EF61B9"/>
    <w:rsid w:val="00EF6373"/>
    <w:rsid w:val="00EF6490"/>
    <w:rsid w:val="00EF6970"/>
    <w:rsid w:val="00EF6B88"/>
    <w:rsid w:val="00EF7320"/>
    <w:rsid w:val="00EF740D"/>
    <w:rsid w:val="00EF745A"/>
    <w:rsid w:val="00EF75FE"/>
    <w:rsid w:val="00EF7781"/>
    <w:rsid w:val="00EF7BAA"/>
    <w:rsid w:val="00F002B5"/>
    <w:rsid w:val="00F0086E"/>
    <w:rsid w:val="00F00A2E"/>
    <w:rsid w:val="00F00A80"/>
    <w:rsid w:val="00F00C8C"/>
    <w:rsid w:val="00F00D60"/>
    <w:rsid w:val="00F010D7"/>
    <w:rsid w:val="00F01439"/>
    <w:rsid w:val="00F01866"/>
    <w:rsid w:val="00F0194C"/>
    <w:rsid w:val="00F01B41"/>
    <w:rsid w:val="00F01B98"/>
    <w:rsid w:val="00F021B2"/>
    <w:rsid w:val="00F02568"/>
    <w:rsid w:val="00F03061"/>
    <w:rsid w:val="00F03116"/>
    <w:rsid w:val="00F035C2"/>
    <w:rsid w:val="00F0370A"/>
    <w:rsid w:val="00F038AA"/>
    <w:rsid w:val="00F03C2A"/>
    <w:rsid w:val="00F03FB4"/>
    <w:rsid w:val="00F045CE"/>
    <w:rsid w:val="00F046C4"/>
    <w:rsid w:val="00F0493B"/>
    <w:rsid w:val="00F04FA6"/>
    <w:rsid w:val="00F04FCA"/>
    <w:rsid w:val="00F0507A"/>
    <w:rsid w:val="00F05991"/>
    <w:rsid w:val="00F05DA1"/>
    <w:rsid w:val="00F06097"/>
    <w:rsid w:val="00F064B2"/>
    <w:rsid w:val="00F065FF"/>
    <w:rsid w:val="00F06989"/>
    <w:rsid w:val="00F06F93"/>
    <w:rsid w:val="00F07057"/>
    <w:rsid w:val="00F07368"/>
    <w:rsid w:val="00F07E95"/>
    <w:rsid w:val="00F100EA"/>
    <w:rsid w:val="00F10440"/>
    <w:rsid w:val="00F10873"/>
    <w:rsid w:val="00F10D0E"/>
    <w:rsid w:val="00F10E37"/>
    <w:rsid w:val="00F1157F"/>
    <w:rsid w:val="00F1158E"/>
    <w:rsid w:val="00F11650"/>
    <w:rsid w:val="00F1165B"/>
    <w:rsid w:val="00F11A25"/>
    <w:rsid w:val="00F11CDD"/>
    <w:rsid w:val="00F1227C"/>
    <w:rsid w:val="00F1235C"/>
    <w:rsid w:val="00F12C69"/>
    <w:rsid w:val="00F12DD1"/>
    <w:rsid w:val="00F12F50"/>
    <w:rsid w:val="00F13018"/>
    <w:rsid w:val="00F13183"/>
    <w:rsid w:val="00F1335F"/>
    <w:rsid w:val="00F13607"/>
    <w:rsid w:val="00F13A62"/>
    <w:rsid w:val="00F13DCC"/>
    <w:rsid w:val="00F1403A"/>
    <w:rsid w:val="00F1482F"/>
    <w:rsid w:val="00F15487"/>
    <w:rsid w:val="00F1583D"/>
    <w:rsid w:val="00F1632A"/>
    <w:rsid w:val="00F168C0"/>
    <w:rsid w:val="00F16A52"/>
    <w:rsid w:val="00F16ADE"/>
    <w:rsid w:val="00F16DFF"/>
    <w:rsid w:val="00F170EB"/>
    <w:rsid w:val="00F174DD"/>
    <w:rsid w:val="00F1751B"/>
    <w:rsid w:val="00F20162"/>
    <w:rsid w:val="00F207EA"/>
    <w:rsid w:val="00F20BE8"/>
    <w:rsid w:val="00F20C72"/>
    <w:rsid w:val="00F211FF"/>
    <w:rsid w:val="00F21247"/>
    <w:rsid w:val="00F213C8"/>
    <w:rsid w:val="00F21436"/>
    <w:rsid w:val="00F2143E"/>
    <w:rsid w:val="00F2193B"/>
    <w:rsid w:val="00F21BD6"/>
    <w:rsid w:val="00F21E88"/>
    <w:rsid w:val="00F21EE6"/>
    <w:rsid w:val="00F21F16"/>
    <w:rsid w:val="00F21F2E"/>
    <w:rsid w:val="00F222A0"/>
    <w:rsid w:val="00F224ED"/>
    <w:rsid w:val="00F22746"/>
    <w:rsid w:val="00F22BD5"/>
    <w:rsid w:val="00F22C92"/>
    <w:rsid w:val="00F22F04"/>
    <w:rsid w:val="00F22F88"/>
    <w:rsid w:val="00F23014"/>
    <w:rsid w:val="00F23023"/>
    <w:rsid w:val="00F235CF"/>
    <w:rsid w:val="00F2395C"/>
    <w:rsid w:val="00F23F52"/>
    <w:rsid w:val="00F24CE3"/>
    <w:rsid w:val="00F25150"/>
    <w:rsid w:val="00F255A1"/>
    <w:rsid w:val="00F25E67"/>
    <w:rsid w:val="00F25EE1"/>
    <w:rsid w:val="00F2609C"/>
    <w:rsid w:val="00F263D3"/>
    <w:rsid w:val="00F26CCA"/>
    <w:rsid w:val="00F27BBC"/>
    <w:rsid w:val="00F30ABC"/>
    <w:rsid w:val="00F30B81"/>
    <w:rsid w:val="00F30B90"/>
    <w:rsid w:val="00F30BC8"/>
    <w:rsid w:val="00F30EFA"/>
    <w:rsid w:val="00F3109C"/>
    <w:rsid w:val="00F31217"/>
    <w:rsid w:val="00F31B70"/>
    <w:rsid w:val="00F31D42"/>
    <w:rsid w:val="00F31E9F"/>
    <w:rsid w:val="00F32628"/>
    <w:rsid w:val="00F32C93"/>
    <w:rsid w:val="00F32CFF"/>
    <w:rsid w:val="00F3304E"/>
    <w:rsid w:val="00F338B8"/>
    <w:rsid w:val="00F34D84"/>
    <w:rsid w:val="00F34E4F"/>
    <w:rsid w:val="00F3554A"/>
    <w:rsid w:val="00F355B3"/>
    <w:rsid w:val="00F35E43"/>
    <w:rsid w:val="00F36312"/>
    <w:rsid w:val="00F364F9"/>
    <w:rsid w:val="00F36C7F"/>
    <w:rsid w:val="00F376D2"/>
    <w:rsid w:val="00F37E5E"/>
    <w:rsid w:val="00F40692"/>
    <w:rsid w:val="00F40B31"/>
    <w:rsid w:val="00F40BCB"/>
    <w:rsid w:val="00F40C9C"/>
    <w:rsid w:val="00F40DF3"/>
    <w:rsid w:val="00F40E8A"/>
    <w:rsid w:val="00F41034"/>
    <w:rsid w:val="00F4194D"/>
    <w:rsid w:val="00F41D2D"/>
    <w:rsid w:val="00F42321"/>
    <w:rsid w:val="00F423A6"/>
    <w:rsid w:val="00F4248C"/>
    <w:rsid w:val="00F428BD"/>
    <w:rsid w:val="00F428DD"/>
    <w:rsid w:val="00F429C7"/>
    <w:rsid w:val="00F42A01"/>
    <w:rsid w:val="00F42CED"/>
    <w:rsid w:val="00F4377E"/>
    <w:rsid w:val="00F43801"/>
    <w:rsid w:val="00F43FED"/>
    <w:rsid w:val="00F4420C"/>
    <w:rsid w:val="00F44B91"/>
    <w:rsid w:val="00F45222"/>
    <w:rsid w:val="00F45365"/>
    <w:rsid w:val="00F458EA"/>
    <w:rsid w:val="00F45A00"/>
    <w:rsid w:val="00F45D38"/>
    <w:rsid w:val="00F45ED7"/>
    <w:rsid w:val="00F45F3B"/>
    <w:rsid w:val="00F45FFA"/>
    <w:rsid w:val="00F460B7"/>
    <w:rsid w:val="00F46393"/>
    <w:rsid w:val="00F46643"/>
    <w:rsid w:val="00F4665D"/>
    <w:rsid w:val="00F468B4"/>
    <w:rsid w:val="00F46C84"/>
    <w:rsid w:val="00F46C9B"/>
    <w:rsid w:val="00F47387"/>
    <w:rsid w:val="00F4796F"/>
    <w:rsid w:val="00F47BBF"/>
    <w:rsid w:val="00F47F4A"/>
    <w:rsid w:val="00F50C42"/>
    <w:rsid w:val="00F50EED"/>
    <w:rsid w:val="00F51051"/>
    <w:rsid w:val="00F510BF"/>
    <w:rsid w:val="00F5212C"/>
    <w:rsid w:val="00F5225F"/>
    <w:rsid w:val="00F522CE"/>
    <w:rsid w:val="00F52FBC"/>
    <w:rsid w:val="00F531B7"/>
    <w:rsid w:val="00F53E2D"/>
    <w:rsid w:val="00F54933"/>
    <w:rsid w:val="00F551EE"/>
    <w:rsid w:val="00F55EBB"/>
    <w:rsid w:val="00F55F62"/>
    <w:rsid w:val="00F5608C"/>
    <w:rsid w:val="00F56178"/>
    <w:rsid w:val="00F56389"/>
    <w:rsid w:val="00F56452"/>
    <w:rsid w:val="00F566C3"/>
    <w:rsid w:val="00F571DE"/>
    <w:rsid w:val="00F5736D"/>
    <w:rsid w:val="00F57AC6"/>
    <w:rsid w:val="00F6078F"/>
    <w:rsid w:val="00F60A06"/>
    <w:rsid w:val="00F60FEA"/>
    <w:rsid w:val="00F611A0"/>
    <w:rsid w:val="00F611E7"/>
    <w:rsid w:val="00F612BB"/>
    <w:rsid w:val="00F621CC"/>
    <w:rsid w:val="00F6233A"/>
    <w:rsid w:val="00F623AD"/>
    <w:rsid w:val="00F633D7"/>
    <w:rsid w:val="00F6345D"/>
    <w:rsid w:val="00F6365E"/>
    <w:rsid w:val="00F637EE"/>
    <w:rsid w:val="00F63B29"/>
    <w:rsid w:val="00F63B92"/>
    <w:rsid w:val="00F63D98"/>
    <w:rsid w:val="00F64575"/>
    <w:rsid w:val="00F64FBC"/>
    <w:rsid w:val="00F6508A"/>
    <w:rsid w:val="00F652E7"/>
    <w:rsid w:val="00F65486"/>
    <w:rsid w:val="00F65517"/>
    <w:rsid w:val="00F655EF"/>
    <w:rsid w:val="00F6684B"/>
    <w:rsid w:val="00F668A2"/>
    <w:rsid w:val="00F66A97"/>
    <w:rsid w:val="00F66D68"/>
    <w:rsid w:val="00F6713A"/>
    <w:rsid w:val="00F672FB"/>
    <w:rsid w:val="00F67796"/>
    <w:rsid w:val="00F6788B"/>
    <w:rsid w:val="00F67CAA"/>
    <w:rsid w:val="00F70371"/>
    <w:rsid w:val="00F70497"/>
    <w:rsid w:val="00F706C6"/>
    <w:rsid w:val="00F709FC"/>
    <w:rsid w:val="00F70A68"/>
    <w:rsid w:val="00F70D36"/>
    <w:rsid w:val="00F7102E"/>
    <w:rsid w:val="00F717A1"/>
    <w:rsid w:val="00F71D94"/>
    <w:rsid w:val="00F720C9"/>
    <w:rsid w:val="00F720CB"/>
    <w:rsid w:val="00F722D6"/>
    <w:rsid w:val="00F73169"/>
    <w:rsid w:val="00F73C65"/>
    <w:rsid w:val="00F73DAB"/>
    <w:rsid w:val="00F73FC8"/>
    <w:rsid w:val="00F743D5"/>
    <w:rsid w:val="00F75149"/>
    <w:rsid w:val="00F755AE"/>
    <w:rsid w:val="00F75A85"/>
    <w:rsid w:val="00F75F49"/>
    <w:rsid w:val="00F75F8D"/>
    <w:rsid w:val="00F760CE"/>
    <w:rsid w:val="00F76257"/>
    <w:rsid w:val="00F76880"/>
    <w:rsid w:val="00F76AD4"/>
    <w:rsid w:val="00F76B5E"/>
    <w:rsid w:val="00F77019"/>
    <w:rsid w:val="00F773D8"/>
    <w:rsid w:val="00F77806"/>
    <w:rsid w:val="00F802CB"/>
    <w:rsid w:val="00F80B2F"/>
    <w:rsid w:val="00F8133F"/>
    <w:rsid w:val="00F8150E"/>
    <w:rsid w:val="00F816CC"/>
    <w:rsid w:val="00F82191"/>
    <w:rsid w:val="00F821E9"/>
    <w:rsid w:val="00F82628"/>
    <w:rsid w:val="00F8272A"/>
    <w:rsid w:val="00F82868"/>
    <w:rsid w:val="00F82DB5"/>
    <w:rsid w:val="00F839DC"/>
    <w:rsid w:val="00F8405A"/>
    <w:rsid w:val="00F846AD"/>
    <w:rsid w:val="00F849AA"/>
    <w:rsid w:val="00F84D8E"/>
    <w:rsid w:val="00F8590F"/>
    <w:rsid w:val="00F85E1B"/>
    <w:rsid w:val="00F85EDA"/>
    <w:rsid w:val="00F860B8"/>
    <w:rsid w:val="00F86242"/>
    <w:rsid w:val="00F86399"/>
    <w:rsid w:val="00F86420"/>
    <w:rsid w:val="00F86A3A"/>
    <w:rsid w:val="00F86F1E"/>
    <w:rsid w:val="00F871EE"/>
    <w:rsid w:val="00F87575"/>
    <w:rsid w:val="00F87736"/>
    <w:rsid w:val="00F87AA4"/>
    <w:rsid w:val="00F87D4C"/>
    <w:rsid w:val="00F90148"/>
    <w:rsid w:val="00F90DAD"/>
    <w:rsid w:val="00F90E52"/>
    <w:rsid w:val="00F91046"/>
    <w:rsid w:val="00F92929"/>
    <w:rsid w:val="00F92E80"/>
    <w:rsid w:val="00F93030"/>
    <w:rsid w:val="00F9348A"/>
    <w:rsid w:val="00F93A47"/>
    <w:rsid w:val="00F93BC1"/>
    <w:rsid w:val="00F93D3E"/>
    <w:rsid w:val="00F93FD3"/>
    <w:rsid w:val="00F943DB"/>
    <w:rsid w:val="00F9489C"/>
    <w:rsid w:val="00F94C28"/>
    <w:rsid w:val="00F94C58"/>
    <w:rsid w:val="00F94E3B"/>
    <w:rsid w:val="00F94F2B"/>
    <w:rsid w:val="00F95364"/>
    <w:rsid w:val="00F95855"/>
    <w:rsid w:val="00F95A9F"/>
    <w:rsid w:val="00F95E52"/>
    <w:rsid w:val="00F95E6C"/>
    <w:rsid w:val="00F962EE"/>
    <w:rsid w:val="00F96A8C"/>
    <w:rsid w:val="00F96E2E"/>
    <w:rsid w:val="00F970D3"/>
    <w:rsid w:val="00F9710F"/>
    <w:rsid w:val="00F97743"/>
    <w:rsid w:val="00F97775"/>
    <w:rsid w:val="00FA02C3"/>
    <w:rsid w:val="00FA0E86"/>
    <w:rsid w:val="00FA1225"/>
    <w:rsid w:val="00FA16C7"/>
    <w:rsid w:val="00FA18FC"/>
    <w:rsid w:val="00FA18FE"/>
    <w:rsid w:val="00FA1BF0"/>
    <w:rsid w:val="00FA1CF1"/>
    <w:rsid w:val="00FA1EB4"/>
    <w:rsid w:val="00FA1FC3"/>
    <w:rsid w:val="00FA2002"/>
    <w:rsid w:val="00FA244D"/>
    <w:rsid w:val="00FA2555"/>
    <w:rsid w:val="00FA2562"/>
    <w:rsid w:val="00FA33ED"/>
    <w:rsid w:val="00FA343D"/>
    <w:rsid w:val="00FA3531"/>
    <w:rsid w:val="00FA3684"/>
    <w:rsid w:val="00FA3A92"/>
    <w:rsid w:val="00FA3F17"/>
    <w:rsid w:val="00FA4406"/>
    <w:rsid w:val="00FA496C"/>
    <w:rsid w:val="00FA49F2"/>
    <w:rsid w:val="00FA4B97"/>
    <w:rsid w:val="00FA5A8B"/>
    <w:rsid w:val="00FA5B16"/>
    <w:rsid w:val="00FA66C6"/>
    <w:rsid w:val="00FA67B4"/>
    <w:rsid w:val="00FA6EAB"/>
    <w:rsid w:val="00FA70AA"/>
    <w:rsid w:val="00FA7171"/>
    <w:rsid w:val="00FB0163"/>
    <w:rsid w:val="00FB0C78"/>
    <w:rsid w:val="00FB0DF0"/>
    <w:rsid w:val="00FB0FAC"/>
    <w:rsid w:val="00FB10FF"/>
    <w:rsid w:val="00FB1110"/>
    <w:rsid w:val="00FB15EA"/>
    <w:rsid w:val="00FB1D7C"/>
    <w:rsid w:val="00FB2076"/>
    <w:rsid w:val="00FB21B5"/>
    <w:rsid w:val="00FB221C"/>
    <w:rsid w:val="00FB2273"/>
    <w:rsid w:val="00FB2582"/>
    <w:rsid w:val="00FB2BCB"/>
    <w:rsid w:val="00FB38D4"/>
    <w:rsid w:val="00FB3CAC"/>
    <w:rsid w:val="00FB464E"/>
    <w:rsid w:val="00FB4A5F"/>
    <w:rsid w:val="00FB4E2F"/>
    <w:rsid w:val="00FB553F"/>
    <w:rsid w:val="00FB55B6"/>
    <w:rsid w:val="00FB5BAA"/>
    <w:rsid w:val="00FB5C04"/>
    <w:rsid w:val="00FB5D2E"/>
    <w:rsid w:val="00FB5DA6"/>
    <w:rsid w:val="00FB6136"/>
    <w:rsid w:val="00FB6244"/>
    <w:rsid w:val="00FB6582"/>
    <w:rsid w:val="00FB6726"/>
    <w:rsid w:val="00FB674F"/>
    <w:rsid w:val="00FB6D2A"/>
    <w:rsid w:val="00FB6DB8"/>
    <w:rsid w:val="00FB71C2"/>
    <w:rsid w:val="00FB7335"/>
    <w:rsid w:val="00FB745D"/>
    <w:rsid w:val="00FB7630"/>
    <w:rsid w:val="00FC0217"/>
    <w:rsid w:val="00FC05A3"/>
    <w:rsid w:val="00FC0667"/>
    <w:rsid w:val="00FC13B6"/>
    <w:rsid w:val="00FC1941"/>
    <w:rsid w:val="00FC1CE3"/>
    <w:rsid w:val="00FC2075"/>
    <w:rsid w:val="00FC229D"/>
    <w:rsid w:val="00FC2401"/>
    <w:rsid w:val="00FC28C0"/>
    <w:rsid w:val="00FC3B97"/>
    <w:rsid w:val="00FC3BD8"/>
    <w:rsid w:val="00FC3C63"/>
    <w:rsid w:val="00FC410C"/>
    <w:rsid w:val="00FC443A"/>
    <w:rsid w:val="00FC4702"/>
    <w:rsid w:val="00FC4720"/>
    <w:rsid w:val="00FC5243"/>
    <w:rsid w:val="00FC526A"/>
    <w:rsid w:val="00FC5369"/>
    <w:rsid w:val="00FC579F"/>
    <w:rsid w:val="00FC582B"/>
    <w:rsid w:val="00FC58A1"/>
    <w:rsid w:val="00FC5D7E"/>
    <w:rsid w:val="00FC5E7A"/>
    <w:rsid w:val="00FC6696"/>
    <w:rsid w:val="00FC6B4E"/>
    <w:rsid w:val="00FC6C69"/>
    <w:rsid w:val="00FC78D7"/>
    <w:rsid w:val="00FC7A88"/>
    <w:rsid w:val="00FC7D6F"/>
    <w:rsid w:val="00FC7D78"/>
    <w:rsid w:val="00FD001F"/>
    <w:rsid w:val="00FD005E"/>
    <w:rsid w:val="00FD0491"/>
    <w:rsid w:val="00FD06E9"/>
    <w:rsid w:val="00FD08CB"/>
    <w:rsid w:val="00FD0B0C"/>
    <w:rsid w:val="00FD0EFF"/>
    <w:rsid w:val="00FD10FA"/>
    <w:rsid w:val="00FD13F0"/>
    <w:rsid w:val="00FD19C8"/>
    <w:rsid w:val="00FD1DEE"/>
    <w:rsid w:val="00FD2346"/>
    <w:rsid w:val="00FD2986"/>
    <w:rsid w:val="00FD2B8E"/>
    <w:rsid w:val="00FD2F54"/>
    <w:rsid w:val="00FD30F3"/>
    <w:rsid w:val="00FD3118"/>
    <w:rsid w:val="00FD313B"/>
    <w:rsid w:val="00FD33B8"/>
    <w:rsid w:val="00FD3861"/>
    <w:rsid w:val="00FD3A0B"/>
    <w:rsid w:val="00FD3CAD"/>
    <w:rsid w:val="00FD44EC"/>
    <w:rsid w:val="00FD4742"/>
    <w:rsid w:val="00FD53FC"/>
    <w:rsid w:val="00FD5C6A"/>
    <w:rsid w:val="00FD5CE9"/>
    <w:rsid w:val="00FD5EF4"/>
    <w:rsid w:val="00FD62D6"/>
    <w:rsid w:val="00FD685E"/>
    <w:rsid w:val="00FD69E4"/>
    <w:rsid w:val="00FD6B41"/>
    <w:rsid w:val="00FD6CFE"/>
    <w:rsid w:val="00FD7981"/>
    <w:rsid w:val="00FD7C53"/>
    <w:rsid w:val="00FE02C7"/>
    <w:rsid w:val="00FE0AC8"/>
    <w:rsid w:val="00FE0B3A"/>
    <w:rsid w:val="00FE0C6E"/>
    <w:rsid w:val="00FE0E29"/>
    <w:rsid w:val="00FE20E7"/>
    <w:rsid w:val="00FE2466"/>
    <w:rsid w:val="00FE24AB"/>
    <w:rsid w:val="00FE2742"/>
    <w:rsid w:val="00FE2837"/>
    <w:rsid w:val="00FE2DF6"/>
    <w:rsid w:val="00FE30BD"/>
    <w:rsid w:val="00FE42D3"/>
    <w:rsid w:val="00FE4765"/>
    <w:rsid w:val="00FE5761"/>
    <w:rsid w:val="00FE5920"/>
    <w:rsid w:val="00FE59F3"/>
    <w:rsid w:val="00FE64DF"/>
    <w:rsid w:val="00FE653E"/>
    <w:rsid w:val="00FE6933"/>
    <w:rsid w:val="00FE6F81"/>
    <w:rsid w:val="00FE6FF1"/>
    <w:rsid w:val="00FE7144"/>
    <w:rsid w:val="00FE7448"/>
    <w:rsid w:val="00FE7A07"/>
    <w:rsid w:val="00FE7E8F"/>
    <w:rsid w:val="00FE7F2F"/>
    <w:rsid w:val="00FF001C"/>
    <w:rsid w:val="00FF03EA"/>
    <w:rsid w:val="00FF041E"/>
    <w:rsid w:val="00FF0CFB"/>
    <w:rsid w:val="00FF12DE"/>
    <w:rsid w:val="00FF179D"/>
    <w:rsid w:val="00FF198F"/>
    <w:rsid w:val="00FF19A4"/>
    <w:rsid w:val="00FF2B3F"/>
    <w:rsid w:val="00FF3204"/>
    <w:rsid w:val="00FF3436"/>
    <w:rsid w:val="00FF394D"/>
    <w:rsid w:val="00FF3B92"/>
    <w:rsid w:val="00FF3F99"/>
    <w:rsid w:val="00FF3FC7"/>
    <w:rsid w:val="00FF4539"/>
    <w:rsid w:val="00FF52B3"/>
    <w:rsid w:val="00FF5E9A"/>
    <w:rsid w:val="00FF626F"/>
    <w:rsid w:val="00FF6651"/>
    <w:rsid w:val="00FF69D8"/>
    <w:rsid w:val="00FF6C36"/>
    <w:rsid w:val="00FF6D32"/>
    <w:rsid w:val="00FF72E1"/>
    <w:rsid w:val="00FF74BC"/>
    <w:rsid w:val="00FF7902"/>
    <w:rsid w:val="00FF7B8B"/>
    <w:rsid w:val="010D4EF3"/>
    <w:rsid w:val="0110720B"/>
    <w:rsid w:val="013B5E62"/>
    <w:rsid w:val="0158D90A"/>
    <w:rsid w:val="018B921F"/>
    <w:rsid w:val="01915A47"/>
    <w:rsid w:val="01A4D9C0"/>
    <w:rsid w:val="01CD2450"/>
    <w:rsid w:val="01DBB473"/>
    <w:rsid w:val="01DE80F9"/>
    <w:rsid w:val="020717D7"/>
    <w:rsid w:val="0229CB15"/>
    <w:rsid w:val="02487602"/>
    <w:rsid w:val="02512546"/>
    <w:rsid w:val="02FA3556"/>
    <w:rsid w:val="030B054F"/>
    <w:rsid w:val="03453BF2"/>
    <w:rsid w:val="038A8F56"/>
    <w:rsid w:val="039B9F6C"/>
    <w:rsid w:val="03AED9E9"/>
    <w:rsid w:val="03E12077"/>
    <w:rsid w:val="043C6FA7"/>
    <w:rsid w:val="044F3AF6"/>
    <w:rsid w:val="0485930B"/>
    <w:rsid w:val="04F1E420"/>
    <w:rsid w:val="05064DFE"/>
    <w:rsid w:val="051B804A"/>
    <w:rsid w:val="053D4E3D"/>
    <w:rsid w:val="058BFF7B"/>
    <w:rsid w:val="0596E631"/>
    <w:rsid w:val="05A88FBB"/>
    <w:rsid w:val="05AEB3DE"/>
    <w:rsid w:val="060251FC"/>
    <w:rsid w:val="0625F158"/>
    <w:rsid w:val="065C31A6"/>
    <w:rsid w:val="0688978B"/>
    <w:rsid w:val="06B5E69A"/>
    <w:rsid w:val="06CE1410"/>
    <w:rsid w:val="06D589F9"/>
    <w:rsid w:val="06F1756F"/>
    <w:rsid w:val="07766052"/>
    <w:rsid w:val="0779B079"/>
    <w:rsid w:val="077B2E59"/>
    <w:rsid w:val="07973D4F"/>
    <w:rsid w:val="079DF6F4"/>
    <w:rsid w:val="07A85448"/>
    <w:rsid w:val="07D18D9B"/>
    <w:rsid w:val="07DCF1C1"/>
    <w:rsid w:val="080A46B9"/>
    <w:rsid w:val="08183E3D"/>
    <w:rsid w:val="0818C38B"/>
    <w:rsid w:val="0840C7CA"/>
    <w:rsid w:val="08491E0E"/>
    <w:rsid w:val="085B1D09"/>
    <w:rsid w:val="0881C144"/>
    <w:rsid w:val="08AAF49C"/>
    <w:rsid w:val="0906B3B3"/>
    <w:rsid w:val="0908C0F0"/>
    <w:rsid w:val="0936A781"/>
    <w:rsid w:val="096081C7"/>
    <w:rsid w:val="09A5B761"/>
    <w:rsid w:val="09C6367B"/>
    <w:rsid w:val="09C9B72B"/>
    <w:rsid w:val="09D52A5A"/>
    <w:rsid w:val="09ED473C"/>
    <w:rsid w:val="0A25BF61"/>
    <w:rsid w:val="0A4CA2F7"/>
    <w:rsid w:val="0A6D97BB"/>
    <w:rsid w:val="0A6E8327"/>
    <w:rsid w:val="0A78C1F3"/>
    <w:rsid w:val="0A8C877A"/>
    <w:rsid w:val="0AB40C44"/>
    <w:rsid w:val="0AE9C777"/>
    <w:rsid w:val="0B056706"/>
    <w:rsid w:val="0B468BB2"/>
    <w:rsid w:val="0B747683"/>
    <w:rsid w:val="0B8E45EC"/>
    <w:rsid w:val="0B912725"/>
    <w:rsid w:val="0BB94194"/>
    <w:rsid w:val="0BD5D2A4"/>
    <w:rsid w:val="0BDACAB2"/>
    <w:rsid w:val="0C557BB8"/>
    <w:rsid w:val="0C61D0D8"/>
    <w:rsid w:val="0C910E43"/>
    <w:rsid w:val="0C9FC3A7"/>
    <w:rsid w:val="0CD5DAC4"/>
    <w:rsid w:val="0D08D841"/>
    <w:rsid w:val="0D3CFF4A"/>
    <w:rsid w:val="0D5A6175"/>
    <w:rsid w:val="0D8E9596"/>
    <w:rsid w:val="0DAFE5F5"/>
    <w:rsid w:val="0DB5304C"/>
    <w:rsid w:val="0DE7C1A4"/>
    <w:rsid w:val="0DF6AC52"/>
    <w:rsid w:val="0EA41F06"/>
    <w:rsid w:val="0EC8088F"/>
    <w:rsid w:val="0EFE39A5"/>
    <w:rsid w:val="0F0A6B35"/>
    <w:rsid w:val="0F4303D1"/>
    <w:rsid w:val="0F5B1D60"/>
    <w:rsid w:val="0F606D5F"/>
    <w:rsid w:val="0F6A71D0"/>
    <w:rsid w:val="0F7AB95D"/>
    <w:rsid w:val="0F81EE47"/>
    <w:rsid w:val="0FA2E03C"/>
    <w:rsid w:val="0FBA1C60"/>
    <w:rsid w:val="0FCE5E3F"/>
    <w:rsid w:val="0FD29891"/>
    <w:rsid w:val="0FD93FB3"/>
    <w:rsid w:val="0FF50E3B"/>
    <w:rsid w:val="101C89E7"/>
    <w:rsid w:val="103E059A"/>
    <w:rsid w:val="109DACAC"/>
    <w:rsid w:val="10F21B08"/>
    <w:rsid w:val="1107C062"/>
    <w:rsid w:val="110E6B07"/>
    <w:rsid w:val="11366280"/>
    <w:rsid w:val="114023B0"/>
    <w:rsid w:val="11696E63"/>
    <w:rsid w:val="117514F0"/>
    <w:rsid w:val="119C5AB0"/>
    <w:rsid w:val="11BBA930"/>
    <w:rsid w:val="11DE5F4B"/>
    <w:rsid w:val="11E205B5"/>
    <w:rsid w:val="1219A99B"/>
    <w:rsid w:val="124FD61B"/>
    <w:rsid w:val="12E3C30E"/>
    <w:rsid w:val="12F99E91"/>
    <w:rsid w:val="1306E970"/>
    <w:rsid w:val="131167C3"/>
    <w:rsid w:val="137AD2BE"/>
    <w:rsid w:val="1381C8D7"/>
    <w:rsid w:val="138E1D75"/>
    <w:rsid w:val="13D1FF04"/>
    <w:rsid w:val="13D3A6E6"/>
    <w:rsid w:val="13ED0B94"/>
    <w:rsid w:val="13FAC029"/>
    <w:rsid w:val="14181863"/>
    <w:rsid w:val="1418AFB2"/>
    <w:rsid w:val="149174D3"/>
    <w:rsid w:val="14C2F9F0"/>
    <w:rsid w:val="14DCC119"/>
    <w:rsid w:val="154EED97"/>
    <w:rsid w:val="1585721E"/>
    <w:rsid w:val="15F159B7"/>
    <w:rsid w:val="15F8BFD5"/>
    <w:rsid w:val="16122E3D"/>
    <w:rsid w:val="162E4B9E"/>
    <w:rsid w:val="162EE094"/>
    <w:rsid w:val="1663D17F"/>
    <w:rsid w:val="1668DCD5"/>
    <w:rsid w:val="16735439"/>
    <w:rsid w:val="168A73EB"/>
    <w:rsid w:val="16BD29C9"/>
    <w:rsid w:val="16C431E4"/>
    <w:rsid w:val="16CCBD4B"/>
    <w:rsid w:val="16EB66E7"/>
    <w:rsid w:val="16EE0F53"/>
    <w:rsid w:val="170948EA"/>
    <w:rsid w:val="1743710C"/>
    <w:rsid w:val="175BB971"/>
    <w:rsid w:val="178A6843"/>
    <w:rsid w:val="17C8C34F"/>
    <w:rsid w:val="18224FE5"/>
    <w:rsid w:val="189FDEDB"/>
    <w:rsid w:val="19054968"/>
    <w:rsid w:val="19159719"/>
    <w:rsid w:val="19233701"/>
    <w:rsid w:val="1980E4AC"/>
    <w:rsid w:val="198BA4CA"/>
    <w:rsid w:val="19BEBCCE"/>
    <w:rsid w:val="19DF5E42"/>
    <w:rsid w:val="19F7AC87"/>
    <w:rsid w:val="1A49A17D"/>
    <w:rsid w:val="1A4AAA64"/>
    <w:rsid w:val="1AB498F7"/>
    <w:rsid w:val="1ABFC06A"/>
    <w:rsid w:val="1AC313B8"/>
    <w:rsid w:val="1ACF6FA4"/>
    <w:rsid w:val="1AFD1168"/>
    <w:rsid w:val="1B0CAC0A"/>
    <w:rsid w:val="1B265264"/>
    <w:rsid w:val="1B2B3B80"/>
    <w:rsid w:val="1BBA0EC4"/>
    <w:rsid w:val="1C23A4C2"/>
    <w:rsid w:val="1C45C73A"/>
    <w:rsid w:val="1C4D8CB8"/>
    <w:rsid w:val="1C6D6358"/>
    <w:rsid w:val="1C90ABB1"/>
    <w:rsid w:val="1CC7DA0E"/>
    <w:rsid w:val="1D098C51"/>
    <w:rsid w:val="1D20BE29"/>
    <w:rsid w:val="1D417515"/>
    <w:rsid w:val="1D8B1CC5"/>
    <w:rsid w:val="1DB5BEF0"/>
    <w:rsid w:val="1DD4E3FF"/>
    <w:rsid w:val="1E12B500"/>
    <w:rsid w:val="1E333C4A"/>
    <w:rsid w:val="1E8F248E"/>
    <w:rsid w:val="1ED58F09"/>
    <w:rsid w:val="1ED69E09"/>
    <w:rsid w:val="1EE163BA"/>
    <w:rsid w:val="1F005750"/>
    <w:rsid w:val="1F21F18F"/>
    <w:rsid w:val="1FD0BFD4"/>
    <w:rsid w:val="1FD26E66"/>
    <w:rsid w:val="1FE05B3E"/>
    <w:rsid w:val="1FF2E142"/>
    <w:rsid w:val="1FF3B7EE"/>
    <w:rsid w:val="204581CD"/>
    <w:rsid w:val="2066A707"/>
    <w:rsid w:val="20A82A1E"/>
    <w:rsid w:val="20DD74BD"/>
    <w:rsid w:val="2133BA75"/>
    <w:rsid w:val="213E1CAC"/>
    <w:rsid w:val="218A70B1"/>
    <w:rsid w:val="218C8239"/>
    <w:rsid w:val="218F3172"/>
    <w:rsid w:val="21B3FF3F"/>
    <w:rsid w:val="21B9D786"/>
    <w:rsid w:val="21D9EBA2"/>
    <w:rsid w:val="2215CD6D"/>
    <w:rsid w:val="2225DF6C"/>
    <w:rsid w:val="224CC2D0"/>
    <w:rsid w:val="2262E1D2"/>
    <w:rsid w:val="22849EC0"/>
    <w:rsid w:val="2285DC69"/>
    <w:rsid w:val="22B58ABF"/>
    <w:rsid w:val="22B757E4"/>
    <w:rsid w:val="22C2D2D0"/>
    <w:rsid w:val="22EE478B"/>
    <w:rsid w:val="22F8BE4C"/>
    <w:rsid w:val="2312A126"/>
    <w:rsid w:val="23208B52"/>
    <w:rsid w:val="237AA866"/>
    <w:rsid w:val="23A1DA60"/>
    <w:rsid w:val="23D50EC0"/>
    <w:rsid w:val="240ADB35"/>
    <w:rsid w:val="256CD021"/>
    <w:rsid w:val="258445AF"/>
    <w:rsid w:val="259229C7"/>
    <w:rsid w:val="25C24E68"/>
    <w:rsid w:val="25E57D72"/>
    <w:rsid w:val="2603B644"/>
    <w:rsid w:val="26060D8B"/>
    <w:rsid w:val="2642E583"/>
    <w:rsid w:val="264DA37E"/>
    <w:rsid w:val="26722D98"/>
    <w:rsid w:val="26735697"/>
    <w:rsid w:val="26896B71"/>
    <w:rsid w:val="269DB888"/>
    <w:rsid w:val="26B1B17A"/>
    <w:rsid w:val="26B7B39A"/>
    <w:rsid w:val="2709508F"/>
    <w:rsid w:val="273DF949"/>
    <w:rsid w:val="27501669"/>
    <w:rsid w:val="277F5F70"/>
    <w:rsid w:val="27B3CFE5"/>
    <w:rsid w:val="27B9A72B"/>
    <w:rsid w:val="27C71385"/>
    <w:rsid w:val="27E62932"/>
    <w:rsid w:val="27EF2EDF"/>
    <w:rsid w:val="287AFB91"/>
    <w:rsid w:val="287B2953"/>
    <w:rsid w:val="288E41CC"/>
    <w:rsid w:val="290AFC59"/>
    <w:rsid w:val="292FE473"/>
    <w:rsid w:val="29C96226"/>
    <w:rsid w:val="29CE946A"/>
    <w:rsid w:val="29F96263"/>
    <w:rsid w:val="2A0DB9AB"/>
    <w:rsid w:val="2A24FB89"/>
    <w:rsid w:val="2A3F70A3"/>
    <w:rsid w:val="2A4D4C7B"/>
    <w:rsid w:val="2A9540BA"/>
    <w:rsid w:val="2AB88E25"/>
    <w:rsid w:val="2ACB7643"/>
    <w:rsid w:val="2AEE73EA"/>
    <w:rsid w:val="2B0A5D96"/>
    <w:rsid w:val="2B296EBB"/>
    <w:rsid w:val="2B2E5A27"/>
    <w:rsid w:val="2B360EED"/>
    <w:rsid w:val="2B8A7DB5"/>
    <w:rsid w:val="2B9071D6"/>
    <w:rsid w:val="2B9C4BA3"/>
    <w:rsid w:val="2C2044A6"/>
    <w:rsid w:val="2C35456D"/>
    <w:rsid w:val="2CA0DF79"/>
    <w:rsid w:val="2CA52919"/>
    <w:rsid w:val="2CB69949"/>
    <w:rsid w:val="2CD40E70"/>
    <w:rsid w:val="2CFA37F9"/>
    <w:rsid w:val="2D070E34"/>
    <w:rsid w:val="2D20FA71"/>
    <w:rsid w:val="2D45E8A5"/>
    <w:rsid w:val="2D4BA21E"/>
    <w:rsid w:val="2D5B28C0"/>
    <w:rsid w:val="2D678DC7"/>
    <w:rsid w:val="2D9917AD"/>
    <w:rsid w:val="2DF4446A"/>
    <w:rsid w:val="2E05C4B6"/>
    <w:rsid w:val="2E3F9E30"/>
    <w:rsid w:val="2E87F1C1"/>
    <w:rsid w:val="2EA43622"/>
    <w:rsid w:val="2ED41D40"/>
    <w:rsid w:val="2EEBB988"/>
    <w:rsid w:val="2EFAF661"/>
    <w:rsid w:val="2F4055CF"/>
    <w:rsid w:val="2F5E22D6"/>
    <w:rsid w:val="2F614632"/>
    <w:rsid w:val="2F68DA48"/>
    <w:rsid w:val="2F988BDE"/>
    <w:rsid w:val="306C191C"/>
    <w:rsid w:val="308C4BC0"/>
    <w:rsid w:val="30ADA9C5"/>
    <w:rsid w:val="30C3DC04"/>
    <w:rsid w:val="30CA01AC"/>
    <w:rsid w:val="313DDDF0"/>
    <w:rsid w:val="31555BD6"/>
    <w:rsid w:val="316211C0"/>
    <w:rsid w:val="3164ADF3"/>
    <w:rsid w:val="31801719"/>
    <w:rsid w:val="319E7CA9"/>
    <w:rsid w:val="31BF1159"/>
    <w:rsid w:val="31DA1FBD"/>
    <w:rsid w:val="31DB768D"/>
    <w:rsid w:val="32032B5A"/>
    <w:rsid w:val="322BDD8E"/>
    <w:rsid w:val="322C78C5"/>
    <w:rsid w:val="323B463C"/>
    <w:rsid w:val="323F89B5"/>
    <w:rsid w:val="325C29BC"/>
    <w:rsid w:val="325DFB6B"/>
    <w:rsid w:val="32A32457"/>
    <w:rsid w:val="32F1E6EE"/>
    <w:rsid w:val="3388B071"/>
    <w:rsid w:val="338D0939"/>
    <w:rsid w:val="33AD4B17"/>
    <w:rsid w:val="33D73358"/>
    <w:rsid w:val="33DB83A8"/>
    <w:rsid w:val="34371892"/>
    <w:rsid w:val="3445E848"/>
    <w:rsid w:val="346DB415"/>
    <w:rsid w:val="34798E59"/>
    <w:rsid w:val="3496952F"/>
    <w:rsid w:val="34A403C9"/>
    <w:rsid w:val="34D8B66B"/>
    <w:rsid w:val="351D9F1C"/>
    <w:rsid w:val="3535A77F"/>
    <w:rsid w:val="354477A1"/>
    <w:rsid w:val="355A0C6A"/>
    <w:rsid w:val="3581E643"/>
    <w:rsid w:val="3596F207"/>
    <w:rsid w:val="35C1D1B0"/>
    <w:rsid w:val="35D39FA9"/>
    <w:rsid w:val="35F67D27"/>
    <w:rsid w:val="35F7566F"/>
    <w:rsid w:val="3604CB27"/>
    <w:rsid w:val="3644DD28"/>
    <w:rsid w:val="3666C747"/>
    <w:rsid w:val="3673165E"/>
    <w:rsid w:val="36877C3F"/>
    <w:rsid w:val="368AB091"/>
    <w:rsid w:val="368F32F6"/>
    <w:rsid w:val="36AA6190"/>
    <w:rsid w:val="36B955B4"/>
    <w:rsid w:val="36DDBC2C"/>
    <w:rsid w:val="36DEB81A"/>
    <w:rsid w:val="36E97167"/>
    <w:rsid w:val="36FB54EF"/>
    <w:rsid w:val="3718DB80"/>
    <w:rsid w:val="3718EF06"/>
    <w:rsid w:val="376573AD"/>
    <w:rsid w:val="3776D610"/>
    <w:rsid w:val="37D19BFC"/>
    <w:rsid w:val="37ED9993"/>
    <w:rsid w:val="37FE72AE"/>
    <w:rsid w:val="380B35C7"/>
    <w:rsid w:val="381C1ADF"/>
    <w:rsid w:val="384A6A0E"/>
    <w:rsid w:val="3858EA93"/>
    <w:rsid w:val="385B1E94"/>
    <w:rsid w:val="38F46FD4"/>
    <w:rsid w:val="3915015F"/>
    <w:rsid w:val="395922B1"/>
    <w:rsid w:val="3985DFCA"/>
    <w:rsid w:val="39BDBC60"/>
    <w:rsid w:val="3A7F2863"/>
    <w:rsid w:val="3A858417"/>
    <w:rsid w:val="3B142326"/>
    <w:rsid w:val="3B6813BE"/>
    <w:rsid w:val="3B82ECA7"/>
    <w:rsid w:val="3B901125"/>
    <w:rsid w:val="3C8CAF2E"/>
    <w:rsid w:val="3C931405"/>
    <w:rsid w:val="3C95CE38"/>
    <w:rsid w:val="3CB90A26"/>
    <w:rsid w:val="3D60ADB3"/>
    <w:rsid w:val="3D8AABBD"/>
    <w:rsid w:val="3D8FA534"/>
    <w:rsid w:val="3D93B0F3"/>
    <w:rsid w:val="3DB24394"/>
    <w:rsid w:val="3DC9390B"/>
    <w:rsid w:val="3DD6D744"/>
    <w:rsid w:val="3DF377E1"/>
    <w:rsid w:val="3E049F04"/>
    <w:rsid w:val="3E0F08B8"/>
    <w:rsid w:val="3E1BF8F4"/>
    <w:rsid w:val="3E512C8B"/>
    <w:rsid w:val="3E913D94"/>
    <w:rsid w:val="3EA57174"/>
    <w:rsid w:val="3EC69BF6"/>
    <w:rsid w:val="3EF06426"/>
    <w:rsid w:val="3F565DE1"/>
    <w:rsid w:val="3F615A5F"/>
    <w:rsid w:val="3F65CF78"/>
    <w:rsid w:val="3F88842F"/>
    <w:rsid w:val="3F9CECFA"/>
    <w:rsid w:val="3FBFDF6D"/>
    <w:rsid w:val="3FC7A317"/>
    <w:rsid w:val="3FD04D7E"/>
    <w:rsid w:val="3FE71114"/>
    <w:rsid w:val="3FFC9097"/>
    <w:rsid w:val="4025A613"/>
    <w:rsid w:val="4069768E"/>
    <w:rsid w:val="407E7B4D"/>
    <w:rsid w:val="40FA34AF"/>
    <w:rsid w:val="41271E68"/>
    <w:rsid w:val="412ADC77"/>
    <w:rsid w:val="4143CBED"/>
    <w:rsid w:val="41473121"/>
    <w:rsid w:val="416F358C"/>
    <w:rsid w:val="41F37142"/>
    <w:rsid w:val="41F6122F"/>
    <w:rsid w:val="4201179B"/>
    <w:rsid w:val="421CE458"/>
    <w:rsid w:val="422E87F9"/>
    <w:rsid w:val="4235B0AD"/>
    <w:rsid w:val="424E808F"/>
    <w:rsid w:val="4267E6AC"/>
    <w:rsid w:val="4281059B"/>
    <w:rsid w:val="42881A2A"/>
    <w:rsid w:val="42DEEE06"/>
    <w:rsid w:val="43154421"/>
    <w:rsid w:val="432F3048"/>
    <w:rsid w:val="43733C14"/>
    <w:rsid w:val="43841178"/>
    <w:rsid w:val="43BBE763"/>
    <w:rsid w:val="440AB57C"/>
    <w:rsid w:val="44339281"/>
    <w:rsid w:val="443EEB05"/>
    <w:rsid w:val="4460ECC8"/>
    <w:rsid w:val="4463D3AD"/>
    <w:rsid w:val="4477D03A"/>
    <w:rsid w:val="449BC0F7"/>
    <w:rsid w:val="44A95477"/>
    <w:rsid w:val="44DAA64D"/>
    <w:rsid w:val="45CE94A8"/>
    <w:rsid w:val="460F11BE"/>
    <w:rsid w:val="465DC519"/>
    <w:rsid w:val="4675B5A2"/>
    <w:rsid w:val="467DF325"/>
    <w:rsid w:val="468B0A36"/>
    <w:rsid w:val="469A3367"/>
    <w:rsid w:val="46A9E00C"/>
    <w:rsid w:val="46ADB8D2"/>
    <w:rsid w:val="46BBD283"/>
    <w:rsid w:val="46BE8F44"/>
    <w:rsid w:val="46C16E5E"/>
    <w:rsid w:val="46D69E65"/>
    <w:rsid w:val="46F338E3"/>
    <w:rsid w:val="4705B7C0"/>
    <w:rsid w:val="47275AD3"/>
    <w:rsid w:val="473EC89B"/>
    <w:rsid w:val="47584FEA"/>
    <w:rsid w:val="476FA231"/>
    <w:rsid w:val="47750661"/>
    <w:rsid w:val="47C8D1A9"/>
    <w:rsid w:val="47F2A432"/>
    <w:rsid w:val="4811AA0E"/>
    <w:rsid w:val="481EA1D0"/>
    <w:rsid w:val="482DFE43"/>
    <w:rsid w:val="484B873E"/>
    <w:rsid w:val="487480B9"/>
    <w:rsid w:val="487F8335"/>
    <w:rsid w:val="48B6D9DB"/>
    <w:rsid w:val="491C9E3E"/>
    <w:rsid w:val="4921F05A"/>
    <w:rsid w:val="494D78E0"/>
    <w:rsid w:val="494E61A7"/>
    <w:rsid w:val="49720BFE"/>
    <w:rsid w:val="49727B9F"/>
    <w:rsid w:val="497D0574"/>
    <w:rsid w:val="497D3635"/>
    <w:rsid w:val="497FF032"/>
    <w:rsid w:val="49AB0232"/>
    <w:rsid w:val="49CC76AE"/>
    <w:rsid w:val="4A33A15A"/>
    <w:rsid w:val="4A8AB222"/>
    <w:rsid w:val="4A9ECDC4"/>
    <w:rsid w:val="4AA1A6D8"/>
    <w:rsid w:val="4B2E841B"/>
    <w:rsid w:val="4B562C72"/>
    <w:rsid w:val="4BC871F3"/>
    <w:rsid w:val="4BE0BEA2"/>
    <w:rsid w:val="4BFF6207"/>
    <w:rsid w:val="4C92F789"/>
    <w:rsid w:val="4CA66249"/>
    <w:rsid w:val="4CC32FF8"/>
    <w:rsid w:val="4CECF241"/>
    <w:rsid w:val="4D177814"/>
    <w:rsid w:val="4D36A912"/>
    <w:rsid w:val="4D45C66A"/>
    <w:rsid w:val="4D600687"/>
    <w:rsid w:val="4D896C72"/>
    <w:rsid w:val="4D950F30"/>
    <w:rsid w:val="4DAE8F3D"/>
    <w:rsid w:val="4DBC20F5"/>
    <w:rsid w:val="4DC6D71D"/>
    <w:rsid w:val="4DF632A4"/>
    <w:rsid w:val="4E1E58B5"/>
    <w:rsid w:val="4E5FC09A"/>
    <w:rsid w:val="4EECFC96"/>
    <w:rsid w:val="4EFFF4E4"/>
    <w:rsid w:val="4F2E2C7F"/>
    <w:rsid w:val="4F3906A9"/>
    <w:rsid w:val="4F5ECFE3"/>
    <w:rsid w:val="4F7EDD07"/>
    <w:rsid w:val="4FAADF1E"/>
    <w:rsid w:val="4FB294C0"/>
    <w:rsid w:val="4FB3A1D6"/>
    <w:rsid w:val="500A4E24"/>
    <w:rsid w:val="500ADB9F"/>
    <w:rsid w:val="5078EA54"/>
    <w:rsid w:val="50B2C50A"/>
    <w:rsid w:val="50C54803"/>
    <w:rsid w:val="50C5E2A1"/>
    <w:rsid w:val="50C6815B"/>
    <w:rsid w:val="50FA02F8"/>
    <w:rsid w:val="515400A7"/>
    <w:rsid w:val="516FB39C"/>
    <w:rsid w:val="517E1413"/>
    <w:rsid w:val="518E356B"/>
    <w:rsid w:val="51ACC31E"/>
    <w:rsid w:val="521FD97E"/>
    <w:rsid w:val="5225F29E"/>
    <w:rsid w:val="526F76F3"/>
    <w:rsid w:val="5285883E"/>
    <w:rsid w:val="52B5A5E9"/>
    <w:rsid w:val="53201CA3"/>
    <w:rsid w:val="532F497E"/>
    <w:rsid w:val="5330E47A"/>
    <w:rsid w:val="53377A0B"/>
    <w:rsid w:val="53641139"/>
    <w:rsid w:val="53A7521E"/>
    <w:rsid w:val="53E5E913"/>
    <w:rsid w:val="53E6D4D1"/>
    <w:rsid w:val="53FC6400"/>
    <w:rsid w:val="54F17DCF"/>
    <w:rsid w:val="550B5929"/>
    <w:rsid w:val="5511B103"/>
    <w:rsid w:val="5512F6ED"/>
    <w:rsid w:val="5537F359"/>
    <w:rsid w:val="559E9A10"/>
    <w:rsid w:val="5642029D"/>
    <w:rsid w:val="564638AF"/>
    <w:rsid w:val="56835A56"/>
    <w:rsid w:val="56B5C55C"/>
    <w:rsid w:val="56C652D1"/>
    <w:rsid w:val="56F4737D"/>
    <w:rsid w:val="56FBB274"/>
    <w:rsid w:val="57299A18"/>
    <w:rsid w:val="572B397A"/>
    <w:rsid w:val="577AC87C"/>
    <w:rsid w:val="57AD7CE4"/>
    <w:rsid w:val="57E1E2B6"/>
    <w:rsid w:val="583231BE"/>
    <w:rsid w:val="58528C5F"/>
    <w:rsid w:val="586AACB8"/>
    <w:rsid w:val="58BA29DD"/>
    <w:rsid w:val="58F81186"/>
    <w:rsid w:val="58FF7CDE"/>
    <w:rsid w:val="59091802"/>
    <w:rsid w:val="59564490"/>
    <w:rsid w:val="59915928"/>
    <w:rsid w:val="59B62BC4"/>
    <w:rsid w:val="59F7047B"/>
    <w:rsid w:val="5A05F24D"/>
    <w:rsid w:val="5A0A264A"/>
    <w:rsid w:val="5A43BD75"/>
    <w:rsid w:val="5A839FDB"/>
    <w:rsid w:val="5A8E0CE8"/>
    <w:rsid w:val="5A983920"/>
    <w:rsid w:val="5A9AB136"/>
    <w:rsid w:val="5AD57B1D"/>
    <w:rsid w:val="5AE418A2"/>
    <w:rsid w:val="5AF855A6"/>
    <w:rsid w:val="5B339B85"/>
    <w:rsid w:val="5B38C082"/>
    <w:rsid w:val="5B468128"/>
    <w:rsid w:val="5BABC783"/>
    <w:rsid w:val="5BD0D0F8"/>
    <w:rsid w:val="5C0852E5"/>
    <w:rsid w:val="5C08744B"/>
    <w:rsid w:val="5C15D75E"/>
    <w:rsid w:val="5C19E8D1"/>
    <w:rsid w:val="5C4EA476"/>
    <w:rsid w:val="5C661202"/>
    <w:rsid w:val="5C70DA38"/>
    <w:rsid w:val="5C8EF7A1"/>
    <w:rsid w:val="5C976A70"/>
    <w:rsid w:val="5C9E0292"/>
    <w:rsid w:val="5CA4180E"/>
    <w:rsid w:val="5CAB02C3"/>
    <w:rsid w:val="5D494F2F"/>
    <w:rsid w:val="5D6EA152"/>
    <w:rsid w:val="5D7163B5"/>
    <w:rsid w:val="5D7895F9"/>
    <w:rsid w:val="5D797988"/>
    <w:rsid w:val="5D8BFFE6"/>
    <w:rsid w:val="5DA399A2"/>
    <w:rsid w:val="5DA9377F"/>
    <w:rsid w:val="5DAED50B"/>
    <w:rsid w:val="5DCA7E79"/>
    <w:rsid w:val="5E09253A"/>
    <w:rsid w:val="5E506E3D"/>
    <w:rsid w:val="5E737F7A"/>
    <w:rsid w:val="5EB373C1"/>
    <w:rsid w:val="5EBEFA4B"/>
    <w:rsid w:val="5F150B10"/>
    <w:rsid w:val="5F21C257"/>
    <w:rsid w:val="5F3E43ED"/>
    <w:rsid w:val="5F570D5C"/>
    <w:rsid w:val="5F5BBE63"/>
    <w:rsid w:val="5F5C8B60"/>
    <w:rsid w:val="5FD1FE2E"/>
    <w:rsid w:val="5FDFE22C"/>
    <w:rsid w:val="5FE58C9C"/>
    <w:rsid w:val="6026BC4C"/>
    <w:rsid w:val="60334402"/>
    <w:rsid w:val="6083F577"/>
    <w:rsid w:val="60C3FD0A"/>
    <w:rsid w:val="60D2B1EA"/>
    <w:rsid w:val="60F71FD8"/>
    <w:rsid w:val="614CC663"/>
    <w:rsid w:val="6190B3E1"/>
    <w:rsid w:val="6204EE5D"/>
    <w:rsid w:val="620C7C66"/>
    <w:rsid w:val="623345C3"/>
    <w:rsid w:val="62340BF7"/>
    <w:rsid w:val="6238488B"/>
    <w:rsid w:val="623ED932"/>
    <w:rsid w:val="624DE1FE"/>
    <w:rsid w:val="62531692"/>
    <w:rsid w:val="6254C317"/>
    <w:rsid w:val="62C90B72"/>
    <w:rsid w:val="62E669EF"/>
    <w:rsid w:val="6313C711"/>
    <w:rsid w:val="631D9BBB"/>
    <w:rsid w:val="63341376"/>
    <w:rsid w:val="6347EEA5"/>
    <w:rsid w:val="634D844A"/>
    <w:rsid w:val="637D8E49"/>
    <w:rsid w:val="639C7D5E"/>
    <w:rsid w:val="63CFD5B0"/>
    <w:rsid w:val="63DA1723"/>
    <w:rsid w:val="6412458D"/>
    <w:rsid w:val="64636661"/>
    <w:rsid w:val="646658E9"/>
    <w:rsid w:val="6480D3C6"/>
    <w:rsid w:val="6496EAC7"/>
    <w:rsid w:val="650E94D8"/>
    <w:rsid w:val="6565E5FA"/>
    <w:rsid w:val="65A01D5A"/>
    <w:rsid w:val="65A1077D"/>
    <w:rsid w:val="65C5426F"/>
    <w:rsid w:val="65CF5FF0"/>
    <w:rsid w:val="66001A51"/>
    <w:rsid w:val="66352ADB"/>
    <w:rsid w:val="66596519"/>
    <w:rsid w:val="6678A539"/>
    <w:rsid w:val="6679F302"/>
    <w:rsid w:val="66908E8D"/>
    <w:rsid w:val="66CBD14A"/>
    <w:rsid w:val="66DE4C64"/>
    <w:rsid w:val="66DE654B"/>
    <w:rsid w:val="66EF305B"/>
    <w:rsid w:val="66FBED74"/>
    <w:rsid w:val="672165AC"/>
    <w:rsid w:val="6728D894"/>
    <w:rsid w:val="67447D93"/>
    <w:rsid w:val="6751D7A0"/>
    <w:rsid w:val="679D1EF2"/>
    <w:rsid w:val="6812EDA8"/>
    <w:rsid w:val="681C3E95"/>
    <w:rsid w:val="68221608"/>
    <w:rsid w:val="684E282A"/>
    <w:rsid w:val="6865BBA7"/>
    <w:rsid w:val="688256A6"/>
    <w:rsid w:val="689D2646"/>
    <w:rsid w:val="68E2C2D8"/>
    <w:rsid w:val="68F20773"/>
    <w:rsid w:val="69092CB5"/>
    <w:rsid w:val="691DB30E"/>
    <w:rsid w:val="69823D79"/>
    <w:rsid w:val="698F86EC"/>
    <w:rsid w:val="6997E611"/>
    <w:rsid w:val="69F36BC3"/>
    <w:rsid w:val="6A03CBAF"/>
    <w:rsid w:val="6A083417"/>
    <w:rsid w:val="6A3DDB80"/>
    <w:rsid w:val="6A40BCA9"/>
    <w:rsid w:val="6A534373"/>
    <w:rsid w:val="6A5705DF"/>
    <w:rsid w:val="6A5CDCA0"/>
    <w:rsid w:val="6A7AF181"/>
    <w:rsid w:val="6A7CB343"/>
    <w:rsid w:val="6A939557"/>
    <w:rsid w:val="6AA84397"/>
    <w:rsid w:val="6AD7A46D"/>
    <w:rsid w:val="6ADD5045"/>
    <w:rsid w:val="6B0FCA24"/>
    <w:rsid w:val="6B164870"/>
    <w:rsid w:val="6B2BA081"/>
    <w:rsid w:val="6B74D41D"/>
    <w:rsid w:val="6B8D888F"/>
    <w:rsid w:val="6BA61821"/>
    <w:rsid w:val="6BAD0380"/>
    <w:rsid w:val="6C78E126"/>
    <w:rsid w:val="6C7F8E10"/>
    <w:rsid w:val="6CBA940D"/>
    <w:rsid w:val="6D5238C1"/>
    <w:rsid w:val="6D5748B0"/>
    <w:rsid w:val="6D87A6A1"/>
    <w:rsid w:val="6D9A8D29"/>
    <w:rsid w:val="6DBF959A"/>
    <w:rsid w:val="6DCC906C"/>
    <w:rsid w:val="6E147AA1"/>
    <w:rsid w:val="6E29FF9E"/>
    <w:rsid w:val="6E35273B"/>
    <w:rsid w:val="6E36B14A"/>
    <w:rsid w:val="6E5FB046"/>
    <w:rsid w:val="6E619977"/>
    <w:rsid w:val="6E61D153"/>
    <w:rsid w:val="6E751585"/>
    <w:rsid w:val="6E7DB403"/>
    <w:rsid w:val="6E8BB091"/>
    <w:rsid w:val="6EF24BB4"/>
    <w:rsid w:val="6F631610"/>
    <w:rsid w:val="6FDB8C5C"/>
    <w:rsid w:val="700A4E36"/>
    <w:rsid w:val="70603FCE"/>
    <w:rsid w:val="7060D125"/>
    <w:rsid w:val="706B59AD"/>
    <w:rsid w:val="70898898"/>
    <w:rsid w:val="709C2225"/>
    <w:rsid w:val="70C5F0A7"/>
    <w:rsid w:val="71215E83"/>
    <w:rsid w:val="714AEFEF"/>
    <w:rsid w:val="719CF16E"/>
    <w:rsid w:val="71A2BD08"/>
    <w:rsid w:val="71C2AAE9"/>
    <w:rsid w:val="71EEF071"/>
    <w:rsid w:val="71FB7077"/>
    <w:rsid w:val="72004222"/>
    <w:rsid w:val="721F80AD"/>
    <w:rsid w:val="72365778"/>
    <w:rsid w:val="724938B0"/>
    <w:rsid w:val="726A01F6"/>
    <w:rsid w:val="7285BE35"/>
    <w:rsid w:val="72C51C64"/>
    <w:rsid w:val="73033E21"/>
    <w:rsid w:val="73223E9B"/>
    <w:rsid w:val="734FCE46"/>
    <w:rsid w:val="7366BD99"/>
    <w:rsid w:val="73685D5E"/>
    <w:rsid w:val="736F448A"/>
    <w:rsid w:val="737B7F64"/>
    <w:rsid w:val="73A89930"/>
    <w:rsid w:val="73D55451"/>
    <w:rsid w:val="7417569D"/>
    <w:rsid w:val="741C66FA"/>
    <w:rsid w:val="7454CC5E"/>
    <w:rsid w:val="748CCBC0"/>
    <w:rsid w:val="749BA5A2"/>
    <w:rsid w:val="74B58421"/>
    <w:rsid w:val="74E320DB"/>
    <w:rsid w:val="750E821D"/>
    <w:rsid w:val="75790B23"/>
    <w:rsid w:val="757DC94F"/>
    <w:rsid w:val="75823D7A"/>
    <w:rsid w:val="75B8D11B"/>
    <w:rsid w:val="75BEB091"/>
    <w:rsid w:val="75D9F143"/>
    <w:rsid w:val="75DC9AA2"/>
    <w:rsid w:val="7617FF85"/>
    <w:rsid w:val="761D7544"/>
    <w:rsid w:val="762F2554"/>
    <w:rsid w:val="763206B1"/>
    <w:rsid w:val="763F3D28"/>
    <w:rsid w:val="765A39F2"/>
    <w:rsid w:val="76C951CD"/>
    <w:rsid w:val="76E8A62F"/>
    <w:rsid w:val="76EC1BEB"/>
    <w:rsid w:val="770D549C"/>
    <w:rsid w:val="770FA831"/>
    <w:rsid w:val="77808A2C"/>
    <w:rsid w:val="77AFE43A"/>
    <w:rsid w:val="77B6D0F8"/>
    <w:rsid w:val="77D441C2"/>
    <w:rsid w:val="77D51E7C"/>
    <w:rsid w:val="77DB352C"/>
    <w:rsid w:val="7827FB87"/>
    <w:rsid w:val="782C029E"/>
    <w:rsid w:val="782DE031"/>
    <w:rsid w:val="785379A5"/>
    <w:rsid w:val="7872E0DF"/>
    <w:rsid w:val="7876100F"/>
    <w:rsid w:val="78814A10"/>
    <w:rsid w:val="78927356"/>
    <w:rsid w:val="78E98750"/>
    <w:rsid w:val="78FCBE48"/>
    <w:rsid w:val="7908F3BB"/>
    <w:rsid w:val="79233916"/>
    <w:rsid w:val="792D02AF"/>
    <w:rsid w:val="79374EB5"/>
    <w:rsid w:val="795D5F25"/>
    <w:rsid w:val="79E55FBA"/>
    <w:rsid w:val="7A471DC4"/>
    <w:rsid w:val="7A74A7D1"/>
    <w:rsid w:val="7A78B0F2"/>
    <w:rsid w:val="7AAE4FD1"/>
    <w:rsid w:val="7AC017C9"/>
    <w:rsid w:val="7ADF9FD6"/>
    <w:rsid w:val="7B3BECBE"/>
    <w:rsid w:val="7B3E807B"/>
    <w:rsid w:val="7B638FF6"/>
    <w:rsid w:val="7B8041BD"/>
    <w:rsid w:val="7BB27CB5"/>
    <w:rsid w:val="7BC1111E"/>
    <w:rsid w:val="7BC775BD"/>
    <w:rsid w:val="7BD0A2A3"/>
    <w:rsid w:val="7C40104B"/>
    <w:rsid w:val="7C553AE5"/>
    <w:rsid w:val="7C769188"/>
    <w:rsid w:val="7C9956FF"/>
    <w:rsid w:val="7CA36281"/>
    <w:rsid w:val="7CE00BEF"/>
    <w:rsid w:val="7CF4D36E"/>
    <w:rsid w:val="7D34F869"/>
    <w:rsid w:val="7DDF01F3"/>
    <w:rsid w:val="7DEFD879"/>
    <w:rsid w:val="7DF1C57D"/>
    <w:rsid w:val="7E191551"/>
    <w:rsid w:val="7E3E0BA4"/>
    <w:rsid w:val="7E5E5284"/>
    <w:rsid w:val="7E8E2555"/>
    <w:rsid w:val="7F038A60"/>
    <w:rsid w:val="7F3E554F"/>
    <w:rsid w:val="7F68C93D"/>
    <w:rsid w:val="7FB0F3D1"/>
    <w:rsid w:val="7FDACF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B741"/>
  <w15:docId w15:val="{2E2279D2-1A67-4605-8EC0-E42C2817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F7"/>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66DE4C64"/>
    <w:pPr>
      <w:outlineLvl w:val="0"/>
    </w:pPr>
    <w:rPr>
      <w:rFonts w:ascii="Times New Roman" w:hAnsi="Times New Roman"/>
      <w:b/>
      <w:bCs/>
      <w:color w:val="2E74B5" w:themeColor="accent1" w:themeShade="BF"/>
      <w:sz w:val="64"/>
      <w:szCs w:val="64"/>
    </w:rPr>
  </w:style>
  <w:style w:type="paragraph" w:styleId="Heading2">
    <w:name w:val="heading 2"/>
    <w:basedOn w:val="Normal"/>
    <w:next w:val="Normal"/>
    <w:link w:val="Heading2Char"/>
    <w:uiPriority w:val="9"/>
    <w:unhideWhenUsed/>
    <w:qFormat/>
    <w:rsid w:val="66DE4C64"/>
    <w:pPr>
      <w:keepNext/>
      <w:keepLines/>
      <w:spacing w:before="120" w:after="120" w:line="280" w:lineRule="exact"/>
      <w:outlineLvl w:val="1"/>
    </w:pPr>
    <w:rPr>
      <w:rFonts w:ascii="Times New Roman" w:eastAsiaTheme="majorEastAsia" w:hAnsi="Times New Roman"/>
      <w:b/>
      <w:bCs/>
    </w:rPr>
  </w:style>
  <w:style w:type="paragraph" w:styleId="Heading3">
    <w:name w:val="heading 3"/>
    <w:basedOn w:val="Normal"/>
    <w:next w:val="Normal"/>
    <w:link w:val="Heading3Char"/>
    <w:uiPriority w:val="9"/>
    <w:unhideWhenUsed/>
    <w:qFormat/>
    <w:rsid w:val="66DE4C64"/>
    <w:pPr>
      <w:keepNext/>
      <w:keepLines/>
      <w:spacing w:before="240" w:after="240" w:line="280" w:lineRule="exact"/>
      <w:outlineLvl w:val="2"/>
    </w:pPr>
    <w:rPr>
      <w:rFonts w:ascii="Times New Roman" w:eastAsiaTheme="majorEastAsia" w:hAnsi="Times New Roman"/>
      <w:b/>
      <w:bCs/>
    </w:rPr>
  </w:style>
  <w:style w:type="paragraph" w:styleId="Heading4">
    <w:name w:val="heading 4"/>
    <w:basedOn w:val="Normal"/>
    <w:next w:val="Normal"/>
    <w:link w:val="Heading4Char"/>
    <w:uiPriority w:val="9"/>
    <w:unhideWhenUsed/>
    <w:qFormat/>
    <w:rsid w:val="66DE4C64"/>
    <w:pPr>
      <w:keepNext/>
      <w:keepLines/>
      <w:numPr>
        <w:numId w:val="18"/>
      </w:numPr>
      <w:spacing w:before="40"/>
      <w:outlineLvl w:val="3"/>
    </w:pPr>
    <w:rPr>
      <w:rFonts w:ascii="Times New Roman" w:eastAsiaTheme="majorEastAsia" w:hAnsi="Times New Roman" w:cstheme="majorBidi"/>
      <w:b/>
      <w:bCs/>
    </w:rPr>
  </w:style>
  <w:style w:type="paragraph" w:styleId="Heading5">
    <w:name w:val="heading 5"/>
    <w:basedOn w:val="Normal"/>
    <w:next w:val="Normal"/>
    <w:link w:val="Heading5Char"/>
    <w:uiPriority w:val="9"/>
    <w:unhideWhenUsed/>
    <w:qFormat/>
    <w:rsid w:val="66DE4C64"/>
    <w:pPr>
      <w:keepNext/>
      <w:keepLines/>
      <w:spacing w:before="40"/>
      <w:ind w:left="426"/>
      <w:outlineLvl w:val="4"/>
    </w:pPr>
    <w:rPr>
      <w:rFonts w:ascii="Times New Roman" w:eastAsiaTheme="majorEastAsia" w:hAnsi="Times New Roman"/>
      <w:b/>
      <w:bCs/>
    </w:rPr>
  </w:style>
  <w:style w:type="paragraph" w:styleId="Heading6">
    <w:name w:val="heading 6"/>
    <w:basedOn w:val="Normal"/>
    <w:next w:val="Normal"/>
    <w:link w:val="Heading6Char"/>
    <w:uiPriority w:val="9"/>
    <w:unhideWhenUsed/>
    <w:qFormat/>
    <w:rsid w:val="66DE4C64"/>
    <w:pPr>
      <w:keepNext/>
      <w:keepLines/>
      <w:spacing w:before="40"/>
      <w:ind w:left="426"/>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semiHidden/>
    <w:unhideWhenUsed/>
    <w:qFormat/>
    <w:rsid w:val="66DE4C64"/>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66DE4C64"/>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66DE4C64"/>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66DE4C64"/>
    <w:pPr>
      <w:ind w:left="720"/>
      <w:contextualSpacing/>
    </w:pPr>
  </w:style>
  <w:style w:type="character" w:customStyle="1" w:styleId="Heading2Char">
    <w:name w:val="Heading 2 Char"/>
    <w:basedOn w:val="DefaultParagraphFont"/>
    <w:link w:val="Heading2"/>
    <w:uiPriority w:val="9"/>
    <w:rsid w:val="00031D68"/>
    <w:rPr>
      <w:rFonts w:ascii="Times New Roman" w:eastAsiaTheme="majorEastAsia" w:hAnsi="Times New Roman" w:cs="Arial"/>
      <w:b/>
      <w:bCs/>
      <w:noProof/>
    </w:rPr>
  </w:style>
  <w:style w:type="character" w:customStyle="1" w:styleId="Heading1Char">
    <w:name w:val="Heading 1 Char"/>
    <w:basedOn w:val="DefaultParagraphFont"/>
    <w:link w:val="Heading1"/>
    <w:uiPriority w:val="9"/>
    <w:rsid w:val="008053B5"/>
    <w:rPr>
      <w:rFonts w:ascii="Times New Roman" w:hAnsi="Times New Roman" w:cs="Arial"/>
      <w:b/>
      <w:color w:val="2E74B5" w:themeColor="accent1" w:themeShade="BF"/>
      <w:sz w:val="64"/>
      <w:szCs w:val="64"/>
    </w:rPr>
  </w:style>
  <w:style w:type="table" w:styleId="TableGrid">
    <w:name w:val="Table Grid"/>
    <w:basedOn w:val="TableNormal"/>
    <w:uiPriority w:val="39"/>
    <w:rsid w:val="00BD2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66DE4C64"/>
    <w:pPr>
      <w:keepNext/>
      <w:spacing w:after="200"/>
      <w:jc w:val="center"/>
    </w:pPr>
    <w:rPr>
      <w:b/>
      <w:bCs/>
      <w:sz w:val="18"/>
      <w:szCs w:val="18"/>
    </w:rPr>
  </w:style>
  <w:style w:type="character" w:styleId="CommentReference">
    <w:name w:val="annotation reference"/>
    <w:basedOn w:val="DefaultParagraphFont"/>
    <w:uiPriority w:val="99"/>
    <w:semiHidden/>
    <w:unhideWhenUsed/>
    <w:rsid w:val="00ED55B6"/>
    <w:rPr>
      <w:sz w:val="16"/>
      <w:szCs w:val="16"/>
    </w:rPr>
  </w:style>
  <w:style w:type="paragraph" w:styleId="CommentText">
    <w:name w:val="annotation text"/>
    <w:basedOn w:val="Normal"/>
    <w:link w:val="CommentTextChar"/>
    <w:uiPriority w:val="99"/>
    <w:unhideWhenUsed/>
    <w:rsid w:val="66DE4C64"/>
    <w:rPr>
      <w:sz w:val="20"/>
      <w:szCs w:val="20"/>
    </w:rPr>
  </w:style>
  <w:style w:type="character" w:customStyle="1" w:styleId="CommentTextChar">
    <w:name w:val="Comment Text Char"/>
    <w:basedOn w:val="DefaultParagraphFont"/>
    <w:link w:val="CommentText"/>
    <w:uiPriority w:val="99"/>
    <w:rsid w:val="00ED55B6"/>
    <w:rPr>
      <w:sz w:val="20"/>
      <w:szCs w:val="20"/>
    </w:rPr>
  </w:style>
  <w:style w:type="paragraph" w:styleId="CommentSubject">
    <w:name w:val="annotation subject"/>
    <w:basedOn w:val="CommentText"/>
    <w:next w:val="CommentText"/>
    <w:link w:val="CommentSubjectChar"/>
    <w:uiPriority w:val="99"/>
    <w:semiHidden/>
    <w:unhideWhenUsed/>
    <w:rsid w:val="00ED55B6"/>
    <w:rPr>
      <w:b/>
      <w:bCs/>
    </w:rPr>
  </w:style>
  <w:style w:type="character" w:customStyle="1" w:styleId="CommentSubjectChar">
    <w:name w:val="Comment Subject Char"/>
    <w:basedOn w:val="CommentTextChar"/>
    <w:link w:val="CommentSubject"/>
    <w:uiPriority w:val="99"/>
    <w:semiHidden/>
    <w:rsid w:val="00ED55B6"/>
    <w:rPr>
      <w:b/>
      <w:bCs/>
      <w:sz w:val="20"/>
      <w:szCs w:val="20"/>
    </w:rPr>
  </w:style>
  <w:style w:type="paragraph" w:styleId="BalloonText">
    <w:name w:val="Balloon Text"/>
    <w:basedOn w:val="Normal"/>
    <w:link w:val="BalloonTextChar"/>
    <w:uiPriority w:val="99"/>
    <w:semiHidden/>
    <w:unhideWhenUsed/>
    <w:rsid w:val="66DE4C64"/>
    <w:rPr>
      <w:rFonts w:ascii="Segoe UI" w:hAnsi="Segoe UI"/>
      <w:sz w:val="18"/>
      <w:szCs w:val="18"/>
    </w:rPr>
  </w:style>
  <w:style w:type="character" w:customStyle="1" w:styleId="BalloonTextChar">
    <w:name w:val="Balloon Text Char"/>
    <w:basedOn w:val="DefaultParagraphFont"/>
    <w:link w:val="BalloonText"/>
    <w:uiPriority w:val="99"/>
    <w:semiHidden/>
    <w:rsid w:val="00ED55B6"/>
    <w:rPr>
      <w:rFonts w:ascii="Segoe UI" w:hAnsi="Segoe UI" w:cs="Arial"/>
      <w:sz w:val="18"/>
      <w:szCs w:val="18"/>
    </w:rPr>
  </w:style>
  <w:style w:type="character" w:customStyle="1" w:styleId="ListParagraphChar">
    <w:name w:val="List Paragraph Char"/>
    <w:link w:val="ListParagraph"/>
    <w:qFormat/>
    <w:locked/>
    <w:rsid w:val="006C5E4B"/>
  </w:style>
  <w:style w:type="paragraph" w:styleId="Header">
    <w:name w:val="header"/>
    <w:basedOn w:val="Normal"/>
    <w:link w:val="HeaderChar"/>
    <w:uiPriority w:val="99"/>
    <w:unhideWhenUsed/>
    <w:rsid w:val="66DE4C64"/>
    <w:pPr>
      <w:tabs>
        <w:tab w:val="center" w:pos="4680"/>
        <w:tab w:val="right" w:pos="9360"/>
      </w:tabs>
    </w:pPr>
  </w:style>
  <w:style w:type="character" w:customStyle="1" w:styleId="HeaderChar">
    <w:name w:val="Header Char"/>
    <w:basedOn w:val="DefaultParagraphFont"/>
    <w:link w:val="Header"/>
    <w:uiPriority w:val="99"/>
    <w:rsid w:val="00691B0A"/>
  </w:style>
  <w:style w:type="paragraph" w:styleId="Footer">
    <w:name w:val="footer"/>
    <w:basedOn w:val="Normal"/>
    <w:link w:val="FooterChar"/>
    <w:uiPriority w:val="99"/>
    <w:unhideWhenUsed/>
    <w:rsid w:val="66DE4C64"/>
    <w:pPr>
      <w:tabs>
        <w:tab w:val="center" w:pos="4680"/>
        <w:tab w:val="right" w:pos="9360"/>
      </w:tabs>
    </w:pPr>
  </w:style>
  <w:style w:type="character" w:customStyle="1" w:styleId="FooterChar">
    <w:name w:val="Footer Char"/>
    <w:basedOn w:val="DefaultParagraphFont"/>
    <w:link w:val="Footer"/>
    <w:uiPriority w:val="99"/>
    <w:rsid w:val="00691B0A"/>
  </w:style>
  <w:style w:type="paragraph" w:styleId="TOCHeading">
    <w:name w:val="TOC Heading"/>
    <w:basedOn w:val="Heading1"/>
    <w:next w:val="Normal"/>
    <w:uiPriority w:val="39"/>
    <w:unhideWhenUsed/>
    <w:qFormat/>
    <w:rsid w:val="00CD7EDF"/>
    <w:pPr>
      <w:outlineLvl w:val="9"/>
    </w:pPr>
    <w:rPr>
      <w:color w:val="auto"/>
      <w:sz w:val="28"/>
      <w:szCs w:val="28"/>
    </w:rPr>
  </w:style>
  <w:style w:type="paragraph" w:styleId="TOC1">
    <w:name w:val="toc 1"/>
    <w:basedOn w:val="Normal"/>
    <w:next w:val="Normal"/>
    <w:uiPriority w:val="39"/>
    <w:unhideWhenUsed/>
    <w:rsid w:val="66DE4C64"/>
    <w:pPr>
      <w:spacing w:line="360" w:lineRule="auto"/>
      <w:ind w:right="-2"/>
    </w:pPr>
    <w:rPr>
      <w:rFonts w:ascii="Times New Roman" w:hAnsi="Times New Roman"/>
      <w:b/>
      <w:bCs/>
      <w:lang w:val="en-GB"/>
    </w:rPr>
  </w:style>
  <w:style w:type="paragraph" w:styleId="TOC2">
    <w:name w:val="toc 2"/>
    <w:basedOn w:val="Normal"/>
    <w:next w:val="Normal"/>
    <w:uiPriority w:val="39"/>
    <w:unhideWhenUsed/>
    <w:rsid w:val="66DE4C64"/>
    <w:pPr>
      <w:tabs>
        <w:tab w:val="left" w:pos="630"/>
        <w:tab w:val="right" w:leader="dot" w:pos="9582"/>
      </w:tabs>
      <w:spacing w:before="120" w:after="120" w:line="280" w:lineRule="exact"/>
      <w:ind w:left="221"/>
    </w:pPr>
    <w:rPr>
      <w:rFonts w:ascii="Times New Roman" w:hAnsi="Times New Roman"/>
      <w:b/>
      <w:bCs/>
      <w:lang w:val="en-GB"/>
    </w:rPr>
  </w:style>
  <w:style w:type="character" w:styleId="Hyperlink">
    <w:name w:val="Hyperlink"/>
    <w:basedOn w:val="DefaultParagraphFont"/>
    <w:uiPriority w:val="99"/>
    <w:unhideWhenUsed/>
    <w:rsid w:val="00450242"/>
    <w:rPr>
      <w:color w:val="0563C1" w:themeColor="hyperlink"/>
      <w:u w:val="single"/>
    </w:rPr>
  </w:style>
  <w:style w:type="character" w:customStyle="1" w:styleId="Heading3Char">
    <w:name w:val="Heading 3 Char"/>
    <w:basedOn w:val="DefaultParagraphFont"/>
    <w:link w:val="Heading3"/>
    <w:uiPriority w:val="9"/>
    <w:rsid w:val="00453755"/>
    <w:rPr>
      <w:rFonts w:ascii="Times New Roman" w:eastAsiaTheme="majorEastAsia" w:hAnsi="Times New Roman" w:cs="Arial"/>
      <w:b/>
      <w:bCs/>
      <w:noProof/>
    </w:rPr>
  </w:style>
  <w:style w:type="paragraph" w:styleId="TOC3">
    <w:name w:val="toc 3"/>
    <w:basedOn w:val="Normal"/>
    <w:next w:val="Normal"/>
    <w:uiPriority w:val="39"/>
    <w:unhideWhenUsed/>
    <w:rsid w:val="66DE4C64"/>
    <w:pPr>
      <w:tabs>
        <w:tab w:val="right" w:leader="dot" w:pos="9582"/>
      </w:tabs>
      <w:spacing w:line="360" w:lineRule="auto"/>
      <w:ind w:left="397" w:firstLine="113"/>
    </w:pPr>
    <w:rPr>
      <w:rFonts w:ascii="Times New Roman" w:hAnsi="Times New Roman"/>
      <w:lang w:val="en-GB"/>
    </w:rPr>
  </w:style>
  <w:style w:type="paragraph" w:styleId="NoSpacing">
    <w:name w:val="No Spacing"/>
    <w:link w:val="NoSpacingChar"/>
    <w:uiPriority w:val="1"/>
    <w:qFormat/>
    <w:rsid w:val="00EF1096"/>
    <w:pPr>
      <w:spacing w:after="0" w:line="240" w:lineRule="auto"/>
    </w:pPr>
    <w:rPr>
      <w:rFonts w:eastAsiaTheme="minorEastAsia"/>
    </w:rPr>
  </w:style>
  <w:style w:type="character" w:customStyle="1" w:styleId="NoSpacingChar">
    <w:name w:val="No Spacing Char"/>
    <w:basedOn w:val="DefaultParagraphFont"/>
    <w:link w:val="NoSpacing"/>
    <w:uiPriority w:val="1"/>
    <w:rsid w:val="00EF1096"/>
    <w:rPr>
      <w:rFonts w:eastAsiaTheme="minorEastAsia"/>
    </w:rPr>
  </w:style>
  <w:style w:type="paragraph" w:styleId="Revision">
    <w:name w:val="Revision"/>
    <w:hidden/>
    <w:uiPriority w:val="99"/>
    <w:semiHidden/>
    <w:rsid w:val="00092A76"/>
    <w:pPr>
      <w:spacing w:after="0" w:line="240" w:lineRule="auto"/>
    </w:pPr>
  </w:style>
  <w:style w:type="paragraph" w:customStyle="1" w:styleId="Default">
    <w:name w:val="Default"/>
    <w:rsid w:val="001464D5"/>
    <w:pPr>
      <w:autoSpaceDE w:val="0"/>
      <w:autoSpaceDN w:val="0"/>
      <w:adjustRightInd w:val="0"/>
      <w:spacing w:after="0" w:line="240" w:lineRule="auto"/>
    </w:pPr>
    <w:rPr>
      <w:rFonts w:ascii="Calibri" w:hAnsi="Calibri" w:cs="Arial"/>
      <w:color w:val="000000"/>
      <w:sz w:val="24"/>
      <w:szCs w:val="24"/>
      <w:lang w:val="en-GB"/>
    </w:rPr>
  </w:style>
  <w:style w:type="paragraph" w:customStyle="1" w:styleId="TableParagraph">
    <w:name w:val="Table Paragraph"/>
    <w:basedOn w:val="Normal"/>
    <w:uiPriority w:val="1"/>
    <w:qFormat/>
    <w:rsid w:val="66DE4C64"/>
    <w:rPr>
      <w:rFonts w:eastAsiaTheme="minorEastAsia"/>
    </w:rPr>
  </w:style>
  <w:style w:type="paragraph" w:styleId="BodyText">
    <w:name w:val="Body Text"/>
    <w:basedOn w:val="Normal"/>
    <w:link w:val="BodyTextChar"/>
    <w:uiPriority w:val="1"/>
    <w:rsid w:val="66DE4C64"/>
    <w:rPr>
      <w:rFonts w:eastAsiaTheme="minorEastAsia"/>
    </w:rPr>
  </w:style>
  <w:style w:type="character" w:customStyle="1" w:styleId="BodyTextChar">
    <w:name w:val="Body Text Char"/>
    <w:basedOn w:val="DefaultParagraphFont"/>
    <w:link w:val="BodyText"/>
    <w:uiPriority w:val="1"/>
    <w:rsid w:val="008E216D"/>
    <w:rPr>
      <w:rFonts w:eastAsiaTheme="minorEastAsia"/>
    </w:rPr>
  </w:style>
  <w:style w:type="character" w:customStyle="1" w:styleId="Heading4Char">
    <w:name w:val="Heading 4 Char"/>
    <w:basedOn w:val="DefaultParagraphFont"/>
    <w:link w:val="Heading4"/>
    <w:uiPriority w:val="9"/>
    <w:rsid w:val="00E6479D"/>
    <w:rPr>
      <w:rFonts w:ascii="Times New Roman" w:eastAsiaTheme="majorEastAsia" w:hAnsi="Times New Roman" w:cstheme="majorBidi"/>
      <w:b/>
      <w:bCs/>
      <w:noProof/>
    </w:rPr>
  </w:style>
  <w:style w:type="character" w:customStyle="1" w:styleId="Heading5Char">
    <w:name w:val="Heading 5 Char"/>
    <w:basedOn w:val="DefaultParagraphFont"/>
    <w:link w:val="Heading5"/>
    <w:uiPriority w:val="9"/>
    <w:rsid w:val="005D6085"/>
    <w:rPr>
      <w:rFonts w:ascii="Times New Roman" w:eastAsiaTheme="majorEastAsia" w:hAnsi="Times New Roman" w:cs="Arial"/>
      <w:b/>
      <w:bCs/>
    </w:rPr>
  </w:style>
  <w:style w:type="character" w:customStyle="1" w:styleId="Heading6Char">
    <w:name w:val="Heading 6 Char"/>
    <w:basedOn w:val="DefaultParagraphFont"/>
    <w:link w:val="Heading6"/>
    <w:uiPriority w:val="9"/>
    <w:rsid w:val="004A5887"/>
    <w:rPr>
      <w:rFonts w:ascii="Times New Roman" w:eastAsiaTheme="majorEastAsia" w:hAnsi="Times New Roman" w:cstheme="majorBidi"/>
      <w:b/>
    </w:rPr>
  </w:style>
  <w:style w:type="character" w:customStyle="1" w:styleId="Heading7Char">
    <w:name w:val="Heading 7 Char"/>
    <w:basedOn w:val="DefaultParagraphFont"/>
    <w:link w:val="Heading7"/>
    <w:uiPriority w:val="9"/>
    <w:semiHidden/>
    <w:rsid w:val="008E216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E216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E216D"/>
    <w:rPr>
      <w:rFonts w:asciiTheme="majorHAnsi" w:eastAsiaTheme="majorEastAsia" w:hAnsiTheme="majorHAnsi" w:cstheme="majorBidi"/>
      <w:i/>
      <w:iCs/>
      <w:color w:val="1F4E79" w:themeColor="accent1" w:themeShade="80"/>
    </w:rPr>
  </w:style>
  <w:style w:type="paragraph" w:customStyle="1" w:styleId="Bodycopy">
    <w:name w:val="Body copy"/>
    <w:link w:val="BodycopyChar"/>
    <w:qFormat/>
    <w:rsid w:val="008E216D"/>
    <w:pPr>
      <w:spacing w:after="120" w:line="260" w:lineRule="exact"/>
    </w:pPr>
    <w:rPr>
      <w:rFonts w:ascii="Arial" w:eastAsia="Times" w:hAnsi="Arial" w:cs="Arial"/>
      <w:color w:val="000000"/>
      <w:sz w:val="20"/>
      <w:szCs w:val="20"/>
      <w:lang w:val="en-GB"/>
    </w:rPr>
  </w:style>
  <w:style w:type="paragraph" w:customStyle="1" w:styleId="Legalcopyletter">
    <w:name w:val="Legal copy letter"/>
    <w:rsid w:val="008E216D"/>
    <w:rPr>
      <w:rFonts w:ascii="Arial" w:eastAsia="Times" w:hAnsi="Arial" w:cs="Arial"/>
      <w:color w:val="002776"/>
      <w:sz w:val="14"/>
      <w:szCs w:val="20"/>
    </w:rPr>
  </w:style>
  <w:style w:type="character" w:customStyle="1" w:styleId="BodycopyChar">
    <w:name w:val="Body copy Char"/>
    <w:link w:val="Bodycopy"/>
    <w:rsid w:val="008E216D"/>
    <w:rPr>
      <w:rFonts w:ascii="Arial" w:eastAsia="Times" w:hAnsi="Arial" w:cs="Arial"/>
      <w:color w:val="000000"/>
      <w:sz w:val="20"/>
      <w:szCs w:val="20"/>
      <w:lang w:val="en-GB"/>
    </w:rPr>
  </w:style>
  <w:style w:type="paragraph" w:styleId="Title">
    <w:name w:val="Title"/>
    <w:basedOn w:val="Normal"/>
    <w:next w:val="Normal"/>
    <w:link w:val="TitleChar"/>
    <w:uiPriority w:val="10"/>
    <w:qFormat/>
    <w:rsid w:val="66DE4C64"/>
    <w:pPr>
      <w:spacing w:line="204" w:lineRule="auto"/>
      <w:contextualSpacing/>
    </w:pPr>
    <w:rPr>
      <w:rFonts w:asciiTheme="majorHAnsi" w:eastAsiaTheme="majorEastAsia" w:hAnsiTheme="majorHAnsi" w:cstheme="majorBidi"/>
      <w:caps/>
      <w:color w:val="44546A" w:themeColor="text2"/>
      <w:sz w:val="72"/>
      <w:szCs w:val="72"/>
    </w:rPr>
  </w:style>
  <w:style w:type="character" w:customStyle="1" w:styleId="TitleChar">
    <w:name w:val="Title Char"/>
    <w:basedOn w:val="DefaultParagraphFont"/>
    <w:link w:val="Title"/>
    <w:uiPriority w:val="10"/>
    <w:rsid w:val="008E216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66DE4C64"/>
    <w:p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E216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E216D"/>
    <w:rPr>
      <w:b/>
      <w:bCs/>
    </w:rPr>
  </w:style>
  <w:style w:type="character" w:styleId="Emphasis">
    <w:name w:val="Emphasis"/>
    <w:basedOn w:val="DefaultParagraphFont"/>
    <w:uiPriority w:val="20"/>
    <w:qFormat/>
    <w:rsid w:val="008E216D"/>
    <w:rPr>
      <w:i/>
      <w:iCs/>
    </w:rPr>
  </w:style>
  <w:style w:type="paragraph" w:styleId="Quote">
    <w:name w:val="Quote"/>
    <w:basedOn w:val="Normal"/>
    <w:next w:val="Normal"/>
    <w:link w:val="QuoteChar"/>
    <w:uiPriority w:val="29"/>
    <w:qFormat/>
    <w:rsid w:val="66DE4C64"/>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8E216D"/>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66DE4C64"/>
    <w:pPr>
      <w:spacing w:beforeAutospacing="1" w:after="240"/>
      <w:ind w:left="720"/>
      <w:jc w:val="center"/>
    </w:pPr>
    <w:rPr>
      <w:rFonts w:asciiTheme="majorHAnsi" w:eastAsiaTheme="majorEastAsia" w:hAnsiTheme="majorHAnsi" w:cstheme="majorBidi"/>
      <w:color w:val="44546A" w:themeColor="text2"/>
      <w:sz w:val="32"/>
      <w:szCs w:val="32"/>
    </w:rPr>
  </w:style>
  <w:style w:type="character" w:customStyle="1" w:styleId="IntenseQuoteChar">
    <w:name w:val="Intense Quote Char"/>
    <w:basedOn w:val="DefaultParagraphFont"/>
    <w:link w:val="IntenseQuote"/>
    <w:uiPriority w:val="30"/>
    <w:rsid w:val="008E216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E216D"/>
    <w:rPr>
      <w:i/>
      <w:iCs/>
      <w:color w:val="595959" w:themeColor="text1" w:themeTint="A6"/>
    </w:rPr>
  </w:style>
  <w:style w:type="character" w:styleId="IntenseEmphasis">
    <w:name w:val="Intense Emphasis"/>
    <w:basedOn w:val="DefaultParagraphFont"/>
    <w:uiPriority w:val="21"/>
    <w:qFormat/>
    <w:rsid w:val="008E216D"/>
    <w:rPr>
      <w:b/>
      <w:bCs/>
      <w:i/>
      <w:iCs/>
    </w:rPr>
  </w:style>
  <w:style w:type="character" w:styleId="SubtleReference">
    <w:name w:val="Subtle Reference"/>
    <w:basedOn w:val="DefaultParagraphFont"/>
    <w:uiPriority w:val="31"/>
    <w:qFormat/>
    <w:rsid w:val="008E21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E216D"/>
    <w:rPr>
      <w:b/>
      <w:bCs/>
      <w:smallCaps/>
      <w:color w:val="44546A" w:themeColor="text2"/>
      <w:u w:val="single"/>
    </w:rPr>
  </w:style>
  <w:style w:type="character" w:styleId="BookTitle">
    <w:name w:val="Book Title"/>
    <w:basedOn w:val="DefaultParagraphFont"/>
    <w:uiPriority w:val="33"/>
    <w:qFormat/>
    <w:rsid w:val="008E216D"/>
    <w:rPr>
      <w:b/>
      <w:bCs/>
      <w:smallCaps/>
      <w:spacing w:val="10"/>
    </w:rPr>
  </w:style>
  <w:style w:type="paragraph" w:customStyle="1" w:styleId="TableColumnheader">
    <w:name w:val="Table Column header"/>
    <w:basedOn w:val="Normal"/>
    <w:uiPriority w:val="1"/>
    <w:qFormat/>
    <w:rsid w:val="66DE4C64"/>
    <w:pPr>
      <w:spacing w:before="60" w:after="60" w:line="280" w:lineRule="exact"/>
    </w:pPr>
    <w:rPr>
      <w:rFonts w:eastAsia="Times" w:cs="Times New Roman"/>
      <w:b/>
      <w:bCs/>
      <w:color w:val="FFFFFF" w:themeColor="background1"/>
      <w:sz w:val="20"/>
      <w:szCs w:val="20"/>
    </w:rPr>
  </w:style>
  <w:style w:type="paragraph" w:customStyle="1" w:styleId="TableentryQuals">
    <w:name w:val="Table entry Quals"/>
    <w:basedOn w:val="Normal"/>
    <w:uiPriority w:val="1"/>
    <w:qFormat/>
    <w:rsid w:val="66DE4C64"/>
    <w:pPr>
      <w:spacing w:before="60" w:after="60" w:line="260" w:lineRule="exact"/>
    </w:pPr>
    <w:rPr>
      <w:rFonts w:eastAsia="Times New Roman" w:cs="Times New Roman"/>
      <w:sz w:val="20"/>
      <w:szCs w:val="20"/>
      <w:lang w:val="en-GB"/>
    </w:rPr>
  </w:style>
  <w:style w:type="paragraph" w:styleId="BodyTextIndent3">
    <w:name w:val="Body Text Indent 3"/>
    <w:basedOn w:val="Normal"/>
    <w:link w:val="BodyTextIndent3Char"/>
    <w:uiPriority w:val="99"/>
    <w:unhideWhenUsed/>
    <w:rsid w:val="66DE4C64"/>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8E216D"/>
    <w:rPr>
      <w:rFonts w:ascii="Arial" w:eastAsia="Times New Roman" w:hAnsi="Arial" w:cs="Arial"/>
      <w:sz w:val="16"/>
      <w:szCs w:val="16"/>
    </w:rPr>
  </w:style>
  <w:style w:type="paragraph" w:customStyle="1" w:styleId="Listoftable">
    <w:name w:val="List of table"/>
    <w:basedOn w:val="Caption"/>
    <w:link w:val="ListoftableChar"/>
    <w:qFormat/>
    <w:rsid w:val="00182956"/>
    <w:rPr>
      <w:b w:val="0"/>
      <w:i/>
      <w:sz w:val="22"/>
      <w:szCs w:val="22"/>
    </w:rPr>
  </w:style>
  <w:style w:type="paragraph" w:styleId="TableofFigures">
    <w:name w:val="table of figures"/>
    <w:basedOn w:val="Normal"/>
    <w:next w:val="Normal"/>
    <w:uiPriority w:val="99"/>
    <w:unhideWhenUsed/>
    <w:rsid w:val="66DE4C64"/>
    <w:pPr>
      <w:spacing w:line="280" w:lineRule="exact"/>
      <w:ind w:firstLine="1134"/>
    </w:pPr>
    <w:rPr>
      <w:rFonts w:ascii="Times New Roman" w:hAnsi="Times New Roman"/>
    </w:rPr>
  </w:style>
  <w:style w:type="character" w:customStyle="1" w:styleId="CaptionChar">
    <w:name w:val="Caption Char"/>
    <w:basedOn w:val="DefaultParagraphFont"/>
    <w:link w:val="Caption"/>
    <w:uiPriority w:val="35"/>
    <w:rsid w:val="00EE62C3"/>
    <w:rPr>
      <w:rFonts w:ascii="Arial" w:hAnsi="Arial" w:cs="Arial"/>
      <w:b/>
      <w:bCs/>
      <w:sz w:val="18"/>
      <w:szCs w:val="18"/>
    </w:rPr>
  </w:style>
  <w:style w:type="character" w:customStyle="1" w:styleId="ListoftableChar">
    <w:name w:val="List of table Char"/>
    <w:basedOn w:val="CaptionChar"/>
    <w:link w:val="Listoftable"/>
    <w:rsid w:val="00182956"/>
    <w:rPr>
      <w:rFonts w:ascii="Arial" w:hAnsi="Arial" w:cs="Arial"/>
      <w:b w:val="0"/>
      <w:bCs/>
      <w:i/>
      <w:iCs w:val="0"/>
      <w:color w:val="44546A" w:themeColor="text2"/>
      <w:sz w:val="18"/>
      <w:szCs w:val="18"/>
    </w:rPr>
  </w:style>
  <w:style w:type="paragraph" w:styleId="TOC4">
    <w:name w:val="toc 4"/>
    <w:basedOn w:val="Normal"/>
    <w:next w:val="Normal"/>
    <w:uiPriority w:val="39"/>
    <w:unhideWhenUsed/>
    <w:rsid w:val="66DE4C64"/>
    <w:pPr>
      <w:ind w:left="660"/>
    </w:pPr>
    <w:rPr>
      <w:rFonts w:ascii="Times New Roman" w:hAnsi="Times New Roman"/>
    </w:rPr>
  </w:style>
  <w:style w:type="paragraph" w:styleId="TOC5">
    <w:name w:val="toc 5"/>
    <w:basedOn w:val="Normal"/>
    <w:next w:val="Normal"/>
    <w:uiPriority w:val="39"/>
    <w:unhideWhenUsed/>
    <w:rsid w:val="66DE4C64"/>
    <w:pPr>
      <w:ind w:left="880"/>
    </w:pPr>
    <w:rPr>
      <w:rFonts w:ascii="Times New Roman" w:hAnsi="Times New Roman"/>
    </w:rPr>
  </w:style>
  <w:style w:type="paragraph" w:styleId="TOC6">
    <w:name w:val="toc 6"/>
    <w:basedOn w:val="Normal"/>
    <w:next w:val="Normal"/>
    <w:uiPriority w:val="39"/>
    <w:unhideWhenUsed/>
    <w:rsid w:val="66DE4C64"/>
    <w:pPr>
      <w:ind w:left="1100"/>
    </w:pPr>
    <w:rPr>
      <w:rFonts w:ascii="Times New Roman" w:hAnsi="Times New Roman"/>
    </w:rPr>
  </w:style>
  <w:style w:type="paragraph" w:styleId="TOC7">
    <w:name w:val="toc 7"/>
    <w:basedOn w:val="Normal"/>
    <w:next w:val="Normal"/>
    <w:uiPriority w:val="39"/>
    <w:unhideWhenUsed/>
    <w:rsid w:val="66DE4C64"/>
    <w:pPr>
      <w:ind w:left="1320"/>
    </w:pPr>
    <w:rPr>
      <w:sz w:val="20"/>
      <w:szCs w:val="20"/>
    </w:rPr>
  </w:style>
  <w:style w:type="paragraph" w:styleId="TOC8">
    <w:name w:val="toc 8"/>
    <w:basedOn w:val="Normal"/>
    <w:next w:val="Normal"/>
    <w:uiPriority w:val="39"/>
    <w:unhideWhenUsed/>
    <w:rsid w:val="66DE4C64"/>
    <w:pPr>
      <w:ind w:left="1540"/>
    </w:pPr>
    <w:rPr>
      <w:sz w:val="20"/>
      <w:szCs w:val="20"/>
    </w:rPr>
  </w:style>
  <w:style w:type="paragraph" w:styleId="TOC9">
    <w:name w:val="toc 9"/>
    <w:basedOn w:val="Normal"/>
    <w:next w:val="Normal"/>
    <w:uiPriority w:val="39"/>
    <w:unhideWhenUsed/>
    <w:rsid w:val="66DE4C64"/>
    <w:pPr>
      <w:ind w:left="1760"/>
    </w:pPr>
    <w:rPr>
      <w:sz w:val="20"/>
      <w:szCs w:val="20"/>
    </w:rPr>
  </w:style>
  <w:style w:type="table" w:customStyle="1" w:styleId="TableGrid1">
    <w:name w:val="Table Grid1"/>
    <w:basedOn w:val="TableNormal"/>
    <w:next w:val="TableGrid"/>
    <w:uiPriority w:val="39"/>
    <w:rsid w:val="00B7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66DE4C64"/>
    <w:pPr>
      <w:spacing w:beforeAutospacing="1" w:afterAutospacing="1"/>
    </w:pPr>
    <w:rPr>
      <w:rFonts w:ascii="Times New Roman" w:eastAsia="Times New Roman" w:hAnsi="Times New Roman"/>
      <w:sz w:val="24"/>
      <w:szCs w:val="24"/>
      <w:lang w:val="en-ID" w:eastAsia="en-ID"/>
    </w:rPr>
  </w:style>
  <w:style w:type="table" w:customStyle="1" w:styleId="TableGrid4">
    <w:name w:val="Table Grid4"/>
    <w:basedOn w:val="TableNormal"/>
    <w:next w:val="TableGrid"/>
    <w:uiPriority w:val="39"/>
    <w:rsid w:val="002A79D9"/>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D66EC"/>
  </w:style>
  <w:style w:type="character" w:customStyle="1" w:styleId="normaltextrun">
    <w:name w:val="normaltextrun"/>
    <w:basedOn w:val="DefaultParagraphFont"/>
    <w:rsid w:val="00E95C23"/>
  </w:style>
  <w:style w:type="paragraph" w:customStyle="1" w:styleId="font-claude-response-body">
    <w:name w:val="font-claude-response-body"/>
    <w:basedOn w:val="Normal"/>
    <w:uiPriority w:val="1"/>
    <w:rsid w:val="66DE4C64"/>
    <w:pPr>
      <w:spacing w:beforeAutospacing="1" w:afterAutospacing="1"/>
    </w:pPr>
    <w:rPr>
      <w:rFonts w:ascii="Times New Roman" w:eastAsia="Times New Roman" w:hAnsi="Times New Roman"/>
      <w:sz w:val="24"/>
      <w:szCs w:val="24"/>
      <w:lang w:val="id-ID" w:eastAsia="id-ID"/>
    </w:rPr>
  </w:style>
  <w:style w:type="paragraph" w:customStyle="1" w:styleId="is-empty">
    <w:name w:val="is-empty"/>
    <w:basedOn w:val="Normal"/>
    <w:uiPriority w:val="1"/>
    <w:rsid w:val="66DE4C64"/>
    <w:pPr>
      <w:spacing w:beforeAutospacing="1" w:afterAutospacing="1"/>
    </w:pPr>
    <w:rPr>
      <w:rFonts w:ascii="Times New Roman" w:eastAsia="Times New Roman" w:hAnsi="Times New Roman"/>
      <w:sz w:val="24"/>
      <w:szCs w:val="24"/>
      <w:lang w:val="id-ID" w:eastAsia="id-ID"/>
    </w:rPr>
  </w:style>
  <w:style w:type="table" w:customStyle="1" w:styleId="GridTable4-Accent11">
    <w:name w:val="Grid Table 4 - Accent 11"/>
    <w:basedOn w:val="TableNormal"/>
    <w:next w:val="GridTable4-Accent1"/>
    <w:uiPriority w:val="49"/>
    <w:rsid w:val="00E01EB0"/>
    <w:pPr>
      <w:spacing w:after="0" w:line="240" w:lineRule="auto"/>
    </w:pPr>
    <w:rPr>
      <w:rFonts w:eastAsia="Meiryo"/>
      <w:kern w:val="2"/>
      <w:sz w:val="24"/>
      <w:szCs w:val="24"/>
      <w:lang w:val="en-ID"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E01EB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FE2DF6"/>
    <w:pPr>
      <w:spacing w:after="0" w:line="240" w:lineRule="auto"/>
    </w:pPr>
    <w:rPr>
      <w:rFonts w:eastAsia="Meiryo"/>
      <w:kern w:val="2"/>
      <w:sz w:val="24"/>
      <w:szCs w:val="24"/>
      <w:lang w:val="en-ID"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GridTable4-Accent13">
    <w:name w:val="Grid Table 4 - Accent 13"/>
    <w:basedOn w:val="TableNormal"/>
    <w:next w:val="GridTable4-Accent1"/>
    <w:uiPriority w:val="49"/>
    <w:rsid w:val="007203EF"/>
    <w:pPr>
      <w:spacing w:after="0" w:line="240" w:lineRule="auto"/>
    </w:pPr>
    <w:rPr>
      <w:rFonts w:eastAsia="Meiryo"/>
      <w:kern w:val="2"/>
      <w:sz w:val="24"/>
      <w:szCs w:val="24"/>
      <w:lang w:val="en-ID" w:eastAsia="ko-KR"/>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customStyle="1" w:styleId="LFARPara">
    <w:name w:val="LFAR Para"/>
    <w:basedOn w:val="ListParagraph"/>
    <w:link w:val="LFARParaChar"/>
    <w:qFormat/>
    <w:rsid w:val="00031D68"/>
    <w:pPr>
      <w:numPr>
        <w:numId w:val="1"/>
      </w:numPr>
      <w:spacing w:after="120" w:line="280" w:lineRule="exact"/>
      <w:contextualSpacing w:val="0"/>
      <w:jc w:val="both"/>
    </w:pPr>
    <w:rPr>
      <w:rFonts w:ascii="Times New Roman" w:eastAsia="Times New Roman" w:hAnsi="Times New Roman"/>
    </w:rPr>
  </w:style>
  <w:style w:type="character" w:customStyle="1" w:styleId="LFARParaChar">
    <w:name w:val="LFAR Para Char"/>
    <w:basedOn w:val="ListParagraphChar"/>
    <w:link w:val="LFARPara"/>
    <w:rsid w:val="00031D68"/>
    <w:rPr>
      <w:rFonts w:ascii="Times New Roman" w:eastAsia="Times New Roman" w:hAnsi="Times New Roman" w:cs="Arial"/>
      <w:noProof/>
    </w:rPr>
  </w:style>
  <w:style w:type="character" w:customStyle="1" w:styleId="Mention1">
    <w:name w:val="Mention1"/>
    <w:basedOn w:val="DefaultParagraphFont"/>
    <w:uiPriority w:val="99"/>
    <w:unhideWhenUsed/>
    <w:rsid w:val="00C94B72"/>
    <w:rPr>
      <w:color w:val="2B579A"/>
      <w:shd w:val="clear" w:color="auto" w:fill="E1DFDD"/>
    </w:rPr>
  </w:style>
  <w:style w:type="table" w:styleId="ListTable7Colorful-Accent5">
    <w:name w:val="List Table 7 Colorful Accent 5"/>
    <w:basedOn w:val="TableNormal"/>
    <w:uiPriority w:val="99"/>
    <w:rsid w:val="0025661F"/>
    <w:pPr>
      <w:spacing w:after="0" w:line="240" w:lineRule="auto"/>
    </w:pPr>
    <w:rPr>
      <w:rFonts w:eastAsiaTheme="minorEastAsia"/>
    </w:rPr>
    <w:tblPr>
      <w:tblStyleRowBandSize w:val="1"/>
      <w:tblStyleColBandSize w:val="1"/>
      <w:tblBorders>
        <w:right w:val="single" w:sz="4" w:space="0" w:color="8DA9DB" w:themeColor="accent5" w:themeTint="9A"/>
      </w:tblBorders>
    </w:tblPr>
    <w:tblStylePr w:type="firstRow">
      <w:rPr>
        <w:rFonts w:ascii="Arial" w:hAnsi="Arial" w:cs="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cs="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cs="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cs="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s="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s="Arial"/>
        <w:color w:val="8DA9DB" w:themeColor="accent5" w:themeTint="9A" w:themeShade="95"/>
        <w:sz w:val="22"/>
      </w:rPr>
    </w:tblStylePr>
  </w:style>
  <w:style w:type="numbering" w:customStyle="1" w:styleId="CurrentList1">
    <w:name w:val="Current List1"/>
    <w:uiPriority w:val="99"/>
    <w:rsid w:val="00D45187"/>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485">
      <w:bodyDiv w:val="1"/>
      <w:marLeft w:val="0"/>
      <w:marRight w:val="0"/>
      <w:marTop w:val="0"/>
      <w:marBottom w:val="0"/>
      <w:divBdr>
        <w:top w:val="none" w:sz="0" w:space="0" w:color="auto"/>
        <w:left w:val="none" w:sz="0" w:space="0" w:color="auto"/>
        <w:bottom w:val="none" w:sz="0" w:space="0" w:color="auto"/>
        <w:right w:val="none" w:sz="0" w:space="0" w:color="auto"/>
      </w:divBdr>
    </w:div>
    <w:div w:id="62483611">
      <w:bodyDiv w:val="1"/>
      <w:marLeft w:val="0"/>
      <w:marRight w:val="0"/>
      <w:marTop w:val="0"/>
      <w:marBottom w:val="0"/>
      <w:divBdr>
        <w:top w:val="none" w:sz="0" w:space="0" w:color="auto"/>
        <w:left w:val="none" w:sz="0" w:space="0" w:color="auto"/>
        <w:bottom w:val="none" w:sz="0" w:space="0" w:color="auto"/>
        <w:right w:val="none" w:sz="0" w:space="0" w:color="auto"/>
      </w:divBdr>
    </w:div>
    <w:div w:id="105775759">
      <w:bodyDiv w:val="1"/>
      <w:marLeft w:val="0"/>
      <w:marRight w:val="0"/>
      <w:marTop w:val="0"/>
      <w:marBottom w:val="0"/>
      <w:divBdr>
        <w:top w:val="none" w:sz="0" w:space="0" w:color="auto"/>
        <w:left w:val="none" w:sz="0" w:space="0" w:color="auto"/>
        <w:bottom w:val="none" w:sz="0" w:space="0" w:color="auto"/>
        <w:right w:val="none" w:sz="0" w:space="0" w:color="auto"/>
      </w:divBdr>
    </w:div>
    <w:div w:id="317225933">
      <w:bodyDiv w:val="1"/>
      <w:marLeft w:val="0"/>
      <w:marRight w:val="0"/>
      <w:marTop w:val="0"/>
      <w:marBottom w:val="0"/>
      <w:divBdr>
        <w:top w:val="none" w:sz="0" w:space="0" w:color="auto"/>
        <w:left w:val="none" w:sz="0" w:space="0" w:color="auto"/>
        <w:bottom w:val="none" w:sz="0" w:space="0" w:color="auto"/>
        <w:right w:val="none" w:sz="0" w:space="0" w:color="auto"/>
      </w:divBdr>
    </w:div>
    <w:div w:id="338852526">
      <w:bodyDiv w:val="1"/>
      <w:marLeft w:val="0"/>
      <w:marRight w:val="0"/>
      <w:marTop w:val="0"/>
      <w:marBottom w:val="0"/>
      <w:divBdr>
        <w:top w:val="none" w:sz="0" w:space="0" w:color="auto"/>
        <w:left w:val="none" w:sz="0" w:space="0" w:color="auto"/>
        <w:bottom w:val="none" w:sz="0" w:space="0" w:color="auto"/>
        <w:right w:val="none" w:sz="0" w:space="0" w:color="auto"/>
      </w:divBdr>
      <w:divsChild>
        <w:div w:id="2111508365">
          <w:marLeft w:val="0"/>
          <w:marRight w:val="0"/>
          <w:marTop w:val="0"/>
          <w:marBottom w:val="0"/>
          <w:divBdr>
            <w:top w:val="none" w:sz="0" w:space="0" w:color="auto"/>
            <w:left w:val="none" w:sz="0" w:space="0" w:color="auto"/>
            <w:bottom w:val="none" w:sz="0" w:space="0" w:color="auto"/>
            <w:right w:val="none" w:sz="0" w:space="0" w:color="auto"/>
          </w:divBdr>
        </w:div>
      </w:divsChild>
    </w:div>
    <w:div w:id="398865604">
      <w:bodyDiv w:val="1"/>
      <w:marLeft w:val="0"/>
      <w:marRight w:val="0"/>
      <w:marTop w:val="0"/>
      <w:marBottom w:val="0"/>
      <w:divBdr>
        <w:top w:val="none" w:sz="0" w:space="0" w:color="auto"/>
        <w:left w:val="none" w:sz="0" w:space="0" w:color="auto"/>
        <w:bottom w:val="none" w:sz="0" w:space="0" w:color="auto"/>
        <w:right w:val="none" w:sz="0" w:space="0" w:color="auto"/>
      </w:divBdr>
    </w:div>
    <w:div w:id="576404211">
      <w:bodyDiv w:val="1"/>
      <w:marLeft w:val="0"/>
      <w:marRight w:val="0"/>
      <w:marTop w:val="0"/>
      <w:marBottom w:val="0"/>
      <w:divBdr>
        <w:top w:val="none" w:sz="0" w:space="0" w:color="auto"/>
        <w:left w:val="none" w:sz="0" w:space="0" w:color="auto"/>
        <w:bottom w:val="none" w:sz="0" w:space="0" w:color="auto"/>
        <w:right w:val="none" w:sz="0" w:space="0" w:color="auto"/>
      </w:divBdr>
      <w:divsChild>
        <w:div w:id="296184080">
          <w:marLeft w:val="0"/>
          <w:marRight w:val="0"/>
          <w:marTop w:val="0"/>
          <w:marBottom w:val="0"/>
          <w:divBdr>
            <w:top w:val="none" w:sz="0" w:space="0" w:color="auto"/>
            <w:left w:val="none" w:sz="0" w:space="0" w:color="auto"/>
            <w:bottom w:val="none" w:sz="0" w:space="0" w:color="auto"/>
            <w:right w:val="none" w:sz="0" w:space="0" w:color="auto"/>
          </w:divBdr>
        </w:div>
      </w:divsChild>
    </w:div>
    <w:div w:id="648287609">
      <w:bodyDiv w:val="1"/>
      <w:marLeft w:val="0"/>
      <w:marRight w:val="0"/>
      <w:marTop w:val="0"/>
      <w:marBottom w:val="0"/>
      <w:divBdr>
        <w:top w:val="none" w:sz="0" w:space="0" w:color="auto"/>
        <w:left w:val="none" w:sz="0" w:space="0" w:color="auto"/>
        <w:bottom w:val="none" w:sz="0" w:space="0" w:color="auto"/>
        <w:right w:val="none" w:sz="0" w:space="0" w:color="auto"/>
      </w:divBdr>
    </w:div>
    <w:div w:id="679239071">
      <w:bodyDiv w:val="1"/>
      <w:marLeft w:val="0"/>
      <w:marRight w:val="0"/>
      <w:marTop w:val="0"/>
      <w:marBottom w:val="0"/>
      <w:divBdr>
        <w:top w:val="none" w:sz="0" w:space="0" w:color="auto"/>
        <w:left w:val="none" w:sz="0" w:space="0" w:color="auto"/>
        <w:bottom w:val="none" w:sz="0" w:space="0" w:color="auto"/>
        <w:right w:val="none" w:sz="0" w:space="0" w:color="auto"/>
      </w:divBdr>
      <w:divsChild>
        <w:div w:id="1316422346">
          <w:marLeft w:val="0"/>
          <w:marRight w:val="0"/>
          <w:marTop w:val="0"/>
          <w:marBottom w:val="0"/>
          <w:divBdr>
            <w:top w:val="none" w:sz="0" w:space="0" w:color="auto"/>
            <w:left w:val="none" w:sz="0" w:space="0" w:color="auto"/>
            <w:bottom w:val="none" w:sz="0" w:space="0" w:color="auto"/>
            <w:right w:val="none" w:sz="0" w:space="0" w:color="auto"/>
          </w:divBdr>
          <w:divsChild>
            <w:div w:id="1016660857">
              <w:marLeft w:val="0"/>
              <w:marRight w:val="0"/>
              <w:marTop w:val="0"/>
              <w:marBottom w:val="0"/>
              <w:divBdr>
                <w:top w:val="none" w:sz="0" w:space="0" w:color="auto"/>
                <w:left w:val="none" w:sz="0" w:space="0" w:color="auto"/>
                <w:bottom w:val="none" w:sz="0" w:space="0" w:color="auto"/>
                <w:right w:val="none" w:sz="0" w:space="0" w:color="auto"/>
              </w:divBdr>
              <w:divsChild>
                <w:div w:id="1717120572">
                  <w:marLeft w:val="0"/>
                  <w:marRight w:val="0"/>
                  <w:marTop w:val="0"/>
                  <w:marBottom w:val="0"/>
                  <w:divBdr>
                    <w:top w:val="none" w:sz="0" w:space="0" w:color="auto"/>
                    <w:left w:val="none" w:sz="0" w:space="0" w:color="auto"/>
                    <w:bottom w:val="none" w:sz="0" w:space="0" w:color="auto"/>
                    <w:right w:val="none" w:sz="0" w:space="0" w:color="auto"/>
                  </w:divBdr>
                  <w:divsChild>
                    <w:div w:id="1273123535">
                      <w:marLeft w:val="0"/>
                      <w:marRight w:val="0"/>
                      <w:marTop w:val="0"/>
                      <w:marBottom w:val="0"/>
                      <w:divBdr>
                        <w:top w:val="none" w:sz="0" w:space="0" w:color="auto"/>
                        <w:left w:val="none" w:sz="0" w:space="0" w:color="auto"/>
                        <w:bottom w:val="none" w:sz="0" w:space="0" w:color="auto"/>
                        <w:right w:val="none" w:sz="0" w:space="0" w:color="auto"/>
                      </w:divBdr>
                      <w:divsChild>
                        <w:div w:id="1870727431">
                          <w:marLeft w:val="0"/>
                          <w:marRight w:val="0"/>
                          <w:marTop w:val="0"/>
                          <w:marBottom w:val="0"/>
                          <w:divBdr>
                            <w:top w:val="none" w:sz="0" w:space="0" w:color="auto"/>
                            <w:left w:val="none" w:sz="0" w:space="0" w:color="auto"/>
                            <w:bottom w:val="none" w:sz="0" w:space="0" w:color="auto"/>
                            <w:right w:val="none" w:sz="0" w:space="0" w:color="auto"/>
                          </w:divBdr>
                          <w:divsChild>
                            <w:div w:id="466506360">
                              <w:marLeft w:val="0"/>
                              <w:marRight w:val="0"/>
                              <w:marTop w:val="0"/>
                              <w:marBottom w:val="0"/>
                              <w:divBdr>
                                <w:top w:val="none" w:sz="0" w:space="0" w:color="auto"/>
                                <w:left w:val="none" w:sz="0" w:space="0" w:color="auto"/>
                                <w:bottom w:val="none" w:sz="0" w:space="0" w:color="auto"/>
                                <w:right w:val="none" w:sz="0" w:space="0" w:color="auto"/>
                              </w:divBdr>
                              <w:divsChild>
                                <w:div w:id="1288470511">
                                  <w:marLeft w:val="0"/>
                                  <w:marRight w:val="0"/>
                                  <w:marTop w:val="0"/>
                                  <w:marBottom w:val="0"/>
                                  <w:divBdr>
                                    <w:top w:val="none" w:sz="0" w:space="0" w:color="auto"/>
                                    <w:left w:val="none" w:sz="0" w:space="0" w:color="auto"/>
                                    <w:bottom w:val="none" w:sz="0" w:space="0" w:color="auto"/>
                                    <w:right w:val="none" w:sz="0" w:space="0" w:color="auto"/>
                                  </w:divBdr>
                                  <w:divsChild>
                                    <w:div w:id="18126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3034">
          <w:marLeft w:val="0"/>
          <w:marRight w:val="0"/>
          <w:marTop w:val="0"/>
          <w:marBottom w:val="0"/>
          <w:divBdr>
            <w:top w:val="none" w:sz="0" w:space="0" w:color="auto"/>
            <w:left w:val="none" w:sz="0" w:space="0" w:color="auto"/>
            <w:bottom w:val="none" w:sz="0" w:space="0" w:color="auto"/>
            <w:right w:val="none" w:sz="0" w:space="0" w:color="auto"/>
          </w:divBdr>
          <w:divsChild>
            <w:div w:id="1855144463">
              <w:marLeft w:val="0"/>
              <w:marRight w:val="0"/>
              <w:marTop w:val="0"/>
              <w:marBottom w:val="0"/>
              <w:divBdr>
                <w:top w:val="none" w:sz="0" w:space="0" w:color="auto"/>
                <w:left w:val="none" w:sz="0" w:space="0" w:color="auto"/>
                <w:bottom w:val="none" w:sz="0" w:space="0" w:color="auto"/>
                <w:right w:val="none" w:sz="0" w:space="0" w:color="auto"/>
              </w:divBdr>
              <w:divsChild>
                <w:div w:id="2132823365">
                  <w:marLeft w:val="0"/>
                  <w:marRight w:val="0"/>
                  <w:marTop w:val="0"/>
                  <w:marBottom w:val="0"/>
                  <w:divBdr>
                    <w:top w:val="none" w:sz="0" w:space="0" w:color="auto"/>
                    <w:left w:val="none" w:sz="0" w:space="0" w:color="auto"/>
                    <w:bottom w:val="none" w:sz="0" w:space="0" w:color="auto"/>
                    <w:right w:val="none" w:sz="0" w:space="0" w:color="auto"/>
                  </w:divBdr>
                  <w:divsChild>
                    <w:div w:id="1116369951">
                      <w:marLeft w:val="0"/>
                      <w:marRight w:val="0"/>
                      <w:marTop w:val="0"/>
                      <w:marBottom w:val="0"/>
                      <w:divBdr>
                        <w:top w:val="none" w:sz="0" w:space="0" w:color="auto"/>
                        <w:left w:val="none" w:sz="0" w:space="0" w:color="auto"/>
                        <w:bottom w:val="none" w:sz="0" w:space="0" w:color="auto"/>
                        <w:right w:val="none" w:sz="0" w:space="0" w:color="auto"/>
                      </w:divBdr>
                      <w:divsChild>
                        <w:div w:id="1755005188">
                          <w:marLeft w:val="0"/>
                          <w:marRight w:val="0"/>
                          <w:marTop w:val="0"/>
                          <w:marBottom w:val="0"/>
                          <w:divBdr>
                            <w:top w:val="none" w:sz="0" w:space="0" w:color="auto"/>
                            <w:left w:val="none" w:sz="0" w:space="0" w:color="auto"/>
                            <w:bottom w:val="none" w:sz="0" w:space="0" w:color="auto"/>
                            <w:right w:val="none" w:sz="0" w:space="0" w:color="auto"/>
                          </w:divBdr>
                          <w:divsChild>
                            <w:div w:id="36706712">
                              <w:marLeft w:val="0"/>
                              <w:marRight w:val="0"/>
                              <w:marTop w:val="0"/>
                              <w:marBottom w:val="0"/>
                              <w:divBdr>
                                <w:top w:val="none" w:sz="0" w:space="0" w:color="auto"/>
                                <w:left w:val="none" w:sz="0" w:space="0" w:color="auto"/>
                                <w:bottom w:val="none" w:sz="0" w:space="0" w:color="auto"/>
                                <w:right w:val="none" w:sz="0" w:space="0" w:color="auto"/>
                              </w:divBdr>
                              <w:divsChild>
                                <w:div w:id="1855876274">
                                  <w:marLeft w:val="0"/>
                                  <w:marRight w:val="0"/>
                                  <w:marTop w:val="0"/>
                                  <w:marBottom w:val="0"/>
                                  <w:divBdr>
                                    <w:top w:val="none" w:sz="0" w:space="0" w:color="auto"/>
                                    <w:left w:val="none" w:sz="0" w:space="0" w:color="auto"/>
                                    <w:bottom w:val="none" w:sz="0" w:space="0" w:color="auto"/>
                                    <w:right w:val="none" w:sz="0" w:space="0" w:color="auto"/>
                                  </w:divBdr>
                                  <w:divsChild>
                                    <w:div w:id="1084185719">
                                      <w:marLeft w:val="0"/>
                                      <w:marRight w:val="0"/>
                                      <w:marTop w:val="0"/>
                                      <w:marBottom w:val="0"/>
                                      <w:divBdr>
                                        <w:top w:val="none" w:sz="0" w:space="0" w:color="auto"/>
                                        <w:left w:val="none" w:sz="0" w:space="0" w:color="auto"/>
                                        <w:bottom w:val="none" w:sz="0" w:space="0" w:color="auto"/>
                                        <w:right w:val="none" w:sz="0" w:space="0" w:color="auto"/>
                                      </w:divBdr>
                                      <w:divsChild>
                                        <w:div w:id="236594741">
                                          <w:marLeft w:val="0"/>
                                          <w:marRight w:val="0"/>
                                          <w:marTop w:val="0"/>
                                          <w:marBottom w:val="0"/>
                                          <w:divBdr>
                                            <w:top w:val="none" w:sz="0" w:space="0" w:color="auto"/>
                                            <w:left w:val="none" w:sz="0" w:space="0" w:color="auto"/>
                                            <w:bottom w:val="none" w:sz="0" w:space="0" w:color="auto"/>
                                            <w:right w:val="none" w:sz="0" w:space="0" w:color="auto"/>
                                          </w:divBdr>
                                          <w:divsChild>
                                            <w:div w:id="542710739">
                                              <w:marLeft w:val="0"/>
                                              <w:marRight w:val="0"/>
                                              <w:marTop w:val="0"/>
                                              <w:marBottom w:val="0"/>
                                              <w:divBdr>
                                                <w:top w:val="none" w:sz="0" w:space="0" w:color="auto"/>
                                                <w:left w:val="none" w:sz="0" w:space="0" w:color="auto"/>
                                                <w:bottom w:val="none" w:sz="0" w:space="0" w:color="auto"/>
                                                <w:right w:val="none" w:sz="0" w:space="0" w:color="auto"/>
                                              </w:divBdr>
                                              <w:divsChild>
                                                <w:div w:id="1921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953355">
                              <w:marLeft w:val="0"/>
                              <w:marRight w:val="0"/>
                              <w:marTop w:val="0"/>
                              <w:marBottom w:val="0"/>
                              <w:divBdr>
                                <w:top w:val="none" w:sz="0" w:space="0" w:color="auto"/>
                                <w:left w:val="none" w:sz="0" w:space="0" w:color="auto"/>
                                <w:bottom w:val="none" w:sz="0" w:space="0" w:color="auto"/>
                                <w:right w:val="none" w:sz="0" w:space="0" w:color="auto"/>
                              </w:divBdr>
                              <w:divsChild>
                                <w:div w:id="1118064881">
                                  <w:marLeft w:val="0"/>
                                  <w:marRight w:val="0"/>
                                  <w:marTop w:val="0"/>
                                  <w:marBottom w:val="0"/>
                                  <w:divBdr>
                                    <w:top w:val="none" w:sz="0" w:space="0" w:color="auto"/>
                                    <w:left w:val="none" w:sz="0" w:space="0" w:color="auto"/>
                                    <w:bottom w:val="none" w:sz="0" w:space="0" w:color="auto"/>
                                    <w:right w:val="none" w:sz="0" w:space="0" w:color="auto"/>
                                  </w:divBdr>
                                  <w:divsChild>
                                    <w:div w:id="109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8932">
      <w:bodyDiv w:val="1"/>
      <w:marLeft w:val="0"/>
      <w:marRight w:val="0"/>
      <w:marTop w:val="0"/>
      <w:marBottom w:val="0"/>
      <w:divBdr>
        <w:top w:val="none" w:sz="0" w:space="0" w:color="auto"/>
        <w:left w:val="none" w:sz="0" w:space="0" w:color="auto"/>
        <w:bottom w:val="none" w:sz="0" w:space="0" w:color="auto"/>
        <w:right w:val="none" w:sz="0" w:space="0" w:color="auto"/>
      </w:divBdr>
    </w:div>
    <w:div w:id="749893218">
      <w:bodyDiv w:val="1"/>
      <w:marLeft w:val="0"/>
      <w:marRight w:val="0"/>
      <w:marTop w:val="0"/>
      <w:marBottom w:val="0"/>
      <w:divBdr>
        <w:top w:val="none" w:sz="0" w:space="0" w:color="auto"/>
        <w:left w:val="none" w:sz="0" w:space="0" w:color="auto"/>
        <w:bottom w:val="none" w:sz="0" w:space="0" w:color="auto"/>
        <w:right w:val="none" w:sz="0" w:space="0" w:color="auto"/>
      </w:divBdr>
    </w:div>
    <w:div w:id="914319071">
      <w:bodyDiv w:val="1"/>
      <w:marLeft w:val="0"/>
      <w:marRight w:val="0"/>
      <w:marTop w:val="0"/>
      <w:marBottom w:val="0"/>
      <w:divBdr>
        <w:top w:val="none" w:sz="0" w:space="0" w:color="auto"/>
        <w:left w:val="none" w:sz="0" w:space="0" w:color="auto"/>
        <w:bottom w:val="none" w:sz="0" w:space="0" w:color="auto"/>
        <w:right w:val="none" w:sz="0" w:space="0" w:color="auto"/>
      </w:divBdr>
      <w:divsChild>
        <w:div w:id="1460955785">
          <w:marLeft w:val="0"/>
          <w:marRight w:val="0"/>
          <w:marTop w:val="0"/>
          <w:marBottom w:val="0"/>
          <w:divBdr>
            <w:top w:val="none" w:sz="0" w:space="0" w:color="auto"/>
            <w:left w:val="none" w:sz="0" w:space="0" w:color="auto"/>
            <w:bottom w:val="none" w:sz="0" w:space="0" w:color="auto"/>
            <w:right w:val="none" w:sz="0" w:space="0" w:color="auto"/>
          </w:divBdr>
          <w:divsChild>
            <w:div w:id="886530127">
              <w:marLeft w:val="0"/>
              <w:marRight w:val="0"/>
              <w:marTop w:val="0"/>
              <w:marBottom w:val="0"/>
              <w:divBdr>
                <w:top w:val="none" w:sz="0" w:space="0" w:color="auto"/>
                <w:left w:val="none" w:sz="0" w:space="0" w:color="auto"/>
                <w:bottom w:val="none" w:sz="0" w:space="0" w:color="auto"/>
                <w:right w:val="none" w:sz="0" w:space="0" w:color="auto"/>
              </w:divBdr>
              <w:divsChild>
                <w:div w:id="181283687">
                  <w:marLeft w:val="0"/>
                  <w:marRight w:val="0"/>
                  <w:marTop w:val="0"/>
                  <w:marBottom w:val="0"/>
                  <w:divBdr>
                    <w:top w:val="none" w:sz="0" w:space="0" w:color="auto"/>
                    <w:left w:val="none" w:sz="0" w:space="0" w:color="auto"/>
                    <w:bottom w:val="none" w:sz="0" w:space="0" w:color="auto"/>
                    <w:right w:val="none" w:sz="0" w:space="0" w:color="auto"/>
                  </w:divBdr>
                  <w:divsChild>
                    <w:div w:id="1906647863">
                      <w:marLeft w:val="0"/>
                      <w:marRight w:val="0"/>
                      <w:marTop w:val="0"/>
                      <w:marBottom w:val="0"/>
                      <w:divBdr>
                        <w:top w:val="none" w:sz="0" w:space="0" w:color="auto"/>
                        <w:left w:val="none" w:sz="0" w:space="0" w:color="auto"/>
                        <w:bottom w:val="none" w:sz="0" w:space="0" w:color="auto"/>
                        <w:right w:val="none" w:sz="0" w:space="0" w:color="auto"/>
                      </w:divBdr>
                      <w:divsChild>
                        <w:div w:id="663239747">
                          <w:marLeft w:val="0"/>
                          <w:marRight w:val="0"/>
                          <w:marTop w:val="0"/>
                          <w:marBottom w:val="0"/>
                          <w:divBdr>
                            <w:top w:val="none" w:sz="0" w:space="0" w:color="auto"/>
                            <w:left w:val="none" w:sz="0" w:space="0" w:color="auto"/>
                            <w:bottom w:val="none" w:sz="0" w:space="0" w:color="auto"/>
                            <w:right w:val="none" w:sz="0" w:space="0" w:color="auto"/>
                          </w:divBdr>
                          <w:divsChild>
                            <w:div w:id="1208106052">
                              <w:marLeft w:val="0"/>
                              <w:marRight w:val="0"/>
                              <w:marTop w:val="0"/>
                              <w:marBottom w:val="0"/>
                              <w:divBdr>
                                <w:top w:val="none" w:sz="0" w:space="0" w:color="auto"/>
                                <w:left w:val="none" w:sz="0" w:space="0" w:color="auto"/>
                                <w:bottom w:val="none" w:sz="0" w:space="0" w:color="auto"/>
                                <w:right w:val="none" w:sz="0" w:space="0" w:color="auto"/>
                              </w:divBdr>
                              <w:divsChild>
                                <w:div w:id="821853932">
                                  <w:marLeft w:val="0"/>
                                  <w:marRight w:val="0"/>
                                  <w:marTop w:val="0"/>
                                  <w:marBottom w:val="0"/>
                                  <w:divBdr>
                                    <w:top w:val="none" w:sz="0" w:space="0" w:color="auto"/>
                                    <w:left w:val="none" w:sz="0" w:space="0" w:color="auto"/>
                                    <w:bottom w:val="none" w:sz="0" w:space="0" w:color="auto"/>
                                    <w:right w:val="none" w:sz="0" w:space="0" w:color="auto"/>
                                  </w:divBdr>
                                  <w:divsChild>
                                    <w:div w:id="1175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32598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67">
          <w:marLeft w:val="0"/>
          <w:marRight w:val="0"/>
          <w:marTop w:val="0"/>
          <w:marBottom w:val="0"/>
          <w:divBdr>
            <w:top w:val="none" w:sz="0" w:space="0" w:color="auto"/>
            <w:left w:val="none" w:sz="0" w:space="0" w:color="auto"/>
            <w:bottom w:val="none" w:sz="0" w:space="0" w:color="auto"/>
            <w:right w:val="none" w:sz="0" w:space="0" w:color="auto"/>
          </w:divBdr>
          <w:divsChild>
            <w:div w:id="157163321">
              <w:marLeft w:val="0"/>
              <w:marRight w:val="0"/>
              <w:marTop w:val="0"/>
              <w:marBottom w:val="0"/>
              <w:divBdr>
                <w:top w:val="none" w:sz="0" w:space="0" w:color="auto"/>
                <w:left w:val="none" w:sz="0" w:space="0" w:color="auto"/>
                <w:bottom w:val="none" w:sz="0" w:space="0" w:color="auto"/>
                <w:right w:val="none" w:sz="0" w:space="0" w:color="auto"/>
              </w:divBdr>
              <w:divsChild>
                <w:div w:id="389577780">
                  <w:marLeft w:val="0"/>
                  <w:marRight w:val="0"/>
                  <w:marTop w:val="0"/>
                  <w:marBottom w:val="0"/>
                  <w:divBdr>
                    <w:top w:val="none" w:sz="0" w:space="0" w:color="auto"/>
                    <w:left w:val="none" w:sz="0" w:space="0" w:color="auto"/>
                    <w:bottom w:val="none" w:sz="0" w:space="0" w:color="auto"/>
                    <w:right w:val="none" w:sz="0" w:space="0" w:color="auto"/>
                  </w:divBdr>
                  <w:divsChild>
                    <w:div w:id="1353150195">
                      <w:marLeft w:val="0"/>
                      <w:marRight w:val="0"/>
                      <w:marTop w:val="0"/>
                      <w:marBottom w:val="0"/>
                      <w:divBdr>
                        <w:top w:val="none" w:sz="0" w:space="0" w:color="auto"/>
                        <w:left w:val="none" w:sz="0" w:space="0" w:color="auto"/>
                        <w:bottom w:val="none" w:sz="0" w:space="0" w:color="auto"/>
                        <w:right w:val="none" w:sz="0" w:space="0" w:color="auto"/>
                      </w:divBdr>
                      <w:divsChild>
                        <w:div w:id="908924254">
                          <w:marLeft w:val="0"/>
                          <w:marRight w:val="0"/>
                          <w:marTop w:val="0"/>
                          <w:marBottom w:val="0"/>
                          <w:divBdr>
                            <w:top w:val="none" w:sz="0" w:space="0" w:color="auto"/>
                            <w:left w:val="none" w:sz="0" w:space="0" w:color="auto"/>
                            <w:bottom w:val="none" w:sz="0" w:space="0" w:color="auto"/>
                            <w:right w:val="none" w:sz="0" w:space="0" w:color="auto"/>
                          </w:divBdr>
                          <w:divsChild>
                            <w:div w:id="849181306">
                              <w:marLeft w:val="0"/>
                              <w:marRight w:val="0"/>
                              <w:marTop w:val="0"/>
                              <w:marBottom w:val="0"/>
                              <w:divBdr>
                                <w:top w:val="none" w:sz="0" w:space="0" w:color="auto"/>
                                <w:left w:val="none" w:sz="0" w:space="0" w:color="auto"/>
                                <w:bottom w:val="none" w:sz="0" w:space="0" w:color="auto"/>
                                <w:right w:val="none" w:sz="0" w:space="0" w:color="auto"/>
                              </w:divBdr>
                              <w:divsChild>
                                <w:div w:id="546452818">
                                  <w:marLeft w:val="0"/>
                                  <w:marRight w:val="0"/>
                                  <w:marTop w:val="0"/>
                                  <w:marBottom w:val="0"/>
                                  <w:divBdr>
                                    <w:top w:val="none" w:sz="0" w:space="0" w:color="auto"/>
                                    <w:left w:val="none" w:sz="0" w:space="0" w:color="auto"/>
                                    <w:bottom w:val="none" w:sz="0" w:space="0" w:color="auto"/>
                                    <w:right w:val="none" w:sz="0" w:space="0" w:color="auto"/>
                                  </w:divBdr>
                                  <w:divsChild>
                                    <w:div w:id="845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970525">
      <w:bodyDiv w:val="1"/>
      <w:marLeft w:val="0"/>
      <w:marRight w:val="0"/>
      <w:marTop w:val="0"/>
      <w:marBottom w:val="0"/>
      <w:divBdr>
        <w:top w:val="none" w:sz="0" w:space="0" w:color="auto"/>
        <w:left w:val="none" w:sz="0" w:space="0" w:color="auto"/>
        <w:bottom w:val="none" w:sz="0" w:space="0" w:color="auto"/>
        <w:right w:val="none" w:sz="0" w:space="0" w:color="auto"/>
      </w:divBdr>
    </w:div>
    <w:div w:id="1135833243">
      <w:bodyDiv w:val="1"/>
      <w:marLeft w:val="0"/>
      <w:marRight w:val="0"/>
      <w:marTop w:val="0"/>
      <w:marBottom w:val="0"/>
      <w:divBdr>
        <w:top w:val="none" w:sz="0" w:space="0" w:color="auto"/>
        <w:left w:val="none" w:sz="0" w:space="0" w:color="auto"/>
        <w:bottom w:val="none" w:sz="0" w:space="0" w:color="auto"/>
        <w:right w:val="none" w:sz="0" w:space="0" w:color="auto"/>
      </w:divBdr>
      <w:divsChild>
        <w:div w:id="1721637428">
          <w:marLeft w:val="0"/>
          <w:marRight w:val="0"/>
          <w:marTop w:val="0"/>
          <w:marBottom w:val="0"/>
          <w:divBdr>
            <w:top w:val="none" w:sz="0" w:space="0" w:color="auto"/>
            <w:left w:val="none" w:sz="0" w:space="0" w:color="auto"/>
            <w:bottom w:val="none" w:sz="0" w:space="0" w:color="auto"/>
            <w:right w:val="none" w:sz="0" w:space="0" w:color="auto"/>
          </w:divBdr>
        </w:div>
      </w:divsChild>
    </w:div>
    <w:div w:id="1157576163">
      <w:bodyDiv w:val="1"/>
      <w:marLeft w:val="0"/>
      <w:marRight w:val="0"/>
      <w:marTop w:val="0"/>
      <w:marBottom w:val="0"/>
      <w:divBdr>
        <w:top w:val="none" w:sz="0" w:space="0" w:color="auto"/>
        <w:left w:val="none" w:sz="0" w:space="0" w:color="auto"/>
        <w:bottom w:val="none" w:sz="0" w:space="0" w:color="auto"/>
        <w:right w:val="none" w:sz="0" w:space="0" w:color="auto"/>
      </w:divBdr>
    </w:div>
    <w:div w:id="1190994459">
      <w:bodyDiv w:val="1"/>
      <w:marLeft w:val="0"/>
      <w:marRight w:val="0"/>
      <w:marTop w:val="0"/>
      <w:marBottom w:val="0"/>
      <w:divBdr>
        <w:top w:val="none" w:sz="0" w:space="0" w:color="auto"/>
        <w:left w:val="none" w:sz="0" w:space="0" w:color="auto"/>
        <w:bottom w:val="none" w:sz="0" w:space="0" w:color="auto"/>
        <w:right w:val="none" w:sz="0" w:space="0" w:color="auto"/>
      </w:divBdr>
    </w:div>
    <w:div w:id="1374118610">
      <w:bodyDiv w:val="1"/>
      <w:marLeft w:val="0"/>
      <w:marRight w:val="0"/>
      <w:marTop w:val="0"/>
      <w:marBottom w:val="0"/>
      <w:divBdr>
        <w:top w:val="none" w:sz="0" w:space="0" w:color="auto"/>
        <w:left w:val="none" w:sz="0" w:space="0" w:color="auto"/>
        <w:bottom w:val="none" w:sz="0" w:space="0" w:color="auto"/>
        <w:right w:val="none" w:sz="0" w:space="0" w:color="auto"/>
      </w:divBdr>
    </w:div>
    <w:div w:id="1461806558">
      <w:bodyDiv w:val="1"/>
      <w:marLeft w:val="0"/>
      <w:marRight w:val="0"/>
      <w:marTop w:val="0"/>
      <w:marBottom w:val="0"/>
      <w:divBdr>
        <w:top w:val="none" w:sz="0" w:space="0" w:color="auto"/>
        <w:left w:val="none" w:sz="0" w:space="0" w:color="auto"/>
        <w:bottom w:val="none" w:sz="0" w:space="0" w:color="auto"/>
        <w:right w:val="none" w:sz="0" w:space="0" w:color="auto"/>
      </w:divBdr>
    </w:div>
    <w:div w:id="1509783024">
      <w:bodyDiv w:val="1"/>
      <w:marLeft w:val="0"/>
      <w:marRight w:val="0"/>
      <w:marTop w:val="0"/>
      <w:marBottom w:val="0"/>
      <w:divBdr>
        <w:top w:val="none" w:sz="0" w:space="0" w:color="auto"/>
        <w:left w:val="none" w:sz="0" w:space="0" w:color="auto"/>
        <w:bottom w:val="none" w:sz="0" w:space="0" w:color="auto"/>
        <w:right w:val="none" w:sz="0" w:space="0" w:color="auto"/>
      </w:divBdr>
      <w:divsChild>
        <w:div w:id="31005036">
          <w:marLeft w:val="0"/>
          <w:marRight w:val="0"/>
          <w:marTop w:val="0"/>
          <w:marBottom w:val="0"/>
          <w:divBdr>
            <w:top w:val="none" w:sz="0" w:space="0" w:color="auto"/>
            <w:left w:val="none" w:sz="0" w:space="0" w:color="auto"/>
            <w:bottom w:val="none" w:sz="0" w:space="0" w:color="auto"/>
            <w:right w:val="none" w:sz="0" w:space="0" w:color="auto"/>
          </w:divBdr>
          <w:divsChild>
            <w:div w:id="599022538">
              <w:marLeft w:val="0"/>
              <w:marRight w:val="0"/>
              <w:marTop w:val="0"/>
              <w:marBottom w:val="0"/>
              <w:divBdr>
                <w:top w:val="none" w:sz="0" w:space="0" w:color="auto"/>
                <w:left w:val="none" w:sz="0" w:space="0" w:color="auto"/>
                <w:bottom w:val="none" w:sz="0" w:space="0" w:color="auto"/>
                <w:right w:val="none" w:sz="0" w:space="0" w:color="auto"/>
              </w:divBdr>
              <w:divsChild>
                <w:div w:id="1136920561">
                  <w:marLeft w:val="0"/>
                  <w:marRight w:val="0"/>
                  <w:marTop w:val="0"/>
                  <w:marBottom w:val="0"/>
                  <w:divBdr>
                    <w:top w:val="none" w:sz="0" w:space="0" w:color="auto"/>
                    <w:left w:val="none" w:sz="0" w:space="0" w:color="auto"/>
                    <w:bottom w:val="none" w:sz="0" w:space="0" w:color="auto"/>
                    <w:right w:val="none" w:sz="0" w:space="0" w:color="auto"/>
                  </w:divBdr>
                  <w:divsChild>
                    <w:div w:id="185146135">
                      <w:marLeft w:val="0"/>
                      <w:marRight w:val="0"/>
                      <w:marTop w:val="0"/>
                      <w:marBottom w:val="0"/>
                      <w:divBdr>
                        <w:top w:val="none" w:sz="0" w:space="0" w:color="auto"/>
                        <w:left w:val="none" w:sz="0" w:space="0" w:color="auto"/>
                        <w:bottom w:val="none" w:sz="0" w:space="0" w:color="auto"/>
                        <w:right w:val="none" w:sz="0" w:space="0" w:color="auto"/>
                      </w:divBdr>
                      <w:divsChild>
                        <w:div w:id="384766414">
                          <w:marLeft w:val="0"/>
                          <w:marRight w:val="0"/>
                          <w:marTop w:val="0"/>
                          <w:marBottom w:val="0"/>
                          <w:divBdr>
                            <w:top w:val="none" w:sz="0" w:space="0" w:color="auto"/>
                            <w:left w:val="none" w:sz="0" w:space="0" w:color="auto"/>
                            <w:bottom w:val="none" w:sz="0" w:space="0" w:color="auto"/>
                            <w:right w:val="none" w:sz="0" w:space="0" w:color="auto"/>
                          </w:divBdr>
                          <w:divsChild>
                            <w:div w:id="724762961">
                              <w:marLeft w:val="0"/>
                              <w:marRight w:val="0"/>
                              <w:marTop w:val="0"/>
                              <w:marBottom w:val="0"/>
                              <w:divBdr>
                                <w:top w:val="none" w:sz="0" w:space="0" w:color="auto"/>
                                <w:left w:val="none" w:sz="0" w:space="0" w:color="auto"/>
                                <w:bottom w:val="none" w:sz="0" w:space="0" w:color="auto"/>
                                <w:right w:val="none" w:sz="0" w:space="0" w:color="auto"/>
                              </w:divBdr>
                              <w:divsChild>
                                <w:div w:id="643120136">
                                  <w:marLeft w:val="0"/>
                                  <w:marRight w:val="0"/>
                                  <w:marTop w:val="0"/>
                                  <w:marBottom w:val="0"/>
                                  <w:divBdr>
                                    <w:top w:val="none" w:sz="0" w:space="0" w:color="auto"/>
                                    <w:left w:val="none" w:sz="0" w:space="0" w:color="auto"/>
                                    <w:bottom w:val="none" w:sz="0" w:space="0" w:color="auto"/>
                                    <w:right w:val="none" w:sz="0" w:space="0" w:color="auto"/>
                                  </w:divBdr>
                                  <w:divsChild>
                                    <w:div w:id="319775862">
                                      <w:marLeft w:val="0"/>
                                      <w:marRight w:val="0"/>
                                      <w:marTop w:val="0"/>
                                      <w:marBottom w:val="0"/>
                                      <w:divBdr>
                                        <w:top w:val="none" w:sz="0" w:space="0" w:color="auto"/>
                                        <w:left w:val="none" w:sz="0" w:space="0" w:color="auto"/>
                                        <w:bottom w:val="none" w:sz="0" w:space="0" w:color="auto"/>
                                        <w:right w:val="none" w:sz="0" w:space="0" w:color="auto"/>
                                      </w:divBdr>
                                      <w:divsChild>
                                        <w:div w:id="50230551">
                                          <w:marLeft w:val="0"/>
                                          <w:marRight w:val="0"/>
                                          <w:marTop w:val="0"/>
                                          <w:marBottom w:val="0"/>
                                          <w:divBdr>
                                            <w:top w:val="none" w:sz="0" w:space="0" w:color="auto"/>
                                            <w:left w:val="none" w:sz="0" w:space="0" w:color="auto"/>
                                            <w:bottom w:val="none" w:sz="0" w:space="0" w:color="auto"/>
                                            <w:right w:val="none" w:sz="0" w:space="0" w:color="auto"/>
                                          </w:divBdr>
                                          <w:divsChild>
                                            <w:div w:id="1671567141">
                                              <w:marLeft w:val="0"/>
                                              <w:marRight w:val="0"/>
                                              <w:marTop w:val="0"/>
                                              <w:marBottom w:val="0"/>
                                              <w:divBdr>
                                                <w:top w:val="none" w:sz="0" w:space="0" w:color="auto"/>
                                                <w:left w:val="none" w:sz="0" w:space="0" w:color="auto"/>
                                                <w:bottom w:val="none" w:sz="0" w:space="0" w:color="auto"/>
                                                <w:right w:val="none" w:sz="0" w:space="0" w:color="auto"/>
                                              </w:divBdr>
                                              <w:divsChild>
                                                <w:div w:id="7730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91872">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sChild>
                                    <w:div w:id="13140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4534">
          <w:marLeft w:val="0"/>
          <w:marRight w:val="0"/>
          <w:marTop w:val="0"/>
          <w:marBottom w:val="0"/>
          <w:divBdr>
            <w:top w:val="none" w:sz="0" w:space="0" w:color="auto"/>
            <w:left w:val="none" w:sz="0" w:space="0" w:color="auto"/>
            <w:bottom w:val="none" w:sz="0" w:space="0" w:color="auto"/>
            <w:right w:val="none" w:sz="0" w:space="0" w:color="auto"/>
          </w:divBdr>
          <w:divsChild>
            <w:div w:id="2087339654">
              <w:marLeft w:val="0"/>
              <w:marRight w:val="0"/>
              <w:marTop w:val="0"/>
              <w:marBottom w:val="0"/>
              <w:divBdr>
                <w:top w:val="none" w:sz="0" w:space="0" w:color="auto"/>
                <w:left w:val="none" w:sz="0" w:space="0" w:color="auto"/>
                <w:bottom w:val="none" w:sz="0" w:space="0" w:color="auto"/>
                <w:right w:val="none" w:sz="0" w:space="0" w:color="auto"/>
              </w:divBdr>
              <w:divsChild>
                <w:div w:id="1813404488">
                  <w:marLeft w:val="0"/>
                  <w:marRight w:val="0"/>
                  <w:marTop w:val="0"/>
                  <w:marBottom w:val="0"/>
                  <w:divBdr>
                    <w:top w:val="none" w:sz="0" w:space="0" w:color="auto"/>
                    <w:left w:val="none" w:sz="0" w:space="0" w:color="auto"/>
                    <w:bottom w:val="none" w:sz="0" w:space="0" w:color="auto"/>
                    <w:right w:val="none" w:sz="0" w:space="0" w:color="auto"/>
                  </w:divBdr>
                  <w:divsChild>
                    <w:div w:id="395012847">
                      <w:marLeft w:val="0"/>
                      <w:marRight w:val="0"/>
                      <w:marTop w:val="0"/>
                      <w:marBottom w:val="0"/>
                      <w:divBdr>
                        <w:top w:val="none" w:sz="0" w:space="0" w:color="auto"/>
                        <w:left w:val="none" w:sz="0" w:space="0" w:color="auto"/>
                        <w:bottom w:val="none" w:sz="0" w:space="0" w:color="auto"/>
                        <w:right w:val="none" w:sz="0" w:space="0" w:color="auto"/>
                      </w:divBdr>
                      <w:divsChild>
                        <w:div w:id="454956708">
                          <w:marLeft w:val="0"/>
                          <w:marRight w:val="0"/>
                          <w:marTop w:val="0"/>
                          <w:marBottom w:val="0"/>
                          <w:divBdr>
                            <w:top w:val="none" w:sz="0" w:space="0" w:color="auto"/>
                            <w:left w:val="none" w:sz="0" w:space="0" w:color="auto"/>
                            <w:bottom w:val="none" w:sz="0" w:space="0" w:color="auto"/>
                            <w:right w:val="none" w:sz="0" w:space="0" w:color="auto"/>
                          </w:divBdr>
                          <w:divsChild>
                            <w:div w:id="1630085129">
                              <w:marLeft w:val="0"/>
                              <w:marRight w:val="0"/>
                              <w:marTop w:val="0"/>
                              <w:marBottom w:val="0"/>
                              <w:divBdr>
                                <w:top w:val="none" w:sz="0" w:space="0" w:color="auto"/>
                                <w:left w:val="none" w:sz="0" w:space="0" w:color="auto"/>
                                <w:bottom w:val="none" w:sz="0" w:space="0" w:color="auto"/>
                                <w:right w:val="none" w:sz="0" w:space="0" w:color="auto"/>
                              </w:divBdr>
                              <w:divsChild>
                                <w:div w:id="1372419449">
                                  <w:marLeft w:val="0"/>
                                  <w:marRight w:val="0"/>
                                  <w:marTop w:val="0"/>
                                  <w:marBottom w:val="0"/>
                                  <w:divBdr>
                                    <w:top w:val="none" w:sz="0" w:space="0" w:color="auto"/>
                                    <w:left w:val="none" w:sz="0" w:space="0" w:color="auto"/>
                                    <w:bottom w:val="none" w:sz="0" w:space="0" w:color="auto"/>
                                    <w:right w:val="none" w:sz="0" w:space="0" w:color="auto"/>
                                  </w:divBdr>
                                  <w:divsChild>
                                    <w:div w:id="8575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310258">
      <w:bodyDiv w:val="1"/>
      <w:marLeft w:val="0"/>
      <w:marRight w:val="0"/>
      <w:marTop w:val="0"/>
      <w:marBottom w:val="0"/>
      <w:divBdr>
        <w:top w:val="none" w:sz="0" w:space="0" w:color="auto"/>
        <w:left w:val="none" w:sz="0" w:space="0" w:color="auto"/>
        <w:bottom w:val="none" w:sz="0" w:space="0" w:color="auto"/>
        <w:right w:val="none" w:sz="0" w:space="0" w:color="auto"/>
      </w:divBdr>
      <w:divsChild>
        <w:div w:id="93257782">
          <w:marLeft w:val="0"/>
          <w:marRight w:val="0"/>
          <w:marTop w:val="0"/>
          <w:marBottom w:val="0"/>
          <w:divBdr>
            <w:top w:val="none" w:sz="0" w:space="0" w:color="auto"/>
            <w:left w:val="none" w:sz="0" w:space="0" w:color="auto"/>
            <w:bottom w:val="none" w:sz="0" w:space="0" w:color="auto"/>
            <w:right w:val="none" w:sz="0" w:space="0" w:color="auto"/>
          </w:divBdr>
          <w:divsChild>
            <w:div w:id="1276598905">
              <w:marLeft w:val="0"/>
              <w:marRight w:val="0"/>
              <w:marTop w:val="0"/>
              <w:marBottom w:val="0"/>
              <w:divBdr>
                <w:top w:val="none" w:sz="0" w:space="0" w:color="auto"/>
                <w:left w:val="none" w:sz="0" w:space="0" w:color="auto"/>
                <w:bottom w:val="none" w:sz="0" w:space="0" w:color="auto"/>
                <w:right w:val="none" w:sz="0" w:space="0" w:color="auto"/>
              </w:divBdr>
              <w:divsChild>
                <w:div w:id="429741951">
                  <w:marLeft w:val="0"/>
                  <w:marRight w:val="0"/>
                  <w:marTop w:val="0"/>
                  <w:marBottom w:val="0"/>
                  <w:divBdr>
                    <w:top w:val="none" w:sz="0" w:space="0" w:color="auto"/>
                    <w:left w:val="none" w:sz="0" w:space="0" w:color="auto"/>
                    <w:bottom w:val="none" w:sz="0" w:space="0" w:color="auto"/>
                    <w:right w:val="none" w:sz="0" w:space="0" w:color="auto"/>
                  </w:divBdr>
                  <w:divsChild>
                    <w:div w:id="1222597199">
                      <w:marLeft w:val="0"/>
                      <w:marRight w:val="0"/>
                      <w:marTop w:val="0"/>
                      <w:marBottom w:val="0"/>
                      <w:divBdr>
                        <w:top w:val="none" w:sz="0" w:space="0" w:color="auto"/>
                        <w:left w:val="none" w:sz="0" w:space="0" w:color="auto"/>
                        <w:bottom w:val="none" w:sz="0" w:space="0" w:color="auto"/>
                        <w:right w:val="none" w:sz="0" w:space="0" w:color="auto"/>
                      </w:divBdr>
                      <w:divsChild>
                        <w:div w:id="1847133646">
                          <w:marLeft w:val="0"/>
                          <w:marRight w:val="0"/>
                          <w:marTop w:val="0"/>
                          <w:marBottom w:val="0"/>
                          <w:divBdr>
                            <w:top w:val="none" w:sz="0" w:space="0" w:color="auto"/>
                            <w:left w:val="none" w:sz="0" w:space="0" w:color="auto"/>
                            <w:bottom w:val="none" w:sz="0" w:space="0" w:color="auto"/>
                            <w:right w:val="none" w:sz="0" w:space="0" w:color="auto"/>
                          </w:divBdr>
                          <w:divsChild>
                            <w:div w:id="843784410">
                              <w:marLeft w:val="0"/>
                              <w:marRight w:val="0"/>
                              <w:marTop w:val="0"/>
                              <w:marBottom w:val="0"/>
                              <w:divBdr>
                                <w:top w:val="none" w:sz="0" w:space="0" w:color="auto"/>
                                <w:left w:val="none" w:sz="0" w:space="0" w:color="auto"/>
                                <w:bottom w:val="none" w:sz="0" w:space="0" w:color="auto"/>
                                <w:right w:val="none" w:sz="0" w:space="0" w:color="auto"/>
                              </w:divBdr>
                              <w:divsChild>
                                <w:div w:id="1248148749">
                                  <w:marLeft w:val="0"/>
                                  <w:marRight w:val="0"/>
                                  <w:marTop w:val="0"/>
                                  <w:marBottom w:val="0"/>
                                  <w:divBdr>
                                    <w:top w:val="none" w:sz="0" w:space="0" w:color="auto"/>
                                    <w:left w:val="none" w:sz="0" w:space="0" w:color="auto"/>
                                    <w:bottom w:val="none" w:sz="0" w:space="0" w:color="auto"/>
                                    <w:right w:val="none" w:sz="0" w:space="0" w:color="auto"/>
                                  </w:divBdr>
                                  <w:divsChild>
                                    <w:div w:id="8036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19506">
          <w:marLeft w:val="0"/>
          <w:marRight w:val="0"/>
          <w:marTop w:val="0"/>
          <w:marBottom w:val="0"/>
          <w:divBdr>
            <w:top w:val="none" w:sz="0" w:space="0" w:color="auto"/>
            <w:left w:val="none" w:sz="0" w:space="0" w:color="auto"/>
            <w:bottom w:val="none" w:sz="0" w:space="0" w:color="auto"/>
            <w:right w:val="none" w:sz="0" w:space="0" w:color="auto"/>
          </w:divBdr>
          <w:divsChild>
            <w:div w:id="1005596783">
              <w:marLeft w:val="0"/>
              <w:marRight w:val="0"/>
              <w:marTop w:val="0"/>
              <w:marBottom w:val="0"/>
              <w:divBdr>
                <w:top w:val="none" w:sz="0" w:space="0" w:color="auto"/>
                <w:left w:val="none" w:sz="0" w:space="0" w:color="auto"/>
                <w:bottom w:val="none" w:sz="0" w:space="0" w:color="auto"/>
                <w:right w:val="none" w:sz="0" w:space="0" w:color="auto"/>
              </w:divBdr>
              <w:divsChild>
                <w:div w:id="905846327">
                  <w:marLeft w:val="0"/>
                  <w:marRight w:val="0"/>
                  <w:marTop w:val="0"/>
                  <w:marBottom w:val="0"/>
                  <w:divBdr>
                    <w:top w:val="none" w:sz="0" w:space="0" w:color="auto"/>
                    <w:left w:val="none" w:sz="0" w:space="0" w:color="auto"/>
                    <w:bottom w:val="none" w:sz="0" w:space="0" w:color="auto"/>
                    <w:right w:val="none" w:sz="0" w:space="0" w:color="auto"/>
                  </w:divBdr>
                  <w:divsChild>
                    <w:div w:id="50661248">
                      <w:marLeft w:val="0"/>
                      <w:marRight w:val="0"/>
                      <w:marTop w:val="0"/>
                      <w:marBottom w:val="0"/>
                      <w:divBdr>
                        <w:top w:val="none" w:sz="0" w:space="0" w:color="auto"/>
                        <w:left w:val="none" w:sz="0" w:space="0" w:color="auto"/>
                        <w:bottom w:val="none" w:sz="0" w:space="0" w:color="auto"/>
                        <w:right w:val="none" w:sz="0" w:space="0" w:color="auto"/>
                      </w:divBdr>
                      <w:divsChild>
                        <w:div w:id="1956860520">
                          <w:marLeft w:val="0"/>
                          <w:marRight w:val="0"/>
                          <w:marTop w:val="0"/>
                          <w:marBottom w:val="0"/>
                          <w:divBdr>
                            <w:top w:val="none" w:sz="0" w:space="0" w:color="auto"/>
                            <w:left w:val="none" w:sz="0" w:space="0" w:color="auto"/>
                            <w:bottom w:val="none" w:sz="0" w:space="0" w:color="auto"/>
                            <w:right w:val="none" w:sz="0" w:space="0" w:color="auto"/>
                          </w:divBdr>
                          <w:divsChild>
                            <w:div w:id="123934247">
                              <w:marLeft w:val="0"/>
                              <w:marRight w:val="0"/>
                              <w:marTop w:val="0"/>
                              <w:marBottom w:val="0"/>
                              <w:divBdr>
                                <w:top w:val="none" w:sz="0" w:space="0" w:color="auto"/>
                                <w:left w:val="none" w:sz="0" w:space="0" w:color="auto"/>
                                <w:bottom w:val="none" w:sz="0" w:space="0" w:color="auto"/>
                                <w:right w:val="none" w:sz="0" w:space="0" w:color="auto"/>
                              </w:divBdr>
                              <w:divsChild>
                                <w:div w:id="926810229">
                                  <w:marLeft w:val="0"/>
                                  <w:marRight w:val="0"/>
                                  <w:marTop w:val="0"/>
                                  <w:marBottom w:val="0"/>
                                  <w:divBdr>
                                    <w:top w:val="none" w:sz="0" w:space="0" w:color="auto"/>
                                    <w:left w:val="none" w:sz="0" w:space="0" w:color="auto"/>
                                    <w:bottom w:val="none" w:sz="0" w:space="0" w:color="auto"/>
                                    <w:right w:val="none" w:sz="0" w:space="0" w:color="auto"/>
                                  </w:divBdr>
                                  <w:divsChild>
                                    <w:div w:id="1051920946">
                                      <w:marLeft w:val="0"/>
                                      <w:marRight w:val="0"/>
                                      <w:marTop w:val="0"/>
                                      <w:marBottom w:val="0"/>
                                      <w:divBdr>
                                        <w:top w:val="none" w:sz="0" w:space="0" w:color="auto"/>
                                        <w:left w:val="none" w:sz="0" w:space="0" w:color="auto"/>
                                        <w:bottom w:val="none" w:sz="0" w:space="0" w:color="auto"/>
                                        <w:right w:val="none" w:sz="0" w:space="0" w:color="auto"/>
                                      </w:divBdr>
                                      <w:divsChild>
                                        <w:div w:id="994838754">
                                          <w:marLeft w:val="0"/>
                                          <w:marRight w:val="0"/>
                                          <w:marTop w:val="0"/>
                                          <w:marBottom w:val="0"/>
                                          <w:divBdr>
                                            <w:top w:val="none" w:sz="0" w:space="0" w:color="auto"/>
                                            <w:left w:val="none" w:sz="0" w:space="0" w:color="auto"/>
                                            <w:bottom w:val="none" w:sz="0" w:space="0" w:color="auto"/>
                                            <w:right w:val="none" w:sz="0" w:space="0" w:color="auto"/>
                                          </w:divBdr>
                                          <w:divsChild>
                                            <w:div w:id="774595456">
                                              <w:marLeft w:val="0"/>
                                              <w:marRight w:val="0"/>
                                              <w:marTop w:val="0"/>
                                              <w:marBottom w:val="0"/>
                                              <w:divBdr>
                                                <w:top w:val="none" w:sz="0" w:space="0" w:color="auto"/>
                                                <w:left w:val="none" w:sz="0" w:space="0" w:color="auto"/>
                                                <w:bottom w:val="none" w:sz="0" w:space="0" w:color="auto"/>
                                                <w:right w:val="none" w:sz="0" w:space="0" w:color="auto"/>
                                              </w:divBdr>
                                              <w:divsChild>
                                                <w:div w:id="19590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445">
                              <w:marLeft w:val="0"/>
                              <w:marRight w:val="0"/>
                              <w:marTop w:val="0"/>
                              <w:marBottom w:val="0"/>
                              <w:divBdr>
                                <w:top w:val="none" w:sz="0" w:space="0" w:color="auto"/>
                                <w:left w:val="none" w:sz="0" w:space="0" w:color="auto"/>
                                <w:bottom w:val="none" w:sz="0" w:space="0" w:color="auto"/>
                                <w:right w:val="none" w:sz="0" w:space="0" w:color="auto"/>
                              </w:divBdr>
                              <w:divsChild>
                                <w:div w:id="930620750">
                                  <w:marLeft w:val="0"/>
                                  <w:marRight w:val="0"/>
                                  <w:marTop w:val="0"/>
                                  <w:marBottom w:val="0"/>
                                  <w:divBdr>
                                    <w:top w:val="none" w:sz="0" w:space="0" w:color="auto"/>
                                    <w:left w:val="none" w:sz="0" w:space="0" w:color="auto"/>
                                    <w:bottom w:val="none" w:sz="0" w:space="0" w:color="auto"/>
                                    <w:right w:val="none" w:sz="0" w:space="0" w:color="auto"/>
                                  </w:divBdr>
                                  <w:divsChild>
                                    <w:div w:id="5107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720703">
      <w:bodyDiv w:val="1"/>
      <w:marLeft w:val="0"/>
      <w:marRight w:val="0"/>
      <w:marTop w:val="0"/>
      <w:marBottom w:val="0"/>
      <w:divBdr>
        <w:top w:val="none" w:sz="0" w:space="0" w:color="auto"/>
        <w:left w:val="none" w:sz="0" w:space="0" w:color="auto"/>
        <w:bottom w:val="none" w:sz="0" w:space="0" w:color="auto"/>
        <w:right w:val="none" w:sz="0" w:space="0" w:color="auto"/>
      </w:divBdr>
      <w:divsChild>
        <w:div w:id="1477839480">
          <w:marLeft w:val="0"/>
          <w:marRight w:val="0"/>
          <w:marTop w:val="0"/>
          <w:marBottom w:val="0"/>
          <w:divBdr>
            <w:top w:val="none" w:sz="0" w:space="0" w:color="auto"/>
            <w:left w:val="none" w:sz="0" w:space="0" w:color="auto"/>
            <w:bottom w:val="none" w:sz="0" w:space="0" w:color="auto"/>
            <w:right w:val="none" w:sz="0" w:space="0" w:color="auto"/>
          </w:divBdr>
          <w:divsChild>
            <w:div w:id="1901864461">
              <w:marLeft w:val="0"/>
              <w:marRight w:val="0"/>
              <w:marTop w:val="0"/>
              <w:marBottom w:val="0"/>
              <w:divBdr>
                <w:top w:val="none" w:sz="0" w:space="0" w:color="auto"/>
                <w:left w:val="none" w:sz="0" w:space="0" w:color="auto"/>
                <w:bottom w:val="none" w:sz="0" w:space="0" w:color="auto"/>
                <w:right w:val="none" w:sz="0" w:space="0" w:color="auto"/>
              </w:divBdr>
              <w:divsChild>
                <w:div w:id="1549217134">
                  <w:marLeft w:val="0"/>
                  <w:marRight w:val="0"/>
                  <w:marTop w:val="0"/>
                  <w:marBottom w:val="0"/>
                  <w:divBdr>
                    <w:top w:val="none" w:sz="0" w:space="0" w:color="auto"/>
                    <w:left w:val="none" w:sz="0" w:space="0" w:color="auto"/>
                    <w:bottom w:val="none" w:sz="0" w:space="0" w:color="auto"/>
                    <w:right w:val="none" w:sz="0" w:space="0" w:color="auto"/>
                  </w:divBdr>
                  <w:divsChild>
                    <w:div w:id="1036126821">
                      <w:marLeft w:val="0"/>
                      <w:marRight w:val="0"/>
                      <w:marTop w:val="0"/>
                      <w:marBottom w:val="0"/>
                      <w:divBdr>
                        <w:top w:val="none" w:sz="0" w:space="0" w:color="auto"/>
                        <w:left w:val="none" w:sz="0" w:space="0" w:color="auto"/>
                        <w:bottom w:val="none" w:sz="0" w:space="0" w:color="auto"/>
                        <w:right w:val="none" w:sz="0" w:space="0" w:color="auto"/>
                      </w:divBdr>
                      <w:divsChild>
                        <w:div w:id="372653719">
                          <w:marLeft w:val="0"/>
                          <w:marRight w:val="0"/>
                          <w:marTop w:val="0"/>
                          <w:marBottom w:val="0"/>
                          <w:divBdr>
                            <w:top w:val="none" w:sz="0" w:space="0" w:color="auto"/>
                            <w:left w:val="none" w:sz="0" w:space="0" w:color="auto"/>
                            <w:bottom w:val="none" w:sz="0" w:space="0" w:color="auto"/>
                            <w:right w:val="none" w:sz="0" w:space="0" w:color="auto"/>
                          </w:divBdr>
                          <w:divsChild>
                            <w:div w:id="857352219">
                              <w:marLeft w:val="0"/>
                              <w:marRight w:val="0"/>
                              <w:marTop w:val="0"/>
                              <w:marBottom w:val="0"/>
                              <w:divBdr>
                                <w:top w:val="none" w:sz="0" w:space="0" w:color="auto"/>
                                <w:left w:val="none" w:sz="0" w:space="0" w:color="auto"/>
                                <w:bottom w:val="none" w:sz="0" w:space="0" w:color="auto"/>
                                <w:right w:val="none" w:sz="0" w:space="0" w:color="auto"/>
                              </w:divBdr>
                              <w:divsChild>
                                <w:div w:id="1043287981">
                                  <w:marLeft w:val="0"/>
                                  <w:marRight w:val="0"/>
                                  <w:marTop w:val="0"/>
                                  <w:marBottom w:val="0"/>
                                  <w:divBdr>
                                    <w:top w:val="none" w:sz="0" w:space="0" w:color="auto"/>
                                    <w:left w:val="none" w:sz="0" w:space="0" w:color="auto"/>
                                    <w:bottom w:val="none" w:sz="0" w:space="0" w:color="auto"/>
                                    <w:right w:val="none" w:sz="0" w:space="0" w:color="auto"/>
                                  </w:divBdr>
                                  <w:divsChild>
                                    <w:div w:id="192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166644">
          <w:marLeft w:val="0"/>
          <w:marRight w:val="0"/>
          <w:marTop w:val="0"/>
          <w:marBottom w:val="0"/>
          <w:divBdr>
            <w:top w:val="none" w:sz="0" w:space="0" w:color="auto"/>
            <w:left w:val="none" w:sz="0" w:space="0" w:color="auto"/>
            <w:bottom w:val="none" w:sz="0" w:space="0" w:color="auto"/>
            <w:right w:val="none" w:sz="0" w:space="0" w:color="auto"/>
          </w:divBdr>
          <w:divsChild>
            <w:div w:id="913931962">
              <w:marLeft w:val="0"/>
              <w:marRight w:val="0"/>
              <w:marTop w:val="0"/>
              <w:marBottom w:val="0"/>
              <w:divBdr>
                <w:top w:val="none" w:sz="0" w:space="0" w:color="auto"/>
                <w:left w:val="none" w:sz="0" w:space="0" w:color="auto"/>
                <w:bottom w:val="none" w:sz="0" w:space="0" w:color="auto"/>
                <w:right w:val="none" w:sz="0" w:space="0" w:color="auto"/>
              </w:divBdr>
              <w:divsChild>
                <w:div w:id="1451973543">
                  <w:marLeft w:val="0"/>
                  <w:marRight w:val="0"/>
                  <w:marTop w:val="0"/>
                  <w:marBottom w:val="0"/>
                  <w:divBdr>
                    <w:top w:val="none" w:sz="0" w:space="0" w:color="auto"/>
                    <w:left w:val="none" w:sz="0" w:space="0" w:color="auto"/>
                    <w:bottom w:val="none" w:sz="0" w:space="0" w:color="auto"/>
                    <w:right w:val="none" w:sz="0" w:space="0" w:color="auto"/>
                  </w:divBdr>
                  <w:divsChild>
                    <w:div w:id="404648243">
                      <w:marLeft w:val="0"/>
                      <w:marRight w:val="0"/>
                      <w:marTop w:val="0"/>
                      <w:marBottom w:val="0"/>
                      <w:divBdr>
                        <w:top w:val="none" w:sz="0" w:space="0" w:color="auto"/>
                        <w:left w:val="none" w:sz="0" w:space="0" w:color="auto"/>
                        <w:bottom w:val="none" w:sz="0" w:space="0" w:color="auto"/>
                        <w:right w:val="none" w:sz="0" w:space="0" w:color="auto"/>
                      </w:divBdr>
                      <w:divsChild>
                        <w:div w:id="837160551">
                          <w:marLeft w:val="0"/>
                          <w:marRight w:val="0"/>
                          <w:marTop w:val="0"/>
                          <w:marBottom w:val="0"/>
                          <w:divBdr>
                            <w:top w:val="none" w:sz="0" w:space="0" w:color="auto"/>
                            <w:left w:val="none" w:sz="0" w:space="0" w:color="auto"/>
                            <w:bottom w:val="none" w:sz="0" w:space="0" w:color="auto"/>
                            <w:right w:val="none" w:sz="0" w:space="0" w:color="auto"/>
                          </w:divBdr>
                          <w:divsChild>
                            <w:div w:id="56244389">
                              <w:marLeft w:val="0"/>
                              <w:marRight w:val="0"/>
                              <w:marTop w:val="0"/>
                              <w:marBottom w:val="0"/>
                              <w:divBdr>
                                <w:top w:val="none" w:sz="0" w:space="0" w:color="auto"/>
                                <w:left w:val="none" w:sz="0" w:space="0" w:color="auto"/>
                                <w:bottom w:val="none" w:sz="0" w:space="0" w:color="auto"/>
                                <w:right w:val="none" w:sz="0" w:space="0" w:color="auto"/>
                              </w:divBdr>
                              <w:divsChild>
                                <w:div w:id="149058932">
                                  <w:marLeft w:val="0"/>
                                  <w:marRight w:val="0"/>
                                  <w:marTop w:val="0"/>
                                  <w:marBottom w:val="0"/>
                                  <w:divBdr>
                                    <w:top w:val="none" w:sz="0" w:space="0" w:color="auto"/>
                                    <w:left w:val="none" w:sz="0" w:space="0" w:color="auto"/>
                                    <w:bottom w:val="none" w:sz="0" w:space="0" w:color="auto"/>
                                    <w:right w:val="none" w:sz="0" w:space="0" w:color="auto"/>
                                  </w:divBdr>
                                  <w:divsChild>
                                    <w:div w:id="1391418902">
                                      <w:marLeft w:val="0"/>
                                      <w:marRight w:val="0"/>
                                      <w:marTop w:val="0"/>
                                      <w:marBottom w:val="0"/>
                                      <w:divBdr>
                                        <w:top w:val="none" w:sz="0" w:space="0" w:color="auto"/>
                                        <w:left w:val="none" w:sz="0" w:space="0" w:color="auto"/>
                                        <w:bottom w:val="none" w:sz="0" w:space="0" w:color="auto"/>
                                        <w:right w:val="none" w:sz="0" w:space="0" w:color="auto"/>
                                      </w:divBdr>
                                      <w:divsChild>
                                        <w:div w:id="37168309">
                                          <w:marLeft w:val="0"/>
                                          <w:marRight w:val="0"/>
                                          <w:marTop w:val="0"/>
                                          <w:marBottom w:val="0"/>
                                          <w:divBdr>
                                            <w:top w:val="none" w:sz="0" w:space="0" w:color="auto"/>
                                            <w:left w:val="none" w:sz="0" w:space="0" w:color="auto"/>
                                            <w:bottom w:val="none" w:sz="0" w:space="0" w:color="auto"/>
                                            <w:right w:val="none" w:sz="0" w:space="0" w:color="auto"/>
                                          </w:divBdr>
                                          <w:divsChild>
                                            <w:div w:id="1335183635">
                                              <w:marLeft w:val="0"/>
                                              <w:marRight w:val="0"/>
                                              <w:marTop w:val="0"/>
                                              <w:marBottom w:val="0"/>
                                              <w:divBdr>
                                                <w:top w:val="none" w:sz="0" w:space="0" w:color="auto"/>
                                                <w:left w:val="none" w:sz="0" w:space="0" w:color="auto"/>
                                                <w:bottom w:val="none" w:sz="0" w:space="0" w:color="auto"/>
                                                <w:right w:val="none" w:sz="0" w:space="0" w:color="auto"/>
                                              </w:divBdr>
                                              <w:divsChild>
                                                <w:div w:id="17343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97726">
                              <w:marLeft w:val="0"/>
                              <w:marRight w:val="0"/>
                              <w:marTop w:val="0"/>
                              <w:marBottom w:val="0"/>
                              <w:divBdr>
                                <w:top w:val="none" w:sz="0" w:space="0" w:color="auto"/>
                                <w:left w:val="none" w:sz="0" w:space="0" w:color="auto"/>
                                <w:bottom w:val="none" w:sz="0" w:space="0" w:color="auto"/>
                                <w:right w:val="none" w:sz="0" w:space="0" w:color="auto"/>
                              </w:divBdr>
                              <w:divsChild>
                                <w:div w:id="1717895536">
                                  <w:marLeft w:val="0"/>
                                  <w:marRight w:val="0"/>
                                  <w:marTop w:val="0"/>
                                  <w:marBottom w:val="0"/>
                                  <w:divBdr>
                                    <w:top w:val="none" w:sz="0" w:space="0" w:color="auto"/>
                                    <w:left w:val="none" w:sz="0" w:space="0" w:color="auto"/>
                                    <w:bottom w:val="none" w:sz="0" w:space="0" w:color="auto"/>
                                    <w:right w:val="none" w:sz="0" w:space="0" w:color="auto"/>
                                  </w:divBdr>
                                  <w:divsChild>
                                    <w:div w:id="788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02429">
      <w:bodyDiv w:val="1"/>
      <w:marLeft w:val="0"/>
      <w:marRight w:val="0"/>
      <w:marTop w:val="0"/>
      <w:marBottom w:val="0"/>
      <w:divBdr>
        <w:top w:val="none" w:sz="0" w:space="0" w:color="auto"/>
        <w:left w:val="none" w:sz="0" w:space="0" w:color="auto"/>
        <w:bottom w:val="none" w:sz="0" w:space="0" w:color="auto"/>
        <w:right w:val="none" w:sz="0" w:space="0" w:color="auto"/>
      </w:divBdr>
    </w:div>
    <w:div w:id="1824202633">
      <w:bodyDiv w:val="1"/>
      <w:marLeft w:val="0"/>
      <w:marRight w:val="0"/>
      <w:marTop w:val="0"/>
      <w:marBottom w:val="0"/>
      <w:divBdr>
        <w:top w:val="none" w:sz="0" w:space="0" w:color="auto"/>
        <w:left w:val="none" w:sz="0" w:space="0" w:color="auto"/>
        <w:bottom w:val="none" w:sz="0" w:space="0" w:color="auto"/>
        <w:right w:val="none" w:sz="0" w:space="0" w:color="auto"/>
      </w:divBdr>
    </w:div>
    <w:div w:id="1920018147">
      <w:bodyDiv w:val="1"/>
      <w:marLeft w:val="0"/>
      <w:marRight w:val="0"/>
      <w:marTop w:val="0"/>
      <w:marBottom w:val="0"/>
      <w:divBdr>
        <w:top w:val="none" w:sz="0" w:space="0" w:color="auto"/>
        <w:left w:val="none" w:sz="0" w:space="0" w:color="auto"/>
        <w:bottom w:val="none" w:sz="0" w:space="0" w:color="auto"/>
        <w:right w:val="none" w:sz="0" w:space="0" w:color="auto"/>
      </w:divBdr>
    </w:div>
    <w:div w:id="1958875686">
      <w:bodyDiv w:val="1"/>
      <w:marLeft w:val="0"/>
      <w:marRight w:val="0"/>
      <w:marTop w:val="0"/>
      <w:marBottom w:val="0"/>
      <w:divBdr>
        <w:top w:val="none" w:sz="0" w:space="0" w:color="auto"/>
        <w:left w:val="none" w:sz="0" w:space="0" w:color="auto"/>
        <w:bottom w:val="none" w:sz="0" w:space="0" w:color="auto"/>
        <w:right w:val="none" w:sz="0" w:space="0" w:color="auto"/>
      </w:divBdr>
    </w:div>
    <w:div w:id="2011717016">
      <w:bodyDiv w:val="1"/>
      <w:marLeft w:val="0"/>
      <w:marRight w:val="0"/>
      <w:marTop w:val="0"/>
      <w:marBottom w:val="0"/>
      <w:divBdr>
        <w:top w:val="none" w:sz="0" w:space="0" w:color="auto"/>
        <w:left w:val="none" w:sz="0" w:space="0" w:color="auto"/>
        <w:bottom w:val="none" w:sz="0" w:space="0" w:color="auto"/>
        <w:right w:val="none" w:sz="0" w:space="0" w:color="auto"/>
      </w:divBdr>
      <w:divsChild>
        <w:div w:id="733509262">
          <w:marLeft w:val="0"/>
          <w:marRight w:val="0"/>
          <w:marTop w:val="0"/>
          <w:marBottom w:val="0"/>
          <w:divBdr>
            <w:top w:val="none" w:sz="0" w:space="0" w:color="auto"/>
            <w:left w:val="none" w:sz="0" w:space="0" w:color="auto"/>
            <w:bottom w:val="none" w:sz="0" w:space="0" w:color="auto"/>
            <w:right w:val="none" w:sz="0" w:space="0" w:color="auto"/>
          </w:divBdr>
          <w:divsChild>
            <w:div w:id="733968684">
              <w:marLeft w:val="0"/>
              <w:marRight w:val="0"/>
              <w:marTop w:val="0"/>
              <w:marBottom w:val="0"/>
              <w:divBdr>
                <w:top w:val="none" w:sz="0" w:space="0" w:color="auto"/>
                <w:left w:val="none" w:sz="0" w:space="0" w:color="auto"/>
                <w:bottom w:val="none" w:sz="0" w:space="0" w:color="auto"/>
                <w:right w:val="none" w:sz="0" w:space="0" w:color="auto"/>
              </w:divBdr>
              <w:divsChild>
                <w:div w:id="2137795301">
                  <w:marLeft w:val="0"/>
                  <w:marRight w:val="0"/>
                  <w:marTop w:val="0"/>
                  <w:marBottom w:val="0"/>
                  <w:divBdr>
                    <w:top w:val="none" w:sz="0" w:space="0" w:color="auto"/>
                    <w:left w:val="none" w:sz="0" w:space="0" w:color="auto"/>
                    <w:bottom w:val="none" w:sz="0" w:space="0" w:color="auto"/>
                    <w:right w:val="none" w:sz="0" w:space="0" w:color="auto"/>
                  </w:divBdr>
                  <w:divsChild>
                    <w:div w:id="235437825">
                      <w:marLeft w:val="0"/>
                      <w:marRight w:val="0"/>
                      <w:marTop w:val="0"/>
                      <w:marBottom w:val="0"/>
                      <w:divBdr>
                        <w:top w:val="none" w:sz="0" w:space="0" w:color="auto"/>
                        <w:left w:val="none" w:sz="0" w:space="0" w:color="auto"/>
                        <w:bottom w:val="none" w:sz="0" w:space="0" w:color="auto"/>
                        <w:right w:val="none" w:sz="0" w:space="0" w:color="auto"/>
                      </w:divBdr>
                      <w:divsChild>
                        <w:div w:id="1158039160">
                          <w:marLeft w:val="0"/>
                          <w:marRight w:val="0"/>
                          <w:marTop w:val="0"/>
                          <w:marBottom w:val="0"/>
                          <w:divBdr>
                            <w:top w:val="none" w:sz="0" w:space="0" w:color="auto"/>
                            <w:left w:val="none" w:sz="0" w:space="0" w:color="auto"/>
                            <w:bottom w:val="none" w:sz="0" w:space="0" w:color="auto"/>
                            <w:right w:val="none" w:sz="0" w:space="0" w:color="auto"/>
                          </w:divBdr>
                          <w:divsChild>
                            <w:div w:id="1558664593">
                              <w:marLeft w:val="0"/>
                              <w:marRight w:val="0"/>
                              <w:marTop w:val="0"/>
                              <w:marBottom w:val="0"/>
                              <w:divBdr>
                                <w:top w:val="none" w:sz="0" w:space="0" w:color="auto"/>
                                <w:left w:val="none" w:sz="0" w:space="0" w:color="auto"/>
                                <w:bottom w:val="none" w:sz="0" w:space="0" w:color="auto"/>
                                <w:right w:val="none" w:sz="0" w:space="0" w:color="auto"/>
                              </w:divBdr>
                              <w:divsChild>
                                <w:div w:id="555969516">
                                  <w:marLeft w:val="0"/>
                                  <w:marRight w:val="0"/>
                                  <w:marTop w:val="0"/>
                                  <w:marBottom w:val="0"/>
                                  <w:divBdr>
                                    <w:top w:val="none" w:sz="0" w:space="0" w:color="auto"/>
                                    <w:left w:val="none" w:sz="0" w:space="0" w:color="auto"/>
                                    <w:bottom w:val="none" w:sz="0" w:space="0" w:color="auto"/>
                                    <w:right w:val="none" w:sz="0" w:space="0" w:color="auto"/>
                                  </w:divBdr>
                                  <w:divsChild>
                                    <w:div w:id="18274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13606">
          <w:marLeft w:val="0"/>
          <w:marRight w:val="0"/>
          <w:marTop w:val="0"/>
          <w:marBottom w:val="0"/>
          <w:divBdr>
            <w:top w:val="none" w:sz="0" w:space="0" w:color="auto"/>
            <w:left w:val="none" w:sz="0" w:space="0" w:color="auto"/>
            <w:bottom w:val="none" w:sz="0" w:space="0" w:color="auto"/>
            <w:right w:val="none" w:sz="0" w:space="0" w:color="auto"/>
          </w:divBdr>
          <w:divsChild>
            <w:div w:id="1231189486">
              <w:marLeft w:val="0"/>
              <w:marRight w:val="0"/>
              <w:marTop w:val="0"/>
              <w:marBottom w:val="0"/>
              <w:divBdr>
                <w:top w:val="none" w:sz="0" w:space="0" w:color="auto"/>
                <w:left w:val="none" w:sz="0" w:space="0" w:color="auto"/>
                <w:bottom w:val="none" w:sz="0" w:space="0" w:color="auto"/>
                <w:right w:val="none" w:sz="0" w:space="0" w:color="auto"/>
              </w:divBdr>
              <w:divsChild>
                <w:div w:id="125053680">
                  <w:marLeft w:val="0"/>
                  <w:marRight w:val="0"/>
                  <w:marTop w:val="0"/>
                  <w:marBottom w:val="0"/>
                  <w:divBdr>
                    <w:top w:val="none" w:sz="0" w:space="0" w:color="auto"/>
                    <w:left w:val="none" w:sz="0" w:space="0" w:color="auto"/>
                    <w:bottom w:val="none" w:sz="0" w:space="0" w:color="auto"/>
                    <w:right w:val="none" w:sz="0" w:space="0" w:color="auto"/>
                  </w:divBdr>
                  <w:divsChild>
                    <w:div w:id="2022245283">
                      <w:marLeft w:val="0"/>
                      <w:marRight w:val="0"/>
                      <w:marTop w:val="0"/>
                      <w:marBottom w:val="0"/>
                      <w:divBdr>
                        <w:top w:val="none" w:sz="0" w:space="0" w:color="auto"/>
                        <w:left w:val="none" w:sz="0" w:space="0" w:color="auto"/>
                        <w:bottom w:val="none" w:sz="0" w:space="0" w:color="auto"/>
                        <w:right w:val="none" w:sz="0" w:space="0" w:color="auto"/>
                      </w:divBdr>
                      <w:divsChild>
                        <w:div w:id="779762775">
                          <w:marLeft w:val="0"/>
                          <w:marRight w:val="0"/>
                          <w:marTop w:val="0"/>
                          <w:marBottom w:val="0"/>
                          <w:divBdr>
                            <w:top w:val="none" w:sz="0" w:space="0" w:color="auto"/>
                            <w:left w:val="none" w:sz="0" w:space="0" w:color="auto"/>
                            <w:bottom w:val="none" w:sz="0" w:space="0" w:color="auto"/>
                            <w:right w:val="none" w:sz="0" w:space="0" w:color="auto"/>
                          </w:divBdr>
                          <w:divsChild>
                            <w:div w:id="1154299278">
                              <w:marLeft w:val="0"/>
                              <w:marRight w:val="0"/>
                              <w:marTop w:val="0"/>
                              <w:marBottom w:val="0"/>
                              <w:divBdr>
                                <w:top w:val="none" w:sz="0" w:space="0" w:color="auto"/>
                                <w:left w:val="none" w:sz="0" w:space="0" w:color="auto"/>
                                <w:bottom w:val="none" w:sz="0" w:space="0" w:color="auto"/>
                                <w:right w:val="none" w:sz="0" w:space="0" w:color="auto"/>
                              </w:divBdr>
                              <w:divsChild>
                                <w:div w:id="1591694767">
                                  <w:marLeft w:val="0"/>
                                  <w:marRight w:val="0"/>
                                  <w:marTop w:val="0"/>
                                  <w:marBottom w:val="0"/>
                                  <w:divBdr>
                                    <w:top w:val="none" w:sz="0" w:space="0" w:color="auto"/>
                                    <w:left w:val="none" w:sz="0" w:space="0" w:color="auto"/>
                                    <w:bottom w:val="none" w:sz="0" w:space="0" w:color="auto"/>
                                    <w:right w:val="none" w:sz="0" w:space="0" w:color="auto"/>
                                  </w:divBdr>
                                  <w:divsChild>
                                    <w:div w:id="16475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7150">
                              <w:marLeft w:val="0"/>
                              <w:marRight w:val="0"/>
                              <w:marTop w:val="0"/>
                              <w:marBottom w:val="0"/>
                              <w:divBdr>
                                <w:top w:val="none" w:sz="0" w:space="0" w:color="auto"/>
                                <w:left w:val="none" w:sz="0" w:space="0" w:color="auto"/>
                                <w:bottom w:val="none" w:sz="0" w:space="0" w:color="auto"/>
                                <w:right w:val="none" w:sz="0" w:space="0" w:color="auto"/>
                              </w:divBdr>
                              <w:divsChild>
                                <w:div w:id="1118183081">
                                  <w:marLeft w:val="0"/>
                                  <w:marRight w:val="0"/>
                                  <w:marTop w:val="0"/>
                                  <w:marBottom w:val="0"/>
                                  <w:divBdr>
                                    <w:top w:val="none" w:sz="0" w:space="0" w:color="auto"/>
                                    <w:left w:val="none" w:sz="0" w:space="0" w:color="auto"/>
                                    <w:bottom w:val="none" w:sz="0" w:space="0" w:color="auto"/>
                                    <w:right w:val="none" w:sz="0" w:space="0" w:color="auto"/>
                                  </w:divBdr>
                                  <w:divsChild>
                                    <w:div w:id="209465029">
                                      <w:marLeft w:val="0"/>
                                      <w:marRight w:val="0"/>
                                      <w:marTop w:val="0"/>
                                      <w:marBottom w:val="0"/>
                                      <w:divBdr>
                                        <w:top w:val="none" w:sz="0" w:space="0" w:color="auto"/>
                                        <w:left w:val="none" w:sz="0" w:space="0" w:color="auto"/>
                                        <w:bottom w:val="none" w:sz="0" w:space="0" w:color="auto"/>
                                        <w:right w:val="none" w:sz="0" w:space="0" w:color="auto"/>
                                      </w:divBdr>
                                      <w:divsChild>
                                        <w:div w:id="482283281">
                                          <w:marLeft w:val="0"/>
                                          <w:marRight w:val="0"/>
                                          <w:marTop w:val="0"/>
                                          <w:marBottom w:val="0"/>
                                          <w:divBdr>
                                            <w:top w:val="none" w:sz="0" w:space="0" w:color="auto"/>
                                            <w:left w:val="none" w:sz="0" w:space="0" w:color="auto"/>
                                            <w:bottom w:val="none" w:sz="0" w:space="0" w:color="auto"/>
                                            <w:right w:val="none" w:sz="0" w:space="0" w:color="auto"/>
                                          </w:divBdr>
                                          <w:divsChild>
                                            <w:div w:id="895968918">
                                              <w:marLeft w:val="0"/>
                                              <w:marRight w:val="0"/>
                                              <w:marTop w:val="0"/>
                                              <w:marBottom w:val="0"/>
                                              <w:divBdr>
                                                <w:top w:val="none" w:sz="0" w:space="0" w:color="auto"/>
                                                <w:left w:val="none" w:sz="0" w:space="0" w:color="auto"/>
                                                <w:bottom w:val="none" w:sz="0" w:space="0" w:color="auto"/>
                                                <w:right w:val="none" w:sz="0" w:space="0" w:color="auto"/>
                                              </w:divBdr>
                                              <w:divsChild>
                                                <w:div w:id="2278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412100">
      <w:bodyDiv w:val="1"/>
      <w:marLeft w:val="0"/>
      <w:marRight w:val="0"/>
      <w:marTop w:val="0"/>
      <w:marBottom w:val="0"/>
      <w:divBdr>
        <w:top w:val="none" w:sz="0" w:space="0" w:color="auto"/>
        <w:left w:val="none" w:sz="0" w:space="0" w:color="auto"/>
        <w:bottom w:val="none" w:sz="0" w:space="0" w:color="auto"/>
        <w:right w:val="none" w:sz="0" w:space="0" w:color="auto"/>
      </w:divBdr>
    </w:div>
    <w:div w:id="2048405348">
      <w:bodyDiv w:val="1"/>
      <w:marLeft w:val="0"/>
      <w:marRight w:val="0"/>
      <w:marTop w:val="0"/>
      <w:marBottom w:val="0"/>
      <w:divBdr>
        <w:top w:val="none" w:sz="0" w:space="0" w:color="auto"/>
        <w:left w:val="none" w:sz="0" w:space="0" w:color="auto"/>
        <w:bottom w:val="none" w:sz="0" w:space="0" w:color="auto"/>
        <w:right w:val="none" w:sz="0" w:space="0" w:color="auto"/>
      </w:divBdr>
    </w:div>
    <w:div w:id="20651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7.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fdacc0a-6563-489f-9b51-6fc9acac5c48">DEAADBFP-1499948599-55130</_dlc_DocId>
    <_dlc_DocIdUrl xmlns="afdacc0a-6563-489f-9b51-6fc9acac5c48">
      <Url>https://wipoprod.sharepoint.com/sites/SPS-INT-BFP-DEAAD-AsseAffa/_layouts/15/DocIdRedir.aspx?ID=DEAADBFP-1499948599-55130</Url>
      <Description>DEAADBFP-1499948599-55130</Description>
    </_dlc_DocIdUrl>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F642202A-7910-48D3-9B20-CBF6EF278E89}">
  <ds:schemaRefs>
    <ds:schemaRef ds:uri="http://schemas.openxmlformats.org/officeDocument/2006/bibliography"/>
  </ds:schemaRefs>
</ds:datastoreItem>
</file>

<file path=customXml/itemProps2.xml><?xml version="1.0" encoding="utf-8"?>
<ds:datastoreItem xmlns:ds="http://schemas.openxmlformats.org/officeDocument/2006/customXml" ds:itemID="{C6E098F2-307A-44FC-90F6-388EDA9970FA}"/>
</file>

<file path=customXml/itemProps3.xml><?xml version="1.0" encoding="utf-8"?>
<ds:datastoreItem xmlns:ds="http://schemas.openxmlformats.org/officeDocument/2006/customXml" ds:itemID="{13B879E3-6C92-4586-B71D-05DA6161332F}">
  <ds:schemaRefs>
    <ds:schemaRef ds:uri="http://schemas.microsoft.com/sharepoint/v3/contenttype/forms"/>
  </ds:schemaRefs>
</ds:datastoreItem>
</file>

<file path=customXml/itemProps4.xml><?xml version="1.0" encoding="utf-8"?>
<ds:datastoreItem xmlns:ds="http://schemas.openxmlformats.org/officeDocument/2006/customXml" ds:itemID="{EA20DD98-B66F-4AE8-8C8D-E02E914D5A17}">
  <ds:schemaRefs>
    <ds:schemaRef ds:uri="http://schemas.microsoft.com/office/2006/metadata/properties"/>
    <ds:schemaRef ds:uri="http://schemas.microsoft.com/office/infopath/2007/PartnerControls"/>
    <ds:schemaRef ds:uri="f7672b27-fbab-4d6d-be72-bcd85cf367e7"/>
    <ds:schemaRef ds:uri="cd0d4953-b0b8-485f-82ae-1938e45b3d7a"/>
  </ds:schemaRefs>
</ds:datastoreItem>
</file>

<file path=customXml/itemProps5.xml><?xml version="1.0" encoding="utf-8"?>
<ds:datastoreItem xmlns:ds="http://schemas.openxmlformats.org/officeDocument/2006/customXml" ds:itemID="{1B028FA5-5E20-4DFC-A785-3D7292F15147}">
  <ds:schemaRefs>
    <ds:schemaRef ds:uri="http://schemas.microsoft.com/sharepoint/events"/>
  </ds:schemaRefs>
</ds:datastoreItem>
</file>

<file path=customXml/itemProps6.xml><?xml version="1.0" encoding="utf-8"?>
<ds:datastoreItem xmlns:ds="http://schemas.openxmlformats.org/officeDocument/2006/customXml" ds:itemID="{5155FF18-613E-4C28-9FDE-0E9DE2A5EDCE}"/>
</file>

<file path=docMetadata/LabelInfo.xml><?xml version="1.0" encoding="utf-8"?>
<clbl:labelList xmlns:clbl="http://schemas.microsoft.com/office/2020/mipLabelMetadata">
  <clbl:label id="{1c5722ea-7cec-4a39-b89a-b2b15b4a49fc}" enabled="0" method="" siteId="{1c5722ea-7cec-4a39-b89a-b2b15b4a49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17049</Words>
  <Characters>90020</Characters>
  <Application>Microsoft Office Word</Application>
  <DocSecurity>0</DocSecurity>
  <Lines>2500</Lines>
  <Paragraphs>1338</Paragraphs>
  <ScaleCrop>false</ScaleCrop>
  <Company/>
  <LinksUpToDate>false</LinksUpToDate>
  <CharactersWithSpaces>105731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DFM</dc:creator>
  <cp:keywords/>
  <dc:description/>
  <cp:lastModifiedBy>GENOUD Anne</cp:lastModifiedBy>
  <cp:revision>3</cp:revision>
  <cp:lastPrinted>2026-05-28T14:33:00Z</cp:lastPrinted>
  <dcterms:created xsi:type="dcterms:W3CDTF">2026-06-01T13:02:00Z</dcterms:created>
  <dcterms:modified xsi:type="dcterms:W3CDTF">2026-06-01T13:03:00Z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8bdb46643a1a30713c3f4b02c77e3d7ab80f0af9e7ae448bc9340cef0a082e38</vt:lpwstr>
  </property>
  <property fmtid="{D5CDD505-2E9C-101B-9397-08002B2CF9AE}" pid="3" name="ContentTypeId">
    <vt:lpwstr>0x01010043A0F979BE30A3469F998CB749C11FBD0F007FA3E1EBB780B94A848853097E393549</vt:lpwstr>
  </property>
  <property fmtid="{D5CDD505-2E9C-101B-9397-08002B2CF9AE}" pid="4" name="MediaServiceImageTags">
    <vt:lpwstr/>
  </property>
  <property fmtid="{D5CDD505-2E9C-101B-9397-08002B2CF9AE}" pid="5" name="ClassificationContentMarkingFooterShapeIds">
    <vt:lpwstr>152bcead,4f67e04c,654b3030,3cdca004,6c24892b,59fd10f4,50e512df,28cd81ae,365b07dd</vt:lpwstr>
  </property>
  <property fmtid="{D5CDD505-2E9C-101B-9397-08002B2CF9AE}" pid="6" name="ClassificationContentMarkingFooterFontProps">
    <vt:lpwstr>#ff0000,10,Aptos</vt:lpwstr>
  </property>
  <property fmtid="{D5CDD505-2E9C-101B-9397-08002B2CF9AE}" pid="7" name="ClassificationContentMarkingFooterText">
    <vt:lpwstr>WIPO CONFIDENTIAL </vt:lpwstr>
  </property>
  <property fmtid="{D5CDD505-2E9C-101B-9397-08002B2CF9AE}" pid="8" name="VisualMarkings">
    <vt:lpwstr>Footer</vt:lpwstr>
  </property>
  <property fmtid="{D5CDD505-2E9C-101B-9397-08002B2CF9AE}" pid="9" name="Classification">
    <vt:lpwstr>For Official Use Only</vt:lpwstr>
  </property>
  <property fmtid="{D5CDD505-2E9C-101B-9397-08002B2CF9AE}" pid="10" name="Alignment">
    <vt:lpwstr>Centre</vt:lpwstr>
  </property>
  <property fmtid="{D5CDD505-2E9C-101B-9397-08002B2CF9AE}" pid="11" name="Sensitivity">
    <vt:lpwstr>CONFIDENTIAL</vt:lpwstr>
  </property>
  <property fmtid="{D5CDD505-2E9C-101B-9397-08002B2CF9AE}" pid="12" name="MSIP_Label_129d12b7-1a6c-4a2a-bdcd-2c4f41019546_Extended_MSFT_Method">
    <vt:lpwstr>Standard</vt:lpwstr>
  </property>
  <property fmtid="{D5CDD505-2E9C-101B-9397-08002B2CF9AE}" pid="13" name="MSIP_Label_129d12b7-1a6c-4a2a-bdcd-2c4f41019546_Removed">
    <vt:lpwstr>False</vt:lpwstr>
  </property>
  <property fmtid="{D5CDD505-2E9C-101B-9397-08002B2CF9AE}" pid="14" name="MSIP_Label_129d12b7-1a6c-4a2a-bdcd-2c4f41019546_ActionId">
    <vt:lpwstr>bc6f2ec4-1659-424b-ac09-a9f9e76796ec</vt:lpwstr>
  </property>
  <property fmtid="{D5CDD505-2E9C-101B-9397-08002B2CF9AE}" pid="15" name="Language">
    <vt:lpwstr>English</vt:lpwstr>
  </property>
  <property fmtid="{D5CDD505-2E9C-101B-9397-08002B2CF9AE}" pid="16" name="MSIP_Label_129d12b7-1a6c-4a2a-bdcd-2c4f41019546_Name">
    <vt:lpwstr>CONFIDENTIAL</vt:lpwstr>
  </property>
  <property fmtid="{D5CDD505-2E9C-101B-9397-08002B2CF9AE}" pid="17" name="MSIP_Label_129d12b7-1a6c-4a2a-bdcd-2c4f41019546_SetDate">
    <vt:lpwstr>2026-06-30T15:36:42Z</vt:lpwstr>
  </property>
  <property fmtid="{D5CDD505-2E9C-101B-9397-08002B2CF9AE}" pid="18" name="TitusGUID">
    <vt:lpwstr>1e9ce151-ed55-4aa2-a1f1-4ee82bdce666</vt:lpwstr>
  </property>
  <property fmtid="{D5CDD505-2E9C-101B-9397-08002B2CF9AE}" pid="19" name="MSIP_Label_129d12b7-1a6c-4a2a-bdcd-2c4f41019546_SiteId">
    <vt:lpwstr>faa31b06-8ccc-48c9-867f-f7510dd11c02</vt:lpwstr>
  </property>
  <property fmtid="{D5CDD505-2E9C-101B-9397-08002B2CF9AE}" pid="20" name="MSIP_Label_129d12b7-1a6c-4a2a-bdcd-2c4f41019546_Enabled">
    <vt:lpwstr>True</vt:lpwstr>
  </property>
  <property fmtid="{D5CDD505-2E9C-101B-9397-08002B2CF9AE}" pid="21" name="TCSClassification">
    <vt:lpwstr>FOR OFFICIAL USE ONLY</vt:lpwstr>
  </property>
  <property fmtid="{D5CDD505-2E9C-101B-9397-08002B2CF9AE}" pid="22" name="_dlc_DocIdItemGuid">
    <vt:lpwstr>fd166adb-6929-406d-99d6-ef4121102345</vt:lpwstr>
  </property>
  <property fmtid="{D5CDD505-2E9C-101B-9397-08002B2CF9AE}" pid="23" name="BusinessUnit">
    <vt:lpwstr>3;#Diplomatic Engagement and Assemblies Affairs Division|c4a5cf71-800f-4e10-aab9-36d8b83eadc2</vt:lpwstr>
  </property>
  <property fmtid="{D5CDD505-2E9C-101B-9397-08002B2CF9AE}" pid="24" name="RMClassification">
    <vt:lpwstr>7;#09 Official Meeting Documents|1c3d7eba-ea38-434e-9ba8-de39eb589212</vt:lpwstr>
  </property>
  <property fmtid="{D5CDD505-2E9C-101B-9397-08002B2CF9AE}" pid="25" name="Body1">
    <vt:lpwstr/>
  </property>
  <property fmtid="{D5CDD505-2E9C-101B-9397-08002B2CF9AE}" pid="26" name="Languages">
    <vt:lpwstr>1;#English|950e6fa2-2df0-4983-a604-54e57c7a6d93</vt:lpwstr>
  </property>
  <property fmtid="{D5CDD505-2E9C-101B-9397-08002B2CF9AE}" pid="27" name="lcf76f155ced4ddcb4097134ff3c332f">
    <vt:lpwstr/>
  </property>
</Properties>
</file>