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732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B9514D" wp14:editId="7C70E0B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AEE7D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p8vO&#10;atkCAAD8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160543E3" w14:textId="4AB89A7B" w:rsidR="007E1D1A" w:rsidRPr="000B6D64" w:rsidRDefault="007E1D1A" w:rsidP="004F1434">
      <w:pPr>
        <w:bidi w:val="0"/>
        <w:rPr>
          <w:rFonts w:ascii="Arial Black" w:hAnsi="Arial Black"/>
          <w:caps/>
          <w:sz w:val="15"/>
          <w:szCs w:val="15"/>
          <w:rtl/>
          <w:lang w:val="fr-CH" w:bidi="ar-SY"/>
        </w:rPr>
      </w:pPr>
      <w:bookmarkStart w:id="0" w:name="Original"/>
      <w:r w:rsidRPr="007E1D1A">
        <w:rPr>
          <w:rFonts w:ascii="Arial Black" w:hAnsi="Arial Black"/>
          <w:caps/>
          <w:sz w:val="15"/>
          <w:szCs w:val="15"/>
        </w:rPr>
        <w:t>A/</w:t>
      </w:r>
      <w:r w:rsidR="004F1434">
        <w:rPr>
          <w:rFonts w:ascii="Arial Black" w:hAnsi="Arial Black"/>
          <w:caps/>
          <w:sz w:val="15"/>
          <w:szCs w:val="15"/>
        </w:rPr>
        <w:t>6</w:t>
      </w:r>
      <w:r w:rsidR="00CA5A89">
        <w:rPr>
          <w:rFonts w:ascii="Arial Black" w:hAnsi="Arial Black"/>
          <w:caps/>
          <w:sz w:val="15"/>
          <w:szCs w:val="15"/>
        </w:rPr>
        <w:t>6</w:t>
      </w:r>
      <w:r w:rsidR="004709F6">
        <w:rPr>
          <w:rFonts w:ascii="Arial Black" w:hAnsi="Arial Black"/>
          <w:caps/>
          <w:sz w:val="15"/>
          <w:szCs w:val="15"/>
        </w:rPr>
        <w:t>/</w:t>
      </w:r>
      <w:r w:rsidR="005A04DA">
        <w:rPr>
          <w:rFonts w:ascii="Arial Black" w:hAnsi="Arial Black"/>
          <w:caps/>
          <w:sz w:val="15"/>
          <w:szCs w:val="15"/>
        </w:rPr>
        <w:t>INF/3</w:t>
      </w:r>
    </w:p>
    <w:p w14:paraId="630A0F17" w14:textId="2DD6139C" w:rsidR="008B2CC1" w:rsidRPr="004F1434" w:rsidRDefault="00CC3E2D" w:rsidP="00CC3E2D">
      <w:pPr>
        <w:jc w:val="right"/>
        <w:rPr>
          <w:rFonts w:asciiTheme="minorHAnsi" w:hAnsiTheme="minorHAnsi" w:cstheme="minorHAnsi"/>
          <w:b/>
          <w:bCs/>
          <w:caps/>
          <w:sz w:val="15"/>
          <w:szCs w:val="15"/>
        </w:rPr>
      </w:pPr>
      <w:r w:rsidRPr="004F1434">
        <w:rPr>
          <w:rFonts w:asciiTheme="minorHAnsi" w:hAnsiTheme="minorHAnsi" w:cstheme="minorHAnsi" w:hint="cs"/>
          <w:b/>
          <w:bCs/>
          <w:caps/>
          <w:sz w:val="15"/>
          <w:szCs w:val="15"/>
          <w:rtl/>
        </w:rPr>
        <w:t>الأصل:</w:t>
      </w:r>
      <w:r w:rsidR="00E72E63">
        <w:rPr>
          <w:rFonts w:asciiTheme="minorHAnsi" w:hAnsiTheme="minorHAnsi" w:cstheme="minorHAnsi" w:hint="cs"/>
          <w:b/>
          <w:bCs/>
          <w:caps/>
          <w:sz w:val="15"/>
          <w:szCs w:val="15"/>
          <w:rtl/>
        </w:rPr>
        <w:t xml:space="preserve"> بالإنكليزية</w:t>
      </w:r>
    </w:p>
    <w:p w14:paraId="13F1C4F8" w14:textId="35B49AE9" w:rsidR="008B2CC1" w:rsidRPr="00D35390" w:rsidRDefault="00CC3E2D" w:rsidP="00290E36">
      <w:pPr>
        <w:spacing w:after="1200"/>
        <w:jc w:val="right"/>
        <w:rPr>
          <w:rFonts w:asciiTheme="minorHAnsi" w:hAnsiTheme="minorHAnsi" w:cstheme="minorHAnsi"/>
          <w:b/>
          <w:bCs/>
          <w:caps/>
          <w:sz w:val="15"/>
          <w:szCs w:val="15"/>
          <w:lang w:val="fr-CH" w:bidi="ar-LB"/>
        </w:rPr>
      </w:pPr>
      <w:bookmarkStart w:id="1" w:name="Date"/>
      <w:bookmarkEnd w:id="0"/>
      <w:r w:rsidRPr="00D35390">
        <w:rPr>
          <w:rFonts w:asciiTheme="minorHAnsi" w:hAnsiTheme="minorHAnsi" w:cstheme="minorHAnsi" w:hint="cs"/>
          <w:b/>
          <w:bCs/>
          <w:caps/>
          <w:sz w:val="15"/>
          <w:szCs w:val="15"/>
          <w:rtl/>
        </w:rPr>
        <w:t>التاريخ:</w:t>
      </w:r>
      <w:r w:rsidR="00E72E63" w:rsidRPr="00D35390">
        <w:rPr>
          <w:rFonts w:asciiTheme="minorHAnsi" w:hAnsiTheme="minorHAnsi" w:cstheme="minorHAnsi" w:hint="cs"/>
          <w:b/>
          <w:bCs/>
          <w:caps/>
          <w:sz w:val="15"/>
          <w:szCs w:val="15"/>
          <w:rtl/>
        </w:rPr>
        <w:t xml:space="preserve"> </w:t>
      </w:r>
      <w:r w:rsidR="00D35390" w:rsidRPr="00D35390">
        <w:rPr>
          <w:rFonts w:asciiTheme="minorHAnsi" w:hAnsiTheme="minorHAnsi" w:cstheme="minorHAnsi" w:hint="cs"/>
          <w:b/>
          <w:bCs/>
          <w:caps/>
          <w:sz w:val="15"/>
          <w:szCs w:val="15"/>
          <w:rtl/>
        </w:rPr>
        <w:t>4 ي</w:t>
      </w:r>
      <w:r w:rsidR="00E72E63" w:rsidRPr="00D35390">
        <w:rPr>
          <w:rFonts w:asciiTheme="minorHAnsi" w:hAnsiTheme="minorHAnsi" w:cstheme="minorHAnsi" w:hint="cs"/>
          <w:b/>
          <w:bCs/>
          <w:caps/>
          <w:sz w:val="15"/>
          <w:szCs w:val="15"/>
          <w:rtl/>
        </w:rPr>
        <w:t>وليو 2025</w:t>
      </w:r>
    </w:p>
    <w:bookmarkEnd w:id="1"/>
    <w:p w14:paraId="3D1E08E1"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44476EB6" w14:textId="77777777" w:rsidR="002253C1" w:rsidRDefault="002253C1" w:rsidP="00250149">
      <w:pPr>
        <w:outlineLvl w:val="1"/>
        <w:rPr>
          <w:b/>
          <w:bCs/>
          <w:caps/>
          <w:kern w:val="32"/>
          <w:sz w:val="32"/>
          <w:szCs w:val="32"/>
          <w:rtl/>
        </w:rPr>
      </w:pPr>
    </w:p>
    <w:p w14:paraId="036F2732" w14:textId="77777777"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CA5A89" w:rsidRPr="00CA5A89">
        <w:rPr>
          <w:rFonts w:asciiTheme="minorHAnsi" w:hAnsiTheme="minorHAnsi"/>
          <w:bCs/>
          <w:sz w:val="24"/>
          <w:szCs w:val="24"/>
          <w:rtl/>
          <w:lang w:bidi="ar-LB"/>
        </w:rPr>
        <w:t xml:space="preserve">السادسة </w:t>
      </w:r>
      <w:r>
        <w:rPr>
          <w:rFonts w:asciiTheme="minorHAnsi" w:hAnsiTheme="minorHAnsi" w:hint="cs"/>
          <w:bCs/>
          <w:sz w:val="24"/>
          <w:szCs w:val="24"/>
          <w:rtl/>
        </w:rPr>
        <w:t>والستون</w:t>
      </w:r>
    </w:p>
    <w:p w14:paraId="5A3F4BEE" w14:textId="77777777" w:rsidR="008B2CC1" w:rsidRPr="00D67EAE" w:rsidRDefault="00D67EAE" w:rsidP="00CF7C8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4F1434">
        <w:rPr>
          <w:rFonts w:asciiTheme="minorHAnsi" w:hAnsiTheme="minorHAnsi" w:cstheme="minorHAnsi" w:hint="cs"/>
          <w:bCs/>
          <w:sz w:val="24"/>
          <w:szCs w:val="24"/>
          <w:rtl/>
        </w:rPr>
        <w:t xml:space="preserve"> </w:t>
      </w:r>
      <w:r w:rsidR="00CA5A89">
        <w:rPr>
          <w:rFonts w:asciiTheme="minorHAnsi" w:hAnsiTheme="minorHAnsi" w:cstheme="minorHAnsi" w:hint="cs"/>
          <w:bCs/>
          <w:sz w:val="24"/>
          <w:szCs w:val="24"/>
          <w:rtl/>
        </w:rPr>
        <w:t>8</w:t>
      </w:r>
      <w:r w:rsidR="004F1434">
        <w:rPr>
          <w:rFonts w:asciiTheme="minorHAnsi" w:hAnsiTheme="minorHAnsi" w:cstheme="minorHAnsi" w:hint="cs"/>
          <w:bCs/>
          <w:sz w:val="24"/>
          <w:szCs w:val="24"/>
          <w:rtl/>
        </w:rPr>
        <w:t xml:space="preserve"> إل</w:t>
      </w:r>
      <w:r w:rsidR="002253C1" w:rsidRPr="002253C1">
        <w:rPr>
          <w:rFonts w:asciiTheme="minorHAnsi" w:hAnsiTheme="minorHAnsi" w:cstheme="minorHAnsi"/>
          <w:bCs/>
          <w:sz w:val="24"/>
          <w:szCs w:val="24"/>
          <w:rtl/>
        </w:rPr>
        <w:t>ى</w:t>
      </w:r>
      <w:r w:rsidR="000779AC">
        <w:rPr>
          <w:rFonts w:asciiTheme="minorHAnsi" w:hAnsiTheme="minorHAnsi" w:cstheme="minorHAnsi" w:hint="cs"/>
          <w:bCs/>
          <w:sz w:val="24"/>
          <w:szCs w:val="24"/>
          <w:rtl/>
        </w:rPr>
        <w:t xml:space="preserve"> </w:t>
      </w:r>
      <w:r w:rsidR="004F1434">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CA5A89">
        <w:rPr>
          <w:rFonts w:asciiTheme="minorHAnsi" w:hAnsiTheme="minorHAnsi" w:cstheme="minorHAnsi" w:hint="cs"/>
          <w:bCs/>
          <w:sz w:val="24"/>
          <w:szCs w:val="24"/>
          <w:rtl/>
        </w:rPr>
        <w:t>2025</w:t>
      </w:r>
    </w:p>
    <w:p w14:paraId="4950CE17" w14:textId="5659F740" w:rsidR="008B2CC1" w:rsidRPr="00D67EAE" w:rsidRDefault="00E72E63" w:rsidP="00E72E63">
      <w:pPr>
        <w:spacing w:after="360"/>
        <w:outlineLvl w:val="0"/>
        <w:rPr>
          <w:rFonts w:asciiTheme="minorHAnsi" w:hAnsiTheme="minorHAnsi" w:cstheme="minorHAnsi"/>
          <w:caps/>
          <w:sz w:val="24"/>
        </w:rPr>
      </w:pPr>
      <w:bookmarkStart w:id="2" w:name="TitleOfDoc"/>
      <w:r w:rsidRPr="00E72E63">
        <w:rPr>
          <w:rFonts w:asciiTheme="minorHAnsi" w:hAnsiTheme="minorHAnsi" w:hint="cs"/>
          <w:caps/>
          <w:sz w:val="28"/>
          <w:szCs w:val="24"/>
          <w:rtl/>
        </w:rPr>
        <w:t>حالات الانضمام إلى</w:t>
      </w:r>
      <w:r w:rsidRPr="00E72E63">
        <w:rPr>
          <w:rFonts w:asciiTheme="minorHAnsi" w:hAnsiTheme="minorHAnsi"/>
          <w:caps/>
          <w:sz w:val="28"/>
          <w:szCs w:val="24"/>
          <w:rtl/>
        </w:rPr>
        <w:t xml:space="preserve"> المعاهدات التي تديرها الويبو و</w:t>
      </w:r>
      <w:r w:rsidRPr="00E72E63">
        <w:rPr>
          <w:rFonts w:asciiTheme="minorHAnsi" w:hAnsiTheme="minorHAnsi" w:hint="cs"/>
          <w:caps/>
          <w:sz w:val="28"/>
          <w:szCs w:val="24"/>
          <w:rtl/>
        </w:rPr>
        <w:t xml:space="preserve">وضع </w:t>
      </w:r>
      <w:r w:rsidRPr="00E72E63">
        <w:rPr>
          <w:rFonts w:asciiTheme="minorHAnsi" w:hAnsiTheme="minorHAnsi"/>
          <w:caps/>
          <w:sz w:val="28"/>
          <w:szCs w:val="24"/>
          <w:rtl/>
        </w:rPr>
        <w:t>الإصلاح الدستوري</w:t>
      </w:r>
    </w:p>
    <w:p w14:paraId="3BFF2006" w14:textId="5D61FCFC" w:rsidR="002928D3" w:rsidRDefault="00E72E63" w:rsidP="00E72E63">
      <w:pPr>
        <w:spacing w:after="1040"/>
        <w:rPr>
          <w:rFonts w:asciiTheme="minorHAnsi" w:hAnsiTheme="minorHAnsi"/>
          <w:iCs/>
          <w:rtl/>
        </w:rPr>
      </w:pPr>
      <w:bookmarkStart w:id="3" w:name="Prepared"/>
      <w:bookmarkEnd w:id="2"/>
      <w:bookmarkEnd w:id="3"/>
      <w:r w:rsidRPr="00E72E63">
        <w:rPr>
          <w:rFonts w:asciiTheme="minorHAnsi" w:hAnsiTheme="minorHAnsi" w:hint="cs"/>
          <w:iCs/>
          <w:rtl/>
        </w:rPr>
        <w:t xml:space="preserve">وثيقة معلومات </w:t>
      </w:r>
      <w:r w:rsidRPr="00E72E63">
        <w:rPr>
          <w:rFonts w:asciiTheme="minorHAnsi" w:hAnsiTheme="minorHAnsi"/>
          <w:iCs/>
          <w:rtl/>
        </w:rPr>
        <w:t>من إعداد</w:t>
      </w:r>
      <w:r w:rsidRPr="00E72E63">
        <w:rPr>
          <w:rFonts w:asciiTheme="minorHAnsi" w:hAnsiTheme="minorHAnsi" w:hint="cs"/>
          <w:iCs/>
          <w:rtl/>
        </w:rPr>
        <w:t xml:space="preserve"> الأمانة</w:t>
      </w:r>
    </w:p>
    <w:p w14:paraId="610D9063" w14:textId="6A25569F" w:rsidR="00E72E63" w:rsidRDefault="00E72E63" w:rsidP="00E72E63">
      <w:pPr>
        <w:pStyle w:val="BodyText"/>
        <w:rPr>
          <w:lang w:eastAsia="en-US" w:bidi="ar-EG"/>
        </w:rPr>
      </w:pPr>
      <w:r w:rsidRPr="00EA2BB0">
        <w:rPr>
          <w:rFonts w:hint="cs"/>
          <w:rtl/>
          <w:lang w:eastAsia="en-US"/>
        </w:rPr>
        <w:t xml:space="preserve">تورد هذه الوثيقة </w:t>
      </w:r>
      <w:r>
        <w:rPr>
          <w:rFonts w:hint="cs"/>
          <w:rtl/>
          <w:lang w:eastAsia="en-US"/>
        </w:rPr>
        <w:t>وضع حالات الانضمام إلى</w:t>
      </w:r>
      <w:r w:rsidRPr="00EA2BB0">
        <w:rPr>
          <w:rFonts w:hint="cs"/>
          <w:rtl/>
          <w:lang w:eastAsia="en-US"/>
        </w:rPr>
        <w:t xml:space="preserve"> المعاهدات التي تديرها المنظمة العالمية للملكية الفكرية (الويبو)</w:t>
      </w:r>
      <w:r w:rsidRPr="00EA2BB0">
        <w:rPr>
          <w:rFonts w:hint="cs"/>
          <w:rtl/>
          <w:lang w:eastAsia="en-US" w:bidi="ar-EG"/>
        </w:rPr>
        <w:t>، التي حُدِّثَت إما عن طريق اعتماد وثيقة أو صك جديد</w:t>
      </w:r>
      <w:r w:rsidRPr="004F1530">
        <w:rPr>
          <w:rStyle w:val="FootnoteReference"/>
          <w:rFonts w:asciiTheme="minorHAnsi" w:hAnsiTheme="minorHAnsi" w:cstheme="minorHAnsi"/>
          <w:sz w:val="22"/>
          <w:szCs w:val="22"/>
          <w:rtl/>
          <w:lang w:eastAsia="en-US" w:bidi="ar-EG"/>
        </w:rPr>
        <w:footnoteReference w:id="2"/>
      </w:r>
      <w:r w:rsidRPr="004F1530">
        <w:rPr>
          <w:rFonts w:asciiTheme="minorHAnsi" w:hAnsiTheme="minorHAnsi" w:cstheme="minorHAnsi"/>
          <w:rtl/>
          <w:lang w:eastAsia="en-US" w:bidi="ar-EG"/>
        </w:rPr>
        <w:t xml:space="preserve"> </w:t>
      </w:r>
      <w:r w:rsidRPr="00EA2BB0">
        <w:rPr>
          <w:rFonts w:hint="cs"/>
          <w:rtl/>
          <w:lang w:eastAsia="en-US" w:bidi="ar-EG"/>
        </w:rPr>
        <w:t>(يتطلبان الانضمام</w:t>
      </w:r>
      <w:r w:rsidRPr="00EA2BB0">
        <w:rPr>
          <w:rFonts w:hint="eastAsia"/>
          <w:rtl/>
          <w:lang w:eastAsia="en-US" w:bidi="ar-EG"/>
        </w:rPr>
        <w:t> </w:t>
      </w:r>
      <w:r w:rsidRPr="00EA2BB0">
        <w:rPr>
          <w:rFonts w:hint="cs"/>
          <w:rtl/>
          <w:lang w:eastAsia="en-US" w:bidi="ar-EG"/>
        </w:rPr>
        <w:t>إليهما)، أو عن طريق تعديل</w:t>
      </w:r>
      <w:r w:rsidR="004F1530" w:rsidRPr="004F1530">
        <w:rPr>
          <w:rStyle w:val="FootnoteReference"/>
          <w:rFonts w:asciiTheme="minorHAnsi" w:hAnsiTheme="minorHAnsi" w:cstheme="minorHAnsi"/>
          <w:sz w:val="22"/>
          <w:szCs w:val="22"/>
          <w:rtl/>
          <w:lang w:eastAsia="en-US" w:bidi="ar-EG"/>
        </w:rPr>
        <w:footnoteReference w:id="3"/>
      </w:r>
      <w:r w:rsidR="004F1530">
        <w:rPr>
          <w:rFonts w:hint="cs"/>
          <w:rtl/>
          <w:lang w:eastAsia="en-US" w:bidi="ar-EG"/>
        </w:rPr>
        <w:t xml:space="preserve"> </w:t>
      </w:r>
      <w:r w:rsidRPr="00EA2BB0">
        <w:rPr>
          <w:rFonts w:hint="cs"/>
          <w:rtl/>
          <w:lang w:eastAsia="en-US" w:bidi="ar-EG"/>
        </w:rPr>
        <w:t>(يتطلب قبوله)</w:t>
      </w:r>
      <w:r>
        <w:rPr>
          <w:rFonts w:hint="cs"/>
          <w:rtl/>
          <w:lang w:eastAsia="en-US" w:bidi="ar-EG"/>
        </w:rPr>
        <w:t>،</w:t>
      </w:r>
      <w:r w:rsidRPr="00EA2BB0">
        <w:rPr>
          <w:rFonts w:hint="cs"/>
          <w:rtl/>
          <w:lang w:eastAsia="en-US" w:bidi="ar-EG"/>
        </w:rPr>
        <w:t xml:space="preserve"> كما هو موصوف في الجزأين الأول والثاني من هذه الوثيقة، على التوالي.</w:t>
      </w:r>
      <w:r>
        <w:rPr>
          <w:rFonts w:hint="cs"/>
          <w:rtl/>
          <w:lang w:eastAsia="en-US" w:bidi="ar-EG"/>
        </w:rPr>
        <w:t xml:space="preserve"> </w:t>
      </w:r>
      <w:r w:rsidRPr="004D1244">
        <w:rPr>
          <w:rtl/>
          <w:lang w:eastAsia="en-US" w:bidi="ar-EG"/>
        </w:rPr>
        <w:t>والغرض من هذه الوثيقة هو تذكير بعض الأطراف المتعاقدة بالحاجة إلى النظر في تحديث حالات انضمامها إلى تلك المعاهدات، حسب الاقتضاء، ودعوتها بكل احترام إلى اتخاذ هذا الإجراء</w:t>
      </w:r>
      <w:r>
        <w:rPr>
          <w:rFonts w:hint="cs"/>
          <w:rtl/>
          <w:lang w:eastAsia="en-US" w:bidi="ar-EG"/>
        </w:rPr>
        <w:t>.</w:t>
      </w:r>
    </w:p>
    <w:p w14:paraId="59B58D04" w14:textId="13F4643C" w:rsidR="00E72E63" w:rsidRPr="00380969" w:rsidRDefault="004F1530" w:rsidP="00E72E63">
      <w:pPr>
        <w:keepNext/>
        <w:spacing w:after="220"/>
        <w:outlineLvl w:val="2"/>
        <w:rPr>
          <w:sz w:val="26"/>
          <w:szCs w:val="26"/>
          <w:rtl/>
          <w:lang w:bidi="ar-EG"/>
        </w:rPr>
      </w:pPr>
      <w:r>
        <w:rPr>
          <w:rFonts w:hint="cs"/>
          <w:sz w:val="26"/>
          <w:szCs w:val="26"/>
          <w:rtl/>
          <w:lang w:bidi="ar-EG"/>
        </w:rPr>
        <w:t>أولاً</w:t>
      </w:r>
      <w:r>
        <w:rPr>
          <w:sz w:val="26"/>
          <w:szCs w:val="26"/>
          <w:rtl/>
          <w:lang w:bidi="ar-EG"/>
        </w:rPr>
        <w:tab/>
      </w:r>
      <w:r w:rsidR="00E72E63" w:rsidRPr="00380969">
        <w:rPr>
          <w:rFonts w:hint="cs"/>
          <w:sz w:val="26"/>
          <w:szCs w:val="26"/>
          <w:rtl/>
          <w:lang w:bidi="ar-EG"/>
        </w:rPr>
        <w:t>وضع حالات الانضمام إلى بعض المعاهدات التي تديرها الويبو</w:t>
      </w:r>
    </w:p>
    <w:p w14:paraId="24EFA83F" w14:textId="5236A963" w:rsidR="00E72E63" w:rsidRPr="00EA2BB0" w:rsidRDefault="0087007A" w:rsidP="00E72E63">
      <w:pPr>
        <w:keepNext/>
        <w:spacing w:after="220"/>
        <w:outlineLvl w:val="3"/>
        <w:rPr>
          <w:sz w:val="24"/>
          <w:szCs w:val="24"/>
          <w:lang w:bidi="ar-EG"/>
        </w:rPr>
      </w:pPr>
      <w:r>
        <w:rPr>
          <w:rFonts w:hint="cs"/>
          <w:b/>
          <w:iCs/>
          <w:sz w:val="24"/>
          <w:szCs w:val="24"/>
          <w:rtl/>
          <w:lang w:bidi="ar-EG"/>
        </w:rPr>
        <w:t>ألف.</w:t>
      </w:r>
      <w:r>
        <w:rPr>
          <w:b/>
          <w:iCs/>
          <w:sz w:val="24"/>
          <w:szCs w:val="24"/>
          <w:rtl/>
          <w:lang w:bidi="ar-EG"/>
        </w:rPr>
        <w:tab/>
      </w:r>
      <w:r w:rsidR="00E72E63" w:rsidRPr="00EA2BB0">
        <w:rPr>
          <w:b/>
          <w:iCs/>
          <w:sz w:val="24"/>
          <w:szCs w:val="24"/>
          <w:rtl/>
          <w:lang w:bidi="ar-EG"/>
        </w:rPr>
        <w:t>اتفاقية باريس لحماية الملكية الصناعية</w:t>
      </w:r>
      <w:r w:rsidR="00E72E63" w:rsidRPr="00EA2BB0">
        <w:rPr>
          <w:rFonts w:hint="cs"/>
          <w:b/>
          <w:iCs/>
          <w:sz w:val="24"/>
          <w:szCs w:val="24"/>
          <w:rtl/>
          <w:lang w:bidi="ar-EG"/>
        </w:rPr>
        <w:t xml:space="preserve"> (1883)</w:t>
      </w:r>
    </w:p>
    <w:p w14:paraId="191651E7" w14:textId="77777777" w:rsidR="00E72E63" w:rsidRPr="00EA2BB0" w:rsidRDefault="00E72E63" w:rsidP="004F1530">
      <w:pPr>
        <w:pStyle w:val="ONUMA"/>
      </w:pPr>
      <w:r w:rsidRPr="00EA2BB0">
        <w:rPr>
          <w:rFonts w:hint="cs"/>
          <w:rtl/>
          <w:lang w:bidi="ar-EG"/>
        </w:rPr>
        <w:t xml:space="preserve">روجعت </w:t>
      </w:r>
      <w:r w:rsidRPr="00EA2BB0">
        <w:rPr>
          <w:rtl/>
          <w:lang w:bidi="ar-EG"/>
        </w:rPr>
        <w:t xml:space="preserve">اتفاقية باريس لحماية الملكية الصناعية </w:t>
      </w:r>
      <w:r w:rsidRPr="00EA2BB0">
        <w:rPr>
          <w:rFonts w:hint="cs"/>
          <w:rtl/>
          <w:lang w:bidi="ar-EG"/>
        </w:rPr>
        <w:t>(اتفاقية باريس) عدة مرّات منذ إبرامها في 1883. وروجعت في بروكسل (1900) وواشنطن (1911) ولاهاي (1925) ولندن (1934) ولشبونة (1958) واستوكهولم (1967) وعُدّلت في 1979.</w:t>
      </w:r>
    </w:p>
    <w:p w14:paraId="0850DCAB" w14:textId="77777777" w:rsidR="00E72E63" w:rsidRPr="00EA2BB0" w:rsidRDefault="00E72E63" w:rsidP="004F1530">
      <w:pPr>
        <w:pStyle w:val="ONUMA"/>
      </w:pPr>
      <w:r w:rsidRPr="00EA2BB0">
        <w:rPr>
          <w:rFonts w:hint="cs"/>
          <w:rtl/>
          <w:lang w:bidi="ar-EG"/>
        </w:rPr>
        <w:t>ولأسباب تاريخية، مَنحت مراجعةُ استوكهولم الأطرافَ المتعاقدة فرصةً إما للقبول بجزء واحد فقط من المراجعة (المواد من 1 إلى 12، التي فيها الأحكام الموضوعية، أو المواد من 13 إلى 30، التي فيها الأحكام الختامية والإدارية)، أو قبول جزء قبل الثاني.</w:t>
      </w:r>
    </w:p>
    <w:p w14:paraId="212E461E" w14:textId="77777777" w:rsidR="00E72E63" w:rsidRPr="00EA2BB0" w:rsidRDefault="00E72E63" w:rsidP="004F1530">
      <w:pPr>
        <w:pStyle w:val="ONUMA"/>
      </w:pPr>
      <w:r w:rsidRPr="00EA2BB0">
        <w:rPr>
          <w:rFonts w:hint="cs"/>
          <w:rtl/>
          <w:lang w:bidi="ar-EG"/>
        </w:rPr>
        <w:t>ولا تزال بعض الدول التي استبعدت الأحكام الموضوعية من قبولها لوثيقة استوكهولم، حتى اليوم، ملتزمة بالأحكام الموضوعية لوثيقة أقدم لا تعكس الفكر الأحدث بشأن المسائل التي تغطيها الاتفاقية. والدول الأعضاء المعنية هي الأرجنتين و</w:t>
      </w:r>
      <w:r w:rsidRPr="00EA2BB0">
        <w:rPr>
          <w:rtl/>
          <w:lang w:bidi="ar-EG"/>
        </w:rPr>
        <w:t>جزر البهاما</w:t>
      </w:r>
      <w:r w:rsidRPr="00EA2BB0">
        <w:rPr>
          <w:rFonts w:hint="cs"/>
          <w:rtl/>
          <w:lang w:bidi="ar-EG"/>
        </w:rPr>
        <w:t xml:space="preserve"> ولبنان ومالطة والفلبين و</w:t>
      </w:r>
      <w:r w:rsidRPr="00EA2BB0">
        <w:rPr>
          <w:rtl/>
          <w:lang w:bidi="ar-EG"/>
        </w:rPr>
        <w:t>سري لانكا</w:t>
      </w:r>
      <w:r w:rsidRPr="00EA2BB0">
        <w:rPr>
          <w:rFonts w:hint="cs"/>
          <w:rtl/>
          <w:lang w:bidi="ar-EG"/>
        </w:rPr>
        <w:t xml:space="preserve"> و</w:t>
      </w:r>
      <w:r w:rsidRPr="00EA2BB0">
        <w:rPr>
          <w:rtl/>
          <w:lang w:bidi="ar-EG"/>
        </w:rPr>
        <w:t>جمهوري</w:t>
      </w:r>
      <w:r w:rsidRPr="00EA2BB0">
        <w:rPr>
          <w:rFonts w:hint="cs"/>
          <w:rtl/>
          <w:lang w:bidi="ar-EG"/>
        </w:rPr>
        <w:t xml:space="preserve">ة </w:t>
      </w:r>
      <w:r w:rsidRPr="00EA2BB0">
        <w:rPr>
          <w:rtl/>
          <w:lang w:bidi="ar-EG"/>
        </w:rPr>
        <w:t>تنزانيا المتحدة</w:t>
      </w:r>
      <w:r w:rsidRPr="00EA2BB0">
        <w:rPr>
          <w:rFonts w:hint="cs"/>
          <w:rtl/>
          <w:lang w:bidi="ar-EG"/>
        </w:rPr>
        <w:t xml:space="preserve"> و</w:t>
      </w:r>
      <w:r w:rsidRPr="00EA2BB0">
        <w:rPr>
          <w:rtl/>
          <w:lang w:bidi="ar-EG"/>
        </w:rPr>
        <w:t>زامبيا</w:t>
      </w:r>
      <w:r w:rsidRPr="00EA2BB0">
        <w:rPr>
          <w:rFonts w:hint="cs"/>
          <w:rtl/>
          <w:lang w:bidi="ar-EG"/>
        </w:rPr>
        <w:t>.</w:t>
      </w:r>
    </w:p>
    <w:p w14:paraId="0744B702" w14:textId="2211287E" w:rsidR="00E72E63" w:rsidRDefault="00E72E63" w:rsidP="004F1530">
      <w:pPr>
        <w:pStyle w:val="ONUMA"/>
      </w:pPr>
      <w:r w:rsidRPr="00EA2BB0">
        <w:rPr>
          <w:rFonts w:hint="cs"/>
          <w:rtl/>
          <w:lang w:bidi="ar-EG"/>
        </w:rPr>
        <w:lastRenderedPageBreak/>
        <w:t xml:space="preserve">ولم تنضم دولتان من الدول الأعضاء، وهما </w:t>
      </w:r>
      <w:r w:rsidRPr="00EA2BB0">
        <w:rPr>
          <w:rtl/>
          <w:lang w:bidi="ar-EG"/>
        </w:rPr>
        <w:t>الجمهورية الدومينيكية</w:t>
      </w:r>
      <w:r w:rsidRPr="00EA2BB0">
        <w:rPr>
          <w:rFonts w:hint="cs"/>
          <w:rtl/>
          <w:lang w:bidi="ar-EG"/>
        </w:rPr>
        <w:t xml:space="preserve"> ونيجيريا، إلى وثيقة استوكهولم مطلقاً، ولكنهما لا يزالا</w:t>
      </w:r>
      <w:r w:rsidRPr="00EA2BB0">
        <w:rPr>
          <w:rFonts w:hint="eastAsia"/>
          <w:rtl/>
          <w:lang w:bidi="ar-EG"/>
        </w:rPr>
        <w:t>ن</w:t>
      </w:r>
      <w:r w:rsidRPr="00EA2BB0">
        <w:rPr>
          <w:rFonts w:hint="cs"/>
          <w:rtl/>
          <w:lang w:bidi="ar-EG"/>
        </w:rPr>
        <w:t xml:space="preserve"> طرفين في وثيقة أقدم. و</w:t>
      </w:r>
      <w:r>
        <w:rPr>
          <w:rFonts w:hint="cs"/>
          <w:rtl/>
          <w:lang w:bidi="ar-EG"/>
        </w:rPr>
        <w:t>عليه ف</w:t>
      </w:r>
      <w:r w:rsidRPr="00EA2BB0">
        <w:rPr>
          <w:rFonts w:hint="cs"/>
          <w:rtl/>
          <w:lang w:bidi="ar-EG"/>
        </w:rPr>
        <w:t>هما ليسا من أعضاء جمعية اتحاد باريس و</w:t>
      </w:r>
      <w:r w:rsidR="00E56695">
        <w:rPr>
          <w:rFonts w:hint="cs"/>
          <w:rtl/>
          <w:lang w:bidi="ar-EG"/>
        </w:rPr>
        <w:t xml:space="preserve">بالتالي </w:t>
      </w:r>
      <w:r w:rsidRPr="00EA2BB0">
        <w:rPr>
          <w:rFonts w:hint="cs"/>
          <w:rtl/>
          <w:lang w:bidi="ar-EG"/>
        </w:rPr>
        <w:t>لا يمكنهما المشاركة ف</w:t>
      </w:r>
      <w:r>
        <w:rPr>
          <w:rFonts w:hint="cs"/>
          <w:rtl/>
          <w:lang w:bidi="ar-EG"/>
        </w:rPr>
        <w:t>ي هيئة اتخاذ القرار في الاتحاد.</w:t>
      </w:r>
    </w:p>
    <w:p w14:paraId="722D6D7D" w14:textId="77777777" w:rsidR="00E72E63" w:rsidRPr="00EA2BB0" w:rsidRDefault="00E72E63" w:rsidP="004F1530">
      <w:pPr>
        <w:pStyle w:val="ONUMA"/>
      </w:pPr>
      <w:r w:rsidRPr="00EA2BB0">
        <w:rPr>
          <w:rFonts w:hint="cs"/>
          <w:rtl/>
          <w:lang w:bidi="ar-EG"/>
        </w:rPr>
        <w:t>والدول الأعضاء المعنية مدعوة بكل احترام إلى النظر في الانضمام إلى آخر وثيقة من اتفاقية باريس أو القبول بجميع أحكامها، كما</w:t>
      </w:r>
      <w:r w:rsidRPr="00EA2BB0">
        <w:rPr>
          <w:rFonts w:hint="eastAsia"/>
          <w:rtl/>
          <w:lang w:bidi="ar-EG"/>
        </w:rPr>
        <w:t> </w:t>
      </w:r>
      <w:r w:rsidRPr="00EA2BB0">
        <w:rPr>
          <w:rFonts w:hint="cs"/>
          <w:rtl/>
          <w:lang w:bidi="ar-EG"/>
        </w:rPr>
        <w:t>ينطبق.</w:t>
      </w:r>
      <w:r>
        <w:rPr>
          <w:rFonts w:hint="cs"/>
          <w:rtl/>
          <w:lang w:bidi="ar-EG"/>
        </w:rPr>
        <w:t xml:space="preserve"> وكما أعيد تأكيده</w:t>
      </w:r>
      <w:r w:rsidRPr="00EA2BB0">
        <w:rPr>
          <w:rtl/>
          <w:lang w:bidi="ar-EG"/>
        </w:rPr>
        <w:t xml:space="preserve"> في مناسبات سابقة، بما في ذلك </w:t>
      </w:r>
      <w:r>
        <w:rPr>
          <w:rFonts w:hint="cs"/>
          <w:rtl/>
          <w:lang w:bidi="ar-EG"/>
        </w:rPr>
        <w:t xml:space="preserve">في </w:t>
      </w:r>
      <w:r w:rsidRPr="00EA2BB0">
        <w:rPr>
          <w:rtl/>
          <w:lang w:bidi="ar-EG"/>
        </w:rPr>
        <w:t>مذكر</w:t>
      </w:r>
      <w:r>
        <w:rPr>
          <w:rFonts w:hint="cs"/>
          <w:rtl/>
          <w:lang w:bidi="ar-EG"/>
        </w:rPr>
        <w:t>ات</w:t>
      </w:r>
      <w:r w:rsidRPr="00EA2BB0">
        <w:rPr>
          <w:rtl/>
          <w:lang w:bidi="ar-EG"/>
        </w:rPr>
        <w:t xml:space="preserve"> شفوية موجهة إلى </w:t>
      </w:r>
      <w:r w:rsidRPr="00EA2BB0">
        <w:rPr>
          <w:rFonts w:hint="cs"/>
          <w:rtl/>
          <w:lang w:bidi="ar-EG"/>
        </w:rPr>
        <w:t>الدول الأعضاء المعنية</w:t>
      </w:r>
      <w:r w:rsidRPr="00EA2BB0">
        <w:rPr>
          <w:rtl/>
          <w:lang w:bidi="ar-EG"/>
        </w:rPr>
        <w:t xml:space="preserve">، </w:t>
      </w:r>
      <w:r>
        <w:rPr>
          <w:rFonts w:hint="cs"/>
          <w:rtl/>
          <w:lang w:bidi="ar-EG"/>
        </w:rPr>
        <w:t>تظلّ الأمانة على</w:t>
      </w:r>
      <w:r w:rsidRPr="00EA2BB0">
        <w:rPr>
          <w:rFonts w:hint="cs"/>
          <w:rtl/>
          <w:lang w:bidi="ar-EG"/>
        </w:rPr>
        <w:t xml:space="preserve"> استعداد </w:t>
      </w:r>
      <w:r w:rsidRPr="00EA2BB0">
        <w:rPr>
          <w:rtl/>
          <w:lang w:bidi="ar-EG"/>
        </w:rPr>
        <w:t>لتوفير المعلومات والمساعدة في</w:t>
      </w:r>
      <w:r w:rsidRPr="00EA2BB0">
        <w:rPr>
          <w:rFonts w:hint="cs"/>
          <w:rtl/>
          <w:lang w:bidi="ar-EG"/>
        </w:rPr>
        <w:t xml:space="preserve"> هذا الشأن</w:t>
      </w:r>
      <w:r w:rsidRPr="00EA2BB0">
        <w:rPr>
          <w:rtl/>
          <w:lang w:bidi="ar-EG"/>
        </w:rPr>
        <w:t>.</w:t>
      </w:r>
    </w:p>
    <w:p w14:paraId="53CE433A" w14:textId="48461133" w:rsidR="00E72E63" w:rsidRPr="00EA2BB0" w:rsidRDefault="0087007A" w:rsidP="00E72E63">
      <w:pPr>
        <w:keepNext/>
        <w:spacing w:after="220"/>
        <w:outlineLvl w:val="3"/>
        <w:rPr>
          <w:rFonts w:asciiTheme="minorBidi" w:hAnsiTheme="minorBidi" w:cstheme="minorBidi"/>
          <w:b/>
          <w:i/>
          <w:sz w:val="24"/>
          <w:szCs w:val="24"/>
          <w:rtl/>
          <w:lang w:bidi="ar-EG"/>
        </w:rPr>
      </w:pPr>
      <w:r>
        <w:rPr>
          <w:rFonts w:hint="cs"/>
          <w:b/>
          <w:iCs/>
          <w:sz w:val="24"/>
          <w:szCs w:val="24"/>
          <w:rtl/>
          <w:lang w:bidi="ar-EG"/>
        </w:rPr>
        <w:t>باء.</w:t>
      </w:r>
      <w:r>
        <w:rPr>
          <w:b/>
          <w:iCs/>
          <w:sz w:val="24"/>
          <w:szCs w:val="24"/>
          <w:rtl/>
          <w:lang w:bidi="ar-EG"/>
        </w:rPr>
        <w:tab/>
      </w:r>
      <w:r w:rsidR="00E72E63" w:rsidRPr="00EA2BB0">
        <w:rPr>
          <w:b/>
          <w:iCs/>
          <w:sz w:val="24"/>
          <w:szCs w:val="24"/>
          <w:rtl/>
          <w:lang w:bidi="ar-EG"/>
        </w:rPr>
        <w:t xml:space="preserve">اتفاقية برن </w:t>
      </w:r>
      <w:r w:rsidR="00E72E63" w:rsidRPr="00EA2BB0">
        <w:rPr>
          <w:rFonts w:hint="cs"/>
          <w:b/>
          <w:iCs/>
          <w:sz w:val="24"/>
          <w:szCs w:val="24"/>
          <w:rtl/>
          <w:lang w:bidi="ar-EG"/>
        </w:rPr>
        <w:t>ل</w:t>
      </w:r>
      <w:r w:rsidR="00E72E63" w:rsidRPr="00EA2BB0">
        <w:rPr>
          <w:b/>
          <w:iCs/>
          <w:sz w:val="24"/>
          <w:szCs w:val="24"/>
          <w:rtl/>
          <w:lang w:bidi="ar-EG"/>
        </w:rPr>
        <w:t>حماية المصنفات الأدبية والفنية</w:t>
      </w:r>
      <w:r w:rsidR="00E72E63" w:rsidRPr="00EA2BB0">
        <w:rPr>
          <w:rFonts w:hint="cs"/>
          <w:b/>
          <w:iCs/>
          <w:sz w:val="24"/>
          <w:szCs w:val="24"/>
          <w:rtl/>
          <w:lang w:bidi="ar-EG"/>
        </w:rPr>
        <w:t xml:space="preserve"> (1886)</w:t>
      </w:r>
    </w:p>
    <w:p w14:paraId="2AF5FACA" w14:textId="77777777" w:rsidR="00E72E63" w:rsidRPr="00EA2BB0" w:rsidRDefault="00E72E63" w:rsidP="004F1530">
      <w:pPr>
        <w:pStyle w:val="ONUMA"/>
        <w:rPr>
          <w:lang w:bidi="ar-EG"/>
        </w:rPr>
      </w:pPr>
      <w:r w:rsidRPr="00EA2BB0">
        <w:rPr>
          <w:rFonts w:hint="cs"/>
          <w:rtl/>
          <w:lang w:bidi="ar-EG"/>
        </w:rPr>
        <w:t xml:space="preserve">روجعت </w:t>
      </w:r>
      <w:r w:rsidRPr="00EA2BB0">
        <w:rPr>
          <w:rtl/>
          <w:lang w:bidi="ar-EG"/>
        </w:rPr>
        <w:t xml:space="preserve">اتفاقية برن </w:t>
      </w:r>
      <w:r w:rsidRPr="00EA2BB0">
        <w:rPr>
          <w:rFonts w:hint="cs"/>
          <w:rtl/>
          <w:lang w:bidi="ar-EG"/>
        </w:rPr>
        <w:t>ل</w:t>
      </w:r>
      <w:r w:rsidRPr="00EA2BB0">
        <w:rPr>
          <w:rtl/>
          <w:lang w:bidi="ar-EG"/>
        </w:rPr>
        <w:t>حماية المصنفات الأدبية والفنية</w:t>
      </w:r>
      <w:r w:rsidRPr="00EA2BB0">
        <w:rPr>
          <w:rFonts w:hint="cs"/>
          <w:rtl/>
          <w:lang w:bidi="ar-EG"/>
        </w:rPr>
        <w:t xml:space="preserve"> (اتفاقية برن) عدة م</w:t>
      </w:r>
      <w:r>
        <w:rPr>
          <w:rFonts w:hint="cs"/>
          <w:rtl/>
          <w:lang w:bidi="ar-EG"/>
        </w:rPr>
        <w:t>رّا</w:t>
      </w:r>
      <w:r w:rsidRPr="00EA2BB0">
        <w:rPr>
          <w:rFonts w:hint="cs"/>
          <w:rtl/>
          <w:lang w:bidi="ar-EG"/>
        </w:rPr>
        <w:t>ت منذ إبرامها في 1886. واستُكملت في باريس (1896) وروجعت في برلين (1908) واستُكملت في برن (1914) وروجعت في روما (1928) وبروكسل (1948) واستوكهولم (1967) وباريس (1971) وعُدّلت في 1979.</w:t>
      </w:r>
    </w:p>
    <w:p w14:paraId="39A2CE62" w14:textId="77777777" w:rsidR="00E72E63" w:rsidRPr="00EA2BB0" w:rsidRDefault="00E72E63" w:rsidP="004F1530">
      <w:pPr>
        <w:pStyle w:val="ONUMA"/>
        <w:rPr>
          <w:lang w:bidi="ar-EG"/>
        </w:rPr>
      </w:pPr>
      <w:r w:rsidRPr="00EA2BB0">
        <w:rPr>
          <w:rtl/>
          <w:lang w:bidi="ar-EG"/>
        </w:rPr>
        <w:t>ولأسباب تاريخية</w:t>
      </w:r>
      <w:r w:rsidRPr="00EA2BB0">
        <w:rPr>
          <w:rFonts w:hint="cs"/>
          <w:rtl/>
          <w:lang w:bidi="ar-EG"/>
        </w:rPr>
        <w:t>،</w:t>
      </w:r>
      <w:r w:rsidRPr="00EA2BB0">
        <w:rPr>
          <w:rtl/>
          <w:lang w:bidi="ar-EG"/>
        </w:rPr>
        <w:t xml:space="preserve"> منحت مراجع</w:t>
      </w:r>
      <w:r w:rsidRPr="00EA2BB0">
        <w:rPr>
          <w:rFonts w:hint="cs"/>
          <w:rtl/>
          <w:lang w:bidi="ar-EG"/>
        </w:rPr>
        <w:t>تا</w:t>
      </w:r>
      <w:r w:rsidRPr="00EA2BB0">
        <w:rPr>
          <w:rtl/>
          <w:lang w:bidi="ar-EG"/>
        </w:rPr>
        <w:t xml:space="preserve"> استوكهولم </w:t>
      </w:r>
      <w:r w:rsidRPr="00EA2BB0">
        <w:rPr>
          <w:rFonts w:hint="cs"/>
          <w:rtl/>
          <w:lang w:bidi="ar-EG"/>
        </w:rPr>
        <w:t>وباريس للاتفاقية أيضاً الأطرافَ المتعاقدة</w:t>
      </w:r>
      <w:r w:rsidRPr="00EA2BB0">
        <w:rPr>
          <w:rtl/>
          <w:lang w:bidi="ar-EG"/>
        </w:rPr>
        <w:t xml:space="preserve"> فرصة</w:t>
      </w:r>
      <w:r w:rsidRPr="00EA2BB0">
        <w:rPr>
          <w:rFonts w:hint="cs"/>
          <w:rtl/>
          <w:lang w:bidi="ar-EG"/>
        </w:rPr>
        <w:t>ً</w:t>
      </w:r>
      <w:r w:rsidRPr="00EA2BB0">
        <w:rPr>
          <w:rtl/>
          <w:lang w:bidi="ar-EG"/>
        </w:rPr>
        <w:t xml:space="preserve"> </w:t>
      </w:r>
      <w:r w:rsidRPr="00EA2BB0">
        <w:rPr>
          <w:rFonts w:hint="cs"/>
          <w:rtl/>
          <w:lang w:bidi="ar-EG"/>
        </w:rPr>
        <w:t>ل</w:t>
      </w:r>
      <w:r w:rsidRPr="00EA2BB0">
        <w:rPr>
          <w:rtl/>
          <w:lang w:bidi="ar-EG"/>
        </w:rPr>
        <w:t>لقبول بجزء واحد فقط من المراجعة</w:t>
      </w:r>
      <w:r w:rsidRPr="00EA2BB0">
        <w:rPr>
          <w:rFonts w:hint="cs"/>
          <w:rtl/>
          <w:lang w:bidi="ar-EG"/>
        </w:rPr>
        <w:t xml:space="preserve"> وهو القبول بالأحكام الختامية والإدارية فقط</w:t>
      </w:r>
      <w:r w:rsidRPr="00EA2BB0">
        <w:rPr>
          <w:rtl/>
          <w:lang w:bidi="ar-EG"/>
        </w:rPr>
        <w:t xml:space="preserve"> (المواد من </w:t>
      </w:r>
      <w:r w:rsidRPr="00EA2BB0">
        <w:rPr>
          <w:rFonts w:hint="cs"/>
          <w:rtl/>
          <w:lang w:bidi="ar-EG"/>
        </w:rPr>
        <w:t>22</w:t>
      </w:r>
      <w:r w:rsidRPr="00EA2BB0">
        <w:rPr>
          <w:rtl/>
          <w:lang w:bidi="ar-EG"/>
        </w:rPr>
        <w:t xml:space="preserve"> إلى </w:t>
      </w:r>
      <w:r w:rsidRPr="00EA2BB0">
        <w:rPr>
          <w:rFonts w:hint="cs"/>
          <w:rtl/>
          <w:lang w:bidi="ar-EG"/>
        </w:rPr>
        <w:t>38).</w:t>
      </w:r>
      <w:r w:rsidRPr="00EA2BB0">
        <w:rPr>
          <w:rtl/>
          <w:lang w:bidi="ar-EG"/>
        </w:rPr>
        <w:t xml:space="preserve"> </w:t>
      </w:r>
      <w:r w:rsidRPr="00EA2BB0">
        <w:rPr>
          <w:rFonts w:hint="cs"/>
          <w:rtl/>
          <w:lang w:bidi="ar-EG"/>
        </w:rPr>
        <w:t xml:space="preserve">وحتى الآن، لا تزال </w:t>
      </w:r>
      <w:r w:rsidRPr="00EA2BB0">
        <w:rPr>
          <w:rtl/>
          <w:lang w:bidi="ar-EG"/>
        </w:rPr>
        <w:t xml:space="preserve">بعض الدول </w:t>
      </w:r>
      <w:r w:rsidRPr="00EA2BB0">
        <w:rPr>
          <w:rFonts w:hint="cs"/>
          <w:rtl/>
          <w:lang w:bidi="ar-EG"/>
        </w:rPr>
        <w:t>ملتزمة ب</w:t>
      </w:r>
      <w:r w:rsidRPr="00EA2BB0">
        <w:rPr>
          <w:rtl/>
          <w:lang w:bidi="ar-EG"/>
        </w:rPr>
        <w:t xml:space="preserve">الأحكام </w:t>
      </w:r>
      <w:r w:rsidRPr="00EA2BB0">
        <w:rPr>
          <w:rFonts w:hint="cs"/>
          <w:rtl/>
          <w:lang w:bidi="ar-EG"/>
        </w:rPr>
        <w:t xml:space="preserve">الإدارية لوثيقة باريس فقط (وفي بعض الحالات لوثيقة استوكهولم) وليس بأحكامها الموضوعية. وتلك الدول هي </w:t>
      </w:r>
      <w:r w:rsidRPr="00EA2BB0">
        <w:rPr>
          <w:rtl/>
          <w:lang w:bidi="ar-EG"/>
        </w:rPr>
        <w:t xml:space="preserve">جزر البهاما </w:t>
      </w:r>
      <w:r w:rsidRPr="00EA2BB0">
        <w:rPr>
          <w:rFonts w:hint="cs"/>
          <w:rtl/>
          <w:lang w:bidi="ar-EG"/>
        </w:rPr>
        <w:t>وتشاد</w:t>
      </w:r>
      <w:r w:rsidRPr="00EA2BB0">
        <w:rPr>
          <w:rtl/>
          <w:lang w:bidi="ar-EG"/>
        </w:rPr>
        <w:t xml:space="preserve"> </w:t>
      </w:r>
      <w:r w:rsidRPr="00EA2BB0">
        <w:rPr>
          <w:rFonts w:hint="cs"/>
          <w:rtl/>
          <w:lang w:bidi="ar-EG"/>
        </w:rPr>
        <w:t xml:space="preserve">وفيجي </w:t>
      </w:r>
      <w:r w:rsidRPr="00EA2BB0">
        <w:rPr>
          <w:rtl/>
          <w:lang w:bidi="ar-EG"/>
        </w:rPr>
        <w:t xml:space="preserve">ومالطة </w:t>
      </w:r>
      <w:r w:rsidRPr="00EA2BB0">
        <w:rPr>
          <w:rFonts w:hint="cs"/>
          <w:rtl/>
          <w:lang w:bidi="ar-EG"/>
        </w:rPr>
        <w:t>وباكستان وجنوب أفريقيا و</w:t>
      </w:r>
      <w:r w:rsidRPr="00EA2BB0">
        <w:rPr>
          <w:rtl/>
          <w:lang w:bidi="ar-EG"/>
        </w:rPr>
        <w:t>زمبابوي</w:t>
      </w:r>
      <w:r w:rsidRPr="00EA2BB0">
        <w:rPr>
          <w:rFonts w:hint="cs"/>
          <w:rtl/>
          <w:lang w:bidi="ar-EG"/>
        </w:rPr>
        <w:t>.</w:t>
      </w:r>
    </w:p>
    <w:p w14:paraId="35D44584" w14:textId="77777777" w:rsidR="00E72E63" w:rsidRPr="00EA2BB0" w:rsidRDefault="00E72E63" w:rsidP="004F1530">
      <w:pPr>
        <w:pStyle w:val="ONUMA"/>
        <w:rPr>
          <w:lang w:bidi="ar-EG"/>
        </w:rPr>
      </w:pPr>
      <w:r w:rsidRPr="00EA2BB0">
        <w:rPr>
          <w:rFonts w:hint="cs"/>
          <w:rtl/>
          <w:lang w:bidi="ar-EG"/>
        </w:rPr>
        <w:t>ومن جهة أخرى، وبما أن بعض الدول الأعضاء ليست أعضاء في وثيقتي استوكهولم وباريس، فهي ليست أعضاء في جمعية اتحاد برن ولا يمكنها بالتالي أن تشارك في هيئة اتخاذ القرار في الاتحاد. وتندرج لبنان و</w:t>
      </w:r>
      <w:r w:rsidRPr="00EA2BB0">
        <w:rPr>
          <w:rtl/>
          <w:lang w:bidi="ar-EG"/>
        </w:rPr>
        <w:t>مدغشقر</w:t>
      </w:r>
      <w:r w:rsidRPr="00EA2BB0">
        <w:rPr>
          <w:rFonts w:hint="cs"/>
          <w:rtl/>
          <w:lang w:bidi="ar-EG"/>
        </w:rPr>
        <w:t xml:space="preserve"> في تلك الفئة. </w:t>
      </w:r>
      <w:r w:rsidRPr="00EA2BB0">
        <w:rPr>
          <w:rtl/>
          <w:lang w:bidi="ar-EG"/>
        </w:rPr>
        <w:t xml:space="preserve">وقد </w:t>
      </w:r>
      <w:r w:rsidRPr="00EA2BB0">
        <w:rPr>
          <w:rFonts w:hint="cs"/>
          <w:rtl/>
          <w:lang w:bidi="ar-EG"/>
        </w:rPr>
        <w:t>قُ</w:t>
      </w:r>
      <w:r w:rsidRPr="00EA2BB0">
        <w:rPr>
          <w:rtl/>
          <w:lang w:bidi="ar-EG"/>
        </w:rPr>
        <w:t>د</w:t>
      </w:r>
      <w:r w:rsidRPr="00EA2BB0">
        <w:rPr>
          <w:rFonts w:hint="cs"/>
          <w:rtl/>
          <w:lang w:bidi="ar-EG"/>
        </w:rPr>
        <w:t>ّ</w:t>
      </w:r>
      <w:r w:rsidRPr="00EA2BB0">
        <w:rPr>
          <w:rtl/>
          <w:lang w:bidi="ar-EG"/>
        </w:rPr>
        <w:t xml:space="preserve">م </w:t>
      </w:r>
      <w:r w:rsidRPr="00EA2BB0">
        <w:rPr>
          <w:rFonts w:hint="cs"/>
          <w:rtl/>
          <w:lang w:bidi="ar-EG"/>
        </w:rPr>
        <w:t>ل</w:t>
      </w:r>
      <w:r w:rsidRPr="00EA2BB0">
        <w:rPr>
          <w:rtl/>
          <w:lang w:bidi="ar-EG"/>
        </w:rPr>
        <w:t>لدول الأعضاء المعنية العرض</w:t>
      </w:r>
      <w:r w:rsidRPr="00EA2BB0">
        <w:rPr>
          <w:rFonts w:hint="cs"/>
          <w:rtl/>
          <w:lang w:bidi="ar-EG"/>
        </w:rPr>
        <w:t xml:space="preserve"> </w:t>
      </w:r>
      <w:r w:rsidRPr="00EA2BB0">
        <w:rPr>
          <w:rtl/>
          <w:lang w:bidi="ar-EG"/>
        </w:rPr>
        <w:t>نفس</w:t>
      </w:r>
      <w:r w:rsidRPr="00EA2BB0">
        <w:rPr>
          <w:rFonts w:hint="cs"/>
          <w:rtl/>
          <w:lang w:bidi="ar-EG"/>
        </w:rPr>
        <w:t>ه</w:t>
      </w:r>
      <w:r w:rsidRPr="00EA2BB0">
        <w:rPr>
          <w:rtl/>
          <w:lang w:bidi="ar-EG"/>
        </w:rPr>
        <w:t xml:space="preserve"> </w:t>
      </w:r>
      <w:r w:rsidRPr="00EA2BB0">
        <w:rPr>
          <w:rFonts w:hint="cs"/>
          <w:rtl/>
          <w:lang w:bidi="ar-EG"/>
        </w:rPr>
        <w:t>المذكور أعلاه ل</w:t>
      </w:r>
      <w:r w:rsidRPr="00EA2BB0">
        <w:rPr>
          <w:rtl/>
          <w:lang w:bidi="ar-EG"/>
        </w:rPr>
        <w:t>لحصول على المعلومات والمساعدة</w:t>
      </w:r>
      <w:r>
        <w:rPr>
          <w:rFonts w:hint="cs"/>
          <w:rtl/>
          <w:lang w:bidi="ar-EG"/>
        </w:rPr>
        <w:t>، ولا يزال العرض قائماً.</w:t>
      </w:r>
    </w:p>
    <w:p w14:paraId="2B7BB079" w14:textId="77777777" w:rsidR="00E72E63" w:rsidRPr="00EA2BB0" w:rsidRDefault="00E72E63" w:rsidP="004F1530">
      <w:pPr>
        <w:pStyle w:val="ONUMA"/>
        <w:rPr>
          <w:lang w:bidi="ar-EG"/>
        </w:rPr>
      </w:pPr>
      <w:r w:rsidRPr="00EA2BB0">
        <w:rPr>
          <w:rFonts w:hint="cs"/>
          <w:rtl/>
          <w:lang w:bidi="ar-EG"/>
        </w:rPr>
        <w:t>والدول الأعضاء المعنية مدعوة بكل احترام إلى الانضمام إلى آخر وثيقة من اتفاقية برن أو التصديق عليها أو القبول بجميع أحكامها، كما ينطبق.</w:t>
      </w:r>
    </w:p>
    <w:p w14:paraId="432DCB6D" w14:textId="7B7C814E" w:rsidR="00E72E63" w:rsidRDefault="0087007A" w:rsidP="00E72E63">
      <w:pPr>
        <w:keepNext/>
        <w:spacing w:after="220"/>
        <w:outlineLvl w:val="3"/>
        <w:rPr>
          <w:i/>
          <w:iCs/>
          <w:sz w:val="24"/>
          <w:szCs w:val="24"/>
          <w:lang w:bidi="ar-EG"/>
        </w:rPr>
      </w:pPr>
      <w:r>
        <w:rPr>
          <w:rFonts w:hint="cs"/>
          <w:i/>
          <w:iCs/>
          <w:sz w:val="24"/>
          <w:szCs w:val="24"/>
          <w:rtl/>
          <w:lang w:bidi="ar-EG"/>
        </w:rPr>
        <w:t>جيم.</w:t>
      </w:r>
      <w:r>
        <w:rPr>
          <w:i/>
          <w:iCs/>
          <w:sz w:val="24"/>
          <w:szCs w:val="24"/>
          <w:rtl/>
          <w:lang w:bidi="ar-EG"/>
        </w:rPr>
        <w:tab/>
      </w:r>
      <w:r w:rsidR="00E72E63" w:rsidRPr="00EA2BB0">
        <w:rPr>
          <w:i/>
          <w:iCs/>
          <w:sz w:val="24"/>
          <w:szCs w:val="24"/>
          <w:rtl/>
          <w:lang w:bidi="ar-EG"/>
        </w:rPr>
        <w:t>اتفاق نيس بشأن التصنيف الدولي للسلع والخدمات لأغراض تسجيل العلامات</w:t>
      </w:r>
      <w:r w:rsidR="00E72E63" w:rsidRPr="00EA2BB0">
        <w:rPr>
          <w:rFonts w:hint="cs"/>
          <w:i/>
          <w:iCs/>
          <w:sz w:val="24"/>
          <w:szCs w:val="24"/>
          <w:rtl/>
          <w:lang w:bidi="ar-EG"/>
        </w:rPr>
        <w:t xml:space="preserve"> (1957)</w:t>
      </w:r>
    </w:p>
    <w:p w14:paraId="4EE1FAA6" w14:textId="77777777" w:rsidR="00E72E63" w:rsidRPr="007C5FC5" w:rsidRDefault="00E72E63" w:rsidP="004F1530">
      <w:pPr>
        <w:pStyle w:val="ONUMA"/>
        <w:rPr>
          <w:i/>
          <w:iCs/>
          <w:sz w:val="24"/>
          <w:szCs w:val="24"/>
          <w:lang w:bidi="ar-EG"/>
        </w:rPr>
      </w:pPr>
      <w:r w:rsidRPr="00EA2BB0">
        <w:rPr>
          <w:rFonts w:hint="cs"/>
          <w:rtl/>
          <w:lang w:bidi="ar-EG"/>
        </w:rPr>
        <w:t>روجع اتفاق نيس مرّتين بعد اعتماده في 1957، وذلك في استوكهولم (1967) وفي جنيف (1977). ولا تزال دولتان من الدول الأعضاء ملتزمتين بوثيقة استوكهولم، وهما الجزائر والمغرب، ولا تزال دولتان ملتزمتين باتفاق نيس الأصلي وهما لبنان وتونس (وعليه، فهما ليستا من أعضاء الجمعية). وتلك الدول مدعوة بكل احترام إلى النظر في الانضمام إلى وثيقة جنيف لاتفاق نيس أو التصديق عليها، و</w:t>
      </w:r>
      <w:r w:rsidRPr="00EA2BB0">
        <w:rPr>
          <w:rtl/>
          <w:lang w:bidi="ar-EG"/>
        </w:rPr>
        <w:t xml:space="preserve">الأمانة </w:t>
      </w:r>
      <w:r w:rsidRPr="00EA2BB0">
        <w:rPr>
          <w:rFonts w:hint="cs"/>
          <w:rtl/>
          <w:lang w:bidi="ar-EG"/>
        </w:rPr>
        <w:t>على استعداد لتقديم أ</w:t>
      </w:r>
      <w:r w:rsidRPr="00EA2BB0">
        <w:rPr>
          <w:rtl/>
          <w:lang w:bidi="ar-EG"/>
        </w:rPr>
        <w:t>ي</w:t>
      </w:r>
      <w:r w:rsidRPr="00EA2BB0">
        <w:rPr>
          <w:rFonts w:hint="cs"/>
          <w:rtl/>
          <w:lang w:bidi="ar-EG"/>
        </w:rPr>
        <w:t>ة</w:t>
      </w:r>
      <w:r w:rsidRPr="00EA2BB0">
        <w:rPr>
          <w:rtl/>
          <w:lang w:bidi="ar-EG"/>
        </w:rPr>
        <w:t xml:space="preserve"> مساعدة قد </w:t>
      </w:r>
      <w:r w:rsidRPr="00EA2BB0">
        <w:rPr>
          <w:rFonts w:hint="cs"/>
          <w:rtl/>
          <w:lang w:bidi="ar-EG"/>
        </w:rPr>
        <w:t>تكون لازمة في هذا الشأن.</w:t>
      </w:r>
    </w:p>
    <w:p w14:paraId="4E599B47" w14:textId="3F63925C" w:rsidR="00E72E63" w:rsidRDefault="0087007A" w:rsidP="00E72E63">
      <w:pPr>
        <w:keepNext/>
        <w:spacing w:after="220"/>
        <w:outlineLvl w:val="3"/>
        <w:rPr>
          <w:bCs/>
          <w:i/>
          <w:sz w:val="24"/>
          <w:szCs w:val="24"/>
          <w:lang w:bidi="ar-EG"/>
        </w:rPr>
      </w:pPr>
      <w:r>
        <w:rPr>
          <w:rFonts w:hint="cs"/>
          <w:i/>
          <w:iCs/>
          <w:sz w:val="24"/>
          <w:szCs w:val="24"/>
          <w:rtl/>
          <w:lang w:bidi="ar-EG"/>
        </w:rPr>
        <w:t>دال.</w:t>
      </w:r>
      <w:r>
        <w:rPr>
          <w:i/>
          <w:iCs/>
          <w:sz w:val="24"/>
          <w:szCs w:val="24"/>
          <w:rtl/>
          <w:lang w:bidi="ar-EG"/>
        </w:rPr>
        <w:tab/>
      </w:r>
      <w:r w:rsidR="00E72E63" w:rsidRPr="00EA2BB0">
        <w:rPr>
          <w:i/>
          <w:iCs/>
          <w:sz w:val="24"/>
          <w:szCs w:val="24"/>
          <w:rtl/>
          <w:lang w:bidi="ar-EG"/>
        </w:rPr>
        <w:t>اتفاق لشبونة بشأن حماية تسميات المنشأ وتسجيلها</w:t>
      </w:r>
      <w:r w:rsidR="00E72E63" w:rsidRPr="00EA2BB0">
        <w:rPr>
          <w:rFonts w:hint="cs"/>
          <w:i/>
          <w:iCs/>
          <w:sz w:val="24"/>
          <w:szCs w:val="24"/>
          <w:rtl/>
          <w:lang w:bidi="ar-EG"/>
        </w:rPr>
        <w:t xml:space="preserve"> على الصعيد الدولي (1958)</w:t>
      </w:r>
    </w:p>
    <w:p w14:paraId="5EA6DEFD" w14:textId="77777777" w:rsidR="00E72E63" w:rsidRPr="007C5FC5" w:rsidRDefault="00E72E63" w:rsidP="0087007A">
      <w:pPr>
        <w:pStyle w:val="ONUMA"/>
        <w:rPr>
          <w:bCs/>
          <w:i/>
          <w:sz w:val="24"/>
          <w:szCs w:val="24"/>
          <w:lang w:bidi="ar-EG"/>
        </w:rPr>
      </w:pPr>
      <w:r w:rsidRPr="00EA2BB0">
        <w:rPr>
          <w:rFonts w:hint="cs"/>
          <w:rtl/>
          <w:lang w:bidi="ar-EG"/>
        </w:rPr>
        <w:t xml:space="preserve">اعتُمد اتفاق لشبونة في 1958 وروجع في استوكهولم في 1967 وعُدِّل في 1979. وعلى غرار المعاهدات الأخرى، فإن الدعوة نفسها موجَّهة إلى </w:t>
      </w:r>
      <w:r w:rsidRPr="00EA2BB0">
        <w:rPr>
          <w:rtl/>
          <w:lang w:bidi="ar-EG"/>
        </w:rPr>
        <w:t>هايتي</w:t>
      </w:r>
      <w:r w:rsidRPr="00EA2BB0">
        <w:rPr>
          <w:rFonts w:hint="cs"/>
          <w:rtl/>
          <w:lang w:bidi="ar-EG"/>
        </w:rPr>
        <w:t>، التي ليست ملتزمة بوثيقة استوكهولم لاتفاق لشبونة وليست بالتالي عضواً في جمعية لشبونة.</w:t>
      </w:r>
    </w:p>
    <w:p w14:paraId="42C574D7" w14:textId="77777777" w:rsidR="00E72E63" w:rsidRPr="00380969" w:rsidRDefault="00E72E63" w:rsidP="00E72E63">
      <w:pPr>
        <w:keepNext/>
        <w:spacing w:after="220"/>
        <w:outlineLvl w:val="2"/>
        <w:rPr>
          <w:sz w:val="26"/>
          <w:szCs w:val="26"/>
          <w:rtl/>
          <w:lang w:bidi="ar-EG"/>
        </w:rPr>
      </w:pPr>
      <w:r w:rsidRPr="00380969">
        <w:rPr>
          <w:rFonts w:hint="cs"/>
          <w:sz w:val="26"/>
          <w:szCs w:val="26"/>
          <w:rtl/>
          <w:lang w:bidi="ar-EG"/>
        </w:rPr>
        <w:t>الإصلاح الدستوري</w:t>
      </w:r>
    </w:p>
    <w:p w14:paraId="2C202948" w14:textId="77777777" w:rsidR="00E72E63" w:rsidRDefault="00E72E63" w:rsidP="0087007A">
      <w:pPr>
        <w:pStyle w:val="ONUMA"/>
        <w:rPr>
          <w:lang w:bidi="ar-EG"/>
        </w:rPr>
      </w:pPr>
      <w:r w:rsidRPr="00EA2BB0">
        <w:rPr>
          <w:rtl/>
        </w:rPr>
        <w:t>بناء</w:t>
      </w:r>
      <w:r w:rsidRPr="00EA2BB0">
        <w:rPr>
          <w:rFonts w:hint="cs"/>
          <w:rtl/>
        </w:rPr>
        <w:t>ً</w:t>
      </w:r>
      <w:r w:rsidRPr="00EA2BB0">
        <w:rPr>
          <w:rtl/>
        </w:rPr>
        <w:t xml:space="preserve"> على </w:t>
      </w:r>
      <w:r w:rsidRPr="00EA2BB0">
        <w:rPr>
          <w:rFonts w:hint="cs"/>
          <w:rtl/>
        </w:rPr>
        <w:t xml:space="preserve">التماس </w:t>
      </w:r>
      <w:r w:rsidRPr="00EA2BB0">
        <w:rPr>
          <w:rtl/>
        </w:rPr>
        <w:t>لجنة البرنامج والميزانية</w:t>
      </w:r>
      <w:r w:rsidRPr="00EA2BB0">
        <w:rPr>
          <w:rFonts w:hint="cs"/>
          <w:rtl/>
        </w:rPr>
        <w:t xml:space="preserve"> (لجنة الميزانية)</w:t>
      </w:r>
      <w:r w:rsidRPr="00EA2BB0">
        <w:rPr>
          <w:rtl/>
        </w:rPr>
        <w:t xml:space="preserve"> في إطار المناقش</w:t>
      </w:r>
      <w:r>
        <w:rPr>
          <w:rFonts w:hint="cs"/>
          <w:rtl/>
        </w:rPr>
        <w:t>ات</w:t>
      </w:r>
      <w:r w:rsidRPr="00EA2BB0">
        <w:rPr>
          <w:rtl/>
        </w:rPr>
        <w:t xml:space="preserve"> </w:t>
      </w:r>
      <w:r w:rsidRPr="00EA2BB0">
        <w:rPr>
          <w:rFonts w:hint="cs"/>
          <w:rtl/>
        </w:rPr>
        <w:t xml:space="preserve">بشأن </w:t>
      </w:r>
      <w:r w:rsidRPr="00EA2BB0">
        <w:rPr>
          <w:rtl/>
        </w:rPr>
        <w:t>قضايا الحوكمة، قد</w:t>
      </w:r>
      <w:r w:rsidRPr="00EA2BB0">
        <w:rPr>
          <w:rFonts w:hint="cs"/>
          <w:rtl/>
        </w:rPr>
        <w:t>ّ</w:t>
      </w:r>
      <w:r w:rsidRPr="00EA2BB0">
        <w:rPr>
          <w:rtl/>
        </w:rPr>
        <w:t>مت الأمانة</w:t>
      </w:r>
      <w:r>
        <w:rPr>
          <w:rFonts w:hint="cs"/>
          <w:rtl/>
        </w:rPr>
        <w:t>، في مناسبات عدة،</w:t>
      </w:r>
      <w:r w:rsidRPr="00EA2BB0">
        <w:rPr>
          <w:rtl/>
        </w:rPr>
        <w:t xml:space="preserve"> </w:t>
      </w:r>
      <w:r>
        <w:rPr>
          <w:rFonts w:hint="cs"/>
          <w:rtl/>
        </w:rPr>
        <w:t>معلومات إلى الدول الأعضاء بشأن</w:t>
      </w:r>
      <w:r w:rsidRPr="00EA2BB0">
        <w:rPr>
          <w:rtl/>
        </w:rPr>
        <w:t xml:space="preserve"> عملية الإصلاح الدستوري</w:t>
      </w:r>
      <w:r>
        <w:rPr>
          <w:rFonts w:hint="cs"/>
          <w:rtl/>
        </w:rPr>
        <w:t>.</w:t>
      </w:r>
    </w:p>
    <w:p w14:paraId="68DC8C71" w14:textId="317748CA" w:rsidR="00E72E63" w:rsidRPr="00116E10" w:rsidRDefault="00E72E63" w:rsidP="0087007A">
      <w:pPr>
        <w:pStyle w:val="ONUMA"/>
        <w:rPr>
          <w:lang w:bidi="ar-EG"/>
        </w:rPr>
      </w:pPr>
      <w:r>
        <w:rPr>
          <w:rFonts w:hint="cs"/>
          <w:rtl/>
        </w:rPr>
        <w:t xml:space="preserve">وقدّمت عرضاً بشأن المسألة </w:t>
      </w:r>
      <w:r w:rsidRPr="00EA2BB0">
        <w:rPr>
          <w:rtl/>
        </w:rPr>
        <w:t>في الدورة السادسة والعشرين للجنة</w:t>
      </w:r>
      <w:r w:rsidRPr="00EA2BB0">
        <w:rPr>
          <w:rFonts w:hint="cs"/>
          <w:rtl/>
        </w:rPr>
        <w:t xml:space="preserve"> </w:t>
      </w:r>
      <w:r w:rsidRPr="00EA2BB0">
        <w:rPr>
          <w:rtl/>
        </w:rPr>
        <w:t>الميزانية، التي ع</w:t>
      </w:r>
      <w:r w:rsidRPr="00EA2BB0">
        <w:rPr>
          <w:rFonts w:hint="cs"/>
          <w:rtl/>
        </w:rPr>
        <w:t>ُ</w:t>
      </w:r>
      <w:r w:rsidRPr="00EA2BB0">
        <w:rPr>
          <w:rtl/>
        </w:rPr>
        <w:t>قدت في الفترة من 10 إلى 14 يوليو</w:t>
      </w:r>
      <w:r w:rsidRPr="00EA2BB0">
        <w:rPr>
          <w:rFonts w:hint="cs"/>
          <w:rtl/>
        </w:rPr>
        <w:t xml:space="preserve"> </w:t>
      </w:r>
      <w:r w:rsidRPr="00EA2BB0">
        <w:rPr>
          <w:rtl/>
        </w:rPr>
        <w:t>2017 (انظر</w:t>
      </w:r>
      <w:r>
        <w:rPr>
          <w:rFonts w:hint="cs"/>
          <w:rtl/>
        </w:rPr>
        <w:t>(ي)</w:t>
      </w:r>
      <w:r w:rsidRPr="00EA2BB0">
        <w:rPr>
          <w:rFonts w:hint="cs"/>
          <w:rtl/>
        </w:rPr>
        <w:t> </w:t>
      </w:r>
      <w:r w:rsidRPr="00EA2BB0">
        <w:rPr>
          <w:rtl/>
        </w:rPr>
        <w:t>الوثيقة</w:t>
      </w:r>
      <w:r w:rsidRPr="00EA2BB0">
        <w:rPr>
          <w:rFonts w:hint="cs"/>
          <w:rtl/>
        </w:rPr>
        <w:t xml:space="preserve"> </w:t>
      </w:r>
      <w:r w:rsidRPr="00EA2BB0">
        <w:rPr>
          <w:lang w:bidi="ar-EG"/>
        </w:rPr>
        <w:t>WO/PBC/26/8</w:t>
      </w:r>
      <w:r w:rsidRPr="00EA2BB0">
        <w:rPr>
          <w:rtl/>
        </w:rPr>
        <w:t>).</w:t>
      </w:r>
      <w:r>
        <w:rPr>
          <w:rFonts w:hint="cs"/>
          <w:rtl/>
          <w:lang w:bidi="ar-EG"/>
        </w:rPr>
        <w:t xml:space="preserve"> </w:t>
      </w:r>
      <w:r w:rsidRPr="00116E10">
        <w:rPr>
          <w:rFonts w:hint="cs"/>
          <w:rtl/>
        </w:rPr>
        <w:t xml:space="preserve">وبعد </w:t>
      </w:r>
      <w:r>
        <w:rPr>
          <w:rFonts w:hint="cs"/>
          <w:rtl/>
        </w:rPr>
        <w:t xml:space="preserve">ذلك </w:t>
      </w:r>
      <w:r w:rsidRPr="00116E10">
        <w:rPr>
          <w:rFonts w:hint="cs"/>
          <w:rtl/>
        </w:rPr>
        <w:t>العرض، وبطلب من لجنة الميزانية، قدّمت الأمانة تقريراً إلى الدورتين الثامنة والعشرين والثلاثين للجنة الميزانية عن وضع تنفيذ تعديلات</w:t>
      </w:r>
      <w:r w:rsidRPr="00116E10">
        <w:rPr>
          <w:rFonts w:hint="cs"/>
          <w:rtl/>
          <w:lang w:bidi="ar"/>
        </w:rPr>
        <w:t xml:space="preserve"> 1999 </w:t>
      </w:r>
      <w:r w:rsidRPr="00116E10">
        <w:rPr>
          <w:rFonts w:hint="cs"/>
          <w:rtl/>
        </w:rPr>
        <w:t>و</w:t>
      </w:r>
      <w:r w:rsidRPr="00116E10">
        <w:rPr>
          <w:rFonts w:hint="cs"/>
          <w:rtl/>
          <w:lang w:bidi="ar"/>
        </w:rPr>
        <w:t>2003 (</w:t>
      </w:r>
      <w:r w:rsidRPr="00116E10">
        <w:rPr>
          <w:rFonts w:hint="cs"/>
          <w:rtl/>
        </w:rPr>
        <w:t>انظر(ي) الوثيقتين</w:t>
      </w:r>
      <w:r w:rsidRPr="00116E10">
        <w:rPr>
          <w:rFonts w:hint="cs"/>
          <w:rtl/>
          <w:lang w:bidi="ar"/>
        </w:rPr>
        <w:t xml:space="preserve"> </w:t>
      </w:r>
      <w:r w:rsidRPr="00116E10">
        <w:rPr>
          <w:lang w:bidi="ar-EG"/>
        </w:rPr>
        <w:t>WO/PBC/28/12</w:t>
      </w:r>
      <w:r w:rsidRPr="00116E10">
        <w:rPr>
          <w:rFonts w:hint="cs"/>
          <w:rtl/>
        </w:rPr>
        <w:t xml:space="preserve"> و</w:t>
      </w:r>
      <w:r w:rsidRPr="00116E10">
        <w:rPr>
          <w:lang w:bidi="ar-EG"/>
        </w:rPr>
        <w:t>WO/PBC/30/13 Rev.</w:t>
      </w:r>
      <w:r w:rsidRPr="00116E10">
        <w:rPr>
          <w:rFonts w:hint="cs"/>
          <w:rtl/>
          <w:lang w:bidi="ar-EG"/>
        </w:rPr>
        <w:t>، على التوالي</w:t>
      </w:r>
      <w:r w:rsidRPr="00116E10">
        <w:rPr>
          <w:rFonts w:hint="cs"/>
          <w:rtl/>
          <w:lang w:bidi="ar"/>
        </w:rPr>
        <w:t xml:space="preserve">)، </w:t>
      </w:r>
      <w:r w:rsidRPr="00116E10">
        <w:rPr>
          <w:rtl/>
          <w:lang w:bidi="ar"/>
        </w:rPr>
        <w:t>وأعدّت، بشكل منتظم، وثائق معلومات في سياق جمعيات الدول الأعضاء في الويبو والاتحادات التي تديرها الويبو</w:t>
      </w:r>
      <w:r w:rsidRPr="00116E10">
        <w:rPr>
          <w:rFonts w:hint="cs"/>
          <w:rtl/>
        </w:rPr>
        <w:t>.</w:t>
      </w:r>
    </w:p>
    <w:p w14:paraId="7004AA5B" w14:textId="77777777" w:rsidR="00E72E63" w:rsidRPr="00EA2BB0" w:rsidRDefault="00E72E63" w:rsidP="0087007A">
      <w:pPr>
        <w:pStyle w:val="ONUMA"/>
        <w:rPr>
          <w:lang w:bidi="ar-EG"/>
        </w:rPr>
      </w:pPr>
      <w:r w:rsidRPr="00EA2BB0">
        <w:rPr>
          <w:rtl/>
        </w:rPr>
        <w:t>و</w:t>
      </w:r>
      <w:r w:rsidRPr="00EA2BB0">
        <w:rPr>
          <w:rFonts w:hint="cs"/>
          <w:rtl/>
        </w:rPr>
        <w:t xml:space="preserve">يجدر التذكير بأن </w:t>
      </w:r>
      <w:r w:rsidRPr="00EA2BB0">
        <w:rPr>
          <w:rtl/>
        </w:rPr>
        <w:t xml:space="preserve">تعديل عام 1999 </w:t>
      </w:r>
      <w:r w:rsidRPr="00EA2BB0">
        <w:rPr>
          <w:rFonts w:hint="cs"/>
          <w:rtl/>
        </w:rPr>
        <w:t>ل</w:t>
      </w:r>
      <w:r w:rsidRPr="00EA2BB0">
        <w:rPr>
          <w:rtl/>
        </w:rPr>
        <w:t>اتفاقية الويبو</w:t>
      </w:r>
      <w:r w:rsidRPr="00EA2BB0">
        <w:rPr>
          <w:rFonts w:hint="cs"/>
          <w:rtl/>
        </w:rPr>
        <w:t xml:space="preserve"> </w:t>
      </w:r>
      <w:r w:rsidRPr="00EA2BB0">
        <w:rPr>
          <w:rtl/>
        </w:rPr>
        <w:t>يحدّد فترة خدمة المدير العام بولايتين</w:t>
      </w:r>
      <w:r w:rsidRPr="00EA2BB0">
        <w:rPr>
          <w:rFonts w:hint="cs"/>
          <w:rtl/>
        </w:rPr>
        <w:t xml:space="preserve"> تدوم</w:t>
      </w:r>
      <w:r w:rsidRPr="00EA2BB0">
        <w:rPr>
          <w:rtl/>
        </w:rPr>
        <w:t xml:space="preserve"> كل منهما ست سنوات.</w:t>
      </w:r>
      <w:r w:rsidRPr="00EA2BB0">
        <w:rPr>
          <w:rFonts w:hint="cs"/>
          <w:rtl/>
        </w:rPr>
        <w:t xml:space="preserve"> </w:t>
      </w:r>
      <w:r w:rsidRPr="00EA2BB0">
        <w:rPr>
          <w:rtl/>
        </w:rPr>
        <w:t>وتستهدف التعديلات التي أدخلت في عام 2003 على اتفاقية الويبو وسائر المعاهدات التي تديرها الويبو</w:t>
      </w:r>
      <w:r w:rsidRPr="00EA2BB0">
        <w:rPr>
          <w:rFonts w:hint="cs"/>
          <w:rtl/>
        </w:rPr>
        <w:t>:</w:t>
      </w:r>
      <w:r w:rsidRPr="00EA2BB0">
        <w:rPr>
          <w:rtl/>
        </w:rPr>
        <w:t xml:space="preserve"> </w:t>
      </w:r>
      <w:r w:rsidRPr="00EA2BB0">
        <w:rPr>
          <w:rFonts w:hint="cs"/>
          <w:rtl/>
        </w:rPr>
        <w:t>"1"</w:t>
      </w:r>
      <w:r w:rsidRPr="00EA2BB0">
        <w:rPr>
          <w:rFonts w:hint="eastAsia"/>
          <w:rtl/>
        </w:rPr>
        <w:t> </w:t>
      </w:r>
      <w:r w:rsidRPr="00EA2BB0">
        <w:rPr>
          <w:rtl/>
        </w:rPr>
        <w:t xml:space="preserve">إلغاء مؤتمر الويبو؛ </w:t>
      </w:r>
      <w:r w:rsidRPr="00EA2BB0">
        <w:rPr>
          <w:rFonts w:hint="cs"/>
          <w:rtl/>
        </w:rPr>
        <w:t>"2"</w:t>
      </w:r>
      <w:r w:rsidRPr="00EA2BB0">
        <w:rPr>
          <w:rFonts w:hint="eastAsia"/>
          <w:rtl/>
        </w:rPr>
        <w:t> </w:t>
      </w:r>
      <w:r w:rsidRPr="00EA2BB0">
        <w:rPr>
          <w:rtl/>
        </w:rPr>
        <w:t xml:space="preserve">وإضفاء </w:t>
      </w:r>
      <w:r w:rsidRPr="00EA2BB0">
        <w:rPr>
          <w:rFonts w:hint="cs"/>
          <w:rtl/>
        </w:rPr>
        <w:t>الطابع</w:t>
      </w:r>
      <w:r w:rsidRPr="00EA2BB0">
        <w:rPr>
          <w:rtl/>
        </w:rPr>
        <w:t xml:space="preserve"> الرسمي على النظام أحادي الاشتراكات و</w:t>
      </w:r>
      <w:r w:rsidRPr="00EA2BB0">
        <w:rPr>
          <w:rFonts w:hint="cs"/>
          <w:rtl/>
        </w:rPr>
        <w:t>ال</w:t>
      </w:r>
      <w:r w:rsidRPr="00EA2BB0">
        <w:rPr>
          <w:rtl/>
        </w:rPr>
        <w:t>تغيير</w:t>
      </w:r>
      <w:r w:rsidRPr="00EA2BB0">
        <w:rPr>
          <w:rFonts w:hint="cs"/>
          <w:rtl/>
        </w:rPr>
        <w:t>ات المدخلة على</w:t>
      </w:r>
      <w:r w:rsidRPr="00EA2BB0">
        <w:rPr>
          <w:rtl/>
        </w:rPr>
        <w:t xml:space="preserve"> فئات الاشتراكات المعمول بها منذ عام 1994؛ </w:t>
      </w:r>
      <w:r w:rsidRPr="00EA2BB0">
        <w:rPr>
          <w:rFonts w:hint="cs"/>
          <w:rtl/>
        </w:rPr>
        <w:t xml:space="preserve">"3" </w:t>
      </w:r>
      <w:r w:rsidRPr="00EA2BB0">
        <w:rPr>
          <w:rtl/>
        </w:rPr>
        <w:t>وإقامة دورات عادية سنوية (بدل</w:t>
      </w:r>
      <w:r w:rsidRPr="00EA2BB0">
        <w:rPr>
          <w:rFonts w:hint="cs"/>
          <w:rtl/>
        </w:rPr>
        <w:t>اً من</w:t>
      </w:r>
      <w:r w:rsidRPr="00EA2BB0">
        <w:rPr>
          <w:rtl/>
        </w:rPr>
        <w:t xml:space="preserve"> مر</w:t>
      </w:r>
      <w:r>
        <w:rPr>
          <w:rFonts w:hint="cs"/>
          <w:rtl/>
        </w:rPr>
        <w:t>ّ</w:t>
      </w:r>
      <w:r w:rsidRPr="00EA2BB0">
        <w:rPr>
          <w:rtl/>
        </w:rPr>
        <w:t>ة كل سنتين) ل</w:t>
      </w:r>
      <w:r w:rsidRPr="00EA2BB0">
        <w:rPr>
          <w:rFonts w:hint="cs"/>
          <w:rtl/>
        </w:rPr>
        <w:t>ل</w:t>
      </w:r>
      <w:r w:rsidRPr="00EA2BB0">
        <w:rPr>
          <w:rtl/>
        </w:rPr>
        <w:t xml:space="preserve">جمعية </w:t>
      </w:r>
      <w:r w:rsidRPr="00EA2BB0">
        <w:rPr>
          <w:rFonts w:hint="cs"/>
          <w:rtl/>
        </w:rPr>
        <w:t>العامة ل</w:t>
      </w:r>
      <w:r w:rsidRPr="00EA2BB0">
        <w:rPr>
          <w:rtl/>
        </w:rPr>
        <w:t>لويبو وجمعيات الاتحادات الأخرى</w:t>
      </w:r>
      <w:r w:rsidRPr="00EA2BB0">
        <w:rPr>
          <w:rFonts w:hint="cs"/>
          <w:rtl/>
        </w:rPr>
        <w:t xml:space="preserve"> التي تديرها الويبو</w:t>
      </w:r>
      <w:r w:rsidRPr="00EA2BB0">
        <w:rPr>
          <w:rtl/>
        </w:rPr>
        <w:t>.</w:t>
      </w:r>
    </w:p>
    <w:p w14:paraId="7E08670E" w14:textId="77777777" w:rsidR="00E72E63" w:rsidRPr="00EA2BB0" w:rsidRDefault="00E72E63" w:rsidP="0087007A">
      <w:pPr>
        <w:pStyle w:val="ONUMA"/>
        <w:rPr>
          <w:lang w:bidi="ar-EG"/>
        </w:rPr>
      </w:pPr>
      <w:r w:rsidRPr="00EA2BB0">
        <w:rPr>
          <w:rFonts w:hint="cs"/>
          <w:rtl/>
        </w:rPr>
        <w:lastRenderedPageBreak/>
        <w:t>و</w:t>
      </w:r>
      <w:r w:rsidRPr="00EA2BB0">
        <w:rPr>
          <w:rtl/>
        </w:rPr>
        <w:t xml:space="preserve">لم </w:t>
      </w:r>
      <w:r w:rsidRPr="00EA2BB0">
        <w:rPr>
          <w:rFonts w:hint="cs"/>
          <w:rtl/>
        </w:rPr>
        <w:t>ي</w:t>
      </w:r>
      <w:r w:rsidRPr="00EA2BB0">
        <w:rPr>
          <w:rtl/>
        </w:rPr>
        <w:t>دخل أي من تلك التعديلات حيز النفاذ</w:t>
      </w:r>
      <w:r w:rsidRPr="00EA2BB0">
        <w:rPr>
          <w:rFonts w:hint="cs"/>
          <w:rtl/>
        </w:rPr>
        <w:t xml:space="preserve">، </w:t>
      </w:r>
      <w:r w:rsidRPr="00EA2BB0">
        <w:rPr>
          <w:rtl/>
        </w:rPr>
        <w:t>لأن</w:t>
      </w:r>
      <w:r w:rsidRPr="00EA2BB0">
        <w:rPr>
          <w:rFonts w:hint="cs"/>
          <w:rtl/>
        </w:rPr>
        <w:t>ّ</w:t>
      </w:r>
      <w:r w:rsidRPr="00EA2BB0">
        <w:rPr>
          <w:rtl/>
        </w:rPr>
        <w:t xml:space="preserve"> المدير العام لم يتسلم بعد العدد المطلوب من الإخطارات بقبول التعديلات من الدول الأعضاء في الويبو. ونتيجة لذلك، توجد فجوة بين عمليات الويبو </w:t>
      </w:r>
      <w:r w:rsidRPr="00EA2BB0">
        <w:rPr>
          <w:rFonts w:hint="cs"/>
          <w:rtl/>
        </w:rPr>
        <w:t>وإطارها</w:t>
      </w:r>
      <w:r w:rsidRPr="00EA2BB0">
        <w:rPr>
          <w:rtl/>
        </w:rPr>
        <w:t xml:space="preserve"> الدستوري.</w:t>
      </w:r>
    </w:p>
    <w:p w14:paraId="236689FC" w14:textId="77777777" w:rsidR="00E72E63" w:rsidRPr="00EA2BB0" w:rsidRDefault="00E72E63" w:rsidP="0087007A">
      <w:pPr>
        <w:pStyle w:val="ONUMA"/>
        <w:rPr>
          <w:lang w:bidi="ar-EG"/>
        </w:rPr>
      </w:pPr>
      <w:r w:rsidRPr="00EA2BB0">
        <w:rPr>
          <w:rFonts w:hint="cs"/>
          <w:rtl/>
          <w:lang w:bidi="ar-EG"/>
        </w:rPr>
        <w:t>وتسلم المدير العام، حتى الآن، 56 إخطاراً بالقبول من أصل 129 إخطاراً مطلوباً فيما يخص تعديل 1999، و23 إخطاراً من أصل 135 إخطاراً مطلوباً فيما يخص تعديلات 2003. انظر</w:t>
      </w:r>
      <w:r>
        <w:rPr>
          <w:rFonts w:hint="cs"/>
          <w:rtl/>
          <w:lang w:bidi="ar-EG"/>
        </w:rPr>
        <w:t>(ي)</w:t>
      </w:r>
      <w:r w:rsidRPr="00EA2BB0">
        <w:rPr>
          <w:rFonts w:hint="cs"/>
          <w:rtl/>
          <w:lang w:bidi="ar-EG"/>
        </w:rPr>
        <w:t xml:space="preserve"> منشور الويبو 423 الوارد في مرفق هذه الوثيقة.</w:t>
      </w:r>
    </w:p>
    <w:p w14:paraId="2FC852CD" w14:textId="20FC4B4B" w:rsidR="00E72E63" w:rsidRPr="00EA2BB0" w:rsidRDefault="00E72E63" w:rsidP="0087007A">
      <w:pPr>
        <w:pStyle w:val="ONUMA"/>
        <w:rPr>
          <w:lang w:bidi="ar-EG"/>
        </w:rPr>
      </w:pPr>
      <w:r w:rsidRPr="00EA2BB0">
        <w:rPr>
          <w:rFonts w:hint="cs"/>
          <w:rtl/>
        </w:rPr>
        <w:t>و</w:t>
      </w:r>
      <w:r w:rsidRPr="00EA2BB0">
        <w:rPr>
          <w:rtl/>
        </w:rPr>
        <w:t xml:space="preserve">الدول الأعضاء </w:t>
      </w:r>
      <w:r w:rsidRPr="00EA2BB0">
        <w:rPr>
          <w:rFonts w:hint="cs"/>
          <w:rtl/>
        </w:rPr>
        <w:t xml:space="preserve">مدعوة بكل احترام إلى إرسال </w:t>
      </w:r>
      <w:r>
        <w:rPr>
          <w:rFonts w:hint="cs"/>
          <w:rtl/>
        </w:rPr>
        <w:t>وثائق</w:t>
      </w:r>
      <w:r w:rsidRPr="00EA2BB0">
        <w:rPr>
          <w:rFonts w:hint="cs"/>
          <w:rtl/>
        </w:rPr>
        <w:t xml:space="preserve"> قبولها بالتعديلات على المعاهدات المعنية من المعاهدات التي تديرها الويبو</w:t>
      </w:r>
      <w:r w:rsidRPr="00EA2BB0">
        <w:rPr>
          <w:rtl/>
        </w:rPr>
        <w:t>.</w:t>
      </w:r>
      <w:r w:rsidRPr="00EA2BB0">
        <w:rPr>
          <w:rFonts w:hint="cs"/>
          <w:rtl/>
        </w:rPr>
        <w:t xml:space="preserve"> وبذلك ستتمكّن الدول الأعضاء من</w:t>
      </w:r>
      <w:r w:rsidR="00B17DB0">
        <w:rPr>
          <w:rFonts w:hint="cs"/>
          <w:rtl/>
        </w:rPr>
        <w:t xml:space="preserve"> </w:t>
      </w:r>
      <w:r w:rsidRPr="00EA2BB0">
        <w:rPr>
          <w:rFonts w:hint="cs"/>
          <w:rtl/>
        </w:rPr>
        <w:t>استكمال</w:t>
      </w:r>
      <w:r w:rsidRPr="00EA2BB0">
        <w:rPr>
          <w:rtl/>
        </w:rPr>
        <w:t xml:space="preserve"> </w:t>
      </w:r>
      <w:r w:rsidRPr="00EA2BB0">
        <w:rPr>
          <w:rFonts w:hint="cs"/>
          <w:rtl/>
        </w:rPr>
        <w:t>ع</w:t>
      </w:r>
      <w:r w:rsidRPr="00EA2BB0">
        <w:rPr>
          <w:rtl/>
        </w:rPr>
        <w:t xml:space="preserve">ملية ترشيد </w:t>
      </w:r>
      <w:r w:rsidRPr="00EA2BB0">
        <w:rPr>
          <w:rFonts w:hint="cs"/>
          <w:rtl/>
        </w:rPr>
        <w:t>ال</w:t>
      </w:r>
      <w:r w:rsidRPr="00EA2BB0">
        <w:rPr>
          <w:rtl/>
        </w:rPr>
        <w:t>بنية ا</w:t>
      </w:r>
      <w:r w:rsidRPr="00EA2BB0">
        <w:rPr>
          <w:rFonts w:hint="cs"/>
          <w:rtl/>
        </w:rPr>
        <w:t>لخاصة بحوكمة ال</w:t>
      </w:r>
      <w:r w:rsidRPr="00EA2BB0">
        <w:rPr>
          <w:rtl/>
        </w:rPr>
        <w:t>منظمة</w:t>
      </w:r>
      <w:r w:rsidRPr="00EA2BB0">
        <w:rPr>
          <w:rFonts w:hint="cs"/>
          <w:rtl/>
        </w:rPr>
        <w:t>.</w:t>
      </w:r>
    </w:p>
    <w:p w14:paraId="331D5C8A" w14:textId="77777777" w:rsidR="00E72E63" w:rsidRDefault="00E72E63" w:rsidP="00E72E63">
      <w:pPr>
        <w:spacing w:before="480"/>
        <w:ind w:left="5534"/>
        <w:rPr>
          <w:rtl/>
          <w:lang w:bidi="ar-EG"/>
        </w:rPr>
      </w:pPr>
      <w:r w:rsidRPr="00EA2BB0">
        <w:rPr>
          <w:rFonts w:hint="cs"/>
          <w:rtl/>
          <w:lang w:bidi="ar-EG"/>
        </w:rPr>
        <w:t>[يلي ذلك المرفق]</w:t>
      </w:r>
    </w:p>
    <w:sectPr w:rsidR="00E72E63"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0F5C" w14:textId="77777777" w:rsidR="005A04DA" w:rsidRDefault="005A04DA">
      <w:r>
        <w:separator/>
      </w:r>
    </w:p>
  </w:endnote>
  <w:endnote w:type="continuationSeparator" w:id="0">
    <w:p w14:paraId="705813F2" w14:textId="77777777" w:rsidR="005A04DA" w:rsidRDefault="005A04DA" w:rsidP="003B38C1">
      <w:r>
        <w:separator/>
      </w:r>
    </w:p>
    <w:p w14:paraId="7E022F75" w14:textId="77777777" w:rsidR="005A04DA" w:rsidRPr="003B38C1" w:rsidRDefault="005A04DA" w:rsidP="003B38C1">
      <w:pPr>
        <w:spacing w:after="60"/>
        <w:rPr>
          <w:sz w:val="17"/>
        </w:rPr>
      </w:pPr>
      <w:r>
        <w:rPr>
          <w:sz w:val="17"/>
        </w:rPr>
        <w:t>[Endnote continued from previous page]</w:t>
      </w:r>
    </w:p>
  </w:endnote>
  <w:endnote w:type="continuationNotice" w:id="1">
    <w:p w14:paraId="1CB66B09" w14:textId="77777777" w:rsidR="005A04DA" w:rsidRPr="003B38C1" w:rsidRDefault="005A04D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C129" w14:textId="77777777" w:rsidR="005A04DA" w:rsidRDefault="005A04DA">
      <w:r>
        <w:separator/>
      </w:r>
    </w:p>
  </w:footnote>
  <w:footnote w:type="continuationSeparator" w:id="0">
    <w:p w14:paraId="7831A685" w14:textId="77777777" w:rsidR="005A04DA" w:rsidRDefault="005A04DA" w:rsidP="008B60B2">
      <w:r>
        <w:separator/>
      </w:r>
    </w:p>
    <w:p w14:paraId="23CE2525" w14:textId="77777777" w:rsidR="005A04DA" w:rsidRPr="00ED77FB" w:rsidRDefault="005A04DA" w:rsidP="008B60B2">
      <w:pPr>
        <w:spacing w:after="60"/>
        <w:rPr>
          <w:sz w:val="17"/>
          <w:szCs w:val="17"/>
        </w:rPr>
      </w:pPr>
      <w:r w:rsidRPr="00ED77FB">
        <w:rPr>
          <w:sz w:val="17"/>
          <w:szCs w:val="17"/>
        </w:rPr>
        <w:t>[Footnote continued from previous page]</w:t>
      </w:r>
    </w:p>
  </w:footnote>
  <w:footnote w:type="continuationNotice" w:id="1">
    <w:p w14:paraId="0FDD1449" w14:textId="77777777" w:rsidR="005A04DA" w:rsidRPr="00ED77FB" w:rsidRDefault="005A04D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F75CB42" w14:textId="151B27D8" w:rsidR="00E72E63" w:rsidRDefault="00E72E63">
      <w:pPr>
        <w:pStyle w:val="FootnoteText"/>
        <w:contextualSpacing/>
        <w:rPr>
          <w:rtl/>
        </w:rPr>
      </w:pPr>
      <w:r w:rsidRPr="004F1530">
        <w:rPr>
          <w:vertAlign w:val="superscript"/>
        </w:rPr>
        <w:footnoteRef/>
      </w:r>
      <w:r w:rsidR="004F1530">
        <w:rPr>
          <w:rtl/>
        </w:rPr>
        <w:tab/>
      </w:r>
      <w:r w:rsidRPr="00E72E63">
        <w:rPr>
          <w:rtl/>
        </w:rPr>
        <w:t>المعاهدات ذات الصلة هي اتفاقية باريس لحماية الملكية الصناعية واتفاقية برن لحماية المصنفات الأدبية والفنية واتفاق نيس بشأن التصنيف الدولي للسلع</w:t>
      </w:r>
      <w:r w:rsidR="004F1530">
        <w:rPr>
          <w:rFonts w:hint="cs"/>
          <w:rtl/>
        </w:rPr>
        <w:t xml:space="preserve"> </w:t>
      </w:r>
      <w:r w:rsidRPr="00E72E63">
        <w:rPr>
          <w:rtl/>
        </w:rPr>
        <w:t>والخدمات لأغراض تسجيل العلامات واتفاق لشبونة بشأن حماية تسميات المنشأ وتسجيلها على الصعيد الدولي فيما يتعلق بوثيقة استوكهولم الخاصة به لعام</w:t>
      </w:r>
      <w:r w:rsidR="004F1530">
        <w:rPr>
          <w:rFonts w:hint="cs"/>
          <w:rtl/>
        </w:rPr>
        <w:t> </w:t>
      </w:r>
      <w:r w:rsidRPr="00E72E63">
        <w:rPr>
          <w:rtl/>
        </w:rPr>
        <w:t>1967.</w:t>
      </w:r>
    </w:p>
    <w:p w14:paraId="225CA5F5" w14:textId="77777777" w:rsidR="004F1530" w:rsidRDefault="004F1530">
      <w:pPr>
        <w:pStyle w:val="FootnoteText"/>
        <w:contextualSpacing/>
      </w:pPr>
    </w:p>
  </w:footnote>
  <w:footnote w:id="3">
    <w:p w14:paraId="3D8D65C4" w14:textId="6277DE7B" w:rsidR="004F1530" w:rsidRDefault="004F1530" w:rsidP="004F1530">
      <w:pPr>
        <w:pStyle w:val="FootnoteText"/>
      </w:pPr>
      <w:r w:rsidRPr="004F1530">
        <w:rPr>
          <w:vertAlign w:val="superscript"/>
        </w:rPr>
        <w:footnoteRef/>
      </w:r>
      <w:r>
        <w:rPr>
          <w:rtl/>
        </w:rPr>
        <w:tab/>
      </w:r>
      <w:r w:rsidRPr="004F1530">
        <w:rPr>
          <w:rFonts w:hint="cs"/>
          <w:rtl/>
        </w:rPr>
        <w:t>انظر(ي) الجزء الثاني بشأن الإصلاح الدستوري.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19B0" w14:textId="62BEE801" w:rsidR="00C27A27" w:rsidRPr="005359F5" w:rsidRDefault="00C27A27" w:rsidP="005359F5">
    <w:pPr>
      <w:bidi w:val="0"/>
    </w:pPr>
    <w:r>
      <w:t>A/</w:t>
    </w:r>
    <w:r w:rsidR="00CA5A89">
      <w:t>66</w:t>
    </w:r>
    <w:r w:rsidR="00F23C4B">
      <w:t>/</w:t>
    </w:r>
    <w:r w:rsidR="00E56695">
      <w:t>INF/3</w:t>
    </w:r>
  </w:p>
  <w:p w14:paraId="7A8437EC" w14:textId="77777777" w:rsidR="00D07C78" w:rsidRDefault="00D07C78" w:rsidP="00C27A27">
    <w:pPr>
      <w:bidi w:val="0"/>
    </w:pPr>
    <w:r>
      <w:fldChar w:fldCharType="begin"/>
    </w:r>
    <w:r>
      <w:instrText xml:space="preserve"> PAGE  \* MERGEFORMAT </w:instrText>
    </w:r>
    <w:r>
      <w:fldChar w:fldCharType="separate"/>
    </w:r>
    <w:r w:rsidR="00F32171">
      <w:rPr>
        <w:noProof/>
      </w:rPr>
      <w:t>5</w:t>
    </w:r>
    <w:r>
      <w:fldChar w:fldCharType="end"/>
    </w:r>
  </w:p>
  <w:p w14:paraId="3D624169" w14:textId="77777777" w:rsidR="00D07C78" w:rsidRDefault="00D07C78" w:rsidP="00210D5F">
    <w:pPr>
      <w:bidi w:val="0"/>
    </w:pPr>
  </w:p>
  <w:p w14:paraId="7D74298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16928">
    <w:abstractNumId w:val="3"/>
  </w:num>
  <w:num w:numId="2" w16cid:durableId="476844781">
    <w:abstractNumId w:val="12"/>
  </w:num>
  <w:num w:numId="3" w16cid:durableId="131096237">
    <w:abstractNumId w:val="0"/>
  </w:num>
  <w:num w:numId="4" w16cid:durableId="1514033729">
    <w:abstractNumId w:val="14"/>
  </w:num>
  <w:num w:numId="5" w16cid:durableId="659769556">
    <w:abstractNumId w:val="1"/>
  </w:num>
  <w:num w:numId="6" w16cid:durableId="798843343">
    <w:abstractNumId w:val="6"/>
  </w:num>
  <w:num w:numId="7" w16cid:durableId="2081900171">
    <w:abstractNumId w:val="17"/>
  </w:num>
  <w:num w:numId="8" w16cid:durableId="2041081219">
    <w:abstractNumId w:val="11"/>
  </w:num>
  <w:num w:numId="9" w16cid:durableId="691150905">
    <w:abstractNumId w:val="9"/>
  </w:num>
  <w:num w:numId="10" w16cid:durableId="1825119685">
    <w:abstractNumId w:val="15"/>
  </w:num>
  <w:num w:numId="11" w16cid:durableId="16415">
    <w:abstractNumId w:val="10"/>
  </w:num>
  <w:num w:numId="12" w16cid:durableId="290406586">
    <w:abstractNumId w:val="18"/>
  </w:num>
  <w:num w:numId="13" w16cid:durableId="452556893">
    <w:abstractNumId w:val="20"/>
  </w:num>
  <w:num w:numId="14" w16cid:durableId="670254691">
    <w:abstractNumId w:val="4"/>
  </w:num>
  <w:num w:numId="15" w16cid:durableId="150104151">
    <w:abstractNumId w:val="22"/>
  </w:num>
  <w:num w:numId="16" w16cid:durableId="1147553674">
    <w:abstractNumId w:val="2"/>
  </w:num>
  <w:num w:numId="17" w16cid:durableId="913468765">
    <w:abstractNumId w:val="16"/>
  </w:num>
  <w:num w:numId="18" w16cid:durableId="1940749919">
    <w:abstractNumId w:val="5"/>
  </w:num>
  <w:num w:numId="19" w16cid:durableId="206647498">
    <w:abstractNumId w:val="8"/>
  </w:num>
  <w:num w:numId="20" w16cid:durableId="646207734">
    <w:abstractNumId w:val="17"/>
  </w:num>
  <w:num w:numId="21" w16cid:durableId="142815326">
    <w:abstractNumId w:val="17"/>
  </w:num>
  <w:num w:numId="22" w16cid:durableId="1410466164">
    <w:abstractNumId w:val="17"/>
  </w:num>
  <w:num w:numId="23" w16cid:durableId="1551843967">
    <w:abstractNumId w:val="13"/>
  </w:num>
  <w:num w:numId="24" w16cid:durableId="1087768345">
    <w:abstractNumId w:val="17"/>
  </w:num>
  <w:num w:numId="25" w16cid:durableId="1984037754">
    <w:abstractNumId w:val="17"/>
  </w:num>
  <w:num w:numId="26" w16cid:durableId="487478173">
    <w:abstractNumId w:val="17"/>
  </w:num>
  <w:num w:numId="27" w16cid:durableId="337386286">
    <w:abstractNumId w:val="17"/>
  </w:num>
  <w:num w:numId="28" w16cid:durableId="215900577">
    <w:abstractNumId w:val="17"/>
  </w:num>
  <w:num w:numId="29" w16cid:durableId="261107950">
    <w:abstractNumId w:val="17"/>
  </w:num>
  <w:num w:numId="30" w16cid:durableId="2038694890">
    <w:abstractNumId w:val="7"/>
  </w:num>
  <w:num w:numId="31" w16cid:durableId="2130930436">
    <w:abstractNumId w:val="19"/>
  </w:num>
  <w:num w:numId="32" w16cid:durableId="863591553">
    <w:abstractNumId w:val="21"/>
  </w:num>
  <w:num w:numId="33" w16cid:durableId="1787314872">
    <w:abstractNumId w:val="17"/>
  </w:num>
  <w:num w:numId="34" w16cid:durableId="421803906">
    <w:abstractNumId w:val="17"/>
  </w:num>
  <w:num w:numId="35" w16cid:durableId="68581409">
    <w:abstractNumId w:val="17"/>
  </w:num>
  <w:num w:numId="36" w16cid:durableId="2033913935">
    <w:abstractNumId w:val="17"/>
  </w:num>
  <w:num w:numId="37" w16cid:durableId="2060325151">
    <w:abstractNumId w:val="17"/>
  </w:num>
  <w:num w:numId="38" w16cid:durableId="1813868887">
    <w:abstractNumId w:val="17"/>
  </w:num>
  <w:num w:numId="39" w16cid:durableId="1443264410">
    <w:abstractNumId w:val="17"/>
  </w:num>
  <w:num w:numId="40" w16cid:durableId="513299838">
    <w:abstractNumId w:val="17"/>
  </w:num>
  <w:num w:numId="41" w16cid:durableId="1026293801">
    <w:abstractNumId w:val="17"/>
  </w:num>
  <w:num w:numId="42" w16cid:durableId="2055229780">
    <w:abstractNumId w:val="17"/>
  </w:num>
  <w:num w:numId="43" w16cid:durableId="2072656606">
    <w:abstractNumId w:val="17"/>
  </w:num>
  <w:num w:numId="44" w16cid:durableId="1194150867">
    <w:abstractNumId w:val="17"/>
  </w:num>
  <w:num w:numId="45" w16cid:durableId="1496339262">
    <w:abstractNumId w:val="17"/>
  </w:num>
  <w:num w:numId="46" w16cid:durableId="1626544226">
    <w:abstractNumId w:val="17"/>
  </w:num>
  <w:num w:numId="47" w16cid:durableId="1441993137">
    <w:abstractNumId w:val="17"/>
  </w:num>
  <w:num w:numId="48" w16cid:durableId="731002415">
    <w:abstractNumId w:val="17"/>
  </w:num>
  <w:num w:numId="49" w16cid:durableId="1358503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DA"/>
    <w:rsid w:val="00043052"/>
    <w:rsid w:val="00043CAA"/>
    <w:rsid w:val="00056816"/>
    <w:rsid w:val="00075432"/>
    <w:rsid w:val="000779AC"/>
    <w:rsid w:val="000811ED"/>
    <w:rsid w:val="00094EC4"/>
    <w:rsid w:val="000968ED"/>
    <w:rsid w:val="000A3D97"/>
    <w:rsid w:val="000A5B1A"/>
    <w:rsid w:val="000B6D64"/>
    <w:rsid w:val="000E2051"/>
    <w:rsid w:val="000F5E56"/>
    <w:rsid w:val="001362EE"/>
    <w:rsid w:val="00136568"/>
    <w:rsid w:val="001406E1"/>
    <w:rsid w:val="00155D8A"/>
    <w:rsid w:val="001647D5"/>
    <w:rsid w:val="00167832"/>
    <w:rsid w:val="001832A6"/>
    <w:rsid w:val="001856AF"/>
    <w:rsid w:val="0019592A"/>
    <w:rsid w:val="001B43C7"/>
    <w:rsid w:val="001B4DD1"/>
    <w:rsid w:val="001D4107"/>
    <w:rsid w:val="001E69E3"/>
    <w:rsid w:val="00203D24"/>
    <w:rsid w:val="00210D5F"/>
    <w:rsid w:val="0021217E"/>
    <w:rsid w:val="002253C1"/>
    <w:rsid w:val="002326AB"/>
    <w:rsid w:val="0023454F"/>
    <w:rsid w:val="00243430"/>
    <w:rsid w:val="00243546"/>
    <w:rsid w:val="00244EC2"/>
    <w:rsid w:val="00250149"/>
    <w:rsid w:val="002634C4"/>
    <w:rsid w:val="002751BB"/>
    <w:rsid w:val="00276CA2"/>
    <w:rsid w:val="00290E36"/>
    <w:rsid w:val="002928D3"/>
    <w:rsid w:val="002F1FE6"/>
    <w:rsid w:val="002F4E68"/>
    <w:rsid w:val="00312F7F"/>
    <w:rsid w:val="003263B5"/>
    <w:rsid w:val="00361450"/>
    <w:rsid w:val="003673CF"/>
    <w:rsid w:val="0037232D"/>
    <w:rsid w:val="003770CD"/>
    <w:rsid w:val="00383742"/>
    <w:rsid w:val="003845C1"/>
    <w:rsid w:val="003917F8"/>
    <w:rsid w:val="003A21CE"/>
    <w:rsid w:val="003A6F89"/>
    <w:rsid w:val="003B355C"/>
    <w:rsid w:val="003B38C1"/>
    <w:rsid w:val="003C34E9"/>
    <w:rsid w:val="003F75AF"/>
    <w:rsid w:val="00423E3E"/>
    <w:rsid w:val="00427AF4"/>
    <w:rsid w:val="0045246E"/>
    <w:rsid w:val="004647DA"/>
    <w:rsid w:val="004709F6"/>
    <w:rsid w:val="00470DC6"/>
    <w:rsid w:val="00474062"/>
    <w:rsid w:val="00477D6B"/>
    <w:rsid w:val="004C49E0"/>
    <w:rsid w:val="004C5E23"/>
    <w:rsid w:val="004D1583"/>
    <w:rsid w:val="004E3A74"/>
    <w:rsid w:val="004F1434"/>
    <w:rsid w:val="004F1530"/>
    <w:rsid w:val="004F48D6"/>
    <w:rsid w:val="005019FF"/>
    <w:rsid w:val="00530147"/>
    <w:rsid w:val="0053057A"/>
    <w:rsid w:val="005359F5"/>
    <w:rsid w:val="005367AB"/>
    <w:rsid w:val="00556076"/>
    <w:rsid w:val="00560A29"/>
    <w:rsid w:val="005A04DA"/>
    <w:rsid w:val="005C6649"/>
    <w:rsid w:val="005D0BB0"/>
    <w:rsid w:val="005E7B89"/>
    <w:rsid w:val="005F462A"/>
    <w:rsid w:val="00605827"/>
    <w:rsid w:val="00617F2A"/>
    <w:rsid w:val="00630241"/>
    <w:rsid w:val="00646050"/>
    <w:rsid w:val="006631CA"/>
    <w:rsid w:val="006713CA"/>
    <w:rsid w:val="00676C5C"/>
    <w:rsid w:val="006B5C12"/>
    <w:rsid w:val="006C128B"/>
    <w:rsid w:val="006E6595"/>
    <w:rsid w:val="00706CB8"/>
    <w:rsid w:val="007071DC"/>
    <w:rsid w:val="00717A11"/>
    <w:rsid w:val="00720EFD"/>
    <w:rsid w:val="007251F0"/>
    <w:rsid w:val="0072790E"/>
    <w:rsid w:val="0074502F"/>
    <w:rsid w:val="00747D30"/>
    <w:rsid w:val="007802B2"/>
    <w:rsid w:val="007837CD"/>
    <w:rsid w:val="007854AF"/>
    <w:rsid w:val="00793A7C"/>
    <w:rsid w:val="007A398A"/>
    <w:rsid w:val="007C4902"/>
    <w:rsid w:val="007D1613"/>
    <w:rsid w:val="007E1D1A"/>
    <w:rsid w:val="007E4C0E"/>
    <w:rsid w:val="00867854"/>
    <w:rsid w:val="0087007A"/>
    <w:rsid w:val="008A134B"/>
    <w:rsid w:val="008B2CC1"/>
    <w:rsid w:val="008B60B2"/>
    <w:rsid w:val="008C3571"/>
    <w:rsid w:val="008D4201"/>
    <w:rsid w:val="0090731E"/>
    <w:rsid w:val="009152F1"/>
    <w:rsid w:val="00916EE2"/>
    <w:rsid w:val="009348E8"/>
    <w:rsid w:val="00935169"/>
    <w:rsid w:val="00966A22"/>
    <w:rsid w:val="0096722F"/>
    <w:rsid w:val="009674EF"/>
    <w:rsid w:val="00980843"/>
    <w:rsid w:val="00983201"/>
    <w:rsid w:val="009A2496"/>
    <w:rsid w:val="009B0855"/>
    <w:rsid w:val="009E1721"/>
    <w:rsid w:val="009E2791"/>
    <w:rsid w:val="009E3F6F"/>
    <w:rsid w:val="009F499F"/>
    <w:rsid w:val="00A06F4E"/>
    <w:rsid w:val="00A27220"/>
    <w:rsid w:val="00A37342"/>
    <w:rsid w:val="00A42DAF"/>
    <w:rsid w:val="00A45BD8"/>
    <w:rsid w:val="00A869B7"/>
    <w:rsid w:val="00A90F0A"/>
    <w:rsid w:val="00AC205C"/>
    <w:rsid w:val="00AD326E"/>
    <w:rsid w:val="00AF0A6B"/>
    <w:rsid w:val="00AF53BC"/>
    <w:rsid w:val="00B05A69"/>
    <w:rsid w:val="00B17CEA"/>
    <w:rsid w:val="00B17DB0"/>
    <w:rsid w:val="00B330CE"/>
    <w:rsid w:val="00B42CA9"/>
    <w:rsid w:val="00B51FF7"/>
    <w:rsid w:val="00B75281"/>
    <w:rsid w:val="00B92F1F"/>
    <w:rsid w:val="00B9734B"/>
    <w:rsid w:val="00BA0A41"/>
    <w:rsid w:val="00BA30E2"/>
    <w:rsid w:val="00BE2A85"/>
    <w:rsid w:val="00BE45C2"/>
    <w:rsid w:val="00BF45B9"/>
    <w:rsid w:val="00C11BFE"/>
    <w:rsid w:val="00C27A27"/>
    <w:rsid w:val="00C5068F"/>
    <w:rsid w:val="00C57918"/>
    <w:rsid w:val="00C84642"/>
    <w:rsid w:val="00C86D74"/>
    <w:rsid w:val="00C907FA"/>
    <w:rsid w:val="00CA00C3"/>
    <w:rsid w:val="00CA5A89"/>
    <w:rsid w:val="00CA638E"/>
    <w:rsid w:val="00CB3DBA"/>
    <w:rsid w:val="00CC3E2D"/>
    <w:rsid w:val="00CD04F1"/>
    <w:rsid w:val="00CE19F8"/>
    <w:rsid w:val="00CF681A"/>
    <w:rsid w:val="00CF7C8F"/>
    <w:rsid w:val="00D07C78"/>
    <w:rsid w:val="00D35390"/>
    <w:rsid w:val="00D45252"/>
    <w:rsid w:val="00D60B2C"/>
    <w:rsid w:val="00D67EAE"/>
    <w:rsid w:val="00D71B4D"/>
    <w:rsid w:val="00D90B96"/>
    <w:rsid w:val="00D93D55"/>
    <w:rsid w:val="00DA7C3A"/>
    <w:rsid w:val="00DD7B7F"/>
    <w:rsid w:val="00E15015"/>
    <w:rsid w:val="00E319DF"/>
    <w:rsid w:val="00E335FE"/>
    <w:rsid w:val="00E55AEC"/>
    <w:rsid w:val="00E55EA6"/>
    <w:rsid w:val="00E56695"/>
    <w:rsid w:val="00E6259C"/>
    <w:rsid w:val="00E66CC5"/>
    <w:rsid w:val="00E72E63"/>
    <w:rsid w:val="00E73A03"/>
    <w:rsid w:val="00E835F7"/>
    <w:rsid w:val="00EA7D6E"/>
    <w:rsid w:val="00EB2F76"/>
    <w:rsid w:val="00EB4C75"/>
    <w:rsid w:val="00EC4E49"/>
    <w:rsid w:val="00ED07E3"/>
    <w:rsid w:val="00ED77FB"/>
    <w:rsid w:val="00EE45FA"/>
    <w:rsid w:val="00F043DE"/>
    <w:rsid w:val="00F23C4B"/>
    <w:rsid w:val="00F32171"/>
    <w:rsid w:val="00F66152"/>
    <w:rsid w:val="00F76CB4"/>
    <w:rsid w:val="00F9165B"/>
    <w:rsid w:val="00F966B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E31D0"/>
  <w15:docId w15:val="{B22086B6-BED8-4195-97AB-BAB0840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D68C-C97E-41D1-A6A9-907ADC0B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4886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A/66/INF/3 (Arabic)</vt:lpstr>
    </vt:vector>
  </TitlesOfParts>
  <Company>WIPO</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A/66/INF/3 (Arabic)</dc:title>
  <dc:creator>FM</dc:creator>
  <cp:keywords>FOR OFFICIAL USE ONLY</cp:keywords>
  <cp:lastModifiedBy>MALLO ALVAREZ Raquel </cp:lastModifiedBy>
  <cp:revision>2</cp:revision>
  <cp:lastPrinted>2025-07-03T07:33:00Z</cp:lastPrinted>
  <dcterms:created xsi:type="dcterms:W3CDTF">2025-07-03T08:23:00Z</dcterms:created>
  <dcterms:modified xsi:type="dcterms:W3CDTF">2025-07-03T08:23:00Z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2023-12-11T10:09:57Z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e1657773-0548-49c9-ac3b-531cced6e29f</vt:lpwstr>
  </property>
  <property fmtid="{D5CDD505-2E9C-101B-9397-08002B2CF9AE}" pid="13" name="MSIP_Label_20773ee6-353b-4fb9-a59d-0b94c8c67bea_ContentBits">
    <vt:lpwstr>0</vt:lpwstr>
  </property>
</Properties>
</file>