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648D3">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A96C06" w:rsidP="003132DE">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A/59</w:t>
      </w:r>
      <w:r w:rsidR="00B22F7D">
        <w:rPr>
          <w:rFonts w:ascii="Arial Black" w:eastAsia="SimSun" w:hAnsi="Arial Black" w:cs="Arial"/>
          <w:b/>
          <w:caps/>
          <w:noProof/>
          <w:sz w:val="16"/>
          <w:szCs w:val="16"/>
          <w:lang w:eastAsia="zh-CN"/>
        </w:rPr>
        <w:t>/</w:t>
      </w:r>
      <w:r w:rsidR="00C26B8C">
        <w:rPr>
          <w:rFonts w:ascii="Arial Black" w:eastAsia="SimSun" w:hAnsi="Arial Black" w:cs="Arial"/>
          <w:b/>
          <w:caps/>
          <w:noProof/>
          <w:sz w:val="16"/>
          <w:szCs w:val="16"/>
          <w:lang w:eastAsia="zh-CN"/>
        </w:rPr>
        <w:t>INF/3</w:t>
      </w:r>
    </w:p>
    <w:bookmarkEnd w:id="4"/>
    <w:p w:rsidR="003F7284" w:rsidRPr="00BB6440" w:rsidRDefault="003F7284" w:rsidP="005D79F6">
      <w:pPr>
        <w:jc w:val="right"/>
        <w:rPr>
          <w:b/>
          <w:bCs/>
          <w:sz w:val="30"/>
          <w:szCs w:val="30"/>
          <w:rtl/>
        </w:rPr>
      </w:pPr>
      <w:r w:rsidRPr="00BB6440">
        <w:rPr>
          <w:b/>
          <w:bCs/>
          <w:sz w:val="30"/>
          <w:szCs w:val="30"/>
          <w:rtl/>
        </w:rPr>
        <w:t xml:space="preserve">الأصل: </w:t>
      </w:r>
      <w:bookmarkStart w:id="5" w:name="Original"/>
      <w:bookmarkEnd w:id="5"/>
      <w:r w:rsidR="00C26B8C">
        <w:rPr>
          <w:rFonts w:hint="cs"/>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C26B8C">
        <w:rPr>
          <w:rFonts w:hint="cs"/>
          <w:b/>
          <w:bCs/>
          <w:sz w:val="30"/>
          <w:szCs w:val="30"/>
          <w:rtl/>
        </w:rPr>
        <w:t>12 سبتمبر 2019</w:t>
      </w:r>
    </w:p>
    <w:p w:rsidR="002E7810" w:rsidRPr="00FD6D15" w:rsidRDefault="00B22F7D" w:rsidP="00DE50EF">
      <w:pPr>
        <w:pStyle w:val="Heading1"/>
        <w:spacing w:after="600" w:line="240" w:lineRule="auto"/>
        <w:rPr>
          <w:rtl/>
        </w:rPr>
      </w:pPr>
      <w:bookmarkStart w:id="7" w:name="Body"/>
      <w:bookmarkEnd w:id="7"/>
      <w:r>
        <w:rPr>
          <w:rFonts w:hint="eastAsia"/>
          <w:rtl/>
        </w:rPr>
        <w:t>جمعيات</w:t>
      </w:r>
      <w:r>
        <w:rPr>
          <w:rtl/>
        </w:rPr>
        <w:t xml:space="preserve"> </w:t>
      </w:r>
      <w:r>
        <w:rPr>
          <w:rFonts w:hint="eastAsia"/>
          <w:rtl/>
        </w:rPr>
        <w:t>الدول</w:t>
      </w:r>
      <w:r>
        <w:rPr>
          <w:rtl/>
        </w:rPr>
        <w:t xml:space="preserve"> </w:t>
      </w:r>
      <w:r>
        <w:rPr>
          <w:rFonts w:hint="eastAsia"/>
          <w:rtl/>
        </w:rPr>
        <w:t>الأعضاء</w:t>
      </w:r>
      <w:r>
        <w:rPr>
          <w:rtl/>
        </w:rPr>
        <w:t xml:space="preserve"> </w:t>
      </w:r>
      <w:r>
        <w:rPr>
          <w:rFonts w:hint="eastAsia"/>
          <w:rtl/>
        </w:rPr>
        <w:t>في</w:t>
      </w:r>
      <w:r>
        <w:rPr>
          <w:rtl/>
        </w:rPr>
        <w:t xml:space="preserve"> </w:t>
      </w:r>
      <w:r>
        <w:rPr>
          <w:rFonts w:hint="eastAsia"/>
          <w:rtl/>
        </w:rPr>
        <w:t>الويبو</w:t>
      </w:r>
    </w:p>
    <w:p w:rsidR="002E7810" w:rsidRPr="002E7810" w:rsidRDefault="00B22F7D" w:rsidP="00A96C06">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سلسلة</w:t>
      </w:r>
      <w:r>
        <w:rPr>
          <w:rFonts w:ascii="Arial Black" w:hAnsi="Arial Black" w:cs="PT Bold Heading"/>
          <w:sz w:val="30"/>
          <w:szCs w:val="30"/>
          <w:rtl/>
        </w:rPr>
        <w:t xml:space="preserve"> </w:t>
      </w:r>
      <w:r>
        <w:rPr>
          <w:rFonts w:ascii="Arial Black" w:hAnsi="Arial Black" w:cs="PT Bold Heading" w:hint="eastAsia"/>
          <w:sz w:val="30"/>
          <w:szCs w:val="30"/>
          <w:rtl/>
        </w:rPr>
        <w:t>الاجتماعات</w:t>
      </w:r>
      <w:r>
        <w:rPr>
          <w:rFonts w:ascii="Arial Black" w:hAnsi="Arial Black" w:cs="PT Bold Heading"/>
          <w:sz w:val="30"/>
          <w:szCs w:val="30"/>
          <w:rtl/>
        </w:rPr>
        <w:t xml:space="preserve"> </w:t>
      </w:r>
      <w:r w:rsidR="00A96C06">
        <w:rPr>
          <w:rFonts w:ascii="Arial Black" w:hAnsi="Arial Black" w:cs="PT Bold Heading" w:hint="cs"/>
          <w:sz w:val="30"/>
          <w:szCs w:val="30"/>
          <w:rtl/>
        </w:rPr>
        <w:t>التاسعة</w:t>
      </w:r>
      <w:r>
        <w:rPr>
          <w:rFonts w:ascii="Arial Black" w:hAnsi="Arial Black" w:cs="PT Bold Heading"/>
          <w:sz w:val="30"/>
          <w:szCs w:val="30"/>
          <w:rtl/>
        </w:rPr>
        <w:t xml:space="preserve"> </w:t>
      </w:r>
      <w:r>
        <w:rPr>
          <w:rFonts w:ascii="Arial Black" w:hAnsi="Arial Black" w:cs="PT Bold Heading" w:hint="eastAsia"/>
          <w:sz w:val="30"/>
          <w:szCs w:val="30"/>
          <w:rtl/>
        </w:rPr>
        <w:t>والخمسون</w:t>
      </w:r>
    </w:p>
    <w:p w:rsidR="002E7810" w:rsidRPr="002E7810" w:rsidRDefault="00B22F7D" w:rsidP="00A96C06">
      <w:pPr>
        <w:spacing w:line="600" w:lineRule="auto"/>
        <w:rPr>
          <w:b/>
          <w:bCs/>
          <w:rtl/>
        </w:rPr>
      </w:pPr>
      <w:bookmarkStart w:id="9" w:name="Place"/>
      <w:bookmarkEnd w:id="9"/>
      <w:r>
        <w:rPr>
          <w:b/>
          <w:bCs/>
          <w:rtl/>
        </w:rPr>
        <w:t xml:space="preserve">جنيف، من </w:t>
      </w:r>
      <w:r w:rsidR="00A96C06">
        <w:rPr>
          <w:rFonts w:hint="cs"/>
          <w:b/>
          <w:bCs/>
          <w:rtl/>
        </w:rPr>
        <w:t>30</w:t>
      </w:r>
      <w:r>
        <w:rPr>
          <w:b/>
          <w:bCs/>
          <w:rtl/>
        </w:rPr>
        <w:t xml:space="preserve"> سبتمبر إلى </w:t>
      </w:r>
      <w:r w:rsidR="00A96C06">
        <w:rPr>
          <w:rFonts w:hint="cs"/>
          <w:b/>
          <w:bCs/>
          <w:rtl/>
        </w:rPr>
        <w:t>9</w:t>
      </w:r>
      <w:r>
        <w:rPr>
          <w:b/>
          <w:bCs/>
          <w:rtl/>
        </w:rPr>
        <w:t xml:space="preserve"> أكتوبر </w:t>
      </w:r>
      <w:r w:rsidR="00A96C06">
        <w:rPr>
          <w:rFonts w:hint="cs"/>
          <w:b/>
          <w:bCs/>
          <w:rtl/>
        </w:rPr>
        <w:t>2019</w:t>
      </w:r>
    </w:p>
    <w:p w:rsidR="002E7810" w:rsidRPr="002E7810" w:rsidRDefault="00223706" w:rsidP="00DA70EF">
      <w:pPr>
        <w:rPr>
          <w:rFonts w:ascii="Arial Black" w:hAnsi="Arial Black" w:cs="PT Bold Heading"/>
          <w:sz w:val="26"/>
          <w:szCs w:val="26"/>
          <w:rtl/>
        </w:rPr>
      </w:pPr>
      <w:bookmarkStart w:id="10" w:name="TitleOfDoc"/>
      <w:bookmarkEnd w:id="10"/>
      <w:r w:rsidRPr="00223706">
        <w:rPr>
          <w:rFonts w:ascii="Arial Black" w:hAnsi="Arial Black" w:cs="PT Bold Heading"/>
          <w:sz w:val="26"/>
          <w:szCs w:val="26"/>
          <w:rtl/>
        </w:rPr>
        <w:t xml:space="preserve">المعلومات التي طلبتها لجنة البرنامج والميزانية والمشار إليها في الوثيقة </w:t>
      </w:r>
      <w:r w:rsidRPr="00223706">
        <w:rPr>
          <w:rFonts w:ascii="Arial Black" w:hAnsi="Arial Black" w:cs="PT Bold Heading"/>
          <w:sz w:val="26"/>
          <w:szCs w:val="26"/>
        </w:rPr>
        <w:t>WO/PBC/30/15</w:t>
      </w:r>
      <w:r>
        <w:rPr>
          <w:rFonts w:ascii="Arial Black" w:hAnsi="Arial Black" w:cs="PT Bold Heading"/>
          <w:sz w:val="26"/>
          <w:szCs w:val="26"/>
          <w:rtl/>
        </w:rPr>
        <w:t xml:space="preserve"> في</w:t>
      </w:r>
      <w:r w:rsidR="00DA70EF">
        <w:rPr>
          <w:rFonts w:ascii="Arial Black" w:hAnsi="Arial Black" w:cs="Calibri" w:hint="cs"/>
          <w:sz w:val="26"/>
          <w:szCs w:val="26"/>
          <w:rtl/>
        </w:rPr>
        <w:t> </w:t>
      </w:r>
      <w:r>
        <w:rPr>
          <w:rFonts w:ascii="Arial Black" w:hAnsi="Arial Black" w:cs="PT Bold Heading"/>
          <w:sz w:val="26"/>
          <w:szCs w:val="26"/>
          <w:rtl/>
        </w:rPr>
        <w:t xml:space="preserve">إطار </w:t>
      </w:r>
      <w:r>
        <w:rPr>
          <w:rFonts w:ascii="Arial Black" w:hAnsi="Arial Black" w:cs="PT Bold Heading" w:hint="cs"/>
          <w:sz w:val="26"/>
          <w:szCs w:val="26"/>
          <w:rtl/>
        </w:rPr>
        <w:t xml:space="preserve">البند 11''4'' </w:t>
      </w:r>
      <w:r w:rsidRPr="00223706">
        <w:rPr>
          <w:rFonts w:ascii="Arial Black" w:hAnsi="Arial Black" w:cs="PT Bold Heading"/>
          <w:sz w:val="26"/>
          <w:szCs w:val="26"/>
          <w:rtl/>
        </w:rPr>
        <w:t>من جدول الأعمال</w:t>
      </w:r>
    </w:p>
    <w:p w:rsidR="003F7284" w:rsidRPr="00BB6440" w:rsidRDefault="00C26B8C" w:rsidP="00874721">
      <w:pPr>
        <w:spacing w:before="200" w:after="960"/>
        <w:rPr>
          <w:i/>
          <w:iCs/>
          <w:rtl/>
        </w:rPr>
      </w:pPr>
      <w:bookmarkStart w:id="11" w:name="Doc"/>
      <w:bookmarkEnd w:id="11"/>
      <w:r>
        <w:rPr>
          <w:rFonts w:hint="cs"/>
          <w:i/>
          <w:iCs/>
          <w:rtl/>
        </w:rPr>
        <w:t xml:space="preserve">وثيقة معلومات </w:t>
      </w:r>
      <w:r w:rsidR="003F7284" w:rsidRPr="00BB6440">
        <w:rPr>
          <w:i/>
          <w:iCs/>
          <w:rtl/>
        </w:rPr>
        <w:t>من إعداد</w:t>
      </w:r>
      <w:r w:rsidR="005D79F6" w:rsidRPr="00BB6440">
        <w:rPr>
          <w:rFonts w:hint="cs"/>
          <w:i/>
          <w:iCs/>
          <w:rtl/>
        </w:rPr>
        <w:t xml:space="preserve"> </w:t>
      </w:r>
      <w:bookmarkStart w:id="12" w:name="Prepared"/>
      <w:bookmarkEnd w:id="12"/>
      <w:r>
        <w:rPr>
          <w:rFonts w:hint="cs"/>
          <w:i/>
          <w:iCs/>
          <w:rtl/>
        </w:rPr>
        <w:t>الأمانة</w:t>
      </w:r>
    </w:p>
    <w:p w:rsidR="00E3612C" w:rsidRPr="005B2EE5" w:rsidRDefault="005B2EE5" w:rsidP="005B2EE5">
      <w:pPr>
        <w:pStyle w:val="Heading3"/>
        <w:rPr>
          <w:b/>
          <w:bCs/>
          <w:rtl/>
        </w:rPr>
      </w:pPr>
      <w:r w:rsidRPr="005B2EE5">
        <w:rPr>
          <w:rFonts w:hint="cs"/>
          <w:b/>
          <w:bCs/>
          <w:rtl/>
        </w:rPr>
        <w:t>معلومات أساسية</w:t>
      </w:r>
    </w:p>
    <w:p w:rsidR="00C41AE0" w:rsidRDefault="005B2EE5" w:rsidP="005B2EE5">
      <w:pPr>
        <w:pStyle w:val="ONUMA"/>
      </w:pPr>
      <w:r>
        <w:rPr>
          <w:rFonts w:hint="cs"/>
          <w:rtl/>
        </w:rPr>
        <w:t xml:space="preserve">وافقت لجنة البرنامج والميزانية (لجنة الميزانية)، في دورتها الثلاثين المعقودة في يوليو 2019 وبعد انتهائها من استعراض شامل لاقتراح البرنامج والميزانية للثنائية 2020/21، كما هو وارد في الوثيقتين </w:t>
      </w:r>
      <w:r w:rsidRPr="005B2EE5">
        <w:t>WO/PBC/30/10</w:t>
      </w:r>
      <w:r>
        <w:rPr>
          <w:rFonts w:hint="cs"/>
          <w:rtl/>
        </w:rPr>
        <w:t xml:space="preserve"> و</w:t>
      </w:r>
      <w:r w:rsidRPr="005B2EE5">
        <w:t>WO/PBC/30/10 Corr.</w:t>
      </w:r>
      <w:r w:rsidRPr="005B2EE5">
        <w:rPr>
          <w:rFonts w:hint="cs"/>
          <w:rtl/>
        </w:rPr>
        <w:t xml:space="preserve">، </w:t>
      </w:r>
      <w:r>
        <w:rPr>
          <w:rFonts w:hint="cs"/>
          <w:rtl/>
        </w:rPr>
        <w:t xml:space="preserve">على </w:t>
      </w:r>
      <w:r w:rsidRPr="005B2EE5">
        <w:rPr>
          <w:rtl/>
        </w:rPr>
        <w:t xml:space="preserve">الرجوع إلى المسألة المطروحة في الوثيقة </w:t>
      </w:r>
      <w:r w:rsidRPr="005B2EE5">
        <w:t>WO/PBC/30/10 Corr</w:t>
      </w:r>
      <w:r>
        <w:t>.</w:t>
      </w:r>
      <w:r w:rsidRPr="005B2EE5">
        <w:rPr>
          <w:rtl/>
        </w:rPr>
        <w:t xml:space="preserve"> </w:t>
      </w:r>
      <w:r>
        <w:rPr>
          <w:rFonts w:hint="cs"/>
          <w:rtl/>
        </w:rPr>
        <w:t>عند</w:t>
      </w:r>
      <w:r w:rsidRPr="005B2EE5">
        <w:rPr>
          <w:rtl/>
        </w:rPr>
        <w:t xml:space="preserve"> اعتماد البرنامج والميزانية للثنائية 2020/21 إبّان سلسلة الاجتماعات التاسعة والخمسين لجمعيات الويبو</w:t>
      </w:r>
      <w:r>
        <w:rPr>
          <w:rFonts w:hint="cs"/>
          <w:rtl/>
        </w:rPr>
        <w:t>.</w:t>
      </w:r>
    </w:p>
    <w:p w:rsidR="005B2EE5" w:rsidRDefault="005B2EE5" w:rsidP="005B2EE5">
      <w:pPr>
        <w:pStyle w:val="ONUMA"/>
        <w:rPr>
          <w:rtl/>
        </w:rPr>
      </w:pPr>
      <w:r>
        <w:rPr>
          <w:rFonts w:hint="cs"/>
          <w:rtl/>
        </w:rPr>
        <w:lastRenderedPageBreak/>
        <w:t xml:space="preserve">وفي هذا السياق، طلبت لجنة الميزانية من الأمانة موافاة جمعيات الويبو بوثيقة عمل </w:t>
      </w:r>
      <w:r w:rsidRPr="005B2EE5">
        <w:rPr>
          <w:rtl/>
        </w:rPr>
        <w:t>تبيِّن المبلغ المحدد المترتب على قرار المحكمة الإدارية التابعة لمنظمة العمل الدولية رقم 4138، وتفاصيل منهجية حسابه، ومصادر وآليات تمويله.</w:t>
      </w:r>
    </w:p>
    <w:p w:rsidR="000D7E81" w:rsidRPr="005B2EE5" w:rsidRDefault="005B2EE5" w:rsidP="005B2EE5">
      <w:pPr>
        <w:pStyle w:val="Heading3"/>
        <w:rPr>
          <w:b/>
          <w:bCs/>
          <w:rtl/>
        </w:rPr>
      </w:pPr>
      <w:r w:rsidRPr="005B2EE5">
        <w:rPr>
          <w:rFonts w:hint="cs"/>
          <w:b/>
          <w:bCs/>
          <w:rtl/>
        </w:rPr>
        <w:t>تكاليف الموظفين المقدّرة للثنائية 2020/21</w:t>
      </w:r>
    </w:p>
    <w:p w:rsidR="00FD6D15" w:rsidRPr="00DA6EED" w:rsidRDefault="00B1200C" w:rsidP="00DA6EED">
      <w:pPr>
        <w:pStyle w:val="ONUMA"/>
      </w:pPr>
      <w:r>
        <w:rPr>
          <w:rFonts w:hint="cs"/>
          <w:rtl/>
        </w:rPr>
        <w:t>ت</w:t>
      </w:r>
      <w:r w:rsidR="005B2EE5">
        <w:rPr>
          <w:rFonts w:hint="cs"/>
          <w:rtl/>
        </w:rPr>
        <w:t>قدّ</w:t>
      </w:r>
      <w:r>
        <w:rPr>
          <w:rFonts w:hint="cs"/>
          <w:rtl/>
        </w:rPr>
        <w:t>َ</w:t>
      </w:r>
      <w:r w:rsidR="005B2EE5">
        <w:rPr>
          <w:rFonts w:hint="cs"/>
          <w:rtl/>
        </w:rPr>
        <w:t xml:space="preserve">ر تكاليف الموظفين في الثنائية 2020/21 بما </w:t>
      </w:r>
      <w:r w:rsidR="00DA6EED">
        <w:rPr>
          <w:rFonts w:hint="cs"/>
          <w:rtl/>
        </w:rPr>
        <w:t xml:space="preserve">قدره </w:t>
      </w:r>
      <w:r w:rsidR="00DA6EED" w:rsidRPr="00DA6EED">
        <w:t>475,918,900</w:t>
      </w:r>
      <w:r w:rsidR="00DA6EED">
        <w:rPr>
          <w:rFonts w:hint="cs"/>
          <w:rtl/>
        </w:rPr>
        <w:t xml:space="preserve"> فرنك سويسري. وهذا المبلغ ناتج عن خصم </w:t>
      </w:r>
      <w:r w:rsidR="00DA6EED" w:rsidRPr="00DA6EED">
        <w:t>1,655,800</w:t>
      </w:r>
      <w:r w:rsidR="00DA6EED">
        <w:rPr>
          <w:rFonts w:hint="cs"/>
          <w:rtl/>
        </w:rPr>
        <w:t xml:space="preserve"> فرنك سويسري لأغراض برنامج الويبو للمكافآت والتقدير من المبلغ الإجمالي البالغ </w:t>
      </w:r>
      <w:r w:rsidR="00DA6EED" w:rsidRPr="00DA6EED">
        <w:t>477,574,700</w:t>
      </w:r>
      <w:r w:rsidR="00DA6EED">
        <w:rPr>
          <w:rFonts w:hint="cs"/>
          <w:rtl/>
        </w:rPr>
        <w:t xml:space="preserve"> فرنك سويسري المذكور في الوثيقة </w:t>
      </w:r>
      <w:r w:rsidR="00DA6EED" w:rsidRPr="00DA6EED">
        <w:t>WO/PBC/30/10 Corr.</w:t>
      </w:r>
      <w:r w:rsidR="00DA6EED" w:rsidRPr="00DA6EED">
        <w:rPr>
          <w:rFonts w:hint="cs"/>
          <w:rtl/>
        </w:rPr>
        <w:t>.</w:t>
      </w:r>
    </w:p>
    <w:p w:rsidR="00DA6EED" w:rsidRPr="00C41AE0" w:rsidRDefault="00DA6EED" w:rsidP="00DA6EED">
      <w:pPr>
        <w:pStyle w:val="ONUMA"/>
        <w:rPr>
          <w:rtl/>
        </w:rPr>
      </w:pPr>
      <w:r>
        <w:rPr>
          <w:rFonts w:hint="cs"/>
          <w:rtl/>
        </w:rPr>
        <w:t>وترد في الفقرات التالية منهجية حساب تكاليف الموظفين للثنائية 2020/21 وافتراض</w:t>
      </w:r>
      <w:r w:rsidR="00B1200C">
        <w:rPr>
          <w:rFonts w:hint="cs"/>
          <w:rtl/>
        </w:rPr>
        <w:t>ات التخطيط الت</w:t>
      </w:r>
      <w:r>
        <w:rPr>
          <w:rFonts w:hint="cs"/>
          <w:rtl/>
        </w:rPr>
        <w:t>ي تقوم عليه</w:t>
      </w:r>
      <w:r w:rsidR="00B1200C">
        <w:rPr>
          <w:rFonts w:hint="cs"/>
          <w:rtl/>
        </w:rPr>
        <w:t>ا</w:t>
      </w:r>
      <w:r>
        <w:rPr>
          <w:rFonts w:hint="cs"/>
          <w:rtl/>
        </w:rPr>
        <w:t xml:space="preserve"> تلك</w:t>
      </w:r>
      <w:r>
        <w:rPr>
          <w:rFonts w:hint="eastAsia"/>
          <w:rtl/>
        </w:rPr>
        <w:t> </w:t>
      </w:r>
      <w:r>
        <w:rPr>
          <w:rFonts w:hint="cs"/>
          <w:rtl/>
        </w:rPr>
        <w:t>المنهجية</w:t>
      </w:r>
      <w:r>
        <w:rPr>
          <w:rStyle w:val="FootnoteReference"/>
          <w:rtl/>
        </w:rPr>
        <w:footnoteReference w:id="1"/>
      </w:r>
      <w:r>
        <w:rPr>
          <w:rFonts w:hint="cs"/>
          <w:rtl/>
        </w:rPr>
        <w:t>.</w:t>
      </w:r>
    </w:p>
    <w:p w:rsidR="00C50A61" w:rsidRDefault="00DA6EED" w:rsidP="00DA6EED">
      <w:pPr>
        <w:pStyle w:val="Heading4"/>
      </w:pPr>
      <w:bookmarkStart w:id="13" w:name="ExtraPara"/>
      <w:bookmarkEnd w:id="13"/>
      <w:r>
        <w:rPr>
          <w:rFonts w:hint="cs"/>
          <w:rtl/>
        </w:rPr>
        <w:t>المنهجية</w:t>
      </w:r>
    </w:p>
    <w:p w:rsidR="00DA6EED" w:rsidRDefault="00887F1A" w:rsidP="006B7E92">
      <w:pPr>
        <w:pStyle w:val="ONUMA"/>
      </w:pPr>
      <w:r>
        <w:rPr>
          <w:rFonts w:hint="cs"/>
          <w:rtl/>
        </w:rPr>
        <w:t xml:space="preserve">لا تزال تكاليف الموظفين للثنائية 2020/21 </w:t>
      </w:r>
      <w:r w:rsidR="006B7E92">
        <w:rPr>
          <w:rFonts w:hint="cs"/>
          <w:rtl/>
        </w:rPr>
        <w:t>تُحسب</w:t>
      </w:r>
      <w:r>
        <w:rPr>
          <w:rFonts w:hint="cs"/>
          <w:rtl/>
        </w:rPr>
        <w:t xml:space="preserve"> </w:t>
      </w:r>
      <w:r w:rsidR="006B7E92">
        <w:rPr>
          <w:rFonts w:hint="cs"/>
          <w:rtl/>
        </w:rPr>
        <w:t>على أساس</w:t>
      </w:r>
      <w:r>
        <w:rPr>
          <w:rFonts w:hint="cs"/>
          <w:rtl/>
        </w:rPr>
        <w:t xml:space="preserve"> التكاليف الفعلية ومجموعة من افتراضات التخطيط.</w:t>
      </w:r>
    </w:p>
    <w:p w:rsidR="00887F1A" w:rsidRDefault="00887F1A" w:rsidP="006B7E92">
      <w:pPr>
        <w:pStyle w:val="ONUMA"/>
      </w:pPr>
      <w:r>
        <w:rPr>
          <w:rFonts w:hint="cs"/>
          <w:rtl/>
        </w:rPr>
        <w:t>وتأخذ عمليات حساب تكاليف الموظفين للثنائية 2020/21 في الحسبان التغي</w:t>
      </w:r>
      <w:r w:rsidR="006B7E92">
        <w:rPr>
          <w:rFonts w:hint="cs"/>
          <w:rtl/>
        </w:rPr>
        <w:t>ي</w:t>
      </w:r>
      <w:r>
        <w:rPr>
          <w:rFonts w:hint="cs"/>
          <w:rtl/>
        </w:rPr>
        <w:t xml:space="preserve">رات المرتبطة </w:t>
      </w:r>
      <w:r w:rsidR="006B7E92">
        <w:rPr>
          <w:rFonts w:hint="cs"/>
          <w:rtl/>
        </w:rPr>
        <w:t>ببدء تطبيق</w:t>
      </w:r>
      <w:r>
        <w:rPr>
          <w:rFonts w:hint="cs"/>
          <w:rtl/>
        </w:rPr>
        <w:t xml:space="preserve"> جدول المرتبات الموحّد في 1 يناير 2017 وم</w:t>
      </w:r>
      <w:r w:rsidRPr="00887F1A">
        <w:rPr>
          <w:rtl/>
        </w:rPr>
        <w:t>جموعة عناصر الأجر الجديدة في النظام الموحّد للأمم المتحدة بالنسبة لموظفي الفئة الفنية والفئات العليا</w:t>
      </w:r>
      <w:r>
        <w:rPr>
          <w:rFonts w:hint="cs"/>
          <w:rtl/>
        </w:rPr>
        <w:t xml:space="preserve">، </w:t>
      </w:r>
      <w:r w:rsidR="006B7E92">
        <w:rPr>
          <w:rFonts w:hint="cs"/>
          <w:rtl/>
        </w:rPr>
        <w:t xml:space="preserve">على نحو ما </w:t>
      </w:r>
      <w:r w:rsidR="006B7E92">
        <w:rPr>
          <w:rFonts w:hint="cs"/>
          <w:rtl/>
        </w:rPr>
        <w:lastRenderedPageBreak/>
        <w:t>أقرّته</w:t>
      </w:r>
      <w:r>
        <w:rPr>
          <w:rFonts w:hint="cs"/>
          <w:rtl/>
        </w:rPr>
        <w:t xml:space="preserve"> لجنة الخدمة المدنية الدولية، والتعديلات المدخلة على نظام الموظفين ولائحته.</w:t>
      </w:r>
    </w:p>
    <w:p w:rsidR="00887F1A" w:rsidRDefault="00887F1A" w:rsidP="006B7E92">
      <w:pPr>
        <w:pStyle w:val="ONUMA"/>
      </w:pPr>
      <w:r>
        <w:rPr>
          <w:rFonts w:hint="cs"/>
          <w:rtl/>
        </w:rPr>
        <w:t xml:space="preserve">وفي حين </w:t>
      </w:r>
      <w:r w:rsidR="006B7E92" w:rsidRPr="006B7E92">
        <w:rPr>
          <w:rtl/>
        </w:rPr>
        <w:t>تستند تكاليف المناصب المشغولة إلى أحدث جداول المرتبات وجداول الأجور الداخلة في حساب المعاش ال</w:t>
      </w:r>
      <w:r w:rsidR="006B7E92">
        <w:rPr>
          <w:rtl/>
        </w:rPr>
        <w:t>تقاعدي للأمم المتحدة والسياسات</w:t>
      </w:r>
      <w:r w:rsidR="006B7E92">
        <w:rPr>
          <w:rFonts w:hint="cs"/>
          <w:rtl/>
        </w:rPr>
        <w:t xml:space="preserve"> المنطبقة بشأن </w:t>
      </w:r>
      <w:r w:rsidR="006B7E92" w:rsidRPr="006B7E92">
        <w:rPr>
          <w:rtl/>
        </w:rPr>
        <w:t>المزايا والاستحقاقات المطبقة، تستند تكاليف المناصب الشاغرة إلى حساب متوسط التكاليف المعيارية.</w:t>
      </w:r>
    </w:p>
    <w:p w:rsidR="001F6848" w:rsidRPr="001F6848" w:rsidRDefault="001F6848" w:rsidP="001F6848">
      <w:pPr>
        <w:pStyle w:val="Heading4"/>
      </w:pPr>
      <w:r>
        <w:rPr>
          <w:rFonts w:hint="cs"/>
          <w:rtl/>
        </w:rPr>
        <w:t>افتراضات التخطيط</w:t>
      </w:r>
    </w:p>
    <w:p w:rsidR="001F6848" w:rsidRPr="001F6848" w:rsidRDefault="001F6848" w:rsidP="0072127F">
      <w:pPr>
        <w:pStyle w:val="ListParagraph"/>
        <w:numPr>
          <w:ilvl w:val="0"/>
          <w:numId w:val="49"/>
        </w:numPr>
        <w:spacing w:before="200" w:after="200" w:line="220" w:lineRule="atLeast"/>
        <w:contextualSpacing w:val="0"/>
        <w:rPr>
          <w:rFonts w:eastAsia="Arial"/>
          <w:rtl/>
          <w:lang w:val="en-GB" w:bidi="ar-EG"/>
        </w:rPr>
      </w:pPr>
      <w:r w:rsidRPr="001F6848">
        <w:rPr>
          <w:rFonts w:eastAsia="Arial"/>
          <w:rtl/>
          <w:lang w:val="en-GB" w:bidi="ar-EG"/>
        </w:rPr>
        <w:t xml:space="preserve">يستند حساب المرتبات </w:t>
      </w:r>
      <w:r w:rsidR="0072127F">
        <w:rPr>
          <w:rFonts w:eastAsia="Arial" w:hint="cs"/>
          <w:rtl/>
          <w:lang w:val="en-GB" w:bidi="ar-EG"/>
        </w:rPr>
        <w:t>للمناصب</w:t>
      </w:r>
      <w:r w:rsidRPr="001F6848">
        <w:rPr>
          <w:rFonts w:eastAsia="Arial"/>
          <w:rtl/>
          <w:lang w:val="en-GB" w:bidi="ar-EG"/>
        </w:rPr>
        <w:t xml:space="preserve"> المشغولة في الثنائية 2020/21 </w:t>
      </w:r>
      <w:r w:rsidRPr="001F6848">
        <w:rPr>
          <w:rFonts w:eastAsia="Arial"/>
          <w:vertAlign w:val="superscript"/>
          <w:rtl/>
          <w:lang w:val="en-GB" w:bidi="ar-EG"/>
        </w:rPr>
        <w:footnoteReference w:id="2"/>
      </w:r>
      <w:r w:rsidRPr="001F6848">
        <w:rPr>
          <w:rFonts w:eastAsia="Arial"/>
          <w:rtl/>
          <w:lang w:val="en-GB" w:bidi="ar-EG"/>
        </w:rPr>
        <w:t xml:space="preserve"> إلى جداول المرتبات السارية التي أقرتها لجنة الخدمة المدنية الدولية (</w:t>
      </w:r>
      <w:r w:rsidRPr="001F6848">
        <w:rPr>
          <w:rFonts w:eastAsia="Arial"/>
          <w:lang w:val="en-GB" w:bidi="ar-EG"/>
        </w:rPr>
        <w:t>ICSC</w:t>
      </w:r>
      <w:r w:rsidRPr="001F6848">
        <w:rPr>
          <w:rFonts w:eastAsia="Arial"/>
          <w:rtl/>
          <w:lang w:val="en-GB" w:bidi="ar-EG"/>
        </w:rPr>
        <w:t>) (لفئة الخدمات العامة) و/أو جدول المرتبات وتواتر الزيادة الفعلي داخل الرتبة في 1</w:t>
      </w:r>
      <w:r w:rsidR="00901467">
        <w:rPr>
          <w:rFonts w:eastAsia="Arial" w:hint="cs"/>
          <w:rtl/>
          <w:lang w:val="en-GB" w:bidi="ar-EG"/>
        </w:rPr>
        <w:t> </w:t>
      </w:r>
      <w:r w:rsidRPr="001F6848">
        <w:rPr>
          <w:rFonts w:eastAsia="Arial"/>
          <w:rtl/>
          <w:lang w:val="en-GB" w:bidi="ar-EG"/>
        </w:rPr>
        <w:t>يناير</w:t>
      </w:r>
      <w:r w:rsidR="00901467">
        <w:rPr>
          <w:rFonts w:eastAsia="Arial" w:hint="cs"/>
          <w:rtl/>
          <w:lang w:val="en-GB" w:bidi="ar-EG"/>
        </w:rPr>
        <w:t> </w:t>
      </w:r>
      <w:r w:rsidRPr="001F6848">
        <w:rPr>
          <w:rFonts w:eastAsia="Arial"/>
          <w:rtl/>
          <w:lang w:val="en-GB" w:bidi="ar-EG"/>
        </w:rPr>
        <w:t xml:space="preserve">2018 (للفئة الفنية والفئات العليا) محسوبة بالتناسب في الثنائية 2020/21. وتحسب التكاليف المعيارية بالنسبة </w:t>
      </w:r>
      <w:r w:rsidR="0072127F">
        <w:rPr>
          <w:rFonts w:eastAsia="Arial" w:hint="cs"/>
          <w:rtl/>
          <w:lang w:val="en-GB" w:bidi="ar-EG"/>
        </w:rPr>
        <w:t>للمناصب</w:t>
      </w:r>
      <w:r w:rsidRPr="001F6848">
        <w:rPr>
          <w:rFonts w:eastAsia="Arial"/>
          <w:rtl/>
          <w:lang w:val="en-GB" w:bidi="ar-EG"/>
        </w:rPr>
        <w:t xml:space="preserve"> الشاغرة على أساس رتبة الدرجة الأولى وافتراض وجود زوج معال وطفل؛</w:t>
      </w:r>
    </w:p>
    <w:p w:rsidR="001F6848" w:rsidRPr="001F6848" w:rsidRDefault="001F6848" w:rsidP="001F6848">
      <w:pPr>
        <w:pStyle w:val="ListParagraph"/>
        <w:numPr>
          <w:ilvl w:val="0"/>
          <w:numId w:val="49"/>
        </w:numPr>
        <w:spacing w:before="200" w:after="200" w:line="220" w:lineRule="atLeast"/>
        <w:contextualSpacing w:val="0"/>
        <w:rPr>
          <w:rFonts w:eastAsia="Arial"/>
          <w:rtl/>
          <w:lang w:val="en-GB" w:bidi="ar-EG"/>
        </w:rPr>
      </w:pPr>
      <w:r w:rsidRPr="001F6848">
        <w:rPr>
          <w:rFonts w:eastAsia="Arial"/>
          <w:rtl/>
          <w:lang w:val="en-GB" w:bidi="ar-EG"/>
        </w:rPr>
        <w:t>و</w:t>
      </w:r>
      <w:r>
        <w:rPr>
          <w:rFonts w:eastAsia="Arial" w:hint="cs"/>
          <w:rtl/>
          <w:lang w:val="en-GB" w:bidi="ar-EG"/>
        </w:rPr>
        <w:t xml:space="preserve">عقب </w:t>
      </w:r>
      <w:r w:rsidR="005B2EE5" w:rsidRPr="001F6848">
        <w:rPr>
          <w:rFonts w:eastAsia="Arial"/>
          <w:rtl/>
          <w:lang w:val="en-GB"/>
        </w:rPr>
        <w:t>قرار المحكمة الإدارية التابعة لمنظمة العمل الدولية رقم 4138</w:t>
      </w:r>
      <w:r>
        <w:rPr>
          <w:rFonts w:eastAsia="Arial" w:hint="cs"/>
          <w:rtl/>
          <w:lang w:val="en-GB"/>
        </w:rPr>
        <w:t xml:space="preserve">، </w:t>
      </w:r>
      <w:r w:rsidRPr="001F6848">
        <w:rPr>
          <w:rFonts w:eastAsia="Arial"/>
          <w:rtl/>
          <w:lang w:val="en-GB" w:bidi="ar-EG"/>
        </w:rPr>
        <w:t>يطبق سعر الصرف ومضاعف تسوية مقر العمل</w:t>
      </w:r>
      <w:r w:rsidR="0036756F">
        <w:rPr>
          <w:rFonts w:eastAsia="Arial" w:hint="cs"/>
          <w:rtl/>
          <w:lang w:val="en-GB" w:bidi="ar-EG"/>
        </w:rPr>
        <w:t xml:space="preserve"> (المضاعف)</w:t>
      </w:r>
      <w:r w:rsidRPr="001F6848">
        <w:rPr>
          <w:rFonts w:eastAsia="Arial"/>
          <w:rtl/>
          <w:lang w:val="en-GB" w:bidi="ar-EG"/>
        </w:rPr>
        <w:t xml:space="preserve"> في </w:t>
      </w:r>
      <w:r>
        <w:rPr>
          <w:rFonts w:eastAsia="Arial" w:hint="cs"/>
          <w:rtl/>
          <w:lang w:val="en-GB" w:bidi="ar-EG"/>
        </w:rPr>
        <w:t>يناير</w:t>
      </w:r>
      <w:r w:rsidRPr="001F6848">
        <w:rPr>
          <w:rFonts w:eastAsia="Arial"/>
          <w:rtl/>
          <w:lang w:val="en-GB" w:bidi="ar-EG"/>
        </w:rPr>
        <w:t xml:space="preserve"> </w:t>
      </w:r>
      <w:r>
        <w:rPr>
          <w:rFonts w:eastAsia="Arial" w:hint="cs"/>
          <w:rtl/>
          <w:lang w:val="en-GB" w:bidi="ar-EG"/>
        </w:rPr>
        <w:t>2018</w:t>
      </w:r>
      <w:r w:rsidR="0036756F">
        <w:rPr>
          <w:rStyle w:val="FootnoteReference"/>
          <w:rFonts w:eastAsia="Arial"/>
          <w:rtl/>
          <w:lang w:val="en-GB" w:bidi="ar-EG"/>
        </w:rPr>
        <w:footnoteReference w:id="3"/>
      </w:r>
      <w:r w:rsidRPr="001F6848">
        <w:rPr>
          <w:rFonts w:eastAsia="Arial"/>
          <w:rtl/>
          <w:lang w:val="en-GB" w:bidi="ar-EG"/>
        </w:rPr>
        <w:t>؛</w:t>
      </w:r>
    </w:p>
    <w:p w:rsidR="001F6848" w:rsidRPr="001F6848" w:rsidRDefault="001F6848" w:rsidP="0072127F">
      <w:pPr>
        <w:pStyle w:val="ListParagraph"/>
        <w:numPr>
          <w:ilvl w:val="0"/>
          <w:numId w:val="49"/>
        </w:numPr>
        <w:spacing w:before="200" w:after="200" w:line="220" w:lineRule="atLeast"/>
        <w:contextualSpacing w:val="0"/>
        <w:rPr>
          <w:rFonts w:eastAsia="Arial"/>
          <w:rtl/>
          <w:lang w:val="en-GB" w:bidi="ar-EG"/>
        </w:rPr>
      </w:pPr>
      <w:r w:rsidRPr="001F6848">
        <w:rPr>
          <w:rFonts w:eastAsia="Arial"/>
          <w:rtl/>
          <w:lang w:val="en-GB" w:bidi="ar-EG"/>
        </w:rPr>
        <w:lastRenderedPageBreak/>
        <w:t xml:space="preserve">ويطبق سعر صرف الدولار الأمريكي مقابل الفرنك السويسري بنسبة 1:1 لحساب الأجور الداخلة في حساب المعاش التقاعدي. وبالنسبة إلى الفئة الفنية والفئات العليا، يسري جدول الرواتب النافذ اعتباراً من فبراير </w:t>
      </w:r>
      <w:r w:rsidRPr="001F6848">
        <w:rPr>
          <w:rFonts w:eastAsia="Arial" w:hint="cs"/>
          <w:rtl/>
          <w:lang w:val="en-GB" w:bidi="ar-EG"/>
        </w:rPr>
        <w:t>2019</w:t>
      </w:r>
      <w:r w:rsidRPr="001F6848">
        <w:rPr>
          <w:rFonts w:eastAsia="Arial"/>
          <w:rtl/>
          <w:lang w:val="en-GB" w:bidi="ar-EG"/>
        </w:rPr>
        <w:t xml:space="preserve">؛ وبالنسبة إلى </w:t>
      </w:r>
      <w:r w:rsidR="0072127F" w:rsidRPr="001F6848">
        <w:rPr>
          <w:rFonts w:eastAsia="Arial"/>
          <w:rtl/>
          <w:lang w:val="en-GB" w:bidi="ar-EG"/>
        </w:rPr>
        <w:t>فئة الخدمات العامة</w:t>
      </w:r>
      <w:r w:rsidR="0072127F">
        <w:rPr>
          <w:rFonts w:eastAsia="Arial" w:hint="cs"/>
          <w:rtl/>
          <w:lang w:val="en-GB" w:bidi="ar-EG"/>
        </w:rPr>
        <w:t>،</w:t>
      </w:r>
      <w:r w:rsidR="0072127F" w:rsidRPr="001F6848">
        <w:rPr>
          <w:rFonts w:eastAsia="Arial"/>
          <w:rtl/>
          <w:lang w:val="en-GB" w:bidi="ar-EG"/>
        </w:rPr>
        <w:t xml:space="preserve"> يسري جدول الرواتب النافذ اعتباراً من أبريل 2011</w:t>
      </w:r>
      <w:r w:rsidR="0072127F">
        <w:rPr>
          <w:rFonts w:eastAsia="Arial" w:hint="cs"/>
          <w:rtl/>
          <w:lang w:val="en-GB" w:bidi="ar-EG"/>
        </w:rPr>
        <w:t xml:space="preserve"> على </w:t>
      </w:r>
      <w:r w:rsidRPr="001F6848">
        <w:rPr>
          <w:rFonts w:eastAsia="Arial"/>
          <w:rtl/>
          <w:lang w:val="en-GB" w:bidi="ar-EG"/>
        </w:rPr>
        <w:t xml:space="preserve">الوظائف المشغولة </w:t>
      </w:r>
      <w:r w:rsidR="0072127F">
        <w:rPr>
          <w:rFonts w:eastAsia="Arial" w:hint="cs"/>
          <w:rtl/>
          <w:lang w:val="en-GB" w:bidi="ar-EG"/>
        </w:rPr>
        <w:t>و</w:t>
      </w:r>
      <w:r w:rsidR="0072127F" w:rsidRPr="001F6848">
        <w:rPr>
          <w:rFonts w:eastAsia="Arial"/>
          <w:rtl/>
          <w:lang w:val="en-GB" w:bidi="ar-EG"/>
        </w:rPr>
        <w:t>يسري جدول الرواتب النافذ اعتباراً من سبتمبر 2017</w:t>
      </w:r>
      <w:r w:rsidR="0072127F">
        <w:rPr>
          <w:rFonts w:eastAsia="Arial" w:hint="cs"/>
          <w:rtl/>
          <w:lang w:val="en-GB" w:bidi="ar-EG"/>
        </w:rPr>
        <w:t xml:space="preserve"> على</w:t>
      </w:r>
      <w:r w:rsidR="0072127F">
        <w:rPr>
          <w:rFonts w:eastAsia="Arial"/>
          <w:rtl/>
          <w:lang w:val="en-GB" w:bidi="ar-EG"/>
        </w:rPr>
        <w:t xml:space="preserve"> </w:t>
      </w:r>
      <w:r w:rsidR="0072127F">
        <w:rPr>
          <w:rFonts w:eastAsia="Arial" w:hint="cs"/>
          <w:rtl/>
          <w:lang w:val="en-GB" w:bidi="ar-EG"/>
        </w:rPr>
        <w:t>المناصب</w:t>
      </w:r>
      <w:r w:rsidR="0072127F">
        <w:rPr>
          <w:rFonts w:eastAsia="Arial"/>
          <w:rtl/>
          <w:lang w:val="en-GB" w:bidi="ar-EG"/>
        </w:rPr>
        <w:t xml:space="preserve"> الشاغرة</w:t>
      </w:r>
      <w:r w:rsidRPr="001F6848">
        <w:rPr>
          <w:rFonts w:eastAsia="Arial"/>
          <w:rtl/>
          <w:lang w:val="en-GB" w:bidi="ar-EG"/>
        </w:rPr>
        <w:t>؛</w:t>
      </w:r>
    </w:p>
    <w:p w:rsidR="001F6848" w:rsidRPr="001F6848" w:rsidRDefault="001F6848" w:rsidP="001F6848">
      <w:pPr>
        <w:pStyle w:val="ListParagraph"/>
        <w:numPr>
          <w:ilvl w:val="0"/>
          <w:numId w:val="49"/>
        </w:numPr>
        <w:spacing w:before="200" w:after="200" w:line="220" w:lineRule="atLeast"/>
        <w:contextualSpacing w:val="0"/>
        <w:rPr>
          <w:rFonts w:eastAsia="Arial"/>
          <w:rtl/>
          <w:lang w:val="en-GB" w:bidi="ar-EG"/>
        </w:rPr>
      </w:pPr>
      <w:r w:rsidRPr="001F6848">
        <w:rPr>
          <w:rFonts w:eastAsia="Arial"/>
          <w:rtl/>
          <w:lang w:val="en-GB" w:bidi="ar-EG"/>
        </w:rPr>
        <w:t>وتقدَّر جميع المزايا والاستحقاقات المطبقة بالنسبة للمناصب المشغولة، وبما فيها منحة التعليم وإجازة زيارة الوطن، على مستوى المناصب مع مراعاة أحدث معلومات عن المرتبات. أما المناصب الشاغرة فحددت لها تكلفة متوسطة؛</w:t>
      </w:r>
    </w:p>
    <w:p w:rsidR="001F6848" w:rsidRPr="001F6848" w:rsidRDefault="001F6848" w:rsidP="001F6848">
      <w:pPr>
        <w:pStyle w:val="ListParagraph"/>
        <w:numPr>
          <w:ilvl w:val="0"/>
          <w:numId w:val="49"/>
        </w:numPr>
        <w:spacing w:before="200" w:after="200" w:line="220" w:lineRule="atLeast"/>
        <w:contextualSpacing w:val="0"/>
        <w:rPr>
          <w:rFonts w:eastAsia="Arial"/>
          <w:rtl/>
          <w:lang w:val="en-GB" w:bidi="ar-EG"/>
        </w:rPr>
      </w:pPr>
      <w:r w:rsidRPr="001F6848">
        <w:rPr>
          <w:rFonts w:eastAsia="Arial"/>
          <w:rtl/>
          <w:lang w:val="en-GB" w:bidi="ar-EG"/>
        </w:rPr>
        <w:t>وتراعي مخصصات منح التعليم نظامَ منح التعليم المراجع وفقاً لجدول تنازلي عام لتسديد قائمة مبسطة من المصروفات المتعلقة بالتعليم؛</w:t>
      </w:r>
    </w:p>
    <w:p w:rsidR="001F6848" w:rsidRPr="001F6848" w:rsidRDefault="001F6848" w:rsidP="00E72EFB">
      <w:pPr>
        <w:pStyle w:val="ListParagraph"/>
        <w:numPr>
          <w:ilvl w:val="0"/>
          <w:numId w:val="49"/>
        </w:numPr>
        <w:spacing w:before="200" w:after="200" w:line="220" w:lineRule="atLeast"/>
        <w:contextualSpacing w:val="0"/>
        <w:rPr>
          <w:rFonts w:eastAsia="Arial"/>
          <w:rtl/>
          <w:lang w:val="en-GB" w:bidi="ar-EG"/>
        </w:rPr>
      </w:pPr>
      <w:r w:rsidRPr="001F6848">
        <w:rPr>
          <w:rFonts w:eastAsia="Arial"/>
          <w:rtl/>
          <w:lang w:val="en-GB" w:bidi="ar-EG"/>
        </w:rPr>
        <w:t xml:space="preserve">وأنشئت أربع وظائف مرنة جديدة في 2020/21 عقب تطبيق معادلة المرونة لميزانية اتحاد مدريد، فوصل إجمالي عدد الوظائف إلى </w:t>
      </w:r>
      <w:r w:rsidR="00E72EFB">
        <w:rPr>
          <w:rFonts w:eastAsia="Arial" w:hint="cs"/>
          <w:rtl/>
          <w:lang w:val="en-GB" w:bidi="ar-EG"/>
        </w:rPr>
        <w:t>1209</w:t>
      </w:r>
      <w:r w:rsidRPr="001F6848">
        <w:rPr>
          <w:rFonts w:eastAsia="Arial"/>
          <w:rtl/>
          <w:lang w:val="en-GB" w:bidi="ar-EG"/>
        </w:rPr>
        <w:t>. وطُبقت نسبة عامة للمناصب الشاغرة قدرها 4 بالمئة على حساب التكاليف العامة للمناصب لمراعاة التأخيرات في التعيين؛</w:t>
      </w:r>
    </w:p>
    <w:p w:rsidR="001F6848" w:rsidRPr="001F6848" w:rsidRDefault="001F6848" w:rsidP="001F6848">
      <w:pPr>
        <w:pStyle w:val="ListParagraph"/>
        <w:numPr>
          <w:ilvl w:val="0"/>
          <w:numId w:val="49"/>
        </w:numPr>
        <w:spacing w:before="200" w:after="200" w:line="220" w:lineRule="atLeast"/>
        <w:contextualSpacing w:val="0"/>
        <w:rPr>
          <w:rFonts w:eastAsia="Arial"/>
          <w:rtl/>
          <w:lang w:val="en-GB" w:bidi="ar-EG"/>
        </w:rPr>
      </w:pPr>
      <w:r w:rsidRPr="001F6848">
        <w:rPr>
          <w:rFonts w:eastAsia="Arial"/>
          <w:rtl/>
          <w:lang w:val="en-GB" w:bidi="ar-EG"/>
        </w:rPr>
        <w:lastRenderedPageBreak/>
        <w:t>وحرصاً على زيادة تمويل استحقاقات الموظفين الطويلة الأجل، بما فيها خصوم التأمين الصحي بعد انتهاء الخدمة، زادت الاعتمادات المخصصة لها من 6 بالمئة لتبلغ 8 بالمئة بتخصيص اعتمادات مستقلة نسبتها 2 بالمئة لإنهاء الوظائف المؤقتة؛</w:t>
      </w:r>
    </w:p>
    <w:p w:rsidR="001F6848" w:rsidRPr="001F6848" w:rsidRDefault="001F6848" w:rsidP="0056579F">
      <w:pPr>
        <w:pStyle w:val="ListParagraph"/>
        <w:numPr>
          <w:ilvl w:val="0"/>
          <w:numId w:val="49"/>
        </w:numPr>
        <w:spacing w:before="200" w:after="200" w:line="220" w:lineRule="atLeast"/>
        <w:contextualSpacing w:val="0"/>
        <w:rPr>
          <w:rFonts w:eastAsia="Arial"/>
          <w:rtl/>
          <w:lang w:val="en-GB" w:bidi="ar-EG"/>
        </w:rPr>
      </w:pPr>
      <w:r w:rsidRPr="001F6848">
        <w:rPr>
          <w:rFonts w:eastAsia="Arial"/>
          <w:rtl/>
          <w:lang w:val="en-GB" w:bidi="ar-EG"/>
        </w:rPr>
        <w:t>وتشمل التكاليف الأخرى للموظفين مخصصات الثنائية للتأمين ضد حوادث العمل (900,000 فرنك سويسري) وصندوق المعاشات التقاعدية المغلق (700,000 فرنك سويسري) وتكاليف التقاضي (400,000 فرنك سويسري) وبرنامج الويبو للمكافآت والتقدير</w:t>
      </w:r>
      <w:r w:rsidR="0056579F">
        <w:rPr>
          <w:rFonts w:eastAsia="Arial" w:hint="cs"/>
          <w:rtl/>
          <w:lang w:val="en-GB" w:bidi="ar-EG"/>
        </w:rPr>
        <w:t xml:space="preserve"> </w:t>
      </w:r>
      <w:r w:rsidRPr="001F6848">
        <w:rPr>
          <w:rFonts w:eastAsia="Arial"/>
          <w:rtl/>
          <w:lang w:val="en-GB" w:bidi="ar-EG"/>
        </w:rPr>
        <w:t>(</w:t>
      </w:r>
      <w:r w:rsidR="0056579F" w:rsidRPr="0056579F">
        <w:rPr>
          <w:rFonts w:eastAsia="Arial"/>
          <w:iCs/>
          <w:lang w:bidi="ar-EG"/>
        </w:rPr>
        <w:t>1,152,000</w:t>
      </w:r>
      <w:r w:rsidRPr="001F6848">
        <w:rPr>
          <w:rFonts w:eastAsia="Arial"/>
          <w:rtl/>
          <w:lang w:val="en-GB" w:bidi="ar-EG"/>
        </w:rPr>
        <w:t xml:space="preserve"> فرنك سويسري)؛</w:t>
      </w:r>
    </w:p>
    <w:p w:rsidR="001F6848" w:rsidRPr="001F6848" w:rsidRDefault="001F6848" w:rsidP="0056579F">
      <w:pPr>
        <w:pStyle w:val="ListParagraph"/>
        <w:numPr>
          <w:ilvl w:val="0"/>
          <w:numId w:val="49"/>
        </w:numPr>
        <w:spacing w:before="200" w:after="200" w:line="220" w:lineRule="atLeast"/>
        <w:contextualSpacing w:val="0"/>
        <w:rPr>
          <w:rFonts w:eastAsia="Arial"/>
          <w:rtl/>
          <w:lang w:val="en-GB" w:bidi="ar-EG"/>
        </w:rPr>
      </w:pPr>
      <w:r w:rsidRPr="001F6848">
        <w:rPr>
          <w:rFonts w:eastAsia="Arial"/>
          <w:rtl/>
          <w:lang w:val="en-GB" w:bidi="ar-EG"/>
        </w:rPr>
        <w:t xml:space="preserve">وتبلغ مخصصات </w:t>
      </w:r>
      <w:r w:rsidR="0056579F">
        <w:rPr>
          <w:rFonts w:eastAsia="Arial" w:hint="cs"/>
          <w:rtl/>
          <w:lang w:val="en-GB" w:bidi="ar-EG"/>
        </w:rPr>
        <w:t xml:space="preserve">حالات </w:t>
      </w:r>
      <w:r w:rsidRPr="001F6848">
        <w:rPr>
          <w:rFonts w:eastAsia="Arial"/>
          <w:rtl/>
          <w:lang w:val="en-GB" w:bidi="ar-EG"/>
        </w:rPr>
        <w:t xml:space="preserve">إعادة التصنيف 4 ملايين فرنك سويسري مقيَّدة في بند الاعتمادات "غير المخصّصة (الموظفون)" </w:t>
      </w:r>
      <w:r w:rsidR="0056579F">
        <w:rPr>
          <w:rFonts w:eastAsia="Arial" w:hint="cs"/>
          <w:rtl/>
          <w:lang w:val="en-GB" w:bidi="ar-EG"/>
        </w:rPr>
        <w:t>لتنفيذ</w:t>
      </w:r>
      <w:r w:rsidR="0056579F">
        <w:rPr>
          <w:rFonts w:eastAsia="Arial"/>
          <w:rtl/>
          <w:lang w:val="en-GB" w:bidi="ar-EG"/>
        </w:rPr>
        <w:t xml:space="preserve"> نتائج قرارات لجنة إعادة التصنيف</w:t>
      </w:r>
      <w:r w:rsidRPr="001F6848">
        <w:rPr>
          <w:rFonts w:eastAsia="Arial"/>
          <w:rtl/>
          <w:lang w:val="en-GB" w:bidi="ar-EG"/>
        </w:rPr>
        <w:t>؛</w:t>
      </w:r>
    </w:p>
    <w:p w:rsidR="001F6848" w:rsidRPr="001F6848" w:rsidRDefault="001F6848" w:rsidP="0056579F">
      <w:pPr>
        <w:pStyle w:val="ListParagraph"/>
        <w:numPr>
          <w:ilvl w:val="0"/>
          <w:numId w:val="49"/>
        </w:numPr>
        <w:spacing w:before="200" w:after="200" w:line="220" w:lineRule="atLeast"/>
        <w:contextualSpacing w:val="0"/>
        <w:rPr>
          <w:rFonts w:eastAsia="Arial"/>
          <w:rtl/>
          <w:lang w:val="en-GB" w:bidi="ar-EG"/>
        </w:rPr>
      </w:pPr>
      <w:r w:rsidRPr="001F6848">
        <w:rPr>
          <w:rFonts w:eastAsia="Arial"/>
          <w:rtl/>
          <w:lang w:val="en-GB" w:bidi="ar-EG"/>
        </w:rPr>
        <w:t>ومن المتوقع استكمال عمليات التثبيت في الثنائية 2018/19 ومن ثم لم تُخصص أي اعتمادات لهذا الغرض في الثنائية</w:t>
      </w:r>
      <w:r w:rsidR="0056579F">
        <w:rPr>
          <w:rFonts w:eastAsia="Arial" w:hint="cs"/>
          <w:rtl/>
          <w:lang w:val="en-GB" w:bidi="ar-EG"/>
        </w:rPr>
        <w:t> </w:t>
      </w:r>
      <w:r w:rsidRPr="001F6848">
        <w:rPr>
          <w:rFonts w:eastAsia="Arial"/>
          <w:rtl/>
          <w:lang w:val="en-GB" w:bidi="ar-EG"/>
        </w:rPr>
        <w:t>2020/21. وسعياً إلى تمكين الأمانة من تحسين رصد مصروفات ساعات العمل الإضافية ومراقبتها، لا تزال تكاليف ساعات العمل الإضافية المقدَّرة تُغطى باعتمادات منفصلة في بند الاعتمادات "غير المخصّصة (الموظفون)". وقد خُصصت اعتمادات إضافية قدرها 3 ملايين فرنك سويسري من أجل اعتماد ترت</w:t>
      </w:r>
      <w:r w:rsidR="00CA4629">
        <w:rPr>
          <w:rFonts w:eastAsia="Arial"/>
          <w:rtl/>
          <w:lang w:val="en-GB" w:bidi="ar-EG"/>
        </w:rPr>
        <w:t>يبات ساعات العمل المرنة. وس</w:t>
      </w:r>
      <w:r w:rsidR="00CA4629">
        <w:rPr>
          <w:rFonts w:eastAsia="Arial" w:hint="cs"/>
          <w:rtl/>
          <w:lang w:val="en-GB" w:bidi="ar-EG"/>
        </w:rPr>
        <w:t>يتواصل رصد</w:t>
      </w:r>
      <w:r w:rsidRPr="001F6848">
        <w:rPr>
          <w:rFonts w:eastAsia="Arial"/>
          <w:rtl/>
          <w:lang w:val="en-GB" w:bidi="ar-EG"/>
        </w:rPr>
        <w:t xml:space="preserve"> تلك التكاليف عن كثب بالتنسيق مع البرنامج 23 (إدارة الموارد البشرية وتطويرها) ومجالات البرنامج المعنية.</w:t>
      </w:r>
    </w:p>
    <w:p w:rsidR="001F6848" w:rsidRDefault="00B64ED0" w:rsidP="00B64ED0">
      <w:pPr>
        <w:pStyle w:val="ONUMA"/>
      </w:pPr>
      <w:r w:rsidRPr="00B64ED0">
        <w:rPr>
          <w:rtl/>
          <w:lang w:bidi="ar-EG"/>
        </w:rPr>
        <w:lastRenderedPageBreak/>
        <w:t xml:space="preserve">واستناداً إلى افتراضات التخطيط الواردة أعلاه، </w:t>
      </w:r>
      <w:r>
        <w:rPr>
          <w:rFonts w:hint="cs"/>
          <w:rtl/>
          <w:lang w:bidi="ar-EG"/>
        </w:rPr>
        <w:t>تبلغ</w:t>
      </w:r>
      <w:r w:rsidRPr="00B64ED0">
        <w:rPr>
          <w:rtl/>
          <w:lang w:bidi="ar-EG"/>
        </w:rPr>
        <w:t xml:space="preserve"> </w:t>
      </w:r>
      <w:r w:rsidRPr="00B64ED0">
        <w:rPr>
          <w:rFonts w:hint="cs"/>
          <w:rtl/>
          <w:lang w:bidi="ar-EG"/>
        </w:rPr>
        <w:t xml:space="preserve">الزيادة في </w:t>
      </w:r>
      <w:r w:rsidRPr="00B64ED0">
        <w:rPr>
          <w:rtl/>
          <w:lang w:bidi="ar-EG"/>
        </w:rPr>
        <w:t xml:space="preserve">تكاليف الموظفين </w:t>
      </w:r>
      <w:r w:rsidRPr="00B64ED0">
        <w:rPr>
          <w:rFonts w:hint="cs"/>
          <w:rtl/>
          <w:lang w:bidi="ar-EG"/>
        </w:rPr>
        <w:t>خلال</w:t>
      </w:r>
      <w:r w:rsidRPr="00B64ED0">
        <w:rPr>
          <w:rtl/>
          <w:lang w:bidi="ar-EG"/>
        </w:rPr>
        <w:t xml:space="preserve"> الثنائية 2020/21 </w:t>
      </w:r>
      <w:r w:rsidRPr="00B64ED0">
        <w:rPr>
          <w:rFonts w:hint="cs"/>
          <w:rtl/>
          <w:lang w:bidi="ar-EG"/>
        </w:rPr>
        <w:t>قيمة</w:t>
      </w:r>
      <w:r w:rsidRPr="00B64ED0">
        <w:rPr>
          <w:rtl/>
          <w:lang w:bidi="ar-EG"/>
        </w:rPr>
        <w:t xml:space="preserve"> قدرها </w:t>
      </w:r>
      <w:r>
        <w:rPr>
          <w:rFonts w:hint="cs"/>
          <w:rtl/>
          <w:lang w:bidi="ar-EG"/>
        </w:rPr>
        <w:t>15</w:t>
      </w:r>
      <w:r w:rsidRPr="00B64ED0">
        <w:rPr>
          <w:rtl/>
          <w:lang w:bidi="ar-EG"/>
        </w:rPr>
        <w:t>.</w:t>
      </w:r>
      <w:r>
        <w:rPr>
          <w:rFonts w:hint="cs"/>
          <w:rtl/>
          <w:lang w:bidi="ar-EG"/>
        </w:rPr>
        <w:t>9</w:t>
      </w:r>
      <w:r w:rsidRPr="00B64ED0">
        <w:rPr>
          <w:rFonts w:hint="cs"/>
          <w:rtl/>
          <w:lang w:bidi="ar-EG"/>
        </w:rPr>
        <w:t> </w:t>
      </w:r>
      <w:r w:rsidRPr="00B64ED0">
        <w:rPr>
          <w:rtl/>
          <w:lang w:bidi="ar-EG"/>
        </w:rPr>
        <w:t xml:space="preserve">مليون فرنك سويسري أو </w:t>
      </w:r>
      <w:r>
        <w:rPr>
          <w:rFonts w:hint="cs"/>
          <w:rtl/>
          <w:lang w:bidi="ar-EG"/>
        </w:rPr>
        <w:t>3.5</w:t>
      </w:r>
      <w:r w:rsidRPr="00B64ED0">
        <w:rPr>
          <w:rtl/>
          <w:lang w:bidi="ar-EG"/>
        </w:rPr>
        <w:t xml:space="preserve"> بالمئة مقارنةً بالميزانية المعتمدة 2018/19. وانخفضت حصة تكاليف الموظفين المخصصة بالمقارنة مع الميزانية الإجمالية من نسبة 62.4 بالمئة في 2018/19 إلى 61.</w:t>
      </w:r>
      <w:r>
        <w:rPr>
          <w:rFonts w:hint="cs"/>
          <w:rtl/>
          <w:lang w:bidi="ar-EG"/>
        </w:rPr>
        <w:t>9</w:t>
      </w:r>
      <w:r w:rsidRPr="00B64ED0">
        <w:rPr>
          <w:rtl/>
          <w:lang w:bidi="ar-EG"/>
        </w:rPr>
        <w:t xml:space="preserve"> بالمئة في 2020/21.</w:t>
      </w:r>
    </w:p>
    <w:p w:rsidR="00B64ED0" w:rsidRDefault="00B64ED0" w:rsidP="00B64ED0">
      <w:pPr>
        <w:pStyle w:val="Heading3"/>
        <w:rPr>
          <w:b/>
          <w:bCs/>
          <w:rtl/>
        </w:rPr>
      </w:pPr>
      <w:r w:rsidRPr="00B64ED0">
        <w:rPr>
          <w:rFonts w:hint="cs"/>
          <w:b/>
          <w:bCs/>
          <w:rtl/>
        </w:rPr>
        <w:t>مصادر وآليات التمويل</w:t>
      </w:r>
    </w:p>
    <w:p w:rsidR="00B64ED0" w:rsidRDefault="00864EB8" w:rsidP="00B13F7E">
      <w:pPr>
        <w:pStyle w:val="ONUMA"/>
        <w:rPr>
          <w:lang w:bidi="ar-EG"/>
        </w:rPr>
      </w:pPr>
      <w:r>
        <w:rPr>
          <w:rFonts w:hint="cs"/>
          <w:rtl/>
          <w:lang w:bidi="ar-EG"/>
        </w:rPr>
        <w:t xml:space="preserve">تقدَّر ميزانية نفقات المنظمة بمبلغ يساوي </w:t>
      </w:r>
      <w:r w:rsidRPr="00864EB8">
        <w:rPr>
          <w:lang w:bidi="ar-EG"/>
        </w:rPr>
        <w:t>768,401,034</w:t>
      </w:r>
      <w:r w:rsidRPr="00864EB8">
        <w:rPr>
          <w:rFonts w:hint="cs"/>
          <w:rtl/>
          <w:lang w:bidi="ar-EG"/>
        </w:rPr>
        <w:t xml:space="preserve"> </w:t>
      </w:r>
      <w:r>
        <w:rPr>
          <w:rFonts w:hint="cs"/>
          <w:rtl/>
          <w:lang w:bidi="ar-EG"/>
        </w:rPr>
        <w:t>فرنك سويسري خلال الثنائية 2020/21 وهي ممولة من الإيرادات الإجمالية، التي تقدَّر بملغ يساوي 882.8 مليون فرنك سويسري أثناء الثنائية 2020/21</w:t>
      </w:r>
      <w:r w:rsidR="00B13F7E">
        <w:rPr>
          <w:rFonts w:hint="cs"/>
          <w:rtl/>
          <w:lang w:bidi="ar-EG"/>
        </w:rPr>
        <w:t>.</w:t>
      </w:r>
      <w:r w:rsidR="00B13F7E">
        <w:rPr>
          <w:rStyle w:val="FootnoteReference"/>
          <w:rtl/>
          <w:lang w:bidi="ar-EG"/>
        </w:rPr>
        <w:footnoteReference w:id="4"/>
      </w:r>
      <w:r w:rsidR="00B13F7E">
        <w:rPr>
          <w:rFonts w:hint="cs"/>
          <w:rtl/>
          <w:lang w:bidi="ar-EG"/>
        </w:rPr>
        <w:t xml:space="preserve"> ويعرض</w:t>
      </w:r>
      <w:r w:rsidR="00B13F7E">
        <w:rPr>
          <w:rFonts w:hint="cs"/>
          <w:rtl/>
        </w:rPr>
        <w:t xml:space="preserve"> الشكل</w:t>
      </w:r>
      <w:r w:rsidR="00B13F7E">
        <w:rPr>
          <w:rFonts w:hint="eastAsia"/>
          <w:rtl/>
        </w:rPr>
        <w:t> </w:t>
      </w:r>
      <w:r w:rsidR="00B13F7E">
        <w:rPr>
          <w:rFonts w:hint="cs"/>
          <w:rtl/>
        </w:rPr>
        <w:t>1</w:t>
      </w:r>
      <w:r w:rsidR="00B13F7E">
        <w:rPr>
          <w:rFonts w:hint="cs"/>
          <w:rtl/>
          <w:lang w:bidi="ar-EG"/>
        </w:rPr>
        <w:t xml:space="preserve"> أدناه صورة عامة عن حصة الإيرادات بحسب المصدر.</w:t>
      </w:r>
    </w:p>
    <w:p w:rsidR="00B13F7E" w:rsidRDefault="00841B56" w:rsidP="00850809">
      <w:pPr>
        <w:pStyle w:val="BodyText"/>
        <w:rPr>
          <w:rtl/>
        </w:rPr>
      </w:pPr>
      <w:r w:rsidRPr="00841B56">
        <w:rPr>
          <w:noProof/>
          <w:rtl/>
          <w:lang w:bidi="ar-SA"/>
        </w:rPr>
        <w:drawing>
          <wp:inline distT="0" distB="0" distL="0" distR="0">
            <wp:extent cx="4330700" cy="3444240"/>
            <wp:effectExtent l="0" t="0" r="0" b="0"/>
            <wp:docPr id="3" name="Picture 3" descr="صورة عامة عن حصة الإيرادات بحسب المصدر." title="حصة إيرادات 21/2020 بحسب المصد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0700" cy="3444240"/>
                    </a:xfrm>
                    <a:prstGeom prst="rect">
                      <a:avLst/>
                    </a:prstGeom>
                    <a:noFill/>
                    <a:ln>
                      <a:noFill/>
                    </a:ln>
                  </pic:spPr>
                </pic:pic>
              </a:graphicData>
            </a:graphic>
          </wp:inline>
        </w:drawing>
      </w:r>
    </w:p>
    <w:p w:rsidR="00850809" w:rsidRPr="00B64ED0" w:rsidRDefault="00850809" w:rsidP="00850809">
      <w:pPr>
        <w:pStyle w:val="Endofdocument-Annex"/>
      </w:pPr>
      <w:r>
        <w:rPr>
          <w:rFonts w:hint="cs"/>
          <w:rtl/>
        </w:rPr>
        <w:lastRenderedPageBreak/>
        <w:t>[نهاية الوثيقة]</w:t>
      </w:r>
    </w:p>
    <w:sectPr w:rsidR="00850809" w:rsidRPr="00B64ED0" w:rsidSect="00A46B59">
      <w:headerReference w:type="even" r:id="rId10"/>
      <w:headerReference w:type="default" r:id="rId11"/>
      <w:footerReference w:type="even" r:id="rId12"/>
      <w:footerReference w:type="default" r:id="rId13"/>
      <w:headerReference w:type="first" r:id="rId14"/>
      <w:footerReference w:type="first" r:id="rId15"/>
      <w:pgSz w:w="11907" w:h="16840" w:code="9"/>
      <w:pgMar w:top="567" w:right="1418" w:bottom="1418" w:left="1134" w:header="510" w:footer="1021"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B8C" w:rsidRDefault="00C26B8C">
      <w:r>
        <w:separator/>
      </w:r>
    </w:p>
  </w:endnote>
  <w:endnote w:type="continuationSeparator" w:id="0">
    <w:p w:rsidR="00C26B8C" w:rsidRDefault="00C2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B59" w:rsidRDefault="00A46B59" w:rsidP="00A46B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B59" w:rsidRDefault="00A46B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B59" w:rsidRDefault="00A46B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B8C" w:rsidRDefault="00C26B8C" w:rsidP="009622BF">
      <w:bookmarkStart w:id="0" w:name="OLE_LINK1"/>
      <w:bookmarkStart w:id="1" w:name="OLE_LINK2"/>
      <w:r>
        <w:separator/>
      </w:r>
      <w:bookmarkEnd w:id="0"/>
      <w:bookmarkEnd w:id="1"/>
    </w:p>
  </w:footnote>
  <w:footnote w:type="continuationSeparator" w:id="0">
    <w:p w:rsidR="00C26B8C" w:rsidRDefault="00C26B8C" w:rsidP="009622BF">
      <w:r>
        <w:separator/>
      </w:r>
    </w:p>
  </w:footnote>
  <w:footnote w:id="1">
    <w:p w:rsidR="00DA6EED" w:rsidRDefault="00DA6EED" w:rsidP="00DA6EED">
      <w:pPr>
        <w:pStyle w:val="FootnoteText"/>
        <w:rPr>
          <w:lang w:bidi="ar-SA"/>
        </w:rPr>
      </w:pPr>
      <w:r>
        <w:rPr>
          <w:rStyle w:val="FootnoteReference"/>
        </w:rPr>
        <w:footnoteRef/>
      </w:r>
      <w:r w:rsidR="001F6848">
        <w:rPr>
          <w:rFonts w:hint="cs"/>
          <w:rtl/>
        </w:rPr>
        <w:t xml:space="preserve"> </w:t>
      </w:r>
      <w:r>
        <w:rPr>
          <w:rFonts w:hint="cs"/>
          <w:rtl/>
        </w:rPr>
        <w:t xml:space="preserve">انظر الفقرات من 25 إلى 28 من الوثيقة </w:t>
      </w:r>
      <w:r w:rsidRPr="00DA6EED">
        <w:t>A/59/8</w:t>
      </w:r>
      <w:r>
        <w:rPr>
          <w:rFonts w:hint="cs"/>
          <w:rtl/>
        </w:rPr>
        <w:t>.</w:t>
      </w:r>
    </w:p>
  </w:footnote>
  <w:footnote w:id="2">
    <w:p w:rsidR="001F6848" w:rsidRPr="000B32F9" w:rsidRDefault="001F6848" w:rsidP="001F6848">
      <w:pPr>
        <w:pStyle w:val="FootnoteText"/>
        <w:rPr>
          <w:rtl/>
        </w:rPr>
      </w:pPr>
      <w:r w:rsidRPr="000B32F9">
        <w:rPr>
          <w:rStyle w:val="FootnoteReference"/>
        </w:rPr>
        <w:footnoteRef/>
      </w:r>
      <w:r w:rsidRPr="000B32F9">
        <w:rPr>
          <w:rtl/>
        </w:rPr>
        <w:t xml:space="preserve"> بدأ تطبيق جدول المرتبات للفئة الفنية وما فوقها في 1 يناير </w:t>
      </w:r>
      <w:r>
        <w:rPr>
          <w:rFonts w:hint="cs"/>
          <w:rtl/>
        </w:rPr>
        <w:t>2019</w:t>
      </w:r>
      <w:r w:rsidRPr="000B32F9">
        <w:rPr>
          <w:rtl/>
        </w:rPr>
        <w:t xml:space="preserve">؛ وجدول الأجر الداخل في حساب المعاش التقاعدي في 1 فبراير </w:t>
      </w:r>
      <w:r>
        <w:rPr>
          <w:rFonts w:hint="cs"/>
          <w:rtl/>
        </w:rPr>
        <w:t>2019</w:t>
      </w:r>
      <w:r w:rsidRPr="000B32F9">
        <w:rPr>
          <w:rtl/>
        </w:rPr>
        <w:t>. وبدأ تطبيق جدول المرتبات والأجر الداخل</w:t>
      </w:r>
      <w:r w:rsidR="0072127F">
        <w:rPr>
          <w:rtl/>
        </w:rPr>
        <w:t xml:space="preserve"> في حساب المعاش التقاعدي لل</w:t>
      </w:r>
      <w:r w:rsidR="0072127F">
        <w:rPr>
          <w:rFonts w:hint="cs"/>
          <w:rtl/>
        </w:rPr>
        <w:t>مناصب</w:t>
      </w:r>
      <w:r w:rsidRPr="000B32F9">
        <w:rPr>
          <w:rtl/>
        </w:rPr>
        <w:t xml:space="preserve"> المشغولة من فئة الخدمات </w:t>
      </w:r>
      <w:r w:rsidR="0072127F">
        <w:rPr>
          <w:rtl/>
        </w:rPr>
        <w:t>العامة في 1 أبريل 2011، ولل</w:t>
      </w:r>
      <w:r w:rsidR="0072127F">
        <w:rPr>
          <w:rFonts w:hint="cs"/>
          <w:rtl/>
        </w:rPr>
        <w:t>مناصب</w:t>
      </w:r>
      <w:r w:rsidRPr="000B32F9">
        <w:rPr>
          <w:rtl/>
        </w:rPr>
        <w:t xml:space="preserve"> الشاغرة في 1</w:t>
      </w:r>
      <w:r>
        <w:rPr>
          <w:rFonts w:hint="cs"/>
          <w:rtl/>
        </w:rPr>
        <w:t> </w:t>
      </w:r>
      <w:r w:rsidRPr="000B32F9">
        <w:rPr>
          <w:rtl/>
        </w:rPr>
        <w:t>سبتمبر</w:t>
      </w:r>
      <w:r>
        <w:rPr>
          <w:rFonts w:hint="cs"/>
          <w:rtl/>
        </w:rPr>
        <w:t> </w:t>
      </w:r>
      <w:r w:rsidRPr="000B32F9">
        <w:rPr>
          <w:rtl/>
        </w:rPr>
        <w:t>2017.</w:t>
      </w:r>
    </w:p>
  </w:footnote>
  <w:footnote w:id="3">
    <w:p w:rsidR="0036756F" w:rsidRDefault="0036756F" w:rsidP="0036756F">
      <w:pPr>
        <w:pStyle w:val="FootnoteText"/>
      </w:pPr>
      <w:r>
        <w:rPr>
          <w:rStyle w:val="FootnoteReference"/>
        </w:rPr>
        <w:footnoteRef/>
      </w:r>
      <w:r>
        <w:rPr>
          <w:rtl/>
        </w:rPr>
        <w:t xml:space="preserve"> </w:t>
      </w:r>
      <w:r>
        <w:rPr>
          <w:rFonts w:hint="cs"/>
          <w:rtl/>
        </w:rPr>
        <w:t>أصدرت لجنة الخدمة المدنية مضاعفات جديدة في أغسطس 2019 لم يتسن، بسبب ضيق الوقت، تطبيقها لحساب تكاليف الموظفين للثنائية 2020/21. والفرق بين المضاعف وسعر الصرف المطبقين في يناير 2018 والمضاعف وسعر الصرف المطبقين في أغسطس 2019 ليس له أي أثر مادي على تقديرات تكاليف الموظفين للثنائية 2020/21.</w:t>
      </w:r>
    </w:p>
  </w:footnote>
  <w:footnote w:id="4">
    <w:p w:rsidR="00B13F7E" w:rsidRDefault="00B13F7E" w:rsidP="00B13F7E">
      <w:pPr>
        <w:pStyle w:val="FootnoteText"/>
        <w:rPr>
          <w:lang w:bidi="ar-SA"/>
        </w:rPr>
      </w:pPr>
      <w:r>
        <w:rPr>
          <w:rStyle w:val="FootnoteReference"/>
        </w:rPr>
        <w:footnoteRef/>
      </w:r>
      <w:r>
        <w:rPr>
          <w:rtl/>
        </w:rPr>
        <w:t xml:space="preserve"> </w:t>
      </w:r>
      <w:r>
        <w:rPr>
          <w:rFonts w:hint="cs"/>
          <w:rtl/>
        </w:rPr>
        <w:t xml:space="preserve">لمزيد من التفاصيل، </w:t>
      </w:r>
      <w:r>
        <w:rPr>
          <w:rFonts w:hint="cs"/>
          <w:rtl/>
          <w:lang w:bidi="ar-SA"/>
        </w:rPr>
        <w:t xml:space="preserve">انظر الفقرات من 5 إلى 8 من الوثيقة </w:t>
      </w:r>
      <w:r w:rsidRPr="00B13F7E">
        <w:rPr>
          <w:lang w:bidi="ar-SA"/>
        </w:rPr>
        <w:t>A/59/8</w:t>
      </w:r>
      <w:r>
        <w:rPr>
          <w:rFonts w:hint="cs"/>
          <w:rtl/>
          <w:lang w:bidi="ar-S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B59" w:rsidRDefault="00A46B59" w:rsidP="00A46B59">
    <w:pPr>
      <w:bidi w:val="0"/>
      <w:rPr>
        <w:rFonts w:ascii="Arial" w:eastAsia="SimSun" w:hAnsi="Arial" w:cs="Arial"/>
        <w:sz w:val="22"/>
        <w:szCs w:val="20"/>
        <w:lang w:eastAsia="zh-CN"/>
      </w:rPr>
    </w:pPr>
    <w:r>
      <w:rPr>
        <w:rFonts w:ascii="Arial" w:eastAsia="SimSun" w:hAnsi="Arial" w:cs="Arial"/>
        <w:sz w:val="22"/>
        <w:szCs w:val="20"/>
        <w:lang w:eastAsia="zh-CN"/>
      </w:rPr>
      <w:t>A/59/INF/</w:t>
    </w:r>
    <w:r w:rsidRPr="00901467">
      <w:rPr>
        <w:rFonts w:ascii="Arial" w:eastAsia="SimSun" w:hAnsi="Arial" w:cs="Arial"/>
        <w:sz w:val="22"/>
        <w:szCs w:val="20"/>
        <w:lang w:eastAsia="zh-CN"/>
      </w:rPr>
      <w:t>3</w:t>
    </w:r>
  </w:p>
  <w:p w:rsidR="00A46B59" w:rsidRDefault="00A46B59" w:rsidP="00A46B59">
    <w:pPr>
      <w:bidi w:val="0"/>
      <w:rPr>
        <w:rFonts w:ascii="Arial" w:eastAsia="SimSun" w:hAnsi="Arial" w:cs="Arial"/>
        <w:sz w:val="22"/>
        <w:szCs w:val="20"/>
        <w:lang w:eastAsia="zh-CN"/>
      </w:rPr>
    </w:pPr>
    <w:r w:rsidRPr="00901467">
      <w:rPr>
        <w:rFonts w:ascii="Arial" w:eastAsia="SimSun" w:hAnsi="Arial" w:cs="Arial"/>
        <w:sz w:val="22"/>
        <w:szCs w:val="20"/>
        <w:lang w:eastAsia="zh-CN"/>
      </w:rPr>
      <w:fldChar w:fldCharType="begin"/>
    </w:r>
    <w:r w:rsidRPr="00901467">
      <w:rPr>
        <w:rFonts w:ascii="Arial" w:eastAsia="SimSun" w:hAnsi="Arial" w:cs="Arial"/>
        <w:sz w:val="22"/>
        <w:szCs w:val="20"/>
        <w:lang w:eastAsia="zh-CN"/>
      </w:rPr>
      <w:instrText xml:space="preserve"> PAGE   \* MERGEFORMAT </w:instrText>
    </w:r>
    <w:r w:rsidRPr="00901467">
      <w:rPr>
        <w:rFonts w:ascii="Arial" w:eastAsia="SimSun" w:hAnsi="Arial" w:cs="Arial"/>
        <w:sz w:val="22"/>
        <w:szCs w:val="20"/>
        <w:lang w:eastAsia="zh-CN"/>
      </w:rPr>
      <w:fldChar w:fldCharType="separate"/>
    </w:r>
    <w:r>
      <w:rPr>
        <w:rFonts w:ascii="Arial" w:eastAsia="SimSun" w:hAnsi="Arial" w:cs="Arial"/>
        <w:noProof/>
        <w:sz w:val="22"/>
        <w:szCs w:val="20"/>
        <w:lang w:eastAsia="zh-CN"/>
      </w:rPr>
      <w:t>2</w:t>
    </w:r>
    <w:r w:rsidRPr="00901467">
      <w:rPr>
        <w:rFonts w:ascii="Arial" w:eastAsia="SimSun" w:hAnsi="Arial" w:cs="Arial"/>
        <w:noProof/>
        <w:sz w:val="22"/>
        <w:szCs w:val="20"/>
        <w:lang w:eastAsia="zh-CN"/>
      </w:rPr>
      <w:fldChar w:fldCharType="end"/>
    </w:r>
  </w:p>
  <w:p w:rsidR="00A46B59" w:rsidRPr="00C50A61" w:rsidRDefault="00A46B59" w:rsidP="00A46B59">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467" w:rsidRDefault="00475056" w:rsidP="00901467">
    <w:pPr>
      <w:bidi w:val="0"/>
      <w:rPr>
        <w:rFonts w:ascii="Arial" w:eastAsia="SimSun" w:hAnsi="Arial" w:cs="Arial"/>
        <w:sz w:val="22"/>
        <w:szCs w:val="20"/>
        <w:lang w:eastAsia="zh-CN"/>
      </w:rPr>
    </w:pPr>
    <w:r>
      <w:rPr>
        <w:rFonts w:ascii="Arial" w:eastAsia="SimSun" w:hAnsi="Arial" w:cs="Arial"/>
        <w:sz w:val="22"/>
        <w:szCs w:val="20"/>
        <w:lang w:eastAsia="zh-CN"/>
      </w:rPr>
      <w:t>A/59/INF/</w:t>
    </w:r>
    <w:r w:rsidR="00901467" w:rsidRPr="00901467">
      <w:rPr>
        <w:rFonts w:ascii="Arial" w:eastAsia="SimSun" w:hAnsi="Arial" w:cs="Arial"/>
        <w:sz w:val="22"/>
        <w:szCs w:val="20"/>
        <w:lang w:eastAsia="zh-CN"/>
      </w:rPr>
      <w:t>3</w:t>
    </w:r>
  </w:p>
  <w:p w:rsidR="00901467" w:rsidRDefault="00901467" w:rsidP="00901467">
    <w:pPr>
      <w:bidi w:val="0"/>
      <w:rPr>
        <w:rFonts w:ascii="Arial" w:eastAsia="SimSun" w:hAnsi="Arial" w:cs="Arial"/>
        <w:sz w:val="22"/>
        <w:szCs w:val="20"/>
        <w:lang w:eastAsia="zh-CN"/>
      </w:rPr>
    </w:pPr>
    <w:r w:rsidRPr="00901467">
      <w:rPr>
        <w:rFonts w:ascii="Arial" w:eastAsia="SimSun" w:hAnsi="Arial" w:cs="Arial"/>
        <w:sz w:val="22"/>
        <w:szCs w:val="20"/>
        <w:lang w:eastAsia="zh-CN"/>
      </w:rPr>
      <w:fldChar w:fldCharType="begin"/>
    </w:r>
    <w:r w:rsidRPr="00901467">
      <w:rPr>
        <w:rFonts w:ascii="Arial" w:eastAsia="SimSun" w:hAnsi="Arial" w:cs="Arial"/>
        <w:sz w:val="22"/>
        <w:szCs w:val="20"/>
        <w:lang w:eastAsia="zh-CN"/>
      </w:rPr>
      <w:instrText xml:space="preserve"> PAGE   \* MERGEFORMAT </w:instrText>
    </w:r>
    <w:r w:rsidRPr="00901467">
      <w:rPr>
        <w:rFonts w:ascii="Arial" w:eastAsia="SimSun" w:hAnsi="Arial" w:cs="Arial"/>
        <w:sz w:val="22"/>
        <w:szCs w:val="20"/>
        <w:lang w:eastAsia="zh-CN"/>
      </w:rPr>
      <w:fldChar w:fldCharType="separate"/>
    </w:r>
    <w:r w:rsidR="00A46B59">
      <w:rPr>
        <w:rFonts w:ascii="Arial" w:eastAsia="SimSun" w:hAnsi="Arial" w:cs="Arial"/>
        <w:noProof/>
        <w:sz w:val="22"/>
        <w:szCs w:val="20"/>
        <w:lang w:eastAsia="zh-CN"/>
      </w:rPr>
      <w:t>7</w:t>
    </w:r>
    <w:r w:rsidRPr="00901467">
      <w:rPr>
        <w:rFonts w:ascii="Arial" w:eastAsia="SimSun" w:hAnsi="Arial" w:cs="Arial"/>
        <w:noProof/>
        <w:sz w:val="22"/>
        <w:szCs w:val="20"/>
        <w:lang w:eastAsia="zh-CN"/>
      </w:rPr>
      <w:fldChar w:fldCharType="end"/>
    </w:r>
  </w:p>
  <w:p w:rsidR="00901467" w:rsidRPr="00C50A61" w:rsidRDefault="00901467" w:rsidP="00901467">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B59" w:rsidRDefault="00A46B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BB0904"/>
    <w:multiLevelType w:val="hybridMultilevel"/>
    <w:tmpl w:val="8E805944"/>
    <w:lvl w:ilvl="0" w:tplc="183E43F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7"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8"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0"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2"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6"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5"/>
  </w:num>
  <w:num w:numId="3">
    <w:abstractNumId w:val="14"/>
  </w:num>
  <w:num w:numId="4">
    <w:abstractNumId w:val="37"/>
  </w:num>
  <w:num w:numId="5">
    <w:abstractNumId w:val="8"/>
  </w:num>
  <w:num w:numId="6">
    <w:abstractNumId w:val="38"/>
  </w:num>
  <w:num w:numId="7">
    <w:abstractNumId w:val="20"/>
  </w:num>
  <w:num w:numId="8">
    <w:abstractNumId w:val="36"/>
  </w:num>
  <w:num w:numId="9">
    <w:abstractNumId w:val="32"/>
  </w:num>
  <w:num w:numId="10">
    <w:abstractNumId w:val="39"/>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4"/>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30"/>
  </w:num>
  <w:num w:numId="31">
    <w:abstractNumId w:val="21"/>
  </w:num>
  <w:num w:numId="32">
    <w:abstractNumId w:val="27"/>
  </w:num>
  <w:num w:numId="33">
    <w:abstractNumId w:val="35"/>
  </w:num>
  <w:num w:numId="34">
    <w:abstractNumId w:val="13"/>
  </w:num>
  <w:num w:numId="35">
    <w:abstractNumId w:val="34"/>
  </w:num>
  <w:num w:numId="36">
    <w:abstractNumId w:val="26"/>
  </w:num>
  <w:num w:numId="37">
    <w:abstractNumId w:val="33"/>
  </w:num>
  <w:num w:numId="38">
    <w:abstractNumId w:val="16"/>
  </w:num>
  <w:num w:numId="39">
    <w:abstractNumId w:val="29"/>
  </w:num>
  <w:num w:numId="40">
    <w:abstractNumId w:val="28"/>
  </w:num>
  <w:num w:numId="41">
    <w:abstractNumId w:val="18"/>
  </w:num>
  <w:num w:numId="42">
    <w:abstractNumId w:val="10"/>
  </w:num>
  <w:num w:numId="43">
    <w:abstractNumId w:val="23"/>
  </w:num>
  <w:num w:numId="44">
    <w:abstractNumId w:val="31"/>
  </w:num>
  <w:num w:numId="45">
    <w:abstractNumId w:val="11"/>
  </w:num>
  <w:num w:numId="46">
    <w:abstractNumId w:val="11"/>
  </w:num>
  <w:num w:numId="47">
    <w:abstractNumId w:val="11"/>
  </w:num>
  <w:num w:numId="48">
    <w:abstractNumId w:val="11"/>
  </w:num>
  <w:num w:numId="49">
    <w:abstractNumId w:val="22"/>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B8C"/>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E55"/>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848"/>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3706"/>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1554"/>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8D3"/>
    <w:rsid w:val="00364FC6"/>
    <w:rsid w:val="0036541D"/>
    <w:rsid w:val="0036756F"/>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0389"/>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056"/>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579F"/>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2EE5"/>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0BDF"/>
    <w:rsid w:val="005D1103"/>
    <w:rsid w:val="005D276D"/>
    <w:rsid w:val="005D56BF"/>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B7E92"/>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27F"/>
    <w:rsid w:val="00721530"/>
    <w:rsid w:val="00723422"/>
    <w:rsid w:val="007260FE"/>
    <w:rsid w:val="00726DD6"/>
    <w:rsid w:val="0073076E"/>
    <w:rsid w:val="0073271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3A07"/>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1B56"/>
    <w:rsid w:val="00842827"/>
    <w:rsid w:val="00842965"/>
    <w:rsid w:val="00844300"/>
    <w:rsid w:val="008458BD"/>
    <w:rsid w:val="00846956"/>
    <w:rsid w:val="00846CF1"/>
    <w:rsid w:val="00847622"/>
    <w:rsid w:val="008505B8"/>
    <w:rsid w:val="00850809"/>
    <w:rsid w:val="00851005"/>
    <w:rsid w:val="00851ADD"/>
    <w:rsid w:val="008548DB"/>
    <w:rsid w:val="00855CA6"/>
    <w:rsid w:val="00860323"/>
    <w:rsid w:val="00860F4F"/>
    <w:rsid w:val="008610B9"/>
    <w:rsid w:val="00862656"/>
    <w:rsid w:val="00863013"/>
    <w:rsid w:val="00863F67"/>
    <w:rsid w:val="0086483A"/>
    <w:rsid w:val="00864EB8"/>
    <w:rsid w:val="0087049C"/>
    <w:rsid w:val="00870AAD"/>
    <w:rsid w:val="00870EDE"/>
    <w:rsid w:val="00871DA0"/>
    <w:rsid w:val="00872030"/>
    <w:rsid w:val="00873973"/>
    <w:rsid w:val="0087399C"/>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87F1A"/>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1C83"/>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467"/>
    <w:rsid w:val="00901900"/>
    <w:rsid w:val="00901B7A"/>
    <w:rsid w:val="00901EE8"/>
    <w:rsid w:val="00901F6C"/>
    <w:rsid w:val="0090266B"/>
    <w:rsid w:val="00902F06"/>
    <w:rsid w:val="009035DB"/>
    <w:rsid w:val="00904671"/>
    <w:rsid w:val="00904FDD"/>
    <w:rsid w:val="00905BC5"/>
    <w:rsid w:val="009064AA"/>
    <w:rsid w:val="00912257"/>
    <w:rsid w:val="0091332A"/>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A75"/>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E5F5A"/>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6B59"/>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1671"/>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C06"/>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00C"/>
    <w:rsid w:val="00B121EF"/>
    <w:rsid w:val="00B127AA"/>
    <w:rsid w:val="00B130CB"/>
    <w:rsid w:val="00B13F7E"/>
    <w:rsid w:val="00B14D9D"/>
    <w:rsid w:val="00B14EF5"/>
    <w:rsid w:val="00B15AF1"/>
    <w:rsid w:val="00B16048"/>
    <w:rsid w:val="00B2028C"/>
    <w:rsid w:val="00B21771"/>
    <w:rsid w:val="00B2191C"/>
    <w:rsid w:val="00B219F3"/>
    <w:rsid w:val="00B21B30"/>
    <w:rsid w:val="00B2231E"/>
    <w:rsid w:val="00B22E76"/>
    <w:rsid w:val="00B22F7D"/>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4ED0"/>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6B8C"/>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4A1C"/>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4629"/>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3A76"/>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6EED"/>
    <w:rsid w:val="00DA70EF"/>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0EF"/>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2EFB"/>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1A58"/>
    <w:rsid w:val="00EB2857"/>
    <w:rsid w:val="00EB30B7"/>
    <w:rsid w:val="00EB3B7F"/>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19B61DFE-7D5C-4268-8BDD-DFB1D2178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B3B7F"/>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C74A1C"/>
    <w:pPr>
      <w:keepNext/>
      <w:spacing w:before="200"/>
      <w:outlineLvl w:val="1"/>
    </w:pPr>
    <w:rPr>
      <w:b/>
      <w:bCs/>
      <w:sz w:val="40"/>
      <w:szCs w:val="40"/>
    </w:rPr>
  </w:style>
  <w:style w:type="paragraph" w:styleId="Heading3">
    <w:name w:val="heading 3"/>
    <w:basedOn w:val="Normal"/>
    <w:next w:val="BodyText"/>
    <w:link w:val="Heading3Char"/>
    <w:qFormat/>
    <w:rsid w:val="00C74A1C"/>
    <w:pPr>
      <w:keepNext/>
      <w:spacing w:before="200"/>
      <w:outlineLvl w:val="2"/>
    </w:pPr>
    <w:rPr>
      <w:sz w:val="40"/>
      <w:szCs w:val="40"/>
    </w:rPr>
  </w:style>
  <w:style w:type="paragraph" w:styleId="Heading4">
    <w:name w:val="heading 4"/>
    <w:basedOn w:val="Normal"/>
    <w:next w:val="BodyText"/>
    <w:link w:val="Heading4Char"/>
    <w:qFormat/>
    <w:rsid w:val="00C74A1C"/>
    <w:pPr>
      <w:keepNext/>
      <w:spacing w:before="200"/>
      <w:outlineLvl w:val="3"/>
    </w:pPr>
    <w:rPr>
      <w:u w:val="single"/>
    </w:rPr>
  </w:style>
  <w:style w:type="paragraph" w:styleId="Heading5">
    <w:name w:val="heading 5"/>
    <w:basedOn w:val="Normal"/>
    <w:next w:val="BodyText"/>
    <w:link w:val="Heading5Char"/>
    <w:qFormat/>
    <w:rsid w:val="00C74A1C"/>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C74A1C"/>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C74A1C"/>
    <w:rPr>
      <w:sz w:val="40"/>
      <w:szCs w:val="40"/>
    </w:rPr>
  </w:style>
  <w:style w:type="character" w:customStyle="1" w:styleId="Heading4Char">
    <w:name w:val="Heading 4 Char"/>
    <w:basedOn w:val="DefaultParagraphFont"/>
    <w:link w:val="Heading4"/>
    <w:rsid w:val="00C74A1C"/>
    <w:rPr>
      <w:u w:val="single"/>
    </w:rPr>
  </w:style>
  <w:style w:type="character" w:customStyle="1" w:styleId="Heading5Char">
    <w:name w:val="Heading 5 Char"/>
    <w:basedOn w:val="DefaultParagraphFont"/>
    <w:link w:val="Heading5"/>
    <w:rsid w:val="00C74A1C"/>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styleId="ListParagraph">
    <w:name w:val="List Paragraph"/>
    <w:basedOn w:val="Normal"/>
    <w:uiPriority w:val="34"/>
    <w:qFormat/>
    <w:rsid w:val="001F6848"/>
    <w:pPr>
      <w:ind w:left="720"/>
      <w:contextualSpacing/>
    </w:pPr>
  </w:style>
  <w:style w:type="character" w:customStyle="1" w:styleId="HeaderChar">
    <w:name w:val="Header Char"/>
    <w:basedOn w:val="DefaultParagraphFont"/>
    <w:link w:val="Header"/>
    <w:uiPriority w:val="99"/>
    <w:rsid w:val="00901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B291A-8D13-4343-9922-45876463F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7</Pages>
  <Words>791</Words>
  <Characters>4488</Characters>
  <Application>Microsoft Office Word</Application>
  <DocSecurity>0</DocSecurity>
  <Lines>150</Lines>
  <Paragraphs>34</Paragraphs>
  <ScaleCrop>false</ScaleCrop>
  <HeadingPairs>
    <vt:vector size="2" baseType="variant">
      <vt:variant>
        <vt:lpstr>Title</vt:lpstr>
      </vt:variant>
      <vt:variant>
        <vt:i4>1</vt:i4>
      </vt:variant>
    </vt:vector>
  </HeadingPairs>
  <TitlesOfParts>
    <vt:vector size="1" baseType="lpstr">
      <vt:lpstr>A/59/INF/3 (Arabic)</vt:lpstr>
    </vt:vector>
  </TitlesOfParts>
  <Company>World Intellectual Property Organization</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A/59/INF/3 (Arabic)</dc:title>
  <dc:creator>MERZOUK Fawzi</dc:creator>
  <cp:keywords>PUBLIC</cp:keywords>
  <cp:lastModifiedBy>HÄFLIGER Patience</cp:lastModifiedBy>
  <cp:revision>19</cp:revision>
  <cp:lastPrinted>2019-09-17T08:12:00Z</cp:lastPrinted>
  <dcterms:created xsi:type="dcterms:W3CDTF">2019-09-13T13:25:00Z</dcterms:created>
  <dcterms:modified xsi:type="dcterms:W3CDTF">2019-09-17T09:10:00Z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dfd3cb48-d1e2-4fe2-a900-99c65e6db726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