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A084" w14:textId="77777777" w:rsidR="00520297" w:rsidRPr="00520297" w:rsidRDefault="00520297" w:rsidP="00520297">
      <w:pPr>
        <w:widowControl w:val="0"/>
        <w:jc w:val="right"/>
        <w:rPr>
          <w:b/>
          <w:sz w:val="2"/>
          <w:szCs w:val="40"/>
        </w:rPr>
      </w:pPr>
      <w:bookmarkStart w:id="0" w:name="_GoBack"/>
      <w:bookmarkEnd w:id="0"/>
      <w:r w:rsidRPr="00520297">
        <w:rPr>
          <w:rFonts w:hint="eastAsia"/>
          <w:b/>
          <w:sz w:val="40"/>
          <w:szCs w:val="40"/>
        </w:rPr>
        <w:t>C</w:t>
      </w:r>
    </w:p>
    <w:p w14:paraId="5A2B9450" w14:textId="77777777" w:rsidR="00520297" w:rsidRPr="00520297" w:rsidRDefault="00520297" w:rsidP="00520297">
      <w:pPr>
        <w:spacing w:line="360" w:lineRule="auto"/>
        <w:ind w:left="4592"/>
        <w:rPr>
          <w:rFonts w:ascii="Arial Black" w:hAnsi="Arial Black"/>
          <w:caps/>
          <w:sz w:val="15"/>
        </w:rPr>
      </w:pPr>
      <w:r w:rsidRPr="00520297">
        <w:rPr>
          <w:noProof/>
          <w:lang w:eastAsia="en-US"/>
        </w:rPr>
        <w:drawing>
          <wp:inline distT="0" distB="0" distL="0" distR="0" wp14:anchorId="372403DB" wp14:editId="7BB4B32F">
            <wp:extent cx="867121" cy="1324800"/>
            <wp:effectExtent l="0" t="0" r="9525" b="8890"/>
            <wp:docPr id="5"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54E59749" w14:textId="1352DAC8" w:rsidR="00520297" w:rsidRPr="00520297" w:rsidRDefault="00520297" w:rsidP="00520297">
      <w:pPr>
        <w:pBdr>
          <w:top w:val="single" w:sz="4" w:space="10" w:color="auto"/>
        </w:pBdr>
        <w:wordWrap w:val="0"/>
        <w:spacing w:before="120"/>
        <w:jc w:val="right"/>
        <w:rPr>
          <w:rFonts w:ascii="Arial Black" w:hAnsi="Arial Black"/>
          <w:b/>
          <w:caps/>
          <w:sz w:val="15"/>
        </w:rPr>
      </w:pPr>
      <w:r w:rsidRPr="00520297">
        <w:rPr>
          <w:rFonts w:ascii="Arial Black" w:hAnsi="Arial Black"/>
          <w:b/>
          <w:caps/>
          <w:sz w:val="15"/>
        </w:rPr>
        <w:t>A/59/</w:t>
      </w:r>
      <w:bookmarkStart w:id="1" w:name="Code"/>
      <w:bookmarkEnd w:id="1"/>
      <w:r>
        <w:rPr>
          <w:rFonts w:ascii="Arial Black" w:hAnsi="Arial Black" w:hint="eastAsia"/>
          <w:b/>
          <w:caps/>
          <w:sz w:val="15"/>
        </w:rPr>
        <w:t>3</w:t>
      </w:r>
      <w:r w:rsidR="00821151">
        <w:rPr>
          <w:rFonts w:ascii="Arial Black" w:hAnsi="Arial Black"/>
          <w:b/>
          <w:caps/>
          <w:sz w:val="15"/>
        </w:rPr>
        <w:t xml:space="preserve"> rev.</w:t>
      </w:r>
    </w:p>
    <w:p w14:paraId="06E9AFDA" w14:textId="77777777" w:rsidR="00520297" w:rsidRPr="00520297" w:rsidRDefault="00520297" w:rsidP="00520297">
      <w:pPr>
        <w:jc w:val="right"/>
        <w:rPr>
          <w:rFonts w:ascii="Arial Black" w:hAnsi="Arial Black"/>
          <w:b/>
          <w:caps/>
          <w:sz w:val="15"/>
          <w:szCs w:val="15"/>
        </w:rPr>
      </w:pPr>
      <w:r w:rsidRPr="00520297">
        <w:rPr>
          <w:rFonts w:eastAsia="SimHei" w:hint="eastAsia"/>
          <w:b/>
          <w:sz w:val="15"/>
          <w:szCs w:val="15"/>
        </w:rPr>
        <w:t>原文</w:t>
      </w:r>
      <w:r w:rsidRPr="00520297">
        <w:rPr>
          <w:rFonts w:eastAsia="SimHei" w:hint="eastAsia"/>
          <w:b/>
          <w:sz w:val="15"/>
          <w:szCs w:val="15"/>
          <w:lang w:val="pt-BR"/>
        </w:rPr>
        <w:t>：</w:t>
      </w:r>
      <w:bookmarkStart w:id="2" w:name="Original"/>
      <w:bookmarkEnd w:id="2"/>
      <w:r w:rsidRPr="00520297">
        <w:rPr>
          <w:rFonts w:eastAsia="SimHei" w:hint="eastAsia"/>
          <w:b/>
          <w:sz w:val="15"/>
          <w:szCs w:val="15"/>
          <w:lang w:val="pt-BR"/>
        </w:rPr>
        <w:t>英</w:t>
      </w:r>
      <w:r w:rsidRPr="00520297">
        <w:rPr>
          <w:rFonts w:eastAsia="SimHei" w:hint="eastAsia"/>
          <w:b/>
          <w:sz w:val="15"/>
          <w:szCs w:val="15"/>
        </w:rPr>
        <w:t>文</w:t>
      </w:r>
    </w:p>
    <w:p w14:paraId="4E0BF9FD" w14:textId="22FD6519" w:rsidR="00520297" w:rsidRPr="00520297" w:rsidRDefault="00520297" w:rsidP="00520297">
      <w:pPr>
        <w:spacing w:line="1680" w:lineRule="auto"/>
        <w:jc w:val="right"/>
        <w:rPr>
          <w:rFonts w:ascii="SimHei" w:eastAsia="SimHei" w:hAnsi="Arial Black"/>
          <w:b/>
          <w:caps/>
          <w:sz w:val="15"/>
          <w:szCs w:val="15"/>
        </w:rPr>
      </w:pPr>
      <w:r w:rsidRPr="00520297">
        <w:rPr>
          <w:rFonts w:ascii="SimHei" w:eastAsia="SimHei" w:hint="eastAsia"/>
          <w:b/>
          <w:sz w:val="15"/>
          <w:szCs w:val="15"/>
        </w:rPr>
        <w:t>日期</w:t>
      </w:r>
      <w:r w:rsidRPr="00520297">
        <w:rPr>
          <w:rFonts w:ascii="SimHei" w:eastAsia="SimHei" w:hAnsi="SimSun" w:hint="eastAsia"/>
          <w:b/>
          <w:sz w:val="15"/>
          <w:szCs w:val="15"/>
          <w:lang w:val="pt-BR"/>
        </w:rPr>
        <w:t>：</w:t>
      </w:r>
      <w:bookmarkStart w:id="3" w:name="Date"/>
      <w:bookmarkEnd w:id="3"/>
      <w:r w:rsidRPr="00520297">
        <w:rPr>
          <w:rFonts w:ascii="Arial Black" w:eastAsia="SimHei" w:hAnsi="Arial Black"/>
          <w:b/>
          <w:sz w:val="15"/>
          <w:szCs w:val="15"/>
          <w:lang w:val="pt-BR"/>
        </w:rPr>
        <w:t>2019</w:t>
      </w:r>
      <w:r w:rsidRPr="00520297">
        <w:rPr>
          <w:rFonts w:ascii="SimHei" w:eastAsia="SimHei" w:hAnsi="Times New Roman" w:hint="eastAsia"/>
          <w:b/>
          <w:sz w:val="15"/>
          <w:szCs w:val="15"/>
        </w:rPr>
        <w:t>年</w:t>
      </w:r>
      <w:r w:rsidR="00773F9B" w:rsidRPr="00EA066B">
        <w:rPr>
          <w:rFonts w:ascii="Arial Black" w:eastAsia="SimHei" w:hAnsi="Arial Black" w:hint="eastAsia"/>
          <w:b/>
          <w:sz w:val="15"/>
          <w:szCs w:val="15"/>
          <w:lang w:val="pt-BR"/>
        </w:rPr>
        <w:t>9</w:t>
      </w:r>
      <w:r w:rsidRPr="00520297">
        <w:rPr>
          <w:rFonts w:ascii="SimHei" w:eastAsia="SimHei" w:hAnsi="Times New Roman" w:hint="eastAsia"/>
          <w:b/>
          <w:sz w:val="15"/>
          <w:szCs w:val="15"/>
        </w:rPr>
        <w:t>月</w:t>
      </w:r>
      <w:r w:rsidR="00433114">
        <w:rPr>
          <w:rFonts w:ascii="Arial Black" w:eastAsia="SimHei" w:hAnsi="Arial Black"/>
          <w:b/>
          <w:sz w:val="15"/>
          <w:szCs w:val="15"/>
          <w:lang w:val="pt-BR"/>
        </w:rPr>
        <w:t>19</w:t>
      </w:r>
      <w:r w:rsidRPr="00520297">
        <w:rPr>
          <w:rFonts w:ascii="SimHei" w:eastAsia="SimHei" w:hAnsi="Times New Roman" w:hint="eastAsia"/>
          <w:b/>
          <w:sz w:val="15"/>
          <w:szCs w:val="15"/>
        </w:rPr>
        <w:t>日</w:t>
      </w:r>
    </w:p>
    <w:p w14:paraId="3C8236CD" w14:textId="77777777" w:rsidR="00520297" w:rsidRPr="00520297" w:rsidRDefault="00520297" w:rsidP="00520297">
      <w:pPr>
        <w:spacing w:after="600"/>
        <w:rPr>
          <w:rFonts w:ascii="SimHei" w:eastAsia="SimHei"/>
          <w:sz w:val="28"/>
          <w:szCs w:val="28"/>
        </w:rPr>
      </w:pPr>
      <w:r w:rsidRPr="00520297">
        <w:rPr>
          <w:rFonts w:ascii="SimHei" w:eastAsia="SimHei" w:hint="eastAsia"/>
          <w:sz w:val="28"/>
          <w:szCs w:val="28"/>
        </w:rPr>
        <w:t>世界知识产权组织成员国大会</w:t>
      </w:r>
    </w:p>
    <w:p w14:paraId="6A7D32C8" w14:textId="77777777" w:rsidR="00520297" w:rsidRPr="00520297" w:rsidRDefault="00520297" w:rsidP="00520297">
      <w:pPr>
        <w:spacing w:after="720"/>
        <w:textAlignment w:val="bottom"/>
        <w:rPr>
          <w:rFonts w:ascii="KaiTi" w:eastAsia="KaiTi" w:hAnsi="KaiTi"/>
          <w:b/>
          <w:sz w:val="24"/>
          <w:szCs w:val="24"/>
        </w:rPr>
      </w:pPr>
      <w:r w:rsidRPr="00520297">
        <w:rPr>
          <w:rFonts w:ascii="KaiTi" w:eastAsia="KaiTi" w:hint="eastAsia"/>
          <w:b/>
          <w:sz w:val="24"/>
          <w:szCs w:val="24"/>
        </w:rPr>
        <w:t>第五十九届系列会议</w:t>
      </w:r>
      <w:r w:rsidRPr="00520297">
        <w:rPr>
          <w:rFonts w:ascii="KaiTi" w:eastAsia="KaiTi"/>
          <w:b/>
          <w:sz w:val="24"/>
          <w:szCs w:val="24"/>
        </w:rPr>
        <w:br/>
      </w:r>
      <w:r w:rsidRPr="00520297">
        <w:rPr>
          <w:rFonts w:ascii="KaiTi" w:eastAsia="KaiTi" w:hAnsi="KaiTi" w:hint="eastAsia"/>
          <w:sz w:val="24"/>
          <w:szCs w:val="24"/>
        </w:rPr>
        <w:t>2019</w:t>
      </w:r>
      <w:r w:rsidRPr="00520297">
        <w:rPr>
          <w:rFonts w:ascii="KaiTi" w:eastAsia="KaiTi" w:hAnsi="KaiTi" w:hint="eastAsia"/>
          <w:b/>
          <w:sz w:val="24"/>
          <w:szCs w:val="24"/>
        </w:rPr>
        <w:t>年</w:t>
      </w:r>
      <w:r w:rsidRPr="00520297">
        <w:rPr>
          <w:rFonts w:ascii="KaiTi" w:eastAsia="KaiTi" w:hAnsi="KaiTi" w:hint="eastAsia"/>
          <w:sz w:val="24"/>
          <w:szCs w:val="24"/>
        </w:rPr>
        <w:t>9</w:t>
      </w:r>
      <w:r w:rsidRPr="00520297">
        <w:rPr>
          <w:rFonts w:ascii="KaiTi" w:eastAsia="KaiTi" w:hAnsi="KaiTi" w:hint="eastAsia"/>
          <w:b/>
          <w:sz w:val="24"/>
          <w:szCs w:val="24"/>
        </w:rPr>
        <w:t>月</w:t>
      </w:r>
      <w:r w:rsidRPr="00520297">
        <w:rPr>
          <w:rFonts w:ascii="KaiTi" w:eastAsia="KaiTi" w:hAnsi="KaiTi" w:hint="eastAsia"/>
          <w:sz w:val="24"/>
          <w:szCs w:val="24"/>
        </w:rPr>
        <w:t>30</w:t>
      </w:r>
      <w:r w:rsidRPr="00520297">
        <w:rPr>
          <w:rFonts w:ascii="KaiTi" w:eastAsia="KaiTi" w:hAnsi="KaiTi" w:hint="eastAsia"/>
          <w:b/>
          <w:sz w:val="24"/>
          <w:szCs w:val="24"/>
        </w:rPr>
        <w:t>日至</w:t>
      </w:r>
      <w:r w:rsidRPr="00520297">
        <w:rPr>
          <w:rFonts w:ascii="KaiTi" w:eastAsia="KaiTi" w:hAnsi="KaiTi" w:hint="eastAsia"/>
          <w:sz w:val="24"/>
          <w:szCs w:val="24"/>
        </w:rPr>
        <w:t>10</w:t>
      </w:r>
      <w:r w:rsidRPr="00520297">
        <w:rPr>
          <w:rFonts w:ascii="KaiTi" w:eastAsia="KaiTi" w:hAnsi="KaiTi" w:hint="eastAsia"/>
          <w:b/>
          <w:sz w:val="24"/>
          <w:szCs w:val="24"/>
        </w:rPr>
        <w:t>月</w:t>
      </w:r>
      <w:r w:rsidRPr="00520297">
        <w:rPr>
          <w:rFonts w:ascii="KaiTi" w:eastAsia="KaiTi" w:hAnsi="KaiTi" w:hint="eastAsia"/>
          <w:sz w:val="24"/>
          <w:szCs w:val="24"/>
        </w:rPr>
        <w:t>9</w:t>
      </w:r>
      <w:r w:rsidRPr="00520297">
        <w:rPr>
          <w:rFonts w:ascii="KaiTi" w:eastAsia="KaiTi" w:hAnsi="KaiTi" w:hint="eastAsia"/>
          <w:b/>
          <w:sz w:val="24"/>
          <w:szCs w:val="24"/>
        </w:rPr>
        <w:t>日，日内瓦</w:t>
      </w:r>
    </w:p>
    <w:p w14:paraId="60121A77" w14:textId="1A2535FB" w:rsidR="00520297" w:rsidRPr="00520297" w:rsidRDefault="00520297" w:rsidP="00520297">
      <w:pPr>
        <w:spacing w:after="360"/>
        <w:rPr>
          <w:rFonts w:ascii="KaiTi" w:eastAsia="KaiTi" w:hAnsi="KaiTi" w:cs="Times New Roman"/>
          <w:sz w:val="24"/>
          <w:szCs w:val="32"/>
        </w:rPr>
      </w:pPr>
      <w:bookmarkStart w:id="4" w:name="TitleOfDoc"/>
      <w:bookmarkEnd w:id="4"/>
      <w:r w:rsidRPr="00520297">
        <w:rPr>
          <w:rFonts w:ascii="KaiTi" w:eastAsia="KaiTi" w:hAnsi="KaiTi" w:cs="Times New Roman" w:hint="eastAsia"/>
          <w:sz w:val="24"/>
          <w:szCs w:val="32"/>
        </w:rPr>
        <w:t>接纳观察员</w:t>
      </w:r>
    </w:p>
    <w:p w14:paraId="318E3214" w14:textId="070EA3EA" w:rsidR="00520297" w:rsidRPr="00520297" w:rsidRDefault="00520297" w:rsidP="00520297">
      <w:pPr>
        <w:spacing w:after="960"/>
        <w:rPr>
          <w:rFonts w:ascii="KaiTi" w:eastAsia="KaiTi" w:hAnsi="STKaiti" w:cs="Times New Roman"/>
          <w:sz w:val="21"/>
          <w:szCs w:val="24"/>
        </w:rPr>
      </w:pPr>
      <w:bookmarkStart w:id="5" w:name="Prepared"/>
      <w:bookmarkEnd w:id="5"/>
      <w:r w:rsidRPr="00520297">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14:paraId="3076CC2E" w14:textId="7527E0E0" w:rsidR="00356DAD" w:rsidRPr="008A6160" w:rsidRDefault="00356DAD" w:rsidP="008A6160">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被接纳出席世界知识产权组织（产权组织）成员国大会和产权组织管理的各联盟的大会（产权组织各大会）第五十九届系列会议的观察员名单载于文件</w:t>
      </w:r>
      <w:r w:rsidR="00FF5FF3" w:rsidRPr="008A6160">
        <w:rPr>
          <w:rFonts w:ascii="SimSun" w:hAnsi="SimSun"/>
          <w:sz w:val="21"/>
          <w:szCs w:val="22"/>
        </w:rPr>
        <w:t>A/59/INF/1 Rev</w:t>
      </w:r>
      <w:r w:rsidR="00FF5FF3" w:rsidRPr="008A6160">
        <w:rPr>
          <w:rFonts w:ascii="SimSun" w:hAnsi="SimSun" w:hint="eastAsia"/>
          <w:sz w:val="21"/>
          <w:szCs w:val="22"/>
        </w:rPr>
        <w:t>。</w:t>
      </w:r>
    </w:p>
    <w:p w14:paraId="5883D4EE" w14:textId="71BE2706"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一个观察员一旦被接纳出席成员国大会会议，它同时也就被邀请以同样身份出席其主题看来与该观察员有直接关系的各委员会、工作组或其他成员国大会附属机构的会议。</w:t>
      </w:r>
    </w:p>
    <w:p w14:paraId="548C8E98" w14:textId="47D9E024"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关于接纳观察员出席各大会会议的决定，最后一次是在2018年9月24日至10月2日举行的产权组织成员国大会第五十八届系列会议上作出的（文件</w:t>
      </w:r>
      <w:r w:rsidR="00FF5FF3" w:rsidRPr="008A6160">
        <w:rPr>
          <w:rFonts w:ascii="SimSun" w:hAnsi="SimSun"/>
          <w:sz w:val="21"/>
          <w:szCs w:val="22"/>
        </w:rPr>
        <w:t>A/58/11</w:t>
      </w:r>
      <w:r w:rsidR="00FF5FF3" w:rsidRPr="008A6160">
        <w:rPr>
          <w:rFonts w:ascii="SimSun" w:hAnsi="SimSun" w:hint="eastAsia"/>
          <w:sz w:val="21"/>
          <w:szCs w:val="22"/>
        </w:rPr>
        <w:t>第22段至第24段）。</w:t>
      </w:r>
    </w:p>
    <w:p w14:paraId="2F4738C8" w14:textId="0ADA0A85" w:rsidR="006B092A"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rPr>
        <w:t>此后，总干事又收到了下述每一实体希望被接纳作为观察员出席成员国大会会议的请求以及必要的资料：</w:t>
      </w:r>
    </w:p>
    <w:p w14:paraId="5A5A2925" w14:textId="77777777" w:rsidR="006B092A" w:rsidRPr="008A6160" w:rsidRDefault="006B092A">
      <w:pPr>
        <w:rPr>
          <w:rFonts w:ascii="SimSun" w:hAnsi="SimSun"/>
          <w:sz w:val="21"/>
          <w:szCs w:val="22"/>
        </w:rPr>
      </w:pPr>
      <w:r w:rsidRPr="008A6160">
        <w:rPr>
          <w:rFonts w:ascii="SimSun" w:hAnsi="SimSun"/>
          <w:sz w:val="21"/>
          <w:szCs w:val="22"/>
        </w:rPr>
        <w:br w:type="page"/>
      </w:r>
    </w:p>
    <w:p w14:paraId="4FE95E23" w14:textId="77777777" w:rsidR="00356DAD" w:rsidRPr="00CE66B6" w:rsidRDefault="00FF5FF3" w:rsidP="00CE66B6">
      <w:pPr>
        <w:keepNext/>
        <w:numPr>
          <w:ilvl w:val="0"/>
          <w:numId w:val="11"/>
        </w:numPr>
        <w:spacing w:afterLines="50" w:after="120" w:line="340" w:lineRule="atLeast"/>
        <w:ind w:left="567" w:firstLine="0"/>
        <w:jc w:val="both"/>
        <w:rPr>
          <w:rFonts w:ascii="SimHei" w:eastAsia="SimHei" w:hAnsi="SimHei"/>
          <w:sz w:val="21"/>
          <w:szCs w:val="21"/>
        </w:rPr>
      </w:pPr>
      <w:r w:rsidRPr="00CE66B6">
        <w:rPr>
          <w:rFonts w:ascii="SimHei" w:eastAsia="SimHei" w:hAnsi="SimHei" w:hint="eastAsia"/>
          <w:sz w:val="21"/>
          <w:szCs w:val="21"/>
        </w:rPr>
        <w:lastRenderedPageBreak/>
        <w:t>国际非政府组织</w:t>
      </w:r>
    </w:p>
    <w:p w14:paraId="46CD3B8F" w14:textId="77777777" w:rsidR="00356DAD" w:rsidRPr="008A6160" w:rsidRDefault="00FF5FF3" w:rsidP="00CE66B6">
      <w:pPr>
        <w:pStyle w:val="ListParagraph"/>
        <w:numPr>
          <w:ilvl w:val="0"/>
          <w:numId w:val="7"/>
        </w:numPr>
        <w:overflowPunct w:val="0"/>
        <w:spacing w:afterLines="50" w:after="120" w:line="340" w:lineRule="atLeast"/>
        <w:rPr>
          <w:rFonts w:ascii="SimSun" w:eastAsia="SimSun" w:hAnsi="SimSun"/>
          <w:sz w:val="21"/>
          <w:szCs w:val="22"/>
          <w:lang w:eastAsia="zh-CN"/>
        </w:rPr>
      </w:pPr>
      <w:r w:rsidRPr="008A6160">
        <w:rPr>
          <w:rFonts w:ascii="SimSun" w:eastAsia="SimSun" w:hAnsi="SimSun" w:cs="Microsoft YaHei" w:hint="eastAsia"/>
          <w:sz w:val="21"/>
          <w:szCs w:val="22"/>
          <w:lang w:eastAsia="zh-CN"/>
        </w:rPr>
        <w:t>食品通用名联合会（CCFN）</w:t>
      </w:r>
      <w:r w:rsidR="00A37594" w:rsidRPr="008A6160">
        <w:rPr>
          <w:rFonts w:ascii="SimSun" w:eastAsia="SimSun" w:hAnsi="SimSun" w:cs="Microsoft YaHei" w:hint="eastAsia"/>
          <w:sz w:val="21"/>
          <w:szCs w:val="22"/>
          <w:lang w:eastAsia="zh-CN"/>
        </w:rPr>
        <w:t>；</w:t>
      </w:r>
    </w:p>
    <w:p w14:paraId="4A72A46E" w14:textId="2C1DA54C" w:rsidR="00356DAD" w:rsidRPr="008A6160" w:rsidRDefault="00FF5FF3" w:rsidP="00CE66B6">
      <w:pPr>
        <w:pStyle w:val="ListParagraph"/>
        <w:numPr>
          <w:ilvl w:val="0"/>
          <w:numId w:val="7"/>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iCs/>
          <w:sz w:val="21"/>
          <w:lang w:eastAsia="zh-CN"/>
        </w:rPr>
        <w:t>国际仿制药和生物类似</w:t>
      </w:r>
      <w:r w:rsidR="00971B6A">
        <w:rPr>
          <w:rFonts w:ascii="SimSun" w:eastAsia="SimSun" w:hAnsi="SimSun" w:hint="eastAsia"/>
          <w:iCs/>
          <w:sz w:val="21"/>
          <w:lang w:eastAsia="zh-CN"/>
        </w:rPr>
        <w:t>药</w:t>
      </w:r>
      <w:r w:rsidRPr="008A6160">
        <w:rPr>
          <w:rFonts w:ascii="SimSun" w:eastAsia="SimSun" w:hAnsi="SimSun" w:hint="eastAsia"/>
          <w:iCs/>
          <w:sz w:val="21"/>
          <w:lang w:eastAsia="zh-CN"/>
        </w:rPr>
        <w:t>协会（</w:t>
      </w:r>
      <w:r w:rsidR="00DE3C52" w:rsidRPr="008A6160">
        <w:rPr>
          <w:rFonts w:ascii="SimSun" w:eastAsia="SimSun" w:hAnsi="SimSun"/>
          <w:iCs/>
          <w:sz w:val="21"/>
          <w:lang w:eastAsia="zh-CN"/>
        </w:rPr>
        <w:t>IGBA</w:t>
      </w:r>
      <w:r w:rsidRPr="008A6160">
        <w:rPr>
          <w:rFonts w:ascii="SimSun" w:eastAsia="SimSun" w:hAnsi="SimSun" w:hint="eastAsia"/>
          <w:iCs/>
          <w:sz w:val="21"/>
          <w:lang w:eastAsia="zh-CN"/>
        </w:rPr>
        <w:t>）</w:t>
      </w:r>
      <w:r w:rsidR="00DE3C52" w:rsidRPr="008A6160">
        <w:rPr>
          <w:rFonts w:ascii="SimSun" w:eastAsia="SimSun" w:hAnsi="SimSun" w:hint="eastAsia"/>
          <w:iCs/>
          <w:sz w:val="21"/>
          <w:lang w:eastAsia="zh-CN"/>
        </w:rPr>
        <w:t>；以及</w:t>
      </w:r>
    </w:p>
    <w:p w14:paraId="2B1AF4BE" w14:textId="77777777" w:rsidR="00356DAD" w:rsidRPr="00126B74" w:rsidRDefault="00DE3C52" w:rsidP="00CE66B6">
      <w:pPr>
        <w:pStyle w:val="ListParagraph"/>
        <w:numPr>
          <w:ilvl w:val="0"/>
          <w:numId w:val="7"/>
        </w:numPr>
        <w:overflowPunct w:val="0"/>
        <w:spacing w:afterLines="50" w:after="120" w:line="340" w:lineRule="atLeast"/>
        <w:contextualSpacing w:val="0"/>
        <w:rPr>
          <w:rFonts w:ascii="SimSun" w:eastAsia="SimSun" w:hAnsi="SimSun"/>
          <w:sz w:val="21"/>
          <w:szCs w:val="22"/>
          <w:lang w:val="de-DE" w:eastAsia="zh-CN"/>
        </w:rPr>
      </w:pPr>
      <w:r w:rsidRPr="00126B74">
        <w:rPr>
          <w:rFonts w:ascii="SimSun" w:eastAsia="SimSun" w:hAnsi="SimSun" w:hint="eastAsia"/>
          <w:iCs/>
          <w:sz w:val="21"/>
          <w:lang w:val="de-DE" w:eastAsia="zh-CN"/>
        </w:rPr>
        <w:t>欧洲人权和科学</w:t>
      </w:r>
      <w:r w:rsidRPr="00126B74">
        <w:rPr>
          <w:rFonts w:ascii="SimSun" w:eastAsia="SimSun" w:hAnsi="SimSun" w:cs="SimSun" w:hint="eastAsia"/>
          <w:sz w:val="21"/>
          <w:szCs w:val="22"/>
          <w:lang w:val="fr-CH" w:eastAsia="zh-CN"/>
        </w:rPr>
        <w:t>跨学科</w:t>
      </w:r>
      <w:r w:rsidRPr="00126B74">
        <w:rPr>
          <w:rFonts w:ascii="SimSun" w:eastAsia="SimSun" w:hAnsi="SimSun" w:hint="eastAsia"/>
          <w:iCs/>
          <w:sz w:val="21"/>
          <w:lang w:val="de-DE" w:eastAsia="zh-CN"/>
        </w:rPr>
        <w:t>研究院。</w:t>
      </w:r>
    </w:p>
    <w:p w14:paraId="442BDC43" w14:textId="77777777" w:rsidR="00356DAD" w:rsidRPr="00CE66B6" w:rsidRDefault="00BE4C9E" w:rsidP="00CE66B6">
      <w:pPr>
        <w:keepNext/>
        <w:numPr>
          <w:ilvl w:val="0"/>
          <w:numId w:val="11"/>
        </w:numPr>
        <w:spacing w:afterLines="50" w:after="120" w:line="340" w:lineRule="atLeast"/>
        <w:ind w:left="567" w:firstLine="0"/>
        <w:jc w:val="both"/>
        <w:rPr>
          <w:rFonts w:ascii="SimHei" w:eastAsia="SimHei" w:hAnsi="SimHei"/>
          <w:sz w:val="21"/>
          <w:szCs w:val="21"/>
        </w:rPr>
      </w:pPr>
      <w:r w:rsidRPr="00CE66B6">
        <w:rPr>
          <w:rFonts w:ascii="SimHei" w:eastAsia="SimHei" w:hAnsi="SimHei" w:hint="eastAsia"/>
          <w:sz w:val="21"/>
          <w:szCs w:val="21"/>
        </w:rPr>
        <w:t>国家非政府组织</w:t>
      </w:r>
      <w:r w:rsidR="00356DAD" w:rsidRPr="00084B38">
        <w:rPr>
          <w:rFonts w:ascii="SimHei" w:eastAsia="SimHei" w:hAnsi="SimHei"/>
          <w:sz w:val="21"/>
          <w:szCs w:val="21"/>
          <w:vertAlign w:val="superscript"/>
        </w:rPr>
        <w:footnoteReference w:id="2"/>
      </w:r>
    </w:p>
    <w:p w14:paraId="61ADDBDE" w14:textId="5138A6F3" w:rsidR="000B14EC" w:rsidRDefault="00BE4C9E"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sz w:val="21"/>
          <w:szCs w:val="22"/>
          <w:lang w:eastAsia="zh-CN"/>
        </w:rPr>
        <w:t>作者许可与收费</w:t>
      </w:r>
      <w:r w:rsidRPr="00CE66B6">
        <w:rPr>
          <w:rFonts w:ascii="SimSun" w:eastAsia="SimSun" w:hAnsi="SimSun" w:cs="SimSun" w:hint="eastAsia"/>
          <w:sz w:val="21"/>
          <w:szCs w:val="22"/>
          <w:lang w:val="fr-CH" w:eastAsia="zh-CN"/>
        </w:rPr>
        <w:t>协会</w:t>
      </w:r>
      <w:r w:rsidRPr="008A6160">
        <w:rPr>
          <w:rFonts w:ascii="SimSun" w:eastAsia="SimSun" w:hAnsi="SimSun" w:hint="eastAsia"/>
          <w:sz w:val="21"/>
          <w:szCs w:val="22"/>
          <w:lang w:eastAsia="zh-CN"/>
        </w:rPr>
        <w:t>有限公司（</w:t>
      </w:r>
      <w:r w:rsidRPr="008A6160">
        <w:rPr>
          <w:rFonts w:ascii="SimSun" w:eastAsia="SimSun" w:hAnsi="SimSun"/>
          <w:sz w:val="21"/>
          <w:szCs w:val="22"/>
          <w:lang w:eastAsia="zh-CN"/>
        </w:rPr>
        <w:t>ALCS</w:t>
      </w:r>
      <w:r w:rsidRPr="008A6160">
        <w:rPr>
          <w:rFonts w:ascii="SimSun" w:eastAsia="SimSun" w:hAnsi="SimSun" w:hint="eastAsia"/>
          <w:sz w:val="21"/>
          <w:szCs w:val="22"/>
          <w:lang w:eastAsia="zh-CN"/>
        </w:rPr>
        <w:t>）；</w:t>
      </w:r>
    </w:p>
    <w:p w14:paraId="05698874" w14:textId="5DF916A7" w:rsidR="00773F9B" w:rsidRDefault="00773F9B"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hint="eastAsia"/>
          <w:sz w:val="21"/>
          <w:szCs w:val="22"/>
          <w:lang w:eastAsia="zh-CN"/>
        </w:rPr>
        <w:t>品牌保护团体——黎巴嫩（B</w:t>
      </w:r>
      <w:r>
        <w:rPr>
          <w:rFonts w:ascii="SimSun" w:eastAsia="SimSun" w:hAnsi="SimSun"/>
          <w:sz w:val="21"/>
          <w:szCs w:val="22"/>
          <w:lang w:eastAsia="zh-CN"/>
        </w:rPr>
        <w:t>PG</w:t>
      </w:r>
      <w:r>
        <w:rPr>
          <w:rFonts w:ascii="SimSun" w:eastAsia="SimSun" w:hAnsi="SimSun" w:hint="eastAsia"/>
          <w:sz w:val="21"/>
          <w:szCs w:val="22"/>
          <w:lang w:eastAsia="zh-CN"/>
        </w:rPr>
        <w:t>）；</w:t>
      </w:r>
    </w:p>
    <w:p w14:paraId="37E6E6AD" w14:textId="6F0A1258" w:rsidR="00773F9B" w:rsidRPr="008A6160" w:rsidRDefault="00773F9B"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Pr>
          <w:rFonts w:ascii="SimSun" w:eastAsia="SimSun" w:hAnsi="SimSun" w:hint="eastAsia"/>
          <w:sz w:val="21"/>
          <w:szCs w:val="22"/>
          <w:lang w:eastAsia="zh-CN"/>
        </w:rPr>
        <w:t>创作者</w:t>
      </w:r>
      <w:r w:rsidR="00821151">
        <w:rPr>
          <w:rFonts w:ascii="SimSun" w:eastAsia="SimSun" w:hAnsi="SimSun" w:hint="eastAsia"/>
          <w:sz w:val="21"/>
          <w:szCs w:val="22"/>
          <w:lang w:eastAsia="zh-CN"/>
        </w:rPr>
        <w:t>之友</w:t>
      </w:r>
      <w:r>
        <w:rPr>
          <w:rFonts w:ascii="SimSun" w:eastAsia="SimSun" w:hAnsi="SimSun" w:hint="eastAsia"/>
          <w:sz w:val="21"/>
          <w:szCs w:val="22"/>
          <w:lang w:eastAsia="zh-CN"/>
        </w:rPr>
        <w:t>艺术基金会（F</w:t>
      </w:r>
      <w:r>
        <w:rPr>
          <w:rFonts w:ascii="SimSun" w:eastAsia="SimSun" w:hAnsi="SimSun"/>
          <w:sz w:val="21"/>
          <w:szCs w:val="22"/>
          <w:lang w:eastAsia="zh-CN"/>
        </w:rPr>
        <w:t>CF</w:t>
      </w:r>
      <w:r>
        <w:rPr>
          <w:rFonts w:ascii="SimSun" w:eastAsia="SimSun" w:hAnsi="SimSun" w:hint="eastAsia"/>
          <w:sz w:val="21"/>
          <w:szCs w:val="22"/>
          <w:lang w:eastAsia="zh-CN"/>
        </w:rPr>
        <w:t>）；</w:t>
      </w:r>
    </w:p>
    <w:p w14:paraId="236C59B7" w14:textId="77777777" w:rsidR="00FF4C01" w:rsidRPr="00FF4C01" w:rsidRDefault="00BE4C9E"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sz w:val="21"/>
          <w:lang w:eastAsia="zh-CN"/>
        </w:rPr>
        <w:t>缅甸知识产权</w:t>
      </w:r>
      <w:r w:rsidRPr="00CE66B6">
        <w:rPr>
          <w:rFonts w:ascii="SimSun" w:eastAsia="SimSun" w:hAnsi="SimSun" w:cs="SimSun" w:hint="eastAsia"/>
          <w:sz w:val="21"/>
          <w:szCs w:val="22"/>
          <w:lang w:val="fr-CH" w:eastAsia="zh-CN"/>
        </w:rPr>
        <w:t>所有人</w:t>
      </w:r>
      <w:r w:rsidRPr="008A6160">
        <w:rPr>
          <w:rFonts w:ascii="SimSun" w:eastAsia="SimSun" w:hAnsi="SimSun" w:hint="eastAsia"/>
          <w:sz w:val="21"/>
          <w:lang w:eastAsia="zh-CN"/>
        </w:rPr>
        <w:t>协会（</w:t>
      </w:r>
      <w:r w:rsidRPr="008A6160">
        <w:rPr>
          <w:rFonts w:ascii="SimSun" w:eastAsia="SimSun" w:hAnsi="SimSun"/>
          <w:sz w:val="21"/>
          <w:lang w:eastAsia="zh-CN"/>
        </w:rPr>
        <w:t>MIPPA</w:t>
      </w:r>
      <w:r w:rsidRPr="008A6160">
        <w:rPr>
          <w:rFonts w:ascii="SimSun" w:eastAsia="SimSun" w:hAnsi="SimSun" w:hint="eastAsia"/>
          <w:sz w:val="21"/>
          <w:lang w:eastAsia="zh-CN"/>
        </w:rPr>
        <w:t>）；</w:t>
      </w:r>
    </w:p>
    <w:p w14:paraId="65D8B235" w14:textId="0E2E03FD" w:rsidR="00356DAD" w:rsidRPr="008A6160" w:rsidRDefault="00FF4C01" w:rsidP="00FF4C01">
      <w:pPr>
        <w:pStyle w:val="ListParagraph"/>
        <w:numPr>
          <w:ilvl w:val="0"/>
          <w:numId w:val="8"/>
        </w:numPr>
        <w:overflowPunct w:val="0"/>
        <w:spacing w:afterLines="50" w:after="120" w:line="340" w:lineRule="atLeast"/>
        <w:rPr>
          <w:rFonts w:ascii="SimSun" w:eastAsia="SimSun" w:hAnsi="SimSun"/>
          <w:sz w:val="21"/>
          <w:szCs w:val="22"/>
          <w:lang w:eastAsia="zh-CN"/>
        </w:rPr>
      </w:pPr>
      <w:r w:rsidRPr="00FF4C01">
        <w:rPr>
          <w:rFonts w:ascii="SimSun" w:eastAsia="SimSun" w:hAnsi="SimSun" w:hint="eastAsia"/>
          <w:sz w:val="21"/>
          <w:lang w:eastAsia="zh-CN"/>
        </w:rPr>
        <w:t>美洲土著人权利基金</w:t>
      </w:r>
      <w:r>
        <w:rPr>
          <w:rFonts w:ascii="SimSun" w:eastAsia="SimSun" w:hAnsi="SimSun" w:hint="eastAsia"/>
          <w:sz w:val="21"/>
          <w:lang w:eastAsia="zh-CN"/>
        </w:rPr>
        <w:t>（NARF）；</w:t>
      </w:r>
      <w:r w:rsidR="00EA066B">
        <w:rPr>
          <w:rFonts w:ascii="SimSun" w:eastAsia="SimSun" w:hAnsi="SimSun" w:hint="eastAsia"/>
          <w:sz w:val="21"/>
          <w:szCs w:val="22"/>
          <w:lang w:eastAsia="zh-CN"/>
        </w:rPr>
        <w:t>以及</w:t>
      </w:r>
    </w:p>
    <w:p w14:paraId="45397DEF" w14:textId="77777777" w:rsidR="00356DAD" w:rsidRPr="008A6160" w:rsidRDefault="00BE4C9E" w:rsidP="00CE66B6">
      <w:pPr>
        <w:pStyle w:val="ListParagraph"/>
        <w:numPr>
          <w:ilvl w:val="0"/>
          <w:numId w:val="8"/>
        </w:numPr>
        <w:overflowPunct w:val="0"/>
        <w:spacing w:afterLines="50" w:after="120" w:line="340" w:lineRule="atLeast"/>
        <w:contextualSpacing w:val="0"/>
        <w:rPr>
          <w:rFonts w:ascii="SimSun" w:eastAsia="SimSun" w:hAnsi="SimSun"/>
          <w:sz w:val="21"/>
          <w:lang w:eastAsia="zh-CN"/>
        </w:rPr>
      </w:pPr>
      <w:r w:rsidRPr="008A6160">
        <w:rPr>
          <w:rFonts w:ascii="SimSun" w:eastAsia="SimSun" w:hAnsi="SimSun" w:hint="eastAsia"/>
          <w:sz w:val="21"/>
          <w:lang w:eastAsia="zh-CN"/>
        </w:rPr>
        <w:t>广播组织专业联盟（</w:t>
      </w:r>
      <w:r w:rsidRPr="00CE66B6">
        <w:rPr>
          <w:rFonts w:ascii="SimSun" w:eastAsia="SimSun" w:hAnsi="SimSun" w:cs="SimSun" w:hint="eastAsia"/>
          <w:sz w:val="21"/>
          <w:szCs w:val="22"/>
          <w:lang w:val="fr-CH" w:eastAsia="zh-CN"/>
        </w:rPr>
        <w:t>RATEM</w:t>
      </w:r>
      <w:r w:rsidRPr="008A6160">
        <w:rPr>
          <w:rFonts w:ascii="SimSun" w:eastAsia="SimSun" w:hAnsi="SimSun" w:hint="eastAsia"/>
          <w:sz w:val="21"/>
          <w:lang w:eastAsia="zh-CN"/>
        </w:rPr>
        <w:t>）。</w:t>
      </w:r>
    </w:p>
    <w:p w14:paraId="49A11C21" w14:textId="43CFE549"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BE4C9E" w:rsidRPr="008A6160">
        <w:rPr>
          <w:rFonts w:ascii="SimSun" w:hAnsi="SimSun" w:hint="eastAsia"/>
          <w:sz w:val="21"/>
          <w:szCs w:val="22"/>
        </w:rPr>
        <w:t>关于上文中提及的各实体的目标、结构和成员情况的简要说明载于本文件附件。</w:t>
      </w:r>
    </w:p>
    <w:p w14:paraId="44C103D1" w14:textId="6C6E1904" w:rsidR="00356DAD" w:rsidRPr="00CE66B6" w:rsidRDefault="00356DAD" w:rsidP="00CE66B6">
      <w:pPr>
        <w:pStyle w:val="Endofdocument-Annex"/>
        <w:overflowPunct w:val="0"/>
        <w:spacing w:before="0" w:afterLines="50" w:after="120" w:line="340" w:lineRule="atLeast"/>
        <w:ind w:left="5534"/>
        <w:jc w:val="both"/>
        <w:rPr>
          <w:rFonts w:ascii="KaiTi" w:eastAsia="KaiTi" w:hAnsi="KaiTi"/>
          <w:sz w:val="21"/>
        </w:rPr>
      </w:pPr>
      <w:r w:rsidRPr="00CE66B6">
        <w:rPr>
          <w:rFonts w:ascii="KaiTi" w:eastAsia="KaiTi" w:hAnsi="KaiTi"/>
          <w:sz w:val="21"/>
        </w:rPr>
        <w:fldChar w:fldCharType="begin"/>
      </w:r>
      <w:r w:rsidRPr="00CE66B6">
        <w:rPr>
          <w:rFonts w:ascii="KaiTi" w:eastAsia="KaiTi" w:hAnsi="KaiTi"/>
          <w:sz w:val="21"/>
        </w:rPr>
        <w:instrText xml:space="preserve"> AUTONUM  </w:instrText>
      </w:r>
      <w:r w:rsidRPr="00CE66B6">
        <w:rPr>
          <w:rFonts w:ascii="KaiTi" w:eastAsia="KaiTi" w:hAnsi="KaiTi"/>
          <w:sz w:val="21"/>
        </w:rPr>
        <w:fldChar w:fldCharType="end"/>
      </w:r>
      <w:r w:rsidR="008A6160" w:rsidRPr="00CE66B6">
        <w:rPr>
          <w:rFonts w:ascii="KaiTi" w:eastAsia="KaiTi" w:hAnsi="KaiTi"/>
          <w:sz w:val="21"/>
        </w:rPr>
        <w:t>.</w:t>
      </w:r>
      <w:r w:rsidR="008A6160" w:rsidRPr="00CE66B6">
        <w:rPr>
          <w:rFonts w:ascii="KaiTi" w:eastAsia="KaiTi" w:hAnsi="KaiTi"/>
          <w:sz w:val="21"/>
        </w:rPr>
        <w:tab/>
      </w:r>
      <w:r w:rsidR="00BE4C9E" w:rsidRPr="00CE66B6">
        <w:rPr>
          <w:rFonts w:ascii="KaiTi" w:eastAsia="KaiTi" w:hAnsi="KaiTi" w:hint="eastAsia"/>
          <w:sz w:val="21"/>
        </w:rPr>
        <w:t>请产权组织各大会各自就其所涉事宜，就接纳文件A/59/3</w:t>
      </w:r>
      <w:r w:rsidR="00374266">
        <w:rPr>
          <w:rFonts w:ascii="KaiTi" w:eastAsia="KaiTi" w:hAnsi="KaiTi"/>
          <w:sz w:val="21"/>
        </w:rPr>
        <w:t xml:space="preserve"> Rev.</w:t>
      </w:r>
      <w:r w:rsidR="00BE4C9E" w:rsidRPr="00CE66B6">
        <w:rPr>
          <w:rFonts w:ascii="KaiTi" w:eastAsia="KaiTi" w:hAnsi="KaiTi" w:hint="eastAsia"/>
          <w:sz w:val="21"/>
        </w:rPr>
        <w:t>第4段所载实体作为观察员的请求作出决定。</w:t>
      </w:r>
    </w:p>
    <w:p w14:paraId="3BBC3CFF" w14:textId="77777777" w:rsidR="00356DAD" w:rsidRPr="00CE66B6" w:rsidRDefault="00BE4C9E"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[后接附件]</w:t>
      </w:r>
    </w:p>
    <w:p w14:paraId="3F7CD4D5" w14:textId="77777777" w:rsidR="00D85DD7" w:rsidRPr="00CE66B6" w:rsidRDefault="00D85DD7" w:rsidP="00356DAD">
      <w:pPr>
        <w:rPr>
          <w:rFonts w:ascii="KaiTi" w:eastAsia="KaiTi" w:hAnsi="KaiTi"/>
          <w:sz w:val="21"/>
        </w:rPr>
        <w:sectPr w:rsidR="00D85DD7" w:rsidRPr="00CE66B6" w:rsidSect="00CE66B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32FDD32F" w14:textId="438FF960" w:rsidR="00356DAD" w:rsidRPr="00CE66B6" w:rsidRDefault="00CE66B6" w:rsidP="00CE66B6">
      <w:pPr>
        <w:pStyle w:val="Heading4"/>
      </w:pPr>
      <w:r w:rsidRPr="00CE66B6">
        <w:rPr>
          <w:rFonts w:hint="eastAsia"/>
        </w:rPr>
        <w:lastRenderedPageBreak/>
        <w:t>关于国际非政府组织的详细情况（根据下述组织提供的信息整理）</w:t>
      </w:r>
    </w:p>
    <w:p w14:paraId="4E9B89D1" w14:textId="77777777" w:rsidR="00356DAD" w:rsidRPr="00084B38" w:rsidRDefault="00A37594" w:rsidP="00126B74">
      <w:pPr>
        <w:pStyle w:val="Heading5"/>
        <w:rPr>
          <w:rFonts w:ascii="SimSun" w:eastAsia="SimSun" w:hAnsi="SimSun"/>
          <w:sz w:val="21"/>
        </w:rPr>
      </w:pPr>
      <w:r w:rsidRPr="00084B38">
        <w:rPr>
          <w:rFonts w:ascii="SimSun" w:eastAsia="SimSun" w:hAnsi="SimSun" w:hint="eastAsia"/>
          <w:sz w:val="21"/>
        </w:rPr>
        <w:t>食品通用名联合会（CCFN）</w:t>
      </w:r>
    </w:p>
    <w:p w14:paraId="4002E54D" w14:textId="7777777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rPr>
        <w:t>总部：CCFN成立于201年，</w:t>
      </w:r>
      <w:r w:rsidRPr="008A6160">
        <w:rPr>
          <w:rFonts w:ascii="SimSun" w:hAnsi="SimSun" w:hint="eastAsia"/>
          <w:sz w:val="21"/>
          <w:szCs w:val="22"/>
        </w:rPr>
        <w:t>总部设在美利坚合众国弗吉尼亚州阿灵顿。</w:t>
      </w:r>
    </w:p>
    <w:p w14:paraId="4A2394A9" w14:textId="7777777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目标：该组织的成立旨在协调和推广为了在世界各地维持和保护食品传统和通用名称的使用</w:t>
      </w:r>
      <w:r w:rsidR="009742A8" w:rsidRPr="008A6160">
        <w:rPr>
          <w:rFonts w:ascii="SimSun" w:hAnsi="SimSun" w:hint="eastAsia"/>
          <w:sz w:val="21"/>
          <w:szCs w:val="22"/>
        </w:rPr>
        <w:t>而举办的</w:t>
      </w:r>
      <w:r w:rsidRPr="008A6160">
        <w:rPr>
          <w:rFonts w:ascii="SimSun" w:hAnsi="SimSun" w:hint="eastAsia"/>
          <w:sz w:val="21"/>
          <w:szCs w:val="22"/>
        </w:rPr>
        <w:t>活动。该组织希望通过适当的模式来保护合法的地理标志和通用食品名称。</w:t>
      </w:r>
    </w:p>
    <w:p w14:paraId="520B017E" w14:textId="27DE279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结构：CCF</w:t>
      </w:r>
      <w:r w:rsidRPr="008A6160">
        <w:rPr>
          <w:rFonts w:ascii="SimSun" w:hAnsi="SimSun"/>
          <w:sz w:val="21"/>
          <w:szCs w:val="22"/>
        </w:rPr>
        <w:t>N</w:t>
      </w:r>
      <w:r w:rsidRPr="008A6160">
        <w:rPr>
          <w:rFonts w:ascii="SimSun" w:hAnsi="SimSun" w:hint="eastAsia"/>
          <w:sz w:val="21"/>
          <w:szCs w:val="22"/>
        </w:rPr>
        <w:t>的理事机构由董事会</w:t>
      </w:r>
      <w:r w:rsidR="009B6548" w:rsidRPr="008A6160">
        <w:rPr>
          <w:rFonts w:ascii="SimSun" w:hAnsi="SimSun" w:hint="eastAsia"/>
          <w:sz w:val="21"/>
          <w:szCs w:val="22"/>
        </w:rPr>
        <w:t>和董事会执行委员会</w:t>
      </w:r>
      <w:r w:rsidRPr="008A6160">
        <w:rPr>
          <w:rFonts w:ascii="SimSun" w:hAnsi="SimSun" w:hint="eastAsia"/>
          <w:sz w:val="21"/>
          <w:szCs w:val="22"/>
        </w:rPr>
        <w:t>组成，</w:t>
      </w:r>
      <w:r w:rsidR="009B6548" w:rsidRPr="008A6160">
        <w:rPr>
          <w:rFonts w:ascii="SimSun" w:hAnsi="SimSun" w:hint="eastAsia"/>
          <w:sz w:val="21"/>
          <w:szCs w:val="22"/>
        </w:rPr>
        <w:t>董事会总体负责和管理该组织的事务、资金和财产。董事会执行委员会包括三</w:t>
      </w:r>
      <w:r w:rsidR="00084B38">
        <w:rPr>
          <w:rFonts w:ascii="SimSun" w:hAnsi="SimSun" w:hint="eastAsia"/>
          <w:sz w:val="21"/>
          <w:szCs w:val="22"/>
        </w:rPr>
        <w:t>名</w:t>
      </w:r>
      <w:r w:rsidR="009B6548" w:rsidRPr="008A6160">
        <w:rPr>
          <w:rFonts w:ascii="SimSun" w:hAnsi="SimSun" w:hint="eastAsia"/>
          <w:sz w:val="21"/>
          <w:szCs w:val="22"/>
        </w:rPr>
        <w:t>当选的CCFN官员，以及</w:t>
      </w:r>
      <w:r w:rsidR="00126B74">
        <w:rPr>
          <w:rFonts w:ascii="SimSun" w:hAnsi="SimSun" w:hint="eastAsia"/>
          <w:sz w:val="21"/>
          <w:szCs w:val="22"/>
        </w:rPr>
        <w:t>司库</w:t>
      </w:r>
      <w:r w:rsidR="009B6548" w:rsidRPr="008A6160">
        <w:rPr>
          <w:rFonts w:ascii="SimSun" w:hAnsi="SimSun" w:hint="eastAsia"/>
          <w:sz w:val="21"/>
          <w:szCs w:val="22"/>
        </w:rPr>
        <w:t>和董事会选择的另外两</w:t>
      </w:r>
      <w:r w:rsidR="00084B38">
        <w:rPr>
          <w:rFonts w:ascii="SimSun" w:hAnsi="SimSun" w:hint="eastAsia"/>
          <w:sz w:val="21"/>
          <w:szCs w:val="22"/>
        </w:rPr>
        <w:t>名</w:t>
      </w:r>
      <w:r w:rsidR="009B6548" w:rsidRPr="008A6160">
        <w:rPr>
          <w:rFonts w:ascii="SimSun" w:hAnsi="SimSun" w:hint="eastAsia"/>
          <w:sz w:val="21"/>
          <w:szCs w:val="22"/>
        </w:rPr>
        <w:t>董事会成员，负责CCFN在董事会制定的政策范围内的日常运行。</w:t>
      </w:r>
    </w:p>
    <w:p w14:paraId="0B452069" w14:textId="223F27C8"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成员：CCFN的成员包括39</w:t>
      </w:r>
      <w:r w:rsidR="00084B38">
        <w:rPr>
          <w:rFonts w:ascii="SimSun" w:hAnsi="SimSun" w:hint="eastAsia"/>
          <w:sz w:val="21"/>
          <w:szCs w:val="22"/>
        </w:rPr>
        <w:t>名</w:t>
      </w:r>
      <w:r w:rsidRPr="008A6160">
        <w:rPr>
          <w:rFonts w:ascii="SimSun" w:hAnsi="SimSun" w:hint="eastAsia"/>
          <w:sz w:val="21"/>
          <w:szCs w:val="22"/>
        </w:rPr>
        <w:t>法人。</w:t>
      </w:r>
    </w:p>
    <w:p w14:paraId="75F90341" w14:textId="4BBEE08E" w:rsidR="00356DAD" w:rsidRPr="00084B38" w:rsidRDefault="009B6548" w:rsidP="00126B74">
      <w:pPr>
        <w:pStyle w:val="Heading5"/>
        <w:rPr>
          <w:rFonts w:ascii="SimSun" w:eastAsia="SimSun" w:hAnsi="SimSun"/>
          <w:sz w:val="21"/>
        </w:rPr>
      </w:pPr>
      <w:r w:rsidRPr="00084B38">
        <w:rPr>
          <w:rFonts w:ascii="SimSun" w:eastAsia="SimSun" w:hAnsi="SimSun" w:hint="eastAsia"/>
          <w:sz w:val="21"/>
        </w:rPr>
        <w:t>国际仿制药和生物类似</w:t>
      </w:r>
      <w:r w:rsidR="00971B6A" w:rsidRPr="00084B38">
        <w:rPr>
          <w:rFonts w:asciiTheme="minorEastAsia" w:eastAsiaTheme="minorEastAsia" w:hAnsiTheme="minorEastAsia" w:hint="eastAsia"/>
          <w:sz w:val="21"/>
          <w:szCs w:val="21"/>
          <w:lang w:val="fr-CH"/>
        </w:rPr>
        <w:t>药</w:t>
      </w:r>
      <w:r w:rsidRPr="00084B38">
        <w:rPr>
          <w:rFonts w:ascii="SimSun" w:eastAsia="SimSun" w:hAnsi="SimSun" w:hint="eastAsia"/>
          <w:sz w:val="21"/>
        </w:rPr>
        <w:t>协会（IGBA）</w:t>
      </w:r>
    </w:p>
    <w:p w14:paraId="6CFECDC5" w14:textId="77777777"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总部：IGBA根据《瑞士民法典》于2015年成立，总部设在瑞士日内瓦。</w:t>
      </w:r>
    </w:p>
    <w:p w14:paraId="0628F3D5" w14:textId="14764958"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目标：IGB</w:t>
      </w:r>
      <w:r w:rsidRPr="008A6160">
        <w:rPr>
          <w:rFonts w:ascii="SimSun" w:hAnsi="SimSun"/>
          <w:sz w:val="21"/>
          <w:szCs w:val="22"/>
        </w:rPr>
        <w:t>A</w:t>
      </w:r>
      <w:r w:rsidRPr="008A6160">
        <w:rPr>
          <w:rFonts w:ascii="SimSun" w:hAnsi="SimSun" w:hint="eastAsia"/>
          <w:sz w:val="21"/>
          <w:szCs w:val="22"/>
        </w:rPr>
        <w:t>的目标尤其是为其成员提供网络来交换共同利益信息，监测影响仿制药和生物类似</w:t>
      </w:r>
      <w:r w:rsidR="00126B74">
        <w:rPr>
          <w:rFonts w:ascii="SimSun" w:hAnsi="SimSun" w:hint="eastAsia"/>
          <w:sz w:val="21"/>
          <w:szCs w:val="22"/>
        </w:rPr>
        <w:t>药</w:t>
      </w:r>
      <w:r w:rsidR="00941EB5" w:rsidRPr="008A6160">
        <w:rPr>
          <w:rFonts w:ascii="SimSun" w:hAnsi="SimSun" w:hint="eastAsia"/>
          <w:sz w:val="21"/>
          <w:szCs w:val="22"/>
        </w:rPr>
        <w:t>制药公司的全球和地区问题，支持制定政策来</w:t>
      </w:r>
      <w:r w:rsidR="00AC6407" w:rsidRPr="008A6160">
        <w:rPr>
          <w:rFonts w:ascii="SimSun" w:hAnsi="SimSun" w:hint="eastAsia"/>
          <w:sz w:val="21"/>
          <w:szCs w:val="22"/>
        </w:rPr>
        <w:t>完善</w:t>
      </w:r>
      <w:r w:rsidR="00941EB5" w:rsidRPr="008A6160">
        <w:rPr>
          <w:rFonts w:ascii="SimSun" w:hAnsi="SimSun" w:hint="eastAsia"/>
          <w:sz w:val="21"/>
          <w:szCs w:val="22"/>
        </w:rPr>
        <w:t>安全且有效的优质药品的获取途径。此外，IGBA支持平衡的知识产权执法来保护公平竞争。</w:t>
      </w:r>
    </w:p>
    <w:p w14:paraId="6C1EF031"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结构：IGBA的机构包括大会、管理委员会、常设委员会、秘书处和审计员。大会是该组织的最高权力机构，由IGBA的成员组成。大会任命管理委员会成员（董事），负责执行推动IGBA目标的所有法案。</w:t>
      </w:r>
    </w:p>
    <w:p w14:paraId="79F18261"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成员：IGBA的成员包括13个协会。</w:t>
      </w:r>
    </w:p>
    <w:p w14:paraId="14FF0CF0" w14:textId="77777777" w:rsidR="00356DAD" w:rsidRPr="00084B38" w:rsidRDefault="00941EB5" w:rsidP="00126B74">
      <w:pPr>
        <w:pStyle w:val="Heading5"/>
        <w:rPr>
          <w:rFonts w:ascii="SimSun" w:eastAsia="SimSun" w:hAnsi="SimSun"/>
          <w:sz w:val="21"/>
        </w:rPr>
      </w:pPr>
      <w:r w:rsidRPr="00084B38">
        <w:rPr>
          <w:rFonts w:ascii="SimSun" w:eastAsia="SimSun" w:hAnsi="SimSun" w:hint="eastAsia"/>
          <w:sz w:val="21"/>
        </w:rPr>
        <w:t>欧洲人权和科学跨学科研究院</w:t>
      </w:r>
    </w:p>
    <w:p w14:paraId="17A00C49"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rPr>
        <w:t>总部：</w:t>
      </w:r>
      <w:r w:rsidRPr="008A6160">
        <w:rPr>
          <w:rFonts w:ascii="SimSun" w:hAnsi="SimSun" w:hint="eastAsia"/>
          <w:sz w:val="21"/>
          <w:szCs w:val="22"/>
        </w:rPr>
        <w:t>欧洲人权和科学跨学科研究院成立于2018年，总部设在德国约阿希姆斯塔尔。</w:t>
      </w:r>
    </w:p>
    <w:p w14:paraId="72040FBA"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w:t>
      </w:r>
      <w:r w:rsidRPr="008A6160">
        <w:rPr>
          <w:rFonts w:ascii="SimSun" w:hAnsi="SimSun" w:hint="eastAsia"/>
          <w:sz w:val="21"/>
        </w:rPr>
        <w:t>欧洲人权和科学跨学科研究院的目标是推动科学和研究，尤其是通过</w:t>
      </w:r>
      <w:r w:rsidR="00AC6407" w:rsidRPr="008A6160">
        <w:rPr>
          <w:rFonts w:ascii="SimSun" w:hAnsi="SimSun" w:hint="eastAsia"/>
          <w:sz w:val="21"/>
        </w:rPr>
        <w:t>准备和参与同</w:t>
      </w:r>
      <w:r w:rsidRPr="008A6160">
        <w:rPr>
          <w:rFonts w:ascii="SimSun" w:hAnsi="SimSun" w:hint="eastAsia"/>
          <w:sz w:val="21"/>
        </w:rPr>
        <w:t>国际药品政策、人类植物学、特殊人口、新技术和可持续发展特别相关的人权研究。</w:t>
      </w:r>
    </w:p>
    <w:p w14:paraId="20DC5027"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w:t>
      </w:r>
      <w:r w:rsidRPr="008A6160">
        <w:rPr>
          <w:rFonts w:ascii="SimSun" w:hAnsi="SimSun" w:hint="eastAsia"/>
          <w:sz w:val="21"/>
        </w:rPr>
        <w:t>欧洲人权和科学跨学科研究院的理事机构是</w:t>
      </w:r>
      <w:r w:rsidRPr="00CE66B6">
        <w:rPr>
          <w:rFonts w:ascii="SimSun" w:hAnsi="SimSun" w:hint="eastAsia"/>
          <w:sz w:val="21"/>
          <w:szCs w:val="22"/>
        </w:rPr>
        <w:t>董事会</w:t>
      </w:r>
      <w:r w:rsidRPr="008A6160">
        <w:rPr>
          <w:rFonts w:ascii="SimSun" w:hAnsi="SimSun" w:hint="eastAsia"/>
          <w:sz w:val="21"/>
        </w:rPr>
        <w:t>和股东大会，后者负责任命和解雇董事。</w:t>
      </w:r>
    </w:p>
    <w:p w14:paraId="3EFBAC21" w14:textId="77777777" w:rsidR="00356DAD" w:rsidRPr="008A6160" w:rsidRDefault="00941EB5" w:rsidP="00CE66B6">
      <w:pPr>
        <w:overflowPunct w:val="0"/>
        <w:spacing w:afterLines="50" w:after="120" w:line="340" w:lineRule="atLeast"/>
        <w:jc w:val="both"/>
        <w:rPr>
          <w:rFonts w:ascii="SimSun" w:hAnsi="SimSun"/>
          <w:sz w:val="21"/>
        </w:rPr>
      </w:pPr>
      <w:r w:rsidRPr="008A6160">
        <w:rPr>
          <w:rFonts w:ascii="SimSun" w:hAnsi="SimSun" w:hint="eastAsia"/>
          <w:sz w:val="21"/>
          <w:szCs w:val="22"/>
        </w:rPr>
        <w:t>成员：</w:t>
      </w:r>
      <w:r w:rsidRPr="008A6160">
        <w:rPr>
          <w:rFonts w:ascii="SimSun" w:hAnsi="SimSun" w:hint="eastAsia"/>
          <w:sz w:val="21"/>
        </w:rPr>
        <w:t>欧洲人权和科学跨学科研究院包括23个个人成员。</w:t>
      </w:r>
    </w:p>
    <w:p w14:paraId="58073E29" w14:textId="21B1CF2E" w:rsidR="00356DAD" w:rsidRPr="00CE66B6" w:rsidRDefault="00941EB5"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[后接附件二]</w:t>
      </w:r>
    </w:p>
    <w:p w14:paraId="28E8925F" w14:textId="77777777" w:rsidR="00356DAD" w:rsidRPr="008A6160" w:rsidRDefault="00356DAD" w:rsidP="00356DAD">
      <w:pPr>
        <w:ind w:left="2265" w:hanging="2265"/>
        <w:jc w:val="both"/>
        <w:rPr>
          <w:rFonts w:ascii="SimSun" w:hAnsi="SimSun"/>
          <w:sz w:val="21"/>
          <w:szCs w:val="22"/>
        </w:rPr>
      </w:pPr>
    </w:p>
    <w:p w14:paraId="7D441A6E" w14:textId="77777777" w:rsidR="00356DAD" w:rsidRPr="008A6160" w:rsidRDefault="00356DAD" w:rsidP="00356DAD">
      <w:pPr>
        <w:spacing w:before="240" w:after="60"/>
        <w:rPr>
          <w:rFonts w:ascii="SimSun" w:hAnsi="SimSun"/>
          <w:sz w:val="21"/>
        </w:rPr>
        <w:sectPr w:rsidR="00356DAD" w:rsidRPr="008A6160" w:rsidSect="00CE66B6">
          <w:head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599FB840" w14:textId="77777777" w:rsidR="00356DAD" w:rsidRPr="00CE66B6" w:rsidRDefault="002211DC" w:rsidP="00CE66B6">
      <w:pPr>
        <w:pStyle w:val="Heading4"/>
      </w:pPr>
      <w:r w:rsidRPr="00CE66B6">
        <w:rPr>
          <w:rFonts w:hint="eastAsia"/>
        </w:rPr>
        <w:lastRenderedPageBreak/>
        <w:t>关于国家非政府组织的详细情况（根据下述组织提供的信息整理）</w:t>
      </w:r>
    </w:p>
    <w:p w14:paraId="5F6C4D35" w14:textId="77777777" w:rsidR="00356DAD" w:rsidRPr="00084B38" w:rsidRDefault="002211DC" w:rsidP="00126B74">
      <w:pPr>
        <w:pStyle w:val="Heading5"/>
        <w:rPr>
          <w:rFonts w:ascii="SimSun" w:eastAsia="SimSun" w:hAnsi="SimSun"/>
          <w:sz w:val="21"/>
        </w:rPr>
      </w:pPr>
      <w:r w:rsidRPr="00084B38">
        <w:rPr>
          <w:rFonts w:ascii="SimSun" w:eastAsia="SimSun" w:hAnsi="SimSun" w:hint="eastAsia"/>
          <w:sz w:val="21"/>
        </w:rPr>
        <w:t>作者许可与收费协会</w:t>
      </w:r>
      <w:r w:rsidRPr="00084B38">
        <w:rPr>
          <w:rFonts w:asciiTheme="minorEastAsia" w:eastAsiaTheme="minorEastAsia" w:hAnsiTheme="minorEastAsia" w:hint="eastAsia"/>
          <w:sz w:val="21"/>
          <w:szCs w:val="21"/>
          <w:lang w:val="fr-CH"/>
        </w:rPr>
        <w:t>有限公司</w:t>
      </w:r>
      <w:r w:rsidRPr="00084B38">
        <w:rPr>
          <w:rFonts w:ascii="SimSun" w:eastAsia="SimSun" w:hAnsi="SimSun" w:hint="eastAsia"/>
          <w:sz w:val="21"/>
        </w:rPr>
        <w:t>（ALCS）</w:t>
      </w:r>
    </w:p>
    <w:p w14:paraId="58DAE1EA" w14:textId="77777777" w:rsidR="00356DAD" w:rsidRPr="008A6160" w:rsidRDefault="002211DC"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总部：ALCS成立于1977年，总部设在联合王国伦敦。</w:t>
      </w:r>
    </w:p>
    <w:p w14:paraId="6019AAEB" w14:textId="77777777" w:rsidR="00356DAD" w:rsidRPr="008A6160" w:rsidRDefault="002211DC"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目标：ALCS为其成员作品的复印、转播或数字复制等二次使用收取费用，并向其成员分配收入。</w:t>
      </w:r>
      <w:r w:rsidR="00CC1132" w:rsidRPr="008A6160">
        <w:rPr>
          <w:rFonts w:ascii="SimSun" w:hAnsi="SimSun" w:hint="eastAsia"/>
          <w:sz w:val="21"/>
          <w:szCs w:val="22"/>
        </w:rPr>
        <w:t>该组织也代表作者为了认可和尊重作者的权利而组织活动，</w:t>
      </w:r>
      <w:r w:rsidR="00A155AA" w:rsidRPr="008A6160">
        <w:rPr>
          <w:rFonts w:ascii="SimSun" w:hAnsi="SimSun" w:hint="eastAsia"/>
          <w:sz w:val="21"/>
          <w:szCs w:val="22"/>
        </w:rPr>
        <w:t>这些权利包括使用其作品的公平报酬。此外，ALCS向其成员提供关于版权法和其他可能影响到他们的事宜的近期发展信息。</w:t>
      </w:r>
    </w:p>
    <w:p w14:paraId="53BEDC33" w14:textId="77777777" w:rsidR="00356DAD" w:rsidRPr="008A6160" w:rsidRDefault="00A155AA"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结构：ALCS的主要机构为董事会，</w:t>
      </w:r>
      <w:r w:rsidRPr="00CE66B6">
        <w:rPr>
          <w:rFonts w:ascii="SimSun" w:hAnsi="SimSun" w:hint="eastAsia"/>
          <w:sz w:val="21"/>
        </w:rPr>
        <w:t>董事会</w:t>
      </w:r>
      <w:r w:rsidRPr="008A6160">
        <w:rPr>
          <w:rFonts w:ascii="SimSun" w:hAnsi="SimSun" w:hint="eastAsia"/>
          <w:iCs/>
          <w:sz w:val="21"/>
          <w:szCs w:val="22"/>
        </w:rPr>
        <w:t>由九人组成，其中一人为执行董事，担任首席执行官和公司秘书。</w:t>
      </w:r>
    </w:p>
    <w:p w14:paraId="5C1280C5" w14:textId="451AA1C1" w:rsidR="00356DAD" w:rsidRDefault="00A155AA"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成员：ALCS代表约97</w:t>
      </w:r>
      <w:r w:rsidR="00084B38">
        <w:rPr>
          <w:rFonts w:ascii="SimSun" w:hAnsi="SimSun" w:hint="eastAsia"/>
          <w:iCs/>
          <w:sz w:val="21"/>
          <w:szCs w:val="22"/>
        </w:rPr>
        <w:t>,</w:t>
      </w:r>
      <w:r w:rsidRPr="008A6160">
        <w:rPr>
          <w:rFonts w:ascii="SimSun" w:hAnsi="SimSun" w:hint="eastAsia"/>
          <w:iCs/>
          <w:sz w:val="21"/>
          <w:szCs w:val="22"/>
        </w:rPr>
        <w:t>000</w:t>
      </w:r>
      <w:r w:rsidR="00084B38">
        <w:rPr>
          <w:rFonts w:ascii="SimSun" w:hAnsi="SimSun" w:hint="eastAsia"/>
          <w:iCs/>
          <w:sz w:val="21"/>
          <w:szCs w:val="22"/>
        </w:rPr>
        <w:t>名</w:t>
      </w:r>
      <w:r w:rsidRPr="008A6160">
        <w:rPr>
          <w:rFonts w:ascii="SimSun" w:hAnsi="SimSun" w:hint="eastAsia"/>
          <w:iCs/>
          <w:sz w:val="21"/>
          <w:szCs w:val="22"/>
        </w:rPr>
        <w:t>作者成员，成员资格向所有类型的作者及其在印刷和音像领域的继承者开</w:t>
      </w:r>
      <w:r w:rsidR="00961A60">
        <w:rPr>
          <w:rFonts w:ascii="SimSun" w:hAnsi="SimSun"/>
          <w:iCs/>
          <w:sz w:val="21"/>
          <w:szCs w:val="22"/>
        </w:rPr>
        <w:t>‍</w:t>
      </w:r>
      <w:r w:rsidRPr="008A6160">
        <w:rPr>
          <w:rFonts w:ascii="SimSun" w:hAnsi="SimSun" w:hint="eastAsia"/>
          <w:iCs/>
          <w:sz w:val="21"/>
          <w:szCs w:val="22"/>
        </w:rPr>
        <w:t>放。</w:t>
      </w:r>
    </w:p>
    <w:p w14:paraId="78CBE31D" w14:textId="06E1B083" w:rsidR="00F040EB" w:rsidRPr="00084B38" w:rsidRDefault="00F040EB" w:rsidP="00F040EB">
      <w:pPr>
        <w:pStyle w:val="Heading5"/>
        <w:rPr>
          <w:rFonts w:ascii="SimSun" w:eastAsia="SimSun" w:hAnsi="SimSun"/>
          <w:sz w:val="21"/>
        </w:rPr>
      </w:pPr>
      <w:r>
        <w:rPr>
          <w:rFonts w:ascii="SimSun" w:eastAsia="SimSun" w:hAnsi="SimSun" w:hint="eastAsia"/>
          <w:sz w:val="21"/>
          <w:szCs w:val="22"/>
        </w:rPr>
        <w:t>品牌保护团体——黎巴嫩（B</w:t>
      </w:r>
      <w:r>
        <w:rPr>
          <w:rFonts w:ascii="SimSun" w:eastAsia="SimSun" w:hAnsi="SimSun"/>
          <w:sz w:val="21"/>
          <w:szCs w:val="22"/>
        </w:rPr>
        <w:t>PG</w:t>
      </w:r>
      <w:r>
        <w:rPr>
          <w:rFonts w:ascii="SimSun" w:eastAsia="SimSun" w:hAnsi="SimSun" w:hint="eastAsia"/>
          <w:sz w:val="21"/>
          <w:szCs w:val="22"/>
        </w:rPr>
        <w:t>）</w:t>
      </w:r>
    </w:p>
    <w:p w14:paraId="40D4BB95" w14:textId="56D03E2F" w:rsidR="00F040EB" w:rsidRPr="008A6160" w:rsidRDefault="00F040EB" w:rsidP="00F040EB">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Pr>
          <w:rFonts w:ascii="SimSun" w:hAnsi="SimSun"/>
          <w:sz w:val="21"/>
          <w:szCs w:val="22"/>
        </w:rPr>
        <w:t>BGP</w:t>
      </w:r>
      <w:r w:rsidRPr="008A6160">
        <w:rPr>
          <w:rFonts w:ascii="SimSun" w:hAnsi="SimSun" w:hint="eastAsia"/>
          <w:sz w:val="21"/>
          <w:szCs w:val="22"/>
        </w:rPr>
        <w:t>成立于</w:t>
      </w:r>
      <w:r>
        <w:rPr>
          <w:rFonts w:ascii="SimSun" w:hAnsi="SimSun"/>
          <w:sz w:val="21"/>
          <w:szCs w:val="22"/>
        </w:rPr>
        <w:t>2003</w:t>
      </w:r>
      <w:r w:rsidRPr="008A6160">
        <w:rPr>
          <w:rFonts w:ascii="SimSun" w:hAnsi="SimSun" w:hint="eastAsia"/>
          <w:sz w:val="21"/>
          <w:szCs w:val="22"/>
        </w:rPr>
        <w:t>年，总部设在</w:t>
      </w:r>
      <w:r>
        <w:rPr>
          <w:rFonts w:ascii="SimSun" w:hAnsi="SimSun" w:hint="eastAsia"/>
          <w:sz w:val="21"/>
          <w:szCs w:val="22"/>
        </w:rPr>
        <w:t>黎巴嫩</w:t>
      </w:r>
      <w:r w:rsidR="00EB539F">
        <w:rPr>
          <w:rFonts w:ascii="SimSun" w:hAnsi="SimSun" w:hint="eastAsia"/>
          <w:sz w:val="21"/>
          <w:szCs w:val="22"/>
        </w:rPr>
        <w:t>的</w:t>
      </w:r>
      <w:r w:rsidR="00EA066B">
        <w:rPr>
          <w:rFonts w:ascii="SimSun" w:hAnsi="SimSun" w:hint="eastAsia"/>
          <w:sz w:val="21"/>
          <w:szCs w:val="22"/>
        </w:rPr>
        <w:t>阿贾勒图恩</w:t>
      </w:r>
      <w:r w:rsidRPr="008A6160">
        <w:rPr>
          <w:rFonts w:ascii="SimSun" w:hAnsi="SimSun" w:hint="eastAsia"/>
          <w:sz w:val="21"/>
          <w:szCs w:val="22"/>
        </w:rPr>
        <w:t>。</w:t>
      </w:r>
    </w:p>
    <w:p w14:paraId="3C2D1A45" w14:textId="548B5CAD" w:rsidR="00F040EB" w:rsidRPr="00F040EB" w:rsidRDefault="00F040EB" w:rsidP="00F040EB">
      <w:pPr>
        <w:overflowPunct w:val="0"/>
        <w:spacing w:afterLines="50" w:after="120" w:line="340" w:lineRule="atLeast"/>
        <w:jc w:val="both"/>
        <w:rPr>
          <w:rFonts w:ascii="SimSun" w:hAnsi="SimSun"/>
          <w:sz w:val="21"/>
          <w:szCs w:val="22"/>
          <w:lang w:val="en"/>
        </w:rPr>
      </w:pPr>
      <w:r w:rsidRPr="008A6160">
        <w:rPr>
          <w:rFonts w:ascii="SimSun" w:hAnsi="SimSun" w:hint="eastAsia"/>
          <w:sz w:val="21"/>
          <w:szCs w:val="22"/>
        </w:rPr>
        <w:t>目标：</w:t>
      </w:r>
      <w:r w:rsidRPr="00F040EB">
        <w:rPr>
          <w:rFonts w:ascii="SimSun" w:hAnsi="SimSun" w:hint="eastAsia"/>
          <w:sz w:val="21"/>
          <w:szCs w:val="22"/>
          <w:lang w:val="en"/>
        </w:rPr>
        <w:t>BPG</w:t>
      </w:r>
      <w:r>
        <w:rPr>
          <w:rFonts w:ascii="SimSun" w:hAnsi="SimSun" w:hint="eastAsia"/>
          <w:sz w:val="21"/>
          <w:szCs w:val="22"/>
          <w:lang w:val="en"/>
        </w:rPr>
        <w:t>的核心目标是保护知识产权</w:t>
      </w:r>
      <w:r w:rsidR="00016B02">
        <w:rPr>
          <w:rFonts w:ascii="SimSun" w:hAnsi="SimSun" w:hint="eastAsia"/>
          <w:sz w:val="21"/>
          <w:szCs w:val="22"/>
          <w:lang w:val="en"/>
        </w:rPr>
        <w:t>，</w:t>
      </w:r>
      <w:r>
        <w:rPr>
          <w:rFonts w:ascii="SimSun" w:hAnsi="SimSun" w:hint="eastAsia"/>
          <w:sz w:val="21"/>
          <w:szCs w:val="22"/>
          <w:lang w:val="en"/>
        </w:rPr>
        <w:t>并保护消费者免遭</w:t>
      </w:r>
      <w:r w:rsidRPr="00F040EB">
        <w:rPr>
          <w:rFonts w:ascii="SimSun" w:hAnsi="SimSun" w:hint="eastAsia"/>
          <w:sz w:val="21"/>
          <w:szCs w:val="22"/>
          <w:lang w:val="en"/>
        </w:rPr>
        <w:t>欺诈和非法竞争</w:t>
      </w:r>
      <w:r w:rsidR="00EB539F">
        <w:rPr>
          <w:rFonts w:ascii="SimSun" w:hAnsi="SimSun" w:hint="eastAsia"/>
          <w:sz w:val="21"/>
          <w:szCs w:val="22"/>
          <w:lang w:val="en"/>
        </w:rPr>
        <w:t>侵害</w:t>
      </w:r>
      <w:r w:rsidRPr="00F040EB">
        <w:rPr>
          <w:rFonts w:ascii="SimSun" w:hAnsi="SimSun" w:hint="eastAsia"/>
          <w:sz w:val="21"/>
          <w:szCs w:val="22"/>
          <w:lang w:val="en"/>
        </w:rPr>
        <w:t>的权利。为此，BPG</w:t>
      </w:r>
      <w:r w:rsidR="00EB539F">
        <w:rPr>
          <w:rFonts w:ascii="SimSun" w:hAnsi="SimSun" w:hint="eastAsia"/>
          <w:sz w:val="21"/>
          <w:szCs w:val="22"/>
          <w:lang w:val="en"/>
        </w:rPr>
        <w:t>致力于提高对</w:t>
      </w:r>
      <w:r w:rsidRPr="00F040EB">
        <w:rPr>
          <w:rFonts w:ascii="SimSun" w:hAnsi="SimSun" w:hint="eastAsia"/>
          <w:sz w:val="21"/>
          <w:szCs w:val="22"/>
          <w:lang w:val="en"/>
        </w:rPr>
        <w:t>假冒活动的</w:t>
      </w:r>
      <w:r w:rsidR="00EB539F">
        <w:rPr>
          <w:rFonts w:ascii="SimSun" w:hAnsi="SimSun" w:hint="eastAsia"/>
          <w:sz w:val="21"/>
          <w:szCs w:val="22"/>
          <w:lang w:val="en"/>
        </w:rPr>
        <w:t>认识</w:t>
      </w:r>
      <w:r w:rsidRPr="00F040EB">
        <w:rPr>
          <w:rFonts w:ascii="SimSun" w:hAnsi="SimSun" w:hint="eastAsia"/>
          <w:sz w:val="21"/>
          <w:szCs w:val="22"/>
          <w:lang w:val="en"/>
        </w:rPr>
        <w:t>，并</w:t>
      </w:r>
      <w:r>
        <w:rPr>
          <w:rFonts w:ascii="SimSun" w:hAnsi="SimSun" w:hint="eastAsia"/>
          <w:sz w:val="21"/>
          <w:szCs w:val="22"/>
          <w:lang w:val="en"/>
        </w:rPr>
        <w:t>对</w:t>
      </w:r>
      <w:r w:rsidRPr="00F040EB">
        <w:rPr>
          <w:rFonts w:ascii="SimSun" w:hAnsi="SimSun" w:hint="eastAsia"/>
          <w:sz w:val="21"/>
          <w:szCs w:val="22"/>
          <w:lang w:val="en"/>
        </w:rPr>
        <w:t>受走私</w:t>
      </w:r>
      <w:r>
        <w:rPr>
          <w:rFonts w:ascii="SimSun" w:hAnsi="SimSun" w:hint="eastAsia"/>
          <w:sz w:val="21"/>
          <w:szCs w:val="22"/>
          <w:lang w:val="en"/>
        </w:rPr>
        <w:t>、伪造、</w:t>
      </w:r>
      <w:r w:rsidRPr="00F040EB">
        <w:rPr>
          <w:rFonts w:ascii="SimSun" w:hAnsi="SimSun" w:hint="eastAsia"/>
          <w:sz w:val="21"/>
          <w:szCs w:val="22"/>
          <w:lang w:val="en"/>
        </w:rPr>
        <w:t>假冒和非法竞争影响的各种产品和经济部门</w:t>
      </w:r>
      <w:r w:rsidR="00EB539F">
        <w:rPr>
          <w:rFonts w:ascii="SimSun" w:hAnsi="SimSun" w:hint="eastAsia"/>
          <w:sz w:val="21"/>
          <w:szCs w:val="22"/>
          <w:lang w:val="en"/>
        </w:rPr>
        <w:t>开展</w:t>
      </w:r>
      <w:r w:rsidRPr="00F040EB">
        <w:rPr>
          <w:rFonts w:ascii="SimSun" w:hAnsi="SimSun" w:hint="eastAsia"/>
          <w:sz w:val="21"/>
          <w:szCs w:val="22"/>
          <w:lang w:val="en"/>
        </w:rPr>
        <w:t>研</w:t>
      </w:r>
      <w:r w:rsidR="00EA066B">
        <w:rPr>
          <w:rFonts w:ascii="SimSun" w:hAnsi="SimSun"/>
          <w:iCs/>
          <w:sz w:val="21"/>
          <w:szCs w:val="22"/>
        </w:rPr>
        <w:t>‍</w:t>
      </w:r>
      <w:r w:rsidRPr="00F040EB">
        <w:rPr>
          <w:rFonts w:ascii="SimSun" w:hAnsi="SimSun" w:hint="eastAsia"/>
          <w:sz w:val="21"/>
          <w:szCs w:val="22"/>
          <w:lang w:val="en"/>
        </w:rPr>
        <w:t>究。</w:t>
      </w:r>
    </w:p>
    <w:p w14:paraId="2955AC6C" w14:textId="299B3FF2" w:rsidR="00F040EB" w:rsidRPr="008A6160" w:rsidRDefault="00F040EB" w:rsidP="00F040EB">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w:t>
      </w:r>
      <w:r w:rsidRPr="00F040EB">
        <w:rPr>
          <w:rFonts w:ascii="SimSun" w:hAnsi="SimSun" w:hint="eastAsia"/>
          <w:iCs/>
          <w:sz w:val="21"/>
          <w:szCs w:val="22"/>
          <w:lang w:val="en"/>
        </w:rPr>
        <w:t>BPG的</w:t>
      </w:r>
      <w:r w:rsidR="007B11C4">
        <w:rPr>
          <w:rFonts w:ascii="SimSun" w:hAnsi="SimSun" w:hint="eastAsia"/>
          <w:iCs/>
          <w:sz w:val="21"/>
          <w:szCs w:val="22"/>
          <w:lang w:val="en"/>
        </w:rPr>
        <w:t>理事</w:t>
      </w:r>
      <w:r w:rsidRPr="00F040EB">
        <w:rPr>
          <w:rFonts w:ascii="SimSun" w:hAnsi="SimSun" w:hint="eastAsia"/>
          <w:iCs/>
          <w:sz w:val="21"/>
          <w:szCs w:val="22"/>
          <w:lang w:val="en"/>
        </w:rPr>
        <w:t>机构包括作为最高决策机构的大会，代表该组织的行政</w:t>
      </w:r>
      <w:r>
        <w:rPr>
          <w:rFonts w:ascii="SimSun" w:hAnsi="SimSun" w:hint="eastAsia"/>
          <w:iCs/>
          <w:sz w:val="21"/>
          <w:szCs w:val="22"/>
          <w:lang w:val="en"/>
        </w:rPr>
        <w:t>管理</w:t>
      </w:r>
      <w:r w:rsidRPr="00F040EB">
        <w:rPr>
          <w:rFonts w:ascii="SimSun" w:hAnsi="SimSun" w:hint="eastAsia"/>
          <w:iCs/>
          <w:sz w:val="21"/>
          <w:szCs w:val="22"/>
          <w:lang w:val="en"/>
        </w:rPr>
        <w:t>委员会，以及处理政府关系和沟通</w:t>
      </w:r>
      <w:r w:rsidR="00D10348">
        <w:rPr>
          <w:rFonts w:ascii="SimSun" w:hAnsi="SimSun" w:hint="eastAsia"/>
          <w:iCs/>
          <w:sz w:val="21"/>
          <w:szCs w:val="22"/>
          <w:lang w:val="en"/>
        </w:rPr>
        <w:t>联络</w:t>
      </w:r>
      <w:r w:rsidRPr="00F040EB">
        <w:rPr>
          <w:rFonts w:ascii="SimSun" w:hAnsi="SimSun" w:hint="eastAsia"/>
          <w:iCs/>
          <w:sz w:val="21"/>
          <w:szCs w:val="22"/>
          <w:lang w:val="en"/>
        </w:rPr>
        <w:t>等</w:t>
      </w:r>
      <w:r w:rsidR="00016B02">
        <w:rPr>
          <w:rFonts w:ascii="SimSun" w:hAnsi="SimSun" w:hint="eastAsia"/>
          <w:iCs/>
          <w:sz w:val="21"/>
          <w:szCs w:val="22"/>
          <w:lang w:val="en"/>
        </w:rPr>
        <w:t>事务</w:t>
      </w:r>
      <w:r w:rsidRPr="00F040EB">
        <w:rPr>
          <w:rFonts w:ascii="SimSun" w:hAnsi="SimSun" w:hint="eastAsia"/>
          <w:iCs/>
          <w:sz w:val="21"/>
          <w:szCs w:val="22"/>
          <w:lang w:val="en"/>
        </w:rPr>
        <w:t>的</w:t>
      </w:r>
      <w:r w:rsidR="00D10348">
        <w:rPr>
          <w:rFonts w:ascii="SimSun" w:hAnsi="SimSun" w:hint="eastAsia"/>
          <w:iCs/>
          <w:sz w:val="21"/>
          <w:szCs w:val="22"/>
          <w:lang w:val="en"/>
        </w:rPr>
        <w:t>工作</w:t>
      </w:r>
      <w:r w:rsidRPr="00F040EB">
        <w:rPr>
          <w:rFonts w:ascii="SimSun" w:hAnsi="SimSun" w:hint="eastAsia"/>
          <w:iCs/>
          <w:sz w:val="21"/>
          <w:szCs w:val="22"/>
          <w:lang w:val="en"/>
        </w:rPr>
        <w:t>委员会。</w:t>
      </w:r>
    </w:p>
    <w:p w14:paraId="56C47F87" w14:textId="105F0B35" w:rsidR="00F040EB" w:rsidRDefault="00F040EB" w:rsidP="00F040EB">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成员：</w:t>
      </w:r>
      <w:r w:rsidR="00A86AB5">
        <w:rPr>
          <w:rFonts w:ascii="SimSun" w:hAnsi="SimSun"/>
          <w:iCs/>
          <w:sz w:val="21"/>
          <w:szCs w:val="22"/>
        </w:rPr>
        <w:t>BPG</w:t>
      </w:r>
      <w:r w:rsidR="00A86AB5">
        <w:rPr>
          <w:rFonts w:ascii="SimSun" w:hAnsi="SimSun" w:hint="eastAsia"/>
          <w:iCs/>
          <w:sz w:val="21"/>
          <w:szCs w:val="22"/>
        </w:rPr>
        <w:t>的成员由21名法人组成</w:t>
      </w:r>
      <w:r w:rsidRPr="008A6160">
        <w:rPr>
          <w:rFonts w:ascii="SimSun" w:hAnsi="SimSun" w:hint="eastAsia"/>
          <w:iCs/>
          <w:sz w:val="21"/>
          <w:szCs w:val="22"/>
        </w:rPr>
        <w:t>。</w:t>
      </w:r>
    </w:p>
    <w:p w14:paraId="77B176AF" w14:textId="69196150" w:rsidR="002577B7" w:rsidRPr="00084B38" w:rsidRDefault="002577B7" w:rsidP="002577B7">
      <w:pPr>
        <w:pStyle w:val="Heading5"/>
        <w:rPr>
          <w:rFonts w:ascii="SimSun" w:eastAsia="SimSun" w:hAnsi="SimSun"/>
          <w:sz w:val="21"/>
        </w:rPr>
      </w:pPr>
      <w:r w:rsidRPr="002577B7">
        <w:rPr>
          <w:rFonts w:ascii="SimSun" w:hAnsi="SimSun"/>
          <w:iCs/>
          <w:sz w:val="21"/>
          <w:szCs w:val="22"/>
        </w:rPr>
        <w:t>创作者</w:t>
      </w:r>
      <w:r w:rsidR="00821151" w:rsidRPr="002577B7">
        <w:rPr>
          <w:rFonts w:ascii="SimSun" w:hAnsi="SimSun"/>
          <w:iCs/>
          <w:sz w:val="21"/>
          <w:szCs w:val="22"/>
        </w:rPr>
        <w:t>之友</w:t>
      </w:r>
      <w:r w:rsidRPr="002577B7">
        <w:rPr>
          <w:rFonts w:ascii="SimSun" w:hAnsi="SimSun"/>
          <w:iCs/>
          <w:sz w:val="21"/>
          <w:szCs w:val="22"/>
        </w:rPr>
        <w:t>艺术基金会</w:t>
      </w:r>
      <w:r w:rsidRPr="002577B7">
        <w:rPr>
          <w:rFonts w:ascii="SimSun" w:hAnsi="SimSun" w:hint="eastAsia"/>
          <w:iCs/>
          <w:sz w:val="21"/>
          <w:szCs w:val="22"/>
        </w:rPr>
        <w:t>（F</w:t>
      </w:r>
      <w:r w:rsidRPr="002577B7">
        <w:rPr>
          <w:rFonts w:ascii="SimSun" w:hAnsi="SimSun"/>
          <w:iCs/>
          <w:sz w:val="21"/>
          <w:szCs w:val="22"/>
        </w:rPr>
        <w:t>CF</w:t>
      </w:r>
      <w:r w:rsidRPr="002577B7">
        <w:rPr>
          <w:rFonts w:ascii="SimSun" w:hAnsi="SimSun" w:hint="eastAsia"/>
          <w:iCs/>
          <w:sz w:val="21"/>
          <w:szCs w:val="22"/>
        </w:rPr>
        <w:t>）</w:t>
      </w:r>
    </w:p>
    <w:p w14:paraId="6E231FA4" w14:textId="341208D6" w:rsidR="002577B7" w:rsidRPr="008A6160" w:rsidRDefault="002577B7" w:rsidP="002577B7">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sidR="005277ED">
        <w:rPr>
          <w:rFonts w:ascii="SimSun" w:hAnsi="SimSun"/>
          <w:sz w:val="21"/>
          <w:szCs w:val="22"/>
        </w:rPr>
        <w:t>FCF</w:t>
      </w:r>
      <w:r w:rsidR="005277ED">
        <w:rPr>
          <w:rFonts w:ascii="SimSun" w:hAnsi="SimSun" w:hint="eastAsia"/>
          <w:sz w:val="21"/>
          <w:szCs w:val="22"/>
        </w:rPr>
        <w:t>于2017年正式</w:t>
      </w:r>
      <w:r w:rsidR="00A55BD0">
        <w:rPr>
          <w:rFonts w:ascii="SimSun" w:hAnsi="SimSun" w:hint="eastAsia"/>
          <w:sz w:val="21"/>
          <w:szCs w:val="22"/>
        </w:rPr>
        <w:t>成立</w:t>
      </w:r>
      <w:r w:rsidRPr="008A6160">
        <w:rPr>
          <w:rFonts w:ascii="SimSun" w:hAnsi="SimSun" w:hint="eastAsia"/>
          <w:sz w:val="21"/>
          <w:szCs w:val="22"/>
        </w:rPr>
        <w:t>，总部设在</w:t>
      </w:r>
      <w:r w:rsidR="005277ED">
        <w:rPr>
          <w:rFonts w:ascii="SimSun" w:hAnsi="SimSun" w:hint="eastAsia"/>
          <w:sz w:val="21"/>
          <w:szCs w:val="22"/>
        </w:rPr>
        <w:t>尼日利亚三角州的</w:t>
      </w:r>
      <w:r w:rsidR="00A6635C">
        <w:rPr>
          <w:rFonts w:ascii="SimSun" w:hAnsi="SimSun" w:hint="eastAsia"/>
          <w:sz w:val="21"/>
          <w:szCs w:val="22"/>
        </w:rPr>
        <w:t>奥莱</w:t>
      </w:r>
      <w:r w:rsidRPr="008A6160">
        <w:rPr>
          <w:rFonts w:ascii="SimSun" w:hAnsi="SimSun" w:hint="eastAsia"/>
          <w:sz w:val="21"/>
          <w:szCs w:val="22"/>
        </w:rPr>
        <w:t>。</w:t>
      </w:r>
    </w:p>
    <w:p w14:paraId="5481D162" w14:textId="5A247CB2" w:rsidR="002577B7" w:rsidRPr="00F040EB" w:rsidRDefault="002577B7" w:rsidP="002577B7">
      <w:pPr>
        <w:overflowPunct w:val="0"/>
        <w:spacing w:afterLines="50" w:after="120" w:line="340" w:lineRule="atLeast"/>
        <w:jc w:val="both"/>
        <w:rPr>
          <w:rFonts w:ascii="SimSun" w:hAnsi="SimSun"/>
          <w:sz w:val="21"/>
          <w:szCs w:val="22"/>
          <w:lang w:val="en"/>
        </w:rPr>
      </w:pPr>
      <w:r w:rsidRPr="008A6160">
        <w:rPr>
          <w:rFonts w:ascii="SimSun" w:hAnsi="SimSun" w:hint="eastAsia"/>
          <w:sz w:val="21"/>
          <w:szCs w:val="22"/>
        </w:rPr>
        <w:t>目标：</w:t>
      </w:r>
      <w:r w:rsidR="005277ED">
        <w:rPr>
          <w:rFonts w:ascii="SimSun" w:hAnsi="SimSun"/>
          <w:sz w:val="21"/>
          <w:szCs w:val="22"/>
          <w:lang w:val="en"/>
        </w:rPr>
        <w:t>FCF</w:t>
      </w:r>
      <w:r w:rsidR="005277ED">
        <w:rPr>
          <w:rFonts w:ascii="SimSun" w:hAnsi="SimSun" w:hint="eastAsia"/>
          <w:sz w:val="21"/>
          <w:szCs w:val="22"/>
          <w:lang w:val="en"/>
        </w:rPr>
        <w:t>的目标尤其是</w:t>
      </w:r>
      <w:r w:rsidR="00A55BD0">
        <w:rPr>
          <w:rFonts w:ascii="SimSun" w:hAnsi="SimSun" w:hint="eastAsia"/>
          <w:sz w:val="21"/>
          <w:szCs w:val="22"/>
          <w:lang w:val="en"/>
        </w:rPr>
        <w:t>树立</w:t>
      </w:r>
      <w:r w:rsidR="005277ED">
        <w:rPr>
          <w:rFonts w:ascii="SimSun" w:hAnsi="SimSun" w:hint="eastAsia"/>
          <w:sz w:val="21"/>
          <w:szCs w:val="22"/>
          <w:lang w:val="en"/>
        </w:rPr>
        <w:t>版权意识，记录尼日利亚的知识产权侵权案件，并通过宣传活动及其他手段推广知识产权</w:t>
      </w:r>
      <w:r w:rsidRPr="00F040EB">
        <w:rPr>
          <w:rFonts w:ascii="SimSun" w:hAnsi="SimSun" w:hint="eastAsia"/>
          <w:sz w:val="21"/>
          <w:szCs w:val="22"/>
          <w:lang w:val="en"/>
        </w:rPr>
        <w:t>。</w:t>
      </w:r>
    </w:p>
    <w:p w14:paraId="134A91B8" w14:textId="597B9227" w:rsidR="002577B7" w:rsidRPr="009A75F7" w:rsidRDefault="002577B7" w:rsidP="002577B7">
      <w:pPr>
        <w:overflowPunct w:val="0"/>
        <w:spacing w:afterLines="50" w:after="120" w:line="340" w:lineRule="atLeast"/>
        <w:jc w:val="both"/>
        <w:rPr>
          <w:rFonts w:ascii="SimSun" w:hAnsi="SimSun"/>
          <w:iCs/>
          <w:sz w:val="21"/>
          <w:szCs w:val="22"/>
          <w:lang w:val="en"/>
        </w:rPr>
      </w:pPr>
      <w:r w:rsidRPr="008A6160">
        <w:rPr>
          <w:rFonts w:ascii="SimSun" w:hAnsi="SimSun" w:hint="eastAsia"/>
          <w:iCs/>
          <w:sz w:val="21"/>
          <w:szCs w:val="22"/>
        </w:rPr>
        <w:t>结构：</w:t>
      </w:r>
      <w:r w:rsidR="009A75F7" w:rsidRPr="009A75F7">
        <w:rPr>
          <w:rFonts w:ascii="SimSun" w:hAnsi="SimSun" w:hint="eastAsia"/>
          <w:iCs/>
          <w:sz w:val="21"/>
          <w:szCs w:val="22"/>
          <w:lang w:val="en"/>
        </w:rPr>
        <w:t>FCF的主要</w:t>
      </w:r>
      <w:r w:rsidR="007B11C4">
        <w:rPr>
          <w:rFonts w:ascii="SimSun" w:hAnsi="SimSun" w:hint="eastAsia"/>
          <w:iCs/>
          <w:sz w:val="21"/>
          <w:szCs w:val="22"/>
          <w:lang w:val="en"/>
        </w:rPr>
        <w:t>理事</w:t>
      </w:r>
      <w:r w:rsidR="009A75F7" w:rsidRPr="009A75F7">
        <w:rPr>
          <w:rFonts w:ascii="SimSun" w:hAnsi="SimSun" w:hint="eastAsia"/>
          <w:iCs/>
          <w:sz w:val="21"/>
          <w:szCs w:val="22"/>
          <w:lang w:val="en"/>
        </w:rPr>
        <w:t>机构是</w:t>
      </w:r>
      <w:r w:rsidR="00B91FB7">
        <w:rPr>
          <w:rFonts w:ascii="SimSun" w:hAnsi="SimSun" w:hint="eastAsia"/>
          <w:iCs/>
          <w:sz w:val="21"/>
          <w:szCs w:val="22"/>
          <w:lang w:val="en"/>
        </w:rPr>
        <w:t>董事</w:t>
      </w:r>
      <w:r w:rsidR="009A75F7" w:rsidRPr="009A75F7">
        <w:rPr>
          <w:rFonts w:ascii="SimSun" w:hAnsi="SimSun" w:hint="eastAsia"/>
          <w:iCs/>
          <w:sz w:val="21"/>
          <w:szCs w:val="22"/>
          <w:lang w:val="en"/>
        </w:rPr>
        <w:t>会，负责</w:t>
      </w:r>
      <w:r w:rsidR="009A75F7">
        <w:rPr>
          <w:rFonts w:ascii="SimSun" w:hAnsi="SimSun" w:hint="eastAsia"/>
          <w:iCs/>
          <w:sz w:val="21"/>
          <w:szCs w:val="22"/>
          <w:lang w:val="en"/>
        </w:rPr>
        <w:t>该</w:t>
      </w:r>
      <w:r w:rsidR="009A75F7" w:rsidRPr="009A75F7">
        <w:rPr>
          <w:rFonts w:ascii="SimSun" w:hAnsi="SimSun" w:hint="eastAsia"/>
          <w:iCs/>
          <w:sz w:val="21"/>
          <w:szCs w:val="22"/>
          <w:lang w:val="en"/>
        </w:rPr>
        <w:t>组织的决策和日常运作，由五人组成，包括</w:t>
      </w:r>
      <w:r w:rsidR="009A75F7">
        <w:rPr>
          <w:rFonts w:ascii="SimSun" w:hAnsi="SimSun" w:hint="eastAsia"/>
          <w:iCs/>
          <w:sz w:val="21"/>
          <w:szCs w:val="22"/>
          <w:lang w:val="en"/>
        </w:rPr>
        <w:t>一名</w:t>
      </w:r>
      <w:r w:rsidR="009A75F7" w:rsidRPr="009A75F7">
        <w:rPr>
          <w:rFonts w:ascii="SimSun" w:hAnsi="SimSun" w:hint="eastAsia"/>
          <w:iCs/>
          <w:sz w:val="21"/>
          <w:szCs w:val="22"/>
          <w:lang w:val="en"/>
        </w:rPr>
        <w:t>主席</w:t>
      </w:r>
      <w:r w:rsidR="00B91FB7">
        <w:rPr>
          <w:rFonts w:ascii="SimSun" w:hAnsi="SimSun" w:hint="eastAsia"/>
          <w:iCs/>
          <w:sz w:val="21"/>
          <w:szCs w:val="22"/>
          <w:lang w:val="en"/>
        </w:rPr>
        <w:t>及</w:t>
      </w:r>
      <w:r w:rsidR="009A75F7" w:rsidRPr="009A75F7">
        <w:rPr>
          <w:rFonts w:ascii="SimSun" w:hAnsi="SimSun" w:hint="eastAsia"/>
          <w:iCs/>
          <w:sz w:val="21"/>
          <w:szCs w:val="22"/>
          <w:lang w:val="en"/>
        </w:rPr>
        <w:t>秘书。</w:t>
      </w:r>
      <w:r w:rsidR="001A7F7B">
        <w:rPr>
          <w:rFonts w:ascii="SimSun" w:hAnsi="SimSun" w:hint="eastAsia"/>
          <w:iCs/>
          <w:sz w:val="21"/>
          <w:szCs w:val="22"/>
          <w:lang w:val="en"/>
        </w:rPr>
        <w:t>董事会</w:t>
      </w:r>
      <w:r w:rsidR="009A75F7">
        <w:rPr>
          <w:rFonts w:ascii="SimSun" w:hAnsi="SimSun" w:hint="eastAsia"/>
          <w:iCs/>
          <w:sz w:val="21"/>
          <w:szCs w:val="22"/>
          <w:lang w:val="en"/>
        </w:rPr>
        <w:t>由该组织的成员在大会期间选举产生</w:t>
      </w:r>
      <w:r w:rsidR="009A75F7" w:rsidRPr="009A75F7">
        <w:rPr>
          <w:rFonts w:ascii="SimSun" w:hAnsi="SimSun" w:hint="eastAsia"/>
          <w:iCs/>
          <w:sz w:val="21"/>
          <w:szCs w:val="22"/>
          <w:lang w:val="en"/>
        </w:rPr>
        <w:t>，任期八年。</w:t>
      </w:r>
    </w:p>
    <w:p w14:paraId="293DA30F" w14:textId="33A66C03" w:rsidR="002577B7" w:rsidRPr="002577B7" w:rsidRDefault="002577B7" w:rsidP="00F040EB">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成员：</w:t>
      </w:r>
      <w:r w:rsidR="009A75F7">
        <w:rPr>
          <w:rFonts w:ascii="SimSun" w:hAnsi="SimSun"/>
          <w:iCs/>
          <w:sz w:val="21"/>
          <w:szCs w:val="22"/>
        </w:rPr>
        <w:t>FCF</w:t>
      </w:r>
      <w:r w:rsidR="009A75F7">
        <w:rPr>
          <w:rFonts w:ascii="SimSun" w:hAnsi="SimSun" w:hint="eastAsia"/>
          <w:iCs/>
          <w:sz w:val="21"/>
          <w:szCs w:val="22"/>
        </w:rPr>
        <w:t>目前有28</w:t>
      </w:r>
      <w:r w:rsidR="00C9170E">
        <w:rPr>
          <w:rFonts w:ascii="SimSun" w:hAnsi="SimSun" w:hint="eastAsia"/>
          <w:iCs/>
          <w:sz w:val="21"/>
          <w:szCs w:val="22"/>
        </w:rPr>
        <w:t>个</w:t>
      </w:r>
      <w:r w:rsidR="009A75F7">
        <w:rPr>
          <w:rFonts w:ascii="SimSun" w:hAnsi="SimSun" w:hint="eastAsia"/>
          <w:iCs/>
          <w:sz w:val="21"/>
          <w:szCs w:val="22"/>
        </w:rPr>
        <w:t>个人成员</w:t>
      </w:r>
      <w:r w:rsidRPr="008A6160">
        <w:rPr>
          <w:rFonts w:ascii="SimSun" w:hAnsi="SimSun" w:hint="eastAsia"/>
          <w:iCs/>
          <w:sz w:val="21"/>
          <w:szCs w:val="22"/>
        </w:rPr>
        <w:t>。</w:t>
      </w:r>
    </w:p>
    <w:p w14:paraId="4CE2E327" w14:textId="77777777" w:rsidR="00356DAD" w:rsidRPr="00084B38" w:rsidRDefault="00F115A0" w:rsidP="00126B74">
      <w:pPr>
        <w:pStyle w:val="Heading5"/>
        <w:rPr>
          <w:rFonts w:ascii="SimSun" w:eastAsia="SimSun" w:hAnsi="SimSun"/>
          <w:sz w:val="21"/>
        </w:rPr>
      </w:pPr>
      <w:r w:rsidRPr="00084B38">
        <w:rPr>
          <w:rFonts w:ascii="SimSun" w:eastAsia="SimSun" w:hAnsi="SimSun" w:hint="eastAsia"/>
          <w:sz w:val="21"/>
        </w:rPr>
        <w:t>缅甸知识产权所有人协会（MIPPA）</w:t>
      </w:r>
    </w:p>
    <w:p w14:paraId="373123FD"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sidRPr="008A6160">
        <w:rPr>
          <w:rFonts w:ascii="SimSun" w:hAnsi="SimSun"/>
          <w:sz w:val="21"/>
        </w:rPr>
        <w:t>MIPPA</w:t>
      </w:r>
      <w:r w:rsidRPr="008A6160">
        <w:rPr>
          <w:rFonts w:ascii="SimSun" w:hAnsi="SimSun" w:hint="eastAsia"/>
          <w:sz w:val="21"/>
        </w:rPr>
        <w:t>正式成立于2014年，总部设在缅甸仰光。</w:t>
      </w:r>
    </w:p>
    <w:p w14:paraId="733E6C0F"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目标：MIPAA的目标尤其是增加缅甸的</w:t>
      </w:r>
      <w:r w:rsidRPr="00CE66B6">
        <w:rPr>
          <w:rFonts w:ascii="SimSun" w:hAnsi="SimSun" w:hint="eastAsia"/>
          <w:sz w:val="21"/>
        </w:rPr>
        <w:t>知识产权</w:t>
      </w:r>
      <w:r w:rsidRPr="008A6160">
        <w:rPr>
          <w:rFonts w:ascii="SimSun" w:hAnsi="SimSun" w:hint="eastAsia"/>
          <w:iCs/>
          <w:sz w:val="21"/>
          <w:szCs w:val="22"/>
        </w:rPr>
        <w:t>知识，鼓励创造新的知识产权资产，并且同外国的知识产权组织合作。</w:t>
      </w:r>
    </w:p>
    <w:p w14:paraId="3CC482C5" w14:textId="77777777" w:rsidR="00356DAD" w:rsidRPr="008A6160" w:rsidRDefault="00F115A0"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结构：MIPPA的理事机构</w:t>
      </w:r>
      <w:r w:rsidR="00AC6407" w:rsidRPr="008A6160">
        <w:rPr>
          <w:rFonts w:ascii="SimSun" w:hAnsi="SimSun" w:hint="eastAsia"/>
          <w:iCs/>
          <w:sz w:val="21"/>
          <w:szCs w:val="22"/>
        </w:rPr>
        <w:t>包括</w:t>
      </w:r>
      <w:r w:rsidRPr="008A6160">
        <w:rPr>
          <w:rFonts w:ascii="SimSun" w:hAnsi="SimSun" w:hint="eastAsia"/>
          <w:iCs/>
          <w:sz w:val="21"/>
          <w:szCs w:val="22"/>
        </w:rPr>
        <w:t>其成员的年度大会、中央执行委员会和执行委员会。中央执行委员会由15人组成，由MIPPA的主席担任主席。</w:t>
      </w:r>
    </w:p>
    <w:p w14:paraId="59D99B34" w14:textId="4BACA101"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成员：MIPPA拥有约390</w:t>
      </w:r>
      <w:r w:rsidR="00084B38">
        <w:rPr>
          <w:rFonts w:ascii="SimSun" w:hAnsi="SimSun" w:hint="eastAsia"/>
          <w:iCs/>
          <w:sz w:val="21"/>
          <w:szCs w:val="22"/>
        </w:rPr>
        <w:t>名</w:t>
      </w:r>
      <w:r w:rsidRPr="008A6160">
        <w:rPr>
          <w:rFonts w:ascii="SimSun" w:hAnsi="SimSun" w:hint="eastAsia"/>
          <w:iCs/>
          <w:sz w:val="21"/>
          <w:szCs w:val="22"/>
        </w:rPr>
        <w:t>个人</w:t>
      </w:r>
      <w:r w:rsidRPr="00CE66B6">
        <w:rPr>
          <w:rFonts w:ascii="SimSun" w:hAnsi="SimSun" w:hint="eastAsia"/>
          <w:sz w:val="21"/>
        </w:rPr>
        <w:t>成员</w:t>
      </w:r>
      <w:r w:rsidRPr="008A6160">
        <w:rPr>
          <w:rFonts w:ascii="SimSun" w:hAnsi="SimSun" w:hint="eastAsia"/>
          <w:iCs/>
          <w:sz w:val="21"/>
          <w:szCs w:val="22"/>
        </w:rPr>
        <w:t>。</w:t>
      </w:r>
    </w:p>
    <w:p w14:paraId="527E19D0" w14:textId="2508AC63" w:rsidR="004B1975" w:rsidRPr="00084B38" w:rsidRDefault="004B1975" w:rsidP="004B1975">
      <w:pPr>
        <w:pStyle w:val="Heading5"/>
        <w:rPr>
          <w:rFonts w:ascii="SimSun" w:eastAsia="SimSun" w:hAnsi="SimSun"/>
          <w:sz w:val="21"/>
        </w:rPr>
      </w:pPr>
      <w:r w:rsidRPr="004B1975">
        <w:rPr>
          <w:rFonts w:ascii="SimSun" w:eastAsia="SimSun" w:hAnsi="SimSun" w:hint="eastAsia"/>
          <w:sz w:val="21"/>
        </w:rPr>
        <w:lastRenderedPageBreak/>
        <w:t>美洲土著人权利基金</w:t>
      </w:r>
      <w:r w:rsidRPr="00084B38">
        <w:rPr>
          <w:rFonts w:ascii="SimSun" w:eastAsia="SimSun" w:hAnsi="SimSun" w:hint="eastAsia"/>
          <w:sz w:val="21"/>
        </w:rPr>
        <w:t>（</w:t>
      </w:r>
      <w:r>
        <w:rPr>
          <w:rFonts w:ascii="SimSun" w:eastAsia="SimSun" w:hAnsi="SimSun" w:hint="eastAsia"/>
          <w:sz w:val="21"/>
        </w:rPr>
        <w:t>NARF</w:t>
      </w:r>
      <w:r w:rsidRPr="00084B38">
        <w:rPr>
          <w:rFonts w:ascii="SimSun" w:eastAsia="SimSun" w:hAnsi="SimSun" w:hint="eastAsia"/>
          <w:sz w:val="21"/>
        </w:rPr>
        <w:t>）</w:t>
      </w:r>
    </w:p>
    <w:p w14:paraId="4AB131C7" w14:textId="675A52E2"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Pr>
          <w:rFonts w:ascii="SimSun" w:hAnsi="SimSun" w:hint="eastAsia"/>
          <w:sz w:val="21"/>
        </w:rPr>
        <w:t>NARF</w:t>
      </w:r>
      <w:r w:rsidRPr="008A6160">
        <w:rPr>
          <w:rFonts w:ascii="SimSun" w:hAnsi="SimSun" w:hint="eastAsia"/>
          <w:sz w:val="21"/>
        </w:rPr>
        <w:t>成立于</w:t>
      </w:r>
      <w:r>
        <w:rPr>
          <w:rFonts w:ascii="SimSun" w:hAnsi="SimSun" w:hint="eastAsia"/>
          <w:sz w:val="21"/>
        </w:rPr>
        <w:t>1970</w:t>
      </w:r>
      <w:r w:rsidRPr="008A6160">
        <w:rPr>
          <w:rFonts w:ascii="SimSun" w:hAnsi="SimSun" w:hint="eastAsia"/>
          <w:sz w:val="21"/>
        </w:rPr>
        <w:t>年，总部设在</w:t>
      </w:r>
      <w:r>
        <w:rPr>
          <w:rFonts w:ascii="SimSun" w:hAnsi="SimSun" w:hint="eastAsia"/>
          <w:sz w:val="21"/>
        </w:rPr>
        <w:t>美利坚合众国科罗拉多州</w:t>
      </w:r>
      <w:r w:rsidRPr="004B1975">
        <w:rPr>
          <w:rFonts w:ascii="SimSun" w:hAnsi="SimSun" w:hint="eastAsia"/>
          <w:sz w:val="21"/>
        </w:rPr>
        <w:t>博尔德</w:t>
      </w:r>
      <w:r w:rsidRPr="008A6160">
        <w:rPr>
          <w:rFonts w:ascii="SimSun" w:hAnsi="SimSun" w:hint="eastAsia"/>
          <w:sz w:val="21"/>
        </w:rPr>
        <w:t>。</w:t>
      </w:r>
    </w:p>
    <w:p w14:paraId="0ACF8ABE" w14:textId="6BF5A834"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w:t>
      </w:r>
      <w:r w:rsidRPr="004B1975">
        <w:rPr>
          <w:rFonts w:ascii="SimSun" w:hAnsi="SimSun"/>
          <w:iCs/>
          <w:sz w:val="21"/>
          <w:szCs w:val="22"/>
        </w:rPr>
        <w:t>NARF</w:t>
      </w:r>
      <w:r>
        <w:rPr>
          <w:rFonts w:ascii="SimSun" w:hAnsi="SimSun" w:hint="eastAsia"/>
          <w:iCs/>
          <w:sz w:val="21"/>
          <w:szCs w:val="22"/>
        </w:rPr>
        <w:t>是一个全国</w:t>
      </w:r>
      <w:r w:rsidR="00541D63">
        <w:rPr>
          <w:rFonts w:ascii="SimSun" w:hAnsi="SimSun" w:hint="eastAsia"/>
          <w:iCs/>
          <w:sz w:val="21"/>
          <w:szCs w:val="22"/>
        </w:rPr>
        <w:t>性</w:t>
      </w:r>
      <w:r>
        <w:rPr>
          <w:rFonts w:ascii="SimSun" w:hAnsi="SimSun" w:hint="eastAsia"/>
          <w:iCs/>
          <w:sz w:val="21"/>
          <w:szCs w:val="22"/>
        </w:rPr>
        <w:t>辩护基金，业务全部为慈善和教育目的，专门致力于在美利坚合众国主张和捍卫印第安人部落、部落组织和个人印第安人的权利。NARF的五个优先事项是：维护部落存在，保护部落自然资源，促进美洲土著人人权，政府接受美洲土著人问责，以及发展印第安法</w:t>
      </w:r>
      <w:r w:rsidR="005A5084">
        <w:rPr>
          <w:rFonts w:ascii="SimSun" w:hAnsi="SimSun" w:hint="eastAsia"/>
          <w:iCs/>
          <w:sz w:val="21"/>
          <w:szCs w:val="22"/>
        </w:rPr>
        <w:t>并就印第安人权利、法律和议题教育公众。</w:t>
      </w:r>
    </w:p>
    <w:p w14:paraId="570A60A1" w14:textId="1BD8CDC2" w:rsidR="004B1975" w:rsidRPr="008A6160" w:rsidRDefault="004B1975" w:rsidP="004B1975">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w:t>
      </w:r>
      <w:r w:rsidR="008B2A49">
        <w:rPr>
          <w:rFonts w:ascii="SimSun" w:hAnsi="SimSun" w:hint="eastAsia"/>
          <w:iCs/>
          <w:sz w:val="21"/>
          <w:szCs w:val="22"/>
        </w:rPr>
        <w:t>NARF</w:t>
      </w:r>
      <w:r w:rsidRPr="008A6160">
        <w:rPr>
          <w:rFonts w:ascii="SimSun" w:hAnsi="SimSun" w:hint="eastAsia"/>
          <w:iCs/>
          <w:sz w:val="21"/>
          <w:szCs w:val="22"/>
        </w:rPr>
        <w:t>的理事机构</w:t>
      </w:r>
      <w:r w:rsidR="008B2A49">
        <w:rPr>
          <w:rFonts w:ascii="SimSun" w:hAnsi="SimSun" w:hint="eastAsia"/>
          <w:iCs/>
          <w:sz w:val="21"/>
          <w:szCs w:val="22"/>
        </w:rPr>
        <w:t>是由土著人组成的有13个成员的董事会，以及董事会的执行委员会，执行委员会包括主席</w:t>
      </w:r>
      <w:r w:rsidR="00541D63">
        <w:rPr>
          <w:rFonts w:ascii="SimSun" w:hAnsi="SimSun" w:hint="eastAsia"/>
          <w:iCs/>
          <w:sz w:val="21"/>
          <w:szCs w:val="22"/>
        </w:rPr>
        <w:t>、</w:t>
      </w:r>
      <w:r w:rsidR="008B2A49">
        <w:rPr>
          <w:rFonts w:ascii="SimSun" w:hAnsi="SimSun" w:hint="eastAsia"/>
          <w:iCs/>
          <w:sz w:val="21"/>
          <w:szCs w:val="22"/>
        </w:rPr>
        <w:t>副主席和司库。</w:t>
      </w:r>
    </w:p>
    <w:p w14:paraId="4429F6E0" w14:textId="2DC0E66B"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成员：</w:t>
      </w:r>
      <w:r w:rsidR="008B2A49">
        <w:rPr>
          <w:rFonts w:ascii="SimSun" w:hAnsi="SimSun" w:hint="eastAsia"/>
          <w:iCs/>
          <w:sz w:val="21"/>
          <w:szCs w:val="22"/>
        </w:rPr>
        <w:t>NARF不是一个成员制组织</w:t>
      </w:r>
      <w:r w:rsidRPr="008A6160">
        <w:rPr>
          <w:rFonts w:ascii="SimSun" w:hAnsi="SimSun" w:hint="eastAsia"/>
          <w:iCs/>
          <w:sz w:val="21"/>
          <w:szCs w:val="22"/>
        </w:rPr>
        <w:t>。</w:t>
      </w:r>
    </w:p>
    <w:p w14:paraId="0C23F95A" w14:textId="77777777" w:rsidR="00356DAD" w:rsidRPr="00084B38" w:rsidRDefault="00F115A0" w:rsidP="00126B74">
      <w:pPr>
        <w:pStyle w:val="Heading5"/>
        <w:rPr>
          <w:rFonts w:ascii="SimSun" w:eastAsia="SimSun" w:hAnsi="SimSun"/>
          <w:sz w:val="21"/>
        </w:rPr>
      </w:pPr>
      <w:r w:rsidRPr="00084B38">
        <w:rPr>
          <w:rFonts w:ascii="SimSun" w:eastAsia="SimSun" w:hAnsi="SimSun" w:hint="eastAsia"/>
          <w:sz w:val="21"/>
        </w:rPr>
        <w:t>广播组织专业联盟（RATEM）</w:t>
      </w:r>
    </w:p>
    <w:p w14:paraId="5B21B4E8"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总部：RATEM成立于2001年，总部设在土耳其伊斯坦布尔。</w:t>
      </w:r>
    </w:p>
    <w:p w14:paraId="3725FF80"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目标：RATEM是一个集体管理组织，代表</w:t>
      </w:r>
      <w:r w:rsidRPr="00CE66B6">
        <w:rPr>
          <w:rFonts w:ascii="SimSun" w:hAnsi="SimSun" w:hint="eastAsia"/>
          <w:sz w:val="21"/>
        </w:rPr>
        <w:t>广播</w:t>
      </w:r>
      <w:r w:rsidRPr="008A6160">
        <w:rPr>
          <w:rFonts w:ascii="SimSun" w:hAnsi="SimSun" w:hint="eastAsia"/>
          <w:iCs/>
          <w:sz w:val="21"/>
          <w:szCs w:val="22"/>
        </w:rPr>
        <w:t>和电视播出组织就关于与其广播相关的权利实践而采取行动。因此，RATEM的目标尤其是保护相关权利人的联合利益，确保授予权利的管理，以及向权利人分发收取的费用。</w:t>
      </w:r>
    </w:p>
    <w:p w14:paraId="4EBDA00A" w14:textId="1FC81DFE" w:rsidR="005F312C" w:rsidRPr="008A6160" w:rsidRDefault="00F115A0"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结构：RATEM的机构包括大会、董事会、</w:t>
      </w:r>
      <w:r w:rsidRPr="00CE66B6">
        <w:rPr>
          <w:rFonts w:ascii="SimSun" w:hAnsi="SimSun" w:hint="eastAsia"/>
          <w:sz w:val="21"/>
        </w:rPr>
        <w:t>审计</w:t>
      </w:r>
      <w:r w:rsidRPr="008A6160">
        <w:rPr>
          <w:rFonts w:ascii="SimSun" w:hAnsi="SimSun" w:hint="eastAsia"/>
          <w:iCs/>
          <w:sz w:val="21"/>
          <w:szCs w:val="22"/>
        </w:rPr>
        <w:t>委员会、技术科学委员会和荣誉委员会。董事会</w:t>
      </w:r>
      <w:r w:rsidR="009742A8" w:rsidRPr="008A6160">
        <w:rPr>
          <w:rFonts w:ascii="SimSun" w:hAnsi="SimSun" w:hint="eastAsia"/>
          <w:iCs/>
          <w:sz w:val="21"/>
          <w:szCs w:val="22"/>
        </w:rPr>
        <w:t>由</w:t>
      </w:r>
      <w:r w:rsidR="00084B38" w:rsidRPr="008A6160">
        <w:rPr>
          <w:rFonts w:ascii="SimSun" w:hAnsi="SimSun" w:hint="eastAsia"/>
          <w:iCs/>
          <w:sz w:val="21"/>
          <w:szCs w:val="22"/>
        </w:rPr>
        <w:t>至少</w:t>
      </w:r>
      <w:r w:rsidR="009742A8" w:rsidRPr="008A6160">
        <w:rPr>
          <w:rFonts w:ascii="SimSun" w:hAnsi="SimSun" w:hint="eastAsia"/>
          <w:iCs/>
          <w:sz w:val="21"/>
          <w:szCs w:val="22"/>
        </w:rPr>
        <w:t>九名大会选举的成员组成。RATEM由其董事会主席代表。</w:t>
      </w:r>
    </w:p>
    <w:p w14:paraId="5BB1871B" w14:textId="77777777" w:rsidR="009742A8" w:rsidRPr="008A6160" w:rsidRDefault="009742A8"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成员：RATEM拥有780个国家、地区和当地广播成员。</w:t>
      </w:r>
    </w:p>
    <w:p w14:paraId="44991117" w14:textId="77777777" w:rsidR="000765C4" w:rsidRPr="00CE66B6" w:rsidRDefault="009742A8"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[附件二和文件完]</w:t>
      </w:r>
    </w:p>
    <w:sectPr w:rsidR="000765C4" w:rsidRPr="00CE66B6" w:rsidSect="00CE66B6">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3530E" w14:textId="77777777" w:rsidR="00356DAD" w:rsidRDefault="00356DAD">
      <w:r>
        <w:separator/>
      </w:r>
    </w:p>
  </w:endnote>
  <w:endnote w:type="continuationSeparator" w:id="0">
    <w:p w14:paraId="26E83C37" w14:textId="77777777" w:rsidR="00356DAD" w:rsidRDefault="00356DAD" w:rsidP="003B38C1">
      <w:r>
        <w:separator/>
      </w:r>
    </w:p>
    <w:p w14:paraId="365AC998" w14:textId="77777777" w:rsidR="00356DAD" w:rsidRPr="003B38C1" w:rsidRDefault="00356DAD" w:rsidP="003B38C1">
      <w:pPr>
        <w:spacing w:after="60"/>
        <w:rPr>
          <w:sz w:val="17"/>
        </w:rPr>
      </w:pPr>
      <w:r>
        <w:rPr>
          <w:sz w:val="17"/>
        </w:rPr>
        <w:t>[Endnote continued from previous page]</w:t>
      </w:r>
    </w:p>
  </w:endnote>
  <w:endnote w:type="continuationNotice" w:id="1">
    <w:p w14:paraId="6CCCB106" w14:textId="77777777" w:rsidR="00356DAD" w:rsidRPr="003B38C1" w:rsidRDefault="00356D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altName w:val="Malgun Gothic Semilight"/>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328A" w14:textId="77777777" w:rsidR="00E65F3D" w:rsidRPr="008A6160" w:rsidRDefault="00E65F3D">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B5D5" w14:textId="77777777" w:rsidR="00E65F3D" w:rsidRPr="008A6160" w:rsidRDefault="00E65F3D">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F4B7" w14:textId="77777777" w:rsidR="00356DAD" w:rsidRDefault="00356DAD">
      <w:r>
        <w:separator/>
      </w:r>
    </w:p>
  </w:footnote>
  <w:footnote w:type="continuationSeparator" w:id="0">
    <w:p w14:paraId="2233F617" w14:textId="77777777" w:rsidR="00356DAD" w:rsidRDefault="00356DAD" w:rsidP="008B60B2">
      <w:r>
        <w:separator/>
      </w:r>
    </w:p>
    <w:p w14:paraId="3E74A506" w14:textId="77777777" w:rsidR="00356DAD" w:rsidRPr="00ED77FB" w:rsidRDefault="00356DAD" w:rsidP="008B60B2">
      <w:pPr>
        <w:spacing w:after="60"/>
        <w:rPr>
          <w:sz w:val="17"/>
          <w:szCs w:val="17"/>
        </w:rPr>
      </w:pPr>
      <w:r w:rsidRPr="00ED77FB">
        <w:rPr>
          <w:sz w:val="17"/>
          <w:szCs w:val="17"/>
        </w:rPr>
        <w:t>[Footnote continued from previous page]</w:t>
      </w:r>
    </w:p>
  </w:footnote>
  <w:footnote w:type="continuationNotice" w:id="1">
    <w:p w14:paraId="3D688DAD" w14:textId="77777777" w:rsidR="00356DAD" w:rsidRPr="00ED77FB" w:rsidRDefault="00356DAD" w:rsidP="008B60B2">
      <w:pPr>
        <w:spacing w:before="60"/>
        <w:jc w:val="right"/>
        <w:rPr>
          <w:sz w:val="17"/>
          <w:szCs w:val="17"/>
        </w:rPr>
      </w:pPr>
      <w:r w:rsidRPr="00ED77FB">
        <w:rPr>
          <w:sz w:val="17"/>
          <w:szCs w:val="17"/>
        </w:rPr>
        <w:t>[Footnote continued on next page]</w:t>
      </w:r>
    </w:p>
  </w:footnote>
  <w:footnote w:id="2">
    <w:p w14:paraId="38830BA4" w14:textId="77777777" w:rsidR="00356DAD" w:rsidRPr="008A6160" w:rsidRDefault="00356DAD" w:rsidP="00126B74">
      <w:pPr>
        <w:pStyle w:val="FootnoteText"/>
        <w:jc w:val="both"/>
        <w:rPr>
          <w:rFonts w:ascii="SimSun" w:hAnsi="SimSun"/>
        </w:rPr>
      </w:pPr>
      <w:r w:rsidRPr="008A6160">
        <w:rPr>
          <w:rStyle w:val="FootnoteReference"/>
          <w:rFonts w:ascii="SimSun" w:hAnsi="SimSun"/>
        </w:rPr>
        <w:footnoteRef/>
      </w:r>
      <w:r w:rsidRPr="008A6160">
        <w:rPr>
          <w:rFonts w:ascii="SimSun" w:hAnsi="SimSun"/>
        </w:rPr>
        <w:tab/>
      </w:r>
      <w:r w:rsidR="00BE4C9E" w:rsidRPr="008A6160">
        <w:rPr>
          <w:rFonts w:ascii="SimSun" w:hAnsi="SimSun" w:hint="eastAsia"/>
        </w:rPr>
        <w:t>关于在2002年9月23日至10月1日举行的第三十七届系列会议上成员国大会通过的适用于邀请国家非政府组织为观察员的原则</w:t>
      </w:r>
      <w:r w:rsidR="00A37594" w:rsidRPr="008A6160">
        <w:rPr>
          <w:rFonts w:ascii="SimSun" w:hAnsi="SimSun" w:hint="eastAsia"/>
        </w:rPr>
        <w:t>，</w:t>
      </w:r>
      <w:r w:rsidR="00BE4C9E" w:rsidRPr="008A6160">
        <w:rPr>
          <w:rFonts w:ascii="SimSun" w:hAnsi="SimSun" w:hint="eastAsia"/>
        </w:rPr>
        <w:t>见文件A/37/14第316段。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5826" w14:textId="77777777" w:rsidR="00356DAD" w:rsidRPr="00084B38" w:rsidRDefault="00356DAD" w:rsidP="00EA066B">
    <w:pPr>
      <w:jc w:val="right"/>
      <w:rPr>
        <w:rFonts w:ascii="SimSun" w:hAnsi="SimSun"/>
        <w:sz w:val="21"/>
      </w:rPr>
    </w:pPr>
    <w:r w:rsidRPr="00084B38">
      <w:rPr>
        <w:rFonts w:ascii="SimSun" w:hAnsi="SimSun"/>
        <w:sz w:val="21"/>
      </w:rPr>
      <w:t>A/59/</w:t>
    </w:r>
    <w:proofErr w:type="gramStart"/>
    <w:r w:rsidRPr="00084B38">
      <w:rPr>
        <w:rFonts w:ascii="SimSun" w:hAnsi="SimSun"/>
        <w:sz w:val="21"/>
      </w:rPr>
      <w:t>??</w:t>
    </w:r>
    <w:proofErr w:type="gramEnd"/>
  </w:p>
  <w:p w14:paraId="1DC15CE8" w14:textId="77777777" w:rsidR="00356DAD" w:rsidRPr="008A6160" w:rsidRDefault="00356DAD" w:rsidP="00EA06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E0F4" w14:textId="63EF8358" w:rsidR="00356DAD" w:rsidRPr="008A6160" w:rsidRDefault="00356DAD" w:rsidP="00821151">
    <w:pPr>
      <w:wordWrap w:val="0"/>
      <w:jc w:val="right"/>
      <w:rPr>
        <w:rFonts w:ascii="SimSun" w:hAnsi="SimSun"/>
        <w:sz w:val="21"/>
      </w:rPr>
    </w:pPr>
    <w:bookmarkStart w:id="6" w:name="Code2"/>
    <w:bookmarkEnd w:id="6"/>
    <w:r w:rsidRPr="008A6160">
      <w:rPr>
        <w:rFonts w:ascii="SimSun" w:hAnsi="SimSun"/>
        <w:sz w:val="21"/>
      </w:rPr>
      <w:t>A/59/</w:t>
    </w:r>
    <w:r w:rsidR="00D85DD7" w:rsidRPr="008A6160">
      <w:rPr>
        <w:rFonts w:ascii="SimSun" w:hAnsi="SimSun"/>
        <w:sz w:val="21"/>
      </w:rPr>
      <w:t>3</w:t>
    </w:r>
    <w:r w:rsidR="00821151">
      <w:rPr>
        <w:rFonts w:ascii="SimSun" w:hAnsi="SimSun"/>
        <w:sz w:val="21"/>
      </w:rPr>
      <w:t xml:space="preserve"> Rev.</w:t>
    </w:r>
  </w:p>
  <w:p w14:paraId="2DAEBCFE" w14:textId="23A5C4BE" w:rsidR="00D85DD7" w:rsidRPr="008A6160" w:rsidRDefault="00CE66B6" w:rsidP="00EA066B">
    <w:pPr>
      <w:jc w:val="right"/>
      <w:rPr>
        <w:rFonts w:ascii="SimSun" w:hAnsi="SimSun"/>
        <w:sz w:val="21"/>
      </w:rPr>
    </w:pPr>
    <w:r>
      <w:rPr>
        <w:rFonts w:ascii="SimSun" w:hAnsi="SimSun" w:hint="eastAsia"/>
        <w:sz w:val="21"/>
      </w:rPr>
      <w:t>第</w:t>
    </w:r>
    <w:r w:rsidR="00D85DD7" w:rsidRPr="008A6160">
      <w:rPr>
        <w:rFonts w:ascii="SimSun" w:hAnsi="SimSun"/>
        <w:sz w:val="21"/>
      </w:rPr>
      <w:t>2</w:t>
    </w:r>
    <w:r>
      <w:rPr>
        <w:rFonts w:ascii="SimSun" w:hAnsi="SimSun" w:hint="eastAsia"/>
        <w:sz w:val="21"/>
      </w:rPr>
      <w:t>页</w:t>
    </w:r>
  </w:p>
  <w:p w14:paraId="239539A3" w14:textId="77777777" w:rsidR="00356DAD" w:rsidRPr="008A6160" w:rsidRDefault="00356DAD" w:rsidP="006B092A">
    <w:pPr>
      <w:pStyle w:val="Heade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E382" w14:textId="77777777" w:rsidR="00E65F3D" w:rsidRPr="008A6160" w:rsidRDefault="00E65F3D" w:rsidP="00EA066B">
    <w:pPr>
      <w:jc w:val="right"/>
      <w:rPr>
        <w:rFonts w:ascii="SimSun" w:hAnsi="SimSun"/>
        <w:sz w:val="21"/>
      </w:rPr>
    </w:pPr>
    <w:r w:rsidRPr="008A6160">
      <w:rPr>
        <w:rFonts w:ascii="SimSun" w:hAnsi="SimSun"/>
        <w:sz w:val="21"/>
      </w:rPr>
      <w:t>A/59/3</w:t>
    </w:r>
  </w:p>
  <w:p w14:paraId="2B47ABB3" w14:textId="77777777" w:rsidR="00E65F3D" w:rsidRPr="008A6160" w:rsidRDefault="00E65F3D" w:rsidP="00EA066B">
    <w:pPr>
      <w:jc w:val="right"/>
      <w:rPr>
        <w:rFonts w:ascii="SimSun" w:hAnsi="SimSun"/>
        <w:sz w:val="21"/>
      </w:rPr>
    </w:pPr>
    <w:r w:rsidRPr="008A6160">
      <w:rPr>
        <w:rFonts w:ascii="SimSun" w:hAnsi="SimSun"/>
        <w:sz w:val="21"/>
      </w:rPr>
      <w:t>Annex I, page 2</w:t>
    </w:r>
  </w:p>
  <w:p w14:paraId="7792B1B7" w14:textId="77777777" w:rsidR="00E65F3D" w:rsidRPr="008A6160" w:rsidRDefault="00E65F3D" w:rsidP="006B092A">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286A" w14:textId="2E5C0B31" w:rsidR="00D85DD7" w:rsidRPr="008A6160" w:rsidRDefault="00D85DD7" w:rsidP="00821151">
    <w:pPr>
      <w:pStyle w:val="Header"/>
      <w:wordWrap w:val="0"/>
      <w:jc w:val="right"/>
      <w:rPr>
        <w:rFonts w:ascii="SimSun" w:hAnsi="SimSun"/>
        <w:sz w:val="21"/>
      </w:rPr>
    </w:pPr>
    <w:r w:rsidRPr="008A6160">
      <w:rPr>
        <w:rFonts w:ascii="SimSun" w:hAnsi="SimSun"/>
        <w:sz w:val="21"/>
      </w:rPr>
      <w:t>A/59/3</w:t>
    </w:r>
    <w:r w:rsidR="00821151">
      <w:rPr>
        <w:rFonts w:ascii="SimSun" w:hAnsi="SimSun"/>
        <w:sz w:val="21"/>
      </w:rPr>
      <w:t xml:space="preserve"> Rev.</w:t>
    </w:r>
  </w:p>
  <w:p w14:paraId="4C44300A" w14:textId="7AAB3903" w:rsidR="00D85DD7" w:rsidRPr="008A6160" w:rsidRDefault="00CE66B6" w:rsidP="00D85DD7">
    <w:pPr>
      <w:pStyle w:val="Header"/>
      <w:jc w:val="right"/>
      <w:rPr>
        <w:rFonts w:ascii="SimSun" w:hAnsi="SimSun"/>
        <w:sz w:val="21"/>
      </w:rPr>
    </w:pPr>
    <w:r>
      <w:rPr>
        <w:rFonts w:ascii="SimSun" w:hAnsi="SimSun" w:hint="eastAsia"/>
        <w:sz w:val="21"/>
      </w:rPr>
      <w:t>附件一</w:t>
    </w:r>
  </w:p>
  <w:p w14:paraId="6EF3DF0C" w14:textId="77777777" w:rsidR="00BB09F5" w:rsidRPr="008A6160" w:rsidRDefault="00BB09F5" w:rsidP="00D85DD7">
    <w:pPr>
      <w:pStyle w:val="Heade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9789" w14:textId="4ABBD45E" w:rsidR="003D2030" w:rsidRPr="008A6160" w:rsidRDefault="00356DAD" w:rsidP="00821151">
    <w:pPr>
      <w:wordWrap w:val="0"/>
      <w:jc w:val="right"/>
      <w:rPr>
        <w:rFonts w:ascii="SimSun" w:hAnsi="SimSun"/>
        <w:sz w:val="21"/>
      </w:rPr>
    </w:pPr>
    <w:r w:rsidRPr="008A6160">
      <w:rPr>
        <w:rFonts w:ascii="SimSun" w:hAnsi="SimSun"/>
        <w:sz w:val="21"/>
      </w:rPr>
      <w:t>A/59</w:t>
    </w:r>
    <w:r w:rsidR="00D85DD7" w:rsidRPr="008A6160">
      <w:rPr>
        <w:rFonts w:ascii="SimSun" w:hAnsi="SimSun"/>
        <w:sz w:val="21"/>
      </w:rPr>
      <w:t>/3</w:t>
    </w:r>
    <w:r w:rsidR="00821151">
      <w:rPr>
        <w:rFonts w:ascii="SimSun" w:hAnsi="SimSun"/>
        <w:sz w:val="21"/>
      </w:rPr>
      <w:t xml:space="preserve"> Rev.</w:t>
    </w:r>
  </w:p>
  <w:p w14:paraId="3FE43B7C" w14:textId="6CA5FA96" w:rsidR="00EC4E49" w:rsidRPr="008A6160" w:rsidRDefault="00541D63" w:rsidP="00477D6B">
    <w:pPr>
      <w:jc w:val="right"/>
      <w:rPr>
        <w:rFonts w:ascii="SimSun" w:hAnsi="SimSun"/>
        <w:sz w:val="21"/>
      </w:rPr>
    </w:pPr>
    <w:r>
      <w:rPr>
        <w:rFonts w:ascii="SimSun" w:hAnsi="SimSun" w:hint="eastAsia"/>
        <w:sz w:val="21"/>
      </w:rPr>
      <w:t>附件二第</w:t>
    </w:r>
    <w:r w:rsidR="00EC4E49" w:rsidRPr="008A6160">
      <w:rPr>
        <w:rFonts w:ascii="SimSun" w:hAnsi="SimSun"/>
        <w:sz w:val="21"/>
      </w:rPr>
      <w:fldChar w:fldCharType="begin"/>
    </w:r>
    <w:r w:rsidR="00EC4E49" w:rsidRPr="008A6160">
      <w:rPr>
        <w:rFonts w:ascii="SimSun" w:hAnsi="SimSun"/>
        <w:sz w:val="21"/>
      </w:rPr>
      <w:instrText xml:space="preserve"> PAGE  \* MERGEFORMAT </w:instrText>
    </w:r>
    <w:r w:rsidR="00EC4E49" w:rsidRPr="008A6160">
      <w:rPr>
        <w:rFonts w:ascii="SimSun" w:hAnsi="SimSun"/>
        <w:sz w:val="21"/>
      </w:rPr>
      <w:fldChar w:fldCharType="separate"/>
    </w:r>
    <w:r w:rsidR="00245115">
      <w:rPr>
        <w:rFonts w:ascii="SimSun" w:hAnsi="SimSun"/>
        <w:noProof/>
        <w:sz w:val="21"/>
      </w:rPr>
      <w:t>2</w:t>
    </w:r>
    <w:r w:rsidR="00EC4E49" w:rsidRPr="008A6160">
      <w:rPr>
        <w:rFonts w:ascii="SimSun" w:hAnsi="SimSun"/>
        <w:sz w:val="21"/>
      </w:rPr>
      <w:fldChar w:fldCharType="end"/>
    </w:r>
    <w:r>
      <w:rPr>
        <w:rFonts w:ascii="SimSun" w:hAnsi="SimSun" w:hint="eastAsia"/>
        <w:sz w:val="21"/>
      </w:rPr>
      <w:t>页</w:t>
    </w:r>
  </w:p>
  <w:p w14:paraId="31CAE049" w14:textId="77777777" w:rsidR="00EC4E49" w:rsidRPr="008A6160" w:rsidRDefault="00EC4E49"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979A" w14:textId="42C3D15E" w:rsidR="003C2D56" w:rsidRDefault="003C2D56" w:rsidP="00821151">
    <w:pPr>
      <w:pStyle w:val="Header"/>
      <w:wordWrap w:val="0"/>
      <w:jc w:val="right"/>
      <w:rPr>
        <w:rFonts w:ascii="SimSun" w:hAnsi="SimSun"/>
        <w:sz w:val="21"/>
      </w:rPr>
    </w:pPr>
    <w:r w:rsidRPr="008A6160">
      <w:rPr>
        <w:rFonts w:ascii="SimSun" w:hAnsi="SimSun"/>
        <w:sz w:val="21"/>
      </w:rPr>
      <w:t>A/59/3</w:t>
    </w:r>
    <w:r w:rsidR="00821151">
      <w:rPr>
        <w:rFonts w:ascii="SimSun" w:hAnsi="SimSun"/>
        <w:sz w:val="21"/>
      </w:rPr>
      <w:t xml:space="preserve"> Rev.</w:t>
    </w:r>
  </w:p>
  <w:p w14:paraId="66D16157" w14:textId="7592D728" w:rsidR="00CE66B6" w:rsidRDefault="00CE66B6" w:rsidP="00CE66B6">
    <w:pPr>
      <w:jc w:val="right"/>
      <w:rPr>
        <w:rFonts w:ascii="SimSun" w:hAnsi="SimSun"/>
        <w:sz w:val="21"/>
      </w:rPr>
    </w:pPr>
    <w:r w:rsidRPr="008A6160">
      <w:rPr>
        <w:rFonts w:ascii="SimSun" w:hAnsi="SimSun" w:hint="eastAsia"/>
        <w:sz w:val="21"/>
      </w:rPr>
      <w:t>附件二</w:t>
    </w:r>
  </w:p>
  <w:p w14:paraId="1D5508F4" w14:textId="77777777" w:rsidR="00CE66B6" w:rsidRPr="008A6160" w:rsidRDefault="00CE66B6" w:rsidP="00CE66B6">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C32F5C"/>
    <w:multiLevelType w:val="hybridMultilevel"/>
    <w:tmpl w:val="26B42B6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9EF0C8F"/>
    <w:multiLevelType w:val="hybridMultilevel"/>
    <w:tmpl w:val="272ADC74"/>
    <w:lvl w:ilvl="0" w:tplc="0E86A5D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AC1B36"/>
    <w:multiLevelType w:val="hybridMultilevel"/>
    <w:tmpl w:val="8C704D6A"/>
    <w:lvl w:ilvl="0" w:tplc="99AE171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9"/>
  </w:num>
  <w:num w:numId="5">
    <w:abstractNumId w:val="1"/>
  </w:num>
  <w:num w:numId="6">
    <w:abstractNumId w:val="5"/>
  </w:num>
  <w:num w:numId="7">
    <w:abstractNumId w:val="2"/>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D"/>
    <w:rsid w:val="00016B02"/>
    <w:rsid w:val="00043CAA"/>
    <w:rsid w:val="00075432"/>
    <w:rsid w:val="000765C4"/>
    <w:rsid w:val="00084B38"/>
    <w:rsid w:val="000968ED"/>
    <w:rsid w:val="000B14EC"/>
    <w:rsid w:val="000C117A"/>
    <w:rsid w:val="000C6FD3"/>
    <w:rsid w:val="000E6FDE"/>
    <w:rsid w:val="000F5E56"/>
    <w:rsid w:val="00101E34"/>
    <w:rsid w:val="0010331B"/>
    <w:rsid w:val="00126B74"/>
    <w:rsid w:val="00135AA9"/>
    <w:rsid w:val="001362EE"/>
    <w:rsid w:val="00136461"/>
    <w:rsid w:val="00156693"/>
    <w:rsid w:val="001647D5"/>
    <w:rsid w:val="001764D0"/>
    <w:rsid w:val="001832A6"/>
    <w:rsid w:val="001A7F7B"/>
    <w:rsid w:val="001E4E00"/>
    <w:rsid w:val="0021217E"/>
    <w:rsid w:val="002211DC"/>
    <w:rsid w:val="00230C76"/>
    <w:rsid w:val="00245115"/>
    <w:rsid w:val="0025768B"/>
    <w:rsid w:val="002577B7"/>
    <w:rsid w:val="002634C4"/>
    <w:rsid w:val="002928D3"/>
    <w:rsid w:val="002B52D4"/>
    <w:rsid w:val="002F1FE6"/>
    <w:rsid w:val="002F4E68"/>
    <w:rsid w:val="00312F7F"/>
    <w:rsid w:val="003178BA"/>
    <w:rsid w:val="00322852"/>
    <w:rsid w:val="00350AE2"/>
    <w:rsid w:val="00356DAD"/>
    <w:rsid w:val="00361450"/>
    <w:rsid w:val="003673CF"/>
    <w:rsid w:val="00374266"/>
    <w:rsid w:val="00374386"/>
    <w:rsid w:val="003845C1"/>
    <w:rsid w:val="003A6F89"/>
    <w:rsid w:val="003B38C1"/>
    <w:rsid w:val="003C2D56"/>
    <w:rsid w:val="003D2030"/>
    <w:rsid w:val="003D57B0"/>
    <w:rsid w:val="00423E3E"/>
    <w:rsid w:val="00427AF4"/>
    <w:rsid w:val="00433114"/>
    <w:rsid w:val="004647DA"/>
    <w:rsid w:val="00474062"/>
    <w:rsid w:val="00477D6B"/>
    <w:rsid w:val="004B1975"/>
    <w:rsid w:val="004C543D"/>
    <w:rsid w:val="005019FF"/>
    <w:rsid w:val="00502EC7"/>
    <w:rsid w:val="00520297"/>
    <w:rsid w:val="005277ED"/>
    <w:rsid w:val="0053057A"/>
    <w:rsid w:val="00541D63"/>
    <w:rsid w:val="0055352A"/>
    <w:rsid w:val="00560A29"/>
    <w:rsid w:val="005A5084"/>
    <w:rsid w:val="005C6649"/>
    <w:rsid w:val="005F312C"/>
    <w:rsid w:val="00605827"/>
    <w:rsid w:val="0063357E"/>
    <w:rsid w:val="00646050"/>
    <w:rsid w:val="006713CA"/>
    <w:rsid w:val="00676C5C"/>
    <w:rsid w:val="006B092A"/>
    <w:rsid w:val="006E4F5F"/>
    <w:rsid w:val="006F6945"/>
    <w:rsid w:val="0074326B"/>
    <w:rsid w:val="00773F9B"/>
    <w:rsid w:val="007B11C4"/>
    <w:rsid w:val="007C47BE"/>
    <w:rsid w:val="007D1613"/>
    <w:rsid w:val="007E4C0E"/>
    <w:rsid w:val="00821151"/>
    <w:rsid w:val="00860537"/>
    <w:rsid w:val="00877718"/>
    <w:rsid w:val="008A134B"/>
    <w:rsid w:val="008A6160"/>
    <w:rsid w:val="008B2A49"/>
    <w:rsid w:val="008B2CC1"/>
    <w:rsid w:val="008B37ED"/>
    <w:rsid w:val="008B60B2"/>
    <w:rsid w:val="008F1335"/>
    <w:rsid w:val="0090731E"/>
    <w:rsid w:val="00916EE2"/>
    <w:rsid w:val="00941EB5"/>
    <w:rsid w:val="00961A60"/>
    <w:rsid w:val="009640CF"/>
    <w:rsid w:val="00966A22"/>
    <w:rsid w:val="0096722F"/>
    <w:rsid w:val="00971B6A"/>
    <w:rsid w:val="009742A8"/>
    <w:rsid w:val="00980843"/>
    <w:rsid w:val="009A75F7"/>
    <w:rsid w:val="009B6548"/>
    <w:rsid w:val="009B6777"/>
    <w:rsid w:val="009C127D"/>
    <w:rsid w:val="009C7790"/>
    <w:rsid w:val="009D4663"/>
    <w:rsid w:val="009E2791"/>
    <w:rsid w:val="009E3F6F"/>
    <w:rsid w:val="009F499F"/>
    <w:rsid w:val="009F7DB0"/>
    <w:rsid w:val="00A155AA"/>
    <w:rsid w:val="00A37342"/>
    <w:rsid w:val="00A37594"/>
    <w:rsid w:val="00A42DAF"/>
    <w:rsid w:val="00A45BD8"/>
    <w:rsid w:val="00A55BD0"/>
    <w:rsid w:val="00A60843"/>
    <w:rsid w:val="00A6635C"/>
    <w:rsid w:val="00A869B7"/>
    <w:rsid w:val="00A86AB5"/>
    <w:rsid w:val="00AA2DD4"/>
    <w:rsid w:val="00AC205C"/>
    <w:rsid w:val="00AC6407"/>
    <w:rsid w:val="00AF0A6B"/>
    <w:rsid w:val="00B05A69"/>
    <w:rsid w:val="00B55CFE"/>
    <w:rsid w:val="00B8113E"/>
    <w:rsid w:val="00B91FB7"/>
    <w:rsid w:val="00B9734B"/>
    <w:rsid w:val="00BA30E2"/>
    <w:rsid w:val="00BB09F5"/>
    <w:rsid w:val="00BE3CD4"/>
    <w:rsid w:val="00BE4C9E"/>
    <w:rsid w:val="00BF7FFA"/>
    <w:rsid w:val="00C11BFE"/>
    <w:rsid w:val="00C5068F"/>
    <w:rsid w:val="00C71E95"/>
    <w:rsid w:val="00C86D74"/>
    <w:rsid w:val="00C9170E"/>
    <w:rsid w:val="00CC1132"/>
    <w:rsid w:val="00CD04F1"/>
    <w:rsid w:val="00CD7F59"/>
    <w:rsid w:val="00CE66B6"/>
    <w:rsid w:val="00D10348"/>
    <w:rsid w:val="00D340FD"/>
    <w:rsid w:val="00D44A0B"/>
    <w:rsid w:val="00D45252"/>
    <w:rsid w:val="00D66E37"/>
    <w:rsid w:val="00D71B4D"/>
    <w:rsid w:val="00D730E9"/>
    <w:rsid w:val="00D85DD7"/>
    <w:rsid w:val="00D91CDB"/>
    <w:rsid w:val="00D93D55"/>
    <w:rsid w:val="00DC0E7C"/>
    <w:rsid w:val="00DE3C52"/>
    <w:rsid w:val="00DF023A"/>
    <w:rsid w:val="00DF383E"/>
    <w:rsid w:val="00E15015"/>
    <w:rsid w:val="00E335FE"/>
    <w:rsid w:val="00E5566B"/>
    <w:rsid w:val="00E65F3D"/>
    <w:rsid w:val="00E85557"/>
    <w:rsid w:val="00EA066B"/>
    <w:rsid w:val="00EA0EA1"/>
    <w:rsid w:val="00EA7D6E"/>
    <w:rsid w:val="00EB2210"/>
    <w:rsid w:val="00EB539F"/>
    <w:rsid w:val="00EC02A7"/>
    <w:rsid w:val="00EC15C1"/>
    <w:rsid w:val="00EC4E49"/>
    <w:rsid w:val="00ED77FB"/>
    <w:rsid w:val="00EE45FA"/>
    <w:rsid w:val="00F040EB"/>
    <w:rsid w:val="00F115A0"/>
    <w:rsid w:val="00F17CBB"/>
    <w:rsid w:val="00F525A7"/>
    <w:rsid w:val="00F66152"/>
    <w:rsid w:val="00F87FB2"/>
    <w:rsid w:val="00FD53CC"/>
    <w:rsid w:val="00FE56A1"/>
    <w:rsid w:val="00FF4C01"/>
    <w:rsid w:val="00FF5FF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5BBC9A3"/>
  <w15:docId w15:val="{8310F4FA-039C-42C4-95F5-4C24884F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6461"/>
    <w:pPr>
      <w:keepNext/>
      <w:spacing w:after="600"/>
      <w:outlineLvl w:val="0"/>
    </w:pPr>
    <w:rPr>
      <w:b/>
      <w:bCs/>
      <w:kern w:val="32"/>
      <w:sz w:val="28"/>
      <w:szCs w:val="32"/>
    </w:rPr>
  </w:style>
  <w:style w:type="paragraph" w:styleId="Heading2">
    <w:name w:val="heading 2"/>
    <w:basedOn w:val="Normal"/>
    <w:next w:val="Normal"/>
    <w:link w:val="Heading2Char"/>
    <w:autoRedefine/>
    <w:qFormat/>
    <w:rsid w:val="003C2D56"/>
    <w:pPr>
      <w:keepNext/>
      <w:spacing w:after="480"/>
      <w:outlineLvl w:val="1"/>
    </w:pPr>
    <w:rPr>
      <w:bCs/>
      <w:iCs/>
      <w:caps/>
      <w:szCs w:val="28"/>
    </w:rPr>
  </w:style>
  <w:style w:type="paragraph" w:styleId="Heading3">
    <w:name w:val="heading 3"/>
    <w:basedOn w:val="Normal"/>
    <w:next w:val="Normal"/>
    <w:autoRedefine/>
    <w:qFormat/>
    <w:rsid w:val="006B092A"/>
    <w:pPr>
      <w:keepNext/>
      <w:numPr>
        <w:numId w:val="11"/>
      </w:numPr>
      <w:spacing w:before="240" w:after="220"/>
      <w:outlineLvl w:val="2"/>
    </w:pPr>
    <w:rPr>
      <w:bCs/>
      <w:caps/>
      <w:szCs w:val="26"/>
    </w:rPr>
  </w:style>
  <w:style w:type="paragraph" w:styleId="Heading4">
    <w:name w:val="heading 4"/>
    <w:basedOn w:val="Normal"/>
    <w:next w:val="Normal"/>
    <w:autoRedefine/>
    <w:qFormat/>
    <w:rsid w:val="00CE66B6"/>
    <w:pPr>
      <w:spacing w:beforeLines="50" w:before="120" w:afterLines="100" w:after="240" w:line="340" w:lineRule="atLeast"/>
      <w:outlineLvl w:val="3"/>
    </w:pPr>
    <w:rPr>
      <w:rFonts w:ascii="SimHei" w:eastAsia="SimHei" w:hAnsi="SimHei"/>
      <w:bCs/>
      <w:sz w:val="21"/>
      <w:szCs w:val="21"/>
    </w:rPr>
  </w:style>
  <w:style w:type="paragraph" w:styleId="Heading5">
    <w:name w:val="heading 5"/>
    <w:basedOn w:val="Normal"/>
    <w:next w:val="Normal"/>
    <w:link w:val="Heading5Char"/>
    <w:autoRedefine/>
    <w:qFormat/>
    <w:rsid w:val="00126B74"/>
    <w:pPr>
      <w:keepNext/>
      <w:keepLines/>
      <w:spacing w:beforeLines="100" w:before="240" w:afterLines="50" w:after="120" w:line="340" w:lineRule="atLeast"/>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26B74"/>
    <w:rPr>
      <w:rFonts w:ascii="Arial" w:eastAsiaTheme="majorEastAsia" w:hAnsi="Arial" w:cstheme="majorBidi"/>
      <w:sz w:val="22"/>
      <w:u w:val="single"/>
      <w:lang w:val="en-US" w:eastAsia="zh-CN"/>
    </w:rPr>
  </w:style>
  <w:style w:type="paragraph" w:styleId="ListParagraph">
    <w:name w:val="List Paragraph"/>
    <w:basedOn w:val="Normal"/>
    <w:uiPriority w:val="34"/>
    <w:qFormat/>
    <w:rsid w:val="00356DAD"/>
    <w:pPr>
      <w:ind w:left="720"/>
      <w:contextualSpacing/>
    </w:pPr>
    <w:rPr>
      <w:rFonts w:eastAsia="Times New Roman"/>
      <w:lang w:eastAsia="en-US"/>
    </w:rPr>
  </w:style>
  <w:style w:type="character" w:styleId="FootnoteReference">
    <w:name w:val="footnote reference"/>
    <w:basedOn w:val="DefaultParagraphFont"/>
    <w:rsid w:val="00356DAD"/>
    <w:rPr>
      <w:vertAlign w:val="superscript"/>
    </w:rPr>
  </w:style>
  <w:style w:type="character" w:customStyle="1" w:styleId="Heading2Char">
    <w:name w:val="Heading 2 Char"/>
    <w:basedOn w:val="DefaultParagraphFont"/>
    <w:link w:val="Heading2"/>
    <w:rsid w:val="003C2D56"/>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DE3C52"/>
    <w:rPr>
      <w:sz w:val="21"/>
      <w:szCs w:val="21"/>
    </w:rPr>
  </w:style>
  <w:style w:type="paragraph" w:styleId="CommentSubject">
    <w:name w:val="annotation subject"/>
    <w:basedOn w:val="CommentText"/>
    <w:next w:val="CommentText"/>
    <w:link w:val="CommentSubjectChar"/>
    <w:semiHidden/>
    <w:unhideWhenUsed/>
    <w:rsid w:val="00DE3C52"/>
    <w:rPr>
      <w:b/>
      <w:bCs/>
      <w:sz w:val="22"/>
    </w:rPr>
  </w:style>
  <w:style w:type="character" w:customStyle="1" w:styleId="CommentTextChar">
    <w:name w:val="Comment Text Char"/>
    <w:basedOn w:val="DefaultParagraphFont"/>
    <w:link w:val="CommentText"/>
    <w:semiHidden/>
    <w:rsid w:val="00DE3C5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E3C52"/>
    <w:rPr>
      <w:rFonts w:ascii="Arial" w:eastAsia="SimSun" w:hAnsi="Arial" w:cs="Arial"/>
      <w:b/>
      <w:bCs/>
      <w:sz w:val="22"/>
      <w:lang w:val="en-US" w:eastAsia="zh-CN"/>
    </w:rPr>
  </w:style>
  <w:style w:type="character" w:styleId="Hyperlink">
    <w:name w:val="Hyperlink"/>
    <w:basedOn w:val="DefaultParagraphFont"/>
    <w:unhideWhenUsed/>
    <w:rsid w:val="00DE3C52"/>
    <w:rPr>
      <w:color w:val="0000FF" w:themeColor="hyperlink"/>
      <w:u w:val="single"/>
    </w:rPr>
  </w:style>
  <w:style w:type="character" w:styleId="FollowedHyperlink">
    <w:name w:val="FollowedHyperlink"/>
    <w:basedOn w:val="DefaultParagraphFont"/>
    <w:semiHidden/>
    <w:unhideWhenUsed/>
    <w:rsid w:val="00DE3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07436">
      <w:bodyDiv w:val="1"/>
      <w:marLeft w:val="0"/>
      <w:marRight w:val="0"/>
      <w:marTop w:val="0"/>
      <w:marBottom w:val="0"/>
      <w:divBdr>
        <w:top w:val="none" w:sz="0" w:space="0" w:color="auto"/>
        <w:left w:val="none" w:sz="0" w:space="0" w:color="auto"/>
        <w:bottom w:val="none" w:sz="0" w:space="0" w:color="auto"/>
        <w:right w:val="none" w:sz="0" w:space="0" w:color="auto"/>
      </w:divBdr>
      <w:divsChild>
        <w:div w:id="9332174">
          <w:marLeft w:val="0"/>
          <w:marRight w:val="0"/>
          <w:marTop w:val="0"/>
          <w:marBottom w:val="0"/>
          <w:divBdr>
            <w:top w:val="none" w:sz="0" w:space="0" w:color="auto"/>
            <w:left w:val="none" w:sz="0" w:space="0" w:color="auto"/>
            <w:bottom w:val="none" w:sz="0" w:space="0" w:color="auto"/>
            <w:right w:val="none" w:sz="0" w:space="0" w:color="auto"/>
          </w:divBdr>
          <w:divsChild>
            <w:div w:id="397821376">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348261966">
                      <w:marLeft w:val="0"/>
                      <w:marRight w:val="0"/>
                      <w:marTop w:val="0"/>
                      <w:marBottom w:val="0"/>
                      <w:divBdr>
                        <w:top w:val="none" w:sz="0" w:space="0" w:color="auto"/>
                        <w:left w:val="none" w:sz="0" w:space="0" w:color="auto"/>
                        <w:bottom w:val="none" w:sz="0" w:space="0" w:color="auto"/>
                        <w:right w:val="none" w:sz="0" w:space="0" w:color="auto"/>
                      </w:divBdr>
                      <w:divsChild>
                        <w:div w:id="2101562701">
                          <w:marLeft w:val="0"/>
                          <w:marRight w:val="0"/>
                          <w:marTop w:val="0"/>
                          <w:marBottom w:val="0"/>
                          <w:divBdr>
                            <w:top w:val="none" w:sz="0" w:space="0" w:color="auto"/>
                            <w:left w:val="none" w:sz="0" w:space="0" w:color="auto"/>
                            <w:bottom w:val="none" w:sz="0" w:space="0" w:color="auto"/>
                            <w:right w:val="none" w:sz="0" w:space="0" w:color="auto"/>
                          </w:divBdr>
                          <w:divsChild>
                            <w:div w:id="339236927">
                              <w:marLeft w:val="0"/>
                              <w:marRight w:val="0"/>
                              <w:marTop w:val="0"/>
                              <w:marBottom w:val="0"/>
                              <w:divBdr>
                                <w:top w:val="none" w:sz="0" w:space="0" w:color="auto"/>
                                <w:left w:val="none" w:sz="0" w:space="0" w:color="auto"/>
                                <w:bottom w:val="none" w:sz="0" w:space="0" w:color="auto"/>
                                <w:right w:val="none" w:sz="0" w:space="0" w:color="auto"/>
                              </w:divBdr>
                              <w:divsChild>
                                <w:div w:id="248971928">
                                  <w:marLeft w:val="0"/>
                                  <w:marRight w:val="0"/>
                                  <w:marTop w:val="0"/>
                                  <w:marBottom w:val="0"/>
                                  <w:divBdr>
                                    <w:top w:val="none" w:sz="0" w:space="0" w:color="auto"/>
                                    <w:left w:val="none" w:sz="0" w:space="0" w:color="auto"/>
                                    <w:bottom w:val="none" w:sz="0" w:space="0" w:color="auto"/>
                                    <w:right w:val="none" w:sz="0" w:space="0" w:color="auto"/>
                                  </w:divBdr>
                                  <w:divsChild>
                                    <w:div w:id="93407427">
                                      <w:marLeft w:val="0"/>
                                      <w:marRight w:val="0"/>
                                      <w:marTop w:val="0"/>
                                      <w:marBottom w:val="0"/>
                                      <w:divBdr>
                                        <w:top w:val="none" w:sz="0" w:space="0" w:color="auto"/>
                                        <w:left w:val="none" w:sz="0" w:space="0" w:color="auto"/>
                                        <w:bottom w:val="none" w:sz="0" w:space="0" w:color="auto"/>
                                        <w:right w:val="none" w:sz="0" w:space="0" w:color="auto"/>
                                      </w:divBdr>
                                      <w:divsChild>
                                        <w:div w:id="1319533393">
                                          <w:marLeft w:val="0"/>
                                          <w:marRight w:val="0"/>
                                          <w:marTop w:val="0"/>
                                          <w:marBottom w:val="495"/>
                                          <w:divBdr>
                                            <w:top w:val="none" w:sz="0" w:space="0" w:color="auto"/>
                                            <w:left w:val="none" w:sz="0" w:space="0" w:color="auto"/>
                                            <w:bottom w:val="none" w:sz="0" w:space="0" w:color="auto"/>
                                            <w:right w:val="none" w:sz="0" w:space="0" w:color="auto"/>
                                          </w:divBdr>
                                          <w:divsChild>
                                            <w:div w:id="1595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887257">
      <w:bodyDiv w:val="1"/>
      <w:marLeft w:val="0"/>
      <w:marRight w:val="0"/>
      <w:marTop w:val="0"/>
      <w:marBottom w:val="0"/>
      <w:divBdr>
        <w:top w:val="none" w:sz="0" w:space="0" w:color="auto"/>
        <w:left w:val="none" w:sz="0" w:space="0" w:color="auto"/>
        <w:bottom w:val="none" w:sz="0" w:space="0" w:color="auto"/>
        <w:right w:val="none" w:sz="0" w:space="0" w:color="auto"/>
      </w:divBdr>
      <w:divsChild>
        <w:div w:id="940795667">
          <w:marLeft w:val="0"/>
          <w:marRight w:val="0"/>
          <w:marTop w:val="0"/>
          <w:marBottom w:val="0"/>
          <w:divBdr>
            <w:top w:val="none" w:sz="0" w:space="0" w:color="auto"/>
            <w:left w:val="none" w:sz="0" w:space="0" w:color="auto"/>
            <w:bottom w:val="none" w:sz="0" w:space="0" w:color="auto"/>
            <w:right w:val="none" w:sz="0" w:space="0" w:color="auto"/>
          </w:divBdr>
          <w:divsChild>
            <w:div w:id="2144734764">
              <w:marLeft w:val="0"/>
              <w:marRight w:val="0"/>
              <w:marTop w:val="0"/>
              <w:marBottom w:val="0"/>
              <w:divBdr>
                <w:top w:val="none" w:sz="0" w:space="0" w:color="auto"/>
                <w:left w:val="none" w:sz="0" w:space="0" w:color="auto"/>
                <w:bottom w:val="none" w:sz="0" w:space="0" w:color="auto"/>
                <w:right w:val="none" w:sz="0" w:space="0" w:color="auto"/>
              </w:divBdr>
              <w:divsChild>
                <w:div w:id="833374867">
                  <w:marLeft w:val="0"/>
                  <w:marRight w:val="0"/>
                  <w:marTop w:val="0"/>
                  <w:marBottom w:val="0"/>
                  <w:divBdr>
                    <w:top w:val="none" w:sz="0" w:space="0" w:color="auto"/>
                    <w:left w:val="none" w:sz="0" w:space="0" w:color="auto"/>
                    <w:bottom w:val="none" w:sz="0" w:space="0" w:color="auto"/>
                    <w:right w:val="none" w:sz="0" w:space="0" w:color="auto"/>
                  </w:divBdr>
                  <w:divsChild>
                    <w:div w:id="140853664">
                      <w:marLeft w:val="0"/>
                      <w:marRight w:val="0"/>
                      <w:marTop w:val="0"/>
                      <w:marBottom w:val="0"/>
                      <w:divBdr>
                        <w:top w:val="none" w:sz="0" w:space="0" w:color="auto"/>
                        <w:left w:val="none" w:sz="0" w:space="0" w:color="auto"/>
                        <w:bottom w:val="none" w:sz="0" w:space="0" w:color="auto"/>
                        <w:right w:val="none" w:sz="0" w:space="0" w:color="auto"/>
                      </w:divBdr>
                      <w:divsChild>
                        <w:div w:id="379862431">
                          <w:marLeft w:val="0"/>
                          <w:marRight w:val="0"/>
                          <w:marTop w:val="0"/>
                          <w:marBottom w:val="0"/>
                          <w:divBdr>
                            <w:top w:val="none" w:sz="0" w:space="0" w:color="auto"/>
                            <w:left w:val="none" w:sz="0" w:space="0" w:color="auto"/>
                            <w:bottom w:val="none" w:sz="0" w:space="0" w:color="auto"/>
                            <w:right w:val="none" w:sz="0" w:space="0" w:color="auto"/>
                          </w:divBdr>
                          <w:divsChild>
                            <w:div w:id="1046762195">
                              <w:marLeft w:val="0"/>
                              <w:marRight w:val="0"/>
                              <w:marTop w:val="0"/>
                              <w:marBottom w:val="0"/>
                              <w:divBdr>
                                <w:top w:val="none" w:sz="0" w:space="0" w:color="auto"/>
                                <w:left w:val="none" w:sz="0" w:space="0" w:color="auto"/>
                                <w:bottom w:val="none" w:sz="0" w:space="0" w:color="auto"/>
                                <w:right w:val="none" w:sz="0" w:space="0" w:color="auto"/>
                              </w:divBdr>
                              <w:divsChild>
                                <w:div w:id="703166878">
                                  <w:marLeft w:val="0"/>
                                  <w:marRight w:val="0"/>
                                  <w:marTop w:val="0"/>
                                  <w:marBottom w:val="0"/>
                                  <w:divBdr>
                                    <w:top w:val="none" w:sz="0" w:space="0" w:color="auto"/>
                                    <w:left w:val="none" w:sz="0" w:space="0" w:color="auto"/>
                                    <w:bottom w:val="none" w:sz="0" w:space="0" w:color="auto"/>
                                    <w:right w:val="none" w:sz="0" w:space="0" w:color="auto"/>
                                  </w:divBdr>
                                  <w:divsChild>
                                    <w:div w:id="50423172">
                                      <w:marLeft w:val="0"/>
                                      <w:marRight w:val="0"/>
                                      <w:marTop w:val="0"/>
                                      <w:marBottom w:val="0"/>
                                      <w:divBdr>
                                        <w:top w:val="none" w:sz="0" w:space="0" w:color="auto"/>
                                        <w:left w:val="none" w:sz="0" w:space="0" w:color="auto"/>
                                        <w:bottom w:val="none" w:sz="0" w:space="0" w:color="auto"/>
                                        <w:right w:val="none" w:sz="0" w:space="0" w:color="auto"/>
                                      </w:divBdr>
                                      <w:divsChild>
                                        <w:div w:id="322780127">
                                          <w:marLeft w:val="0"/>
                                          <w:marRight w:val="0"/>
                                          <w:marTop w:val="0"/>
                                          <w:marBottom w:val="495"/>
                                          <w:divBdr>
                                            <w:top w:val="none" w:sz="0" w:space="0" w:color="auto"/>
                                            <w:left w:val="none" w:sz="0" w:space="0" w:color="auto"/>
                                            <w:bottom w:val="none" w:sz="0" w:space="0" w:color="auto"/>
                                            <w:right w:val="none" w:sz="0" w:space="0" w:color="auto"/>
                                          </w:divBdr>
                                          <w:divsChild>
                                            <w:div w:id="9698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9136">
      <w:bodyDiv w:val="1"/>
      <w:marLeft w:val="0"/>
      <w:marRight w:val="0"/>
      <w:marTop w:val="0"/>
      <w:marBottom w:val="0"/>
      <w:divBdr>
        <w:top w:val="none" w:sz="0" w:space="0" w:color="auto"/>
        <w:left w:val="none" w:sz="0" w:space="0" w:color="auto"/>
        <w:bottom w:val="none" w:sz="0" w:space="0" w:color="auto"/>
        <w:right w:val="none" w:sz="0" w:space="0" w:color="auto"/>
      </w:divBdr>
      <w:divsChild>
        <w:div w:id="140658055">
          <w:marLeft w:val="0"/>
          <w:marRight w:val="0"/>
          <w:marTop w:val="0"/>
          <w:marBottom w:val="0"/>
          <w:divBdr>
            <w:top w:val="none" w:sz="0" w:space="0" w:color="auto"/>
            <w:left w:val="none" w:sz="0" w:space="0" w:color="auto"/>
            <w:bottom w:val="none" w:sz="0" w:space="0" w:color="auto"/>
            <w:right w:val="none" w:sz="0" w:space="0" w:color="auto"/>
          </w:divBdr>
          <w:divsChild>
            <w:div w:id="1360862273">
              <w:marLeft w:val="0"/>
              <w:marRight w:val="0"/>
              <w:marTop w:val="0"/>
              <w:marBottom w:val="0"/>
              <w:divBdr>
                <w:top w:val="none" w:sz="0" w:space="0" w:color="auto"/>
                <w:left w:val="none" w:sz="0" w:space="0" w:color="auto"/>
                <w:bottom w:val="none" w:sz="0" w:space="0" w:color="auto"/>
                <w:right w:val="none" w:sz="0" w:space="0" w:color="auto"/>
              </w:divBdr>
              <w:divsChild>
                <w:div w:id="1984314464">
                  <w:marLeft w:val="0"/>
                  <w:marRight w:val="0"/>
                  <w:marTop w:val="0"/>
                  <w:marBottom w:val="0"/>
                  <w:divBdr>
                    <w:top w:val="none" w:sz="0" w:space="0" w:color="auto"/>
                    <w:left w:val="none" w:sz="0" w:space="0" w:color="auto"/>
                    <w:bottom w:val="none" w:sz="0" w:space="0" w:color="auto"/>
                    <w:right w:val="none" w:sz="0" w:space="0" w:color="auto"/>
                  </w:divBdr>
                  <w:divsChild>
                    <w:div w:id="756560429">
                      <w:marLeft w:val="0"/>
                      <w:marRight w:val="0"/>
                      <w:marTop w:val="0"/>
                      <w:marBottom w:val="0"/>
                      <w:divBdr>
                        <w:top w:val="none" w:sz="0" w:space="0" w:color="auto"/>
                        <w:left w:val="none" w:sz="0" w:space="0" w:color="auto"/>
                        <w:bottom w:val="none" w:sz="0" w:space="0" w:color="auto"/>
                        <w:right w:val="none" w:sz="0" w:space="0" w:color="auto"/>
                      </w:divBdr>
                      <w:divsChild>
                        <w:div w:id="973173879">
                          <w:marLeft w:val="0"/>
                          <w:marRight w:val="0"/>
                          <w:marTop w:val="0"/>
                          <w:marBottom w:val="0"/>
                          <w:divBdr>
                            <w:top w:val="none" w:sz="0" w:space="0" w:color="auto"/>
                            <w:left w:val="none" w:sz="0" w:space="0" w:color="auto"/>
                            <w:bottom w:val="none" w:sz="0" w:space="0" w:color="auto"/>
                            <w:right w:val="none" w:sz="0" w:space="0" w:color="auto"/>
                          </w:divBdr>
                          <w:divsChild>
                            <w:div w:id="1814711877">
                              <w:marLeft w:val="0"/>
                              <w:marRight w:val="0"/>
                              <w:marTop w:val="0"/>
                              <w:marBottom w:val="0"/>
                              <w:divBdr>
                                <w:top w:val="none" w:sz="0" w:space="0" w:color="auto"/>
                                <w:left w:val="none" w:sz="0" w:space="0" w:color="auto"/>
                                <w:bottom w:val="none" w:sz="0" w:space="0" w:color="auto"/>
                                <w:right w:val="none" w:sz="0" w:space="0" w:color="auto"/>
                              </w:divBdr>
                              <w:divsChild>
                                <w:div w:id="244187589">
                                  <w:marLeft w:val="0"/>
                                  <w:marRight w:val="0"/>
                                  <w:marTop w:val="0"/>
                                  <w:marBottom w:val="0"/>
                                  <w:divBdr>
                                    <w:top w:val="none" w:sz="0" w:space="0" w:color="auto"/>
                                    <w:left w:val="none" w:sz="0" w:space="0" w:color="auto"/>
                                    <w:bottom w:val="none" w:sz="0" w:space="0" w:color="auto"/>
                                    <w:right w:val="none" w:sz="0" w:space="0" w:color="auto"/>
                                  </w:divBdr>
                                  <w:divsChild>
                                    <w:div w:id="1633511688">
                                      <w:marLeft w:val="0"/>
                                      <w:marRight w:val="0"/>
                                      <w:marTop w:val="0"/>
                                      <w:marBottom w:val="0"/>
                                      <w:divBdr>
                                        <w:top w:val="none" w:sz="0" w:space="0" w:color="auto"/>
                                        <w:left w:val="none" w:sz="0" w:space="0" w:color="auto"/>
                                        <w:bottom w:val="none" w:sz="0" w:space="0" w:color="auto"/>
                                        <w:right w:val="none" w:sz="0" w:space="0" w:color="auto"/>
                                      </w:divBdr>
                                      <w:divsChild>
                                        <w:div w:id="2045445807">
                                          <w:marLeft w:val="0"/>
                                          <w:marRight w:val="0"/>
                                          <w:marTop w:val="0"/>
                                          <w:marBottom w:val="495"/>
                                          <w:divBdr>
                                            <w:top w:val="none" w:sz="0" w:space="0" w:color="auto"/>
                                            <w:left w:val="none" w:sz="0" w:space="0" w:color="auto"/>
                                            <w:bottom w:val="none" w:sz="0" w:space="0" w:color="auto"/>
                                            <w:right w:val="none" w:sz="0" w:space="0" w:color="auto"/>
                                          </w:divBdr>
                                          <w:divsChild>
                                            <w:div w:id="828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CAF0-2CF1-4C22-A549-6C9F8428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TotalTime>
  <Pages>5</Pages>
  <Words>2574</Words>
  <Characters>2880</Characters>
  <Application>Microsoft Office Word</Application>
  <DocSecurity>0</DocSecurity>
  <Lines>112</Lines>
  <Paragraphs>75</Paragraphs>
  <ScaleCrop>false</ScaleCrop>
  <HeadingPairs>
    <vt:vector size="2" baseType="variant">
      <vt:variant>
        <vt:lpstr>Title</vt:lpstr>
      </vt:variant>
      <vt:variant>
        <vt:i4>1</vt:i4>
      </vt:variant>
    </vt:vector>
  </HeadingPairs>
  <TitlesOfParts>
    <vt:vector size="1" baseType="lpstr">
      <vt:lpstr>A/59/3 REV.</vt:lpstr>
    </vt:vector>
  </TitlesOfParts>
  <Manager>OLC</Manager>
  <Company>WIPO</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A/59/3 REV.</dc:title>
  <dc:subject>接纳观察员</dc:subject>
  <dc:creator>SONG Qiao</dc:creator>
  <cp:keywords>PUBLIC</cp:keywords>
  <dc:description/>
  <cp:lastModifiedBy>HÄFLIGER Patience</cp:lastModifiedBy>
  <cp:revision>3</cp:revision>
  <cp:lastPrinted>2019-09-20T12:49:00Z</cp:lastPrinted>
  <dcterms:created xsi:type="dcterms:W3CDTF">2019-09-24T09:28:00Z</dcterms:created>
  <dcterms:modified xsi:type="dcterms:W3CDTF">2019-09-24T12:28:00Z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