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C864BE">
        <w:rPr>
          <w:rFonts w:ascii="Arial Black" w:eastAsia="SimSun" w:hAnsi="Arial Black" w:cs="Arial"/>
          <w:b/>
          <w:caps/>
          <w:noProof/>
          <w:sz w:val="16"/>
          <w:szCs w:val="16"/>
          <w:lang w:eastAsia="zh-CN"/>
        </w:rPr>
        <w:t>11</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C864BE">
        <w:rPr>
          <w:rFonts w:hint="cs"/>
          <w:b/>
          <w:bCs/>
          <w:sz w:val="30"/>
          <w:szCs w:val="30"/>
          <w:rtl/>
        </w:rPr>
        <w:t>بالفرنسية</w:t>
      </w:r>
    </w:p>
    <w:p w:rsidR="003F7284" w:rsidRPr="00BB6440" w:rsidRDefault="003F7284" w:rsidP="001F1E57">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1F1E57">
        <w:rPr>
          <w:rFonts w:hint="cs"/>
          <w:b/>
          <w:bCs/>
          <w:sz w:val="30"/>
          <w:szCs w:val="30"/>
          <w:rtl/>
        </w:rPr>
        <w:t>9</w:t>
      </w:r>
      <w:r w:rsidR="00C864BE">
        <w:rPr>
          <w:rFonts w:hint="cs"/>
          <w:b/>
          <w:bCs/>
          <w:sz w:val="30"/>
          <w:szCs w:val="30"/>
          <w:rtl/>
        </w:rPr>
        <w:t xml:space="preserve"> سبتمبر 2019</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9" w:name="Place"/>
      <w:bookmarkEnd w:id="9"/>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Pr="00F0324B" w:rsidRDefault="00C864BE" w:rsidP="00C864BE">
      <w:pPr>
        <w:rPr>
          <w:rFonts w:ascii="Arial Black" w:hAnsi="Arial Black" w:cs="Arial"/>
          <w:sz w:val="26"/>
          <w:szCs w:val="26"/>
          <w:rtl/>
        </w:rPr>
      </w:pPr>
      <w:bookmarkStart w:id="10" w:name="TitleOfDoc"/>
      <w:bookmarkEnd w:id="10"/>
      <w:r>
        <w:rPr>
          <w:rFonts w:ascii="Arial Black" w:hAnsi="Arial Black" w:cs="PT Bold Heading" w:hint="cs"/>
          <w:sz w:val="26"/>
          <w:szCs w:val="26"/>
          <w:rtl/>
        </w:rPr>
        <w:t>اقتراح من سويسرا بشأن بند جدول الأعمال المعنون</w:t>
      </w:r>
      <w:r w:rsidR="00F0324B">
        <w:rPr>
          <w:rFonts w:ascii="Arial Black" w:hAnsi="Arial Black" w:cs="PT Bold Heading" w:hint="cs"/>
          <w:sz w:val="26"/>
          <w:szCs w:val="26"/>
          <w:rtl/>
        </w:rPr>
        <w:t xml:space="preserve"> </w:t>
      </w:r>
      <w:r w:rsidR="00F0324B">
        <w:rPr>
          <w:rFonts w:ascii="Arial Black" w:hAnsi="Arial Black" w:cs="Arial" w:hint="cs"/>
          <w:sz w:val="26"/>
          <w:szCs w:val="26"/>
          <w:rtl/>
        </w:rPr>
        <w:t>"</w:t>
      </w:r>
      <w:r>
        <w:rPr>
          <w:rFonts w:ascii="Arial Black" w:hAnsi="Arial Black" w:cs="PT Bold Heading" w:hint="cs"/>
          <w:sz w:val="26"/>
          <w:szCs w:val="26"/>
          <w:rtl/>
        </w:rPr>
        <w:t>تقرير عن لجنة البرنامج والميزانية</w:t>
      </w:r>
      <w:r w:rsidR="00F0324B">
        <w:rPr>
          <w:rFonts w:ascii="Arial Black" w:hAnsi="Arial Black" w:cs="Arial" w:hint="cs"/>
          <w:sz w:val="26"/>
          <w:szCs w:val="26"/>
          <w:rtl/>
        </w:rPr>
        <w:t>"</w:t>
      </w:r>
    </w:p>
    <w:p w:rsidR="003F7284" w:rsidRPr="00BB6440" w:rsidRDefault="001B5D3D" w:rsidP="00874721">
      <w:pPr>
        <w:spacing w:before="200" w:after="960"/>
        <w:rPr>
          <w:i/>
          <w:iCs/>
          <w:rtl/>
        </w:rPr>
      </w:pPr>
      <w:bookmarkStart w:id="11" w:name="Doc"/>
      <w:bookmarkEnd w:id="11"/>
      <w:r>
        <w:rPr>
          <w:rFonts w:hint="cs"/>
          <w:i/>
          <w:iCs/>
          <w:rtl/>
        </w:rPr>
        <w:t>قدمه وفد سويسرا</w:t>
      </w:r>
      <w:bookmarkStart w:id="12" w:name="Prepared"/>
      <w:bookmarkEnd w:id="12"/>
    </w:p>
    <w:p w:rsidR="00E3612C" w:rsidRPr="00FD6D15" w:rsidRDefault="001B5D3D" w:rsidP="00690342">
      <w:pPr>
        <w:pStyle w:val="BodyText"/>
        <w:rPr>
          <w:rtl/>
        </w:rPr>
      </w:pPr>
      <w:r>
        <w:rPr>
          <w:rFonts w:hint="cs"/>
          <w:rtl/>
        </w:rPr>
        <w:t xml:space="preserve">في تبليغ موجه إلى الأمانة بتاريخ 6 سبتمبر 2019، قدم وفد سويسرا الاقتراح </w:t>
      </w:r>
      <w:r w:rsidR="007659C8">
        <w:rPr>
          <w:rFonts w:hint="cs"/>
          <w:rtl/>
        </w:rPr>
        <w:t>الوارد في المرفق</w:t>
      </w:r>
      <w:r>
        <w:rPr>
          <w:rFonts w:hint="cs"/>
          <w:rtl/>
        </w:rPr>
        <w:t xml:space="preserve"> </w:t>
      </w:r>
      <w:r w:rsidR="00690342">
        <w:rPr>
          <w:rFonts w:hint="cs"/>
          <w:rtl/>
        </w:rPr>
        <w:t>في إطار</w:t>
      </w:r>
      <w:r>
        <w:rPr>
          <w:rFonts w:hint="cs"/>
          <w:rtl/>
        </w:rPr>
        <w:t xml:space="preserve"> بند جدول الأعمال المعنون "تقرير عن لجنة البرنامج والميزانية".</w:t>
      </w:r>
    </w:p>
    <w:p w:rsidR="001B5D3D" w:rsidRDefault="001B5D3D" w:rsidP="001B5D3D">
      <w:pPr>
        <w:pStyle w:val="Endofdocument-Annex"/>
        <w:rPr>
          <w:rtl/>
        </w:rPr>
        <w:sectPr w:rsidR="001B5D3D" w:rsidSect="00FA524C">
          <w:headerReference w:type="even" r:id="rId9"/>
          <w:headerReference w:type="default" r:id="rId10"/>
          <w:footerReference w:type="even" r:id="rId11"/>
          <w:footerReference w:type="default" r:id="rId12"/>
          <w:headerReference w:type="first" r:id="rId13"/>
          <w:pgSz w:w="11907" w:h="16840" w:code="9"/>
          <w:pgMar w:top="567" w:right="1418" w:bottom="1418" w:left="1134" w:header="510" w:footer="1021" w:gutter="0"/>
          <w:cols w:space="720"/>
          <w:titlePg/>
          <w:docGrid w:linePitch="490"/>
        </w:sectPr>
      </w:pPr>
      <w:r>
        <w:rPr>
          <w:rFonts w:hint="cs"/>
          <w:rtl/>
        </w:rPr>
        <w:t>[يلي ذلك المرفق]</w:t>
      </w:r>
    </w:p>
    <w:p w:rsidR="00C41AE0" w:rsidRPr="001B5D3D" w:rsidRDefault="001B5D3D" w:rsidP="001B5D3D">
      <w:pPr>
        <w:pStyle w:val="Heading3"/>
        <w:jc w:val="center"/>
        <w:rPr>
          <w:u w:val="single"/>
          <w:rtl/>
        </w:rPr>
      </w:pPr>
      <w:r w:rsidRPr="001B5D3D">
        <w:rPr>
          <w:rFonts w:hint="cs"/>
          <w:u w:val="single"/>
          <w:rtl/>
        </w:rPr>
        <w:lastRenderedPageBreak/>
        <w:t>اقتراح سويسرا في إطار البند 13 المعنون "تقرير عن لجنة البرنامج والميزانية" من جدول أعمال سلسلة الاجتماعات التاسعة والخمسين لجمعيات الدول الأعضاء في الويبو (</w:t>
      </w:r>
      <w:r w:rsidRPr="001B5D3D">
        <w:rPr>
          <w:u w:val="single"/>
          <w:lang w:val="fr-CH" w:bidi="ar-EG"/>
        </w:rPr>
        <w:t>A/59/1 Prov.3</w:t>
      </w:r>
      <w:r w:rsidRPr="001B5D3D">
        <w:rPr>
          <w:rFonts w:hint="cs"/>
          <w:u w:val="single"/>
          <w:rtl/>
        </w:rPr>
        <w:t>)</w:t>
      </w:r>
    </w:p>
    <w:p w:rsidR="000D7E81" w:rsidRDefault="00286072" w:rsidP="00EB631B">
      <w:pPr>
        <w:pStyle w:val="BodyText"/>
        <w:spacing w:before="480"/>
        <w:rPr>
          <w:rtl/>
        </w:rPr>
      </w:pPr>
      <w:r>
        <w:rPr>
          <w:rFonts w:hint="cs"/>
          <w:rtl/>
        </w:rPr>
        <w:t>إن</w:t>
      </w:r>
      <w:r w:rsidR="00F45B6F">
        <w:rPr>
          <w:rFonts w:hint="cs"/>
          <w:rtl/>
        </w:rPr>
        <w:t>ّ</w:t>
      </w:r>
      <w:r>
        <w:rPr>
          <w:rFonts w:hint="cs"/>
          <w:rtl/>
        </w:rPr>
        <w:t xml:space="preserve"> جمعيات الدول الأعضاء في الويبو، كل فيما يعنيه، إذ تلاحظ أن منهجية التخصيص بحسب كل اتحاد التي استُخدمت لإعداد المرفق الثالث من البرنامج والميزانية قد أثبتت فعاليتها منذ سنوات عديدة، ولكنها </w:t>
      </w:r>
      <w:r w:rsidR="00EB631B">
        <w:rPr>
          <w:rFonts w:hint="cs"/>
          <w:rtl/>
        </w:rPr>
        <w:t xml:space="preserve">ظلّت </w:t>
      </w:r>
      <w:r>
        <w:rPr>
          <w:rFonts w:hint="cs"/>
          <w:rtl/>
        </w:rPr>
        <w:t>محل</w:t>
      </w:r>
      <w:r w:rsidR="00F45B6F">
        <w:rPr>
          <w:rFonts w:hint="cs"/>
          <w:rtl/>
        </w:rPr>
        <w:t>ّ مناقشات منذ عام</w:t>
      </w:r>
      <w:r w:rsidR="00EB631B">
        <w:rPr>
          <w:rFonts w:hint="eastAsia"/>
          <w:rtl/>
        </w:rPr>
        <w:t> </w:t>
      </w:r>
      <w:r w:rsidR="00F45B6F">
        <w:rPr>
          <w:rFonts w:hint="cs"/>
          <w:rtl/>
        </w:rPr>
        <w:t xml:space="preserve">2015، </w:t>
      </w:r>
      <w:r w:rsidR="00EB631B">
        <w:rPr>
          <w:rFonts w:hint="cs"/>
          <w:rtl/>
        </w:rPr>
        <w:t>ورغبة منها في</w:t>
      </w:r>
      <w:r w:rsidR="00F45B6F">
        <w:rPr>
          <w:rFonts w:hint="cs"/>
          <w:rtl/>
        </w:rPr>
        <w:t xml:space="preserve"> تسوية هذه المسألة مع مراعاة الآثار </w:t>
      </w:r>
      <w:r w:rsidR="00EB631B">
        <w:rPr>
          <w:rFonts w:hint="cs"/>
          <w:rtl/>
        </w:rPr>
        <w:t>النظامية</w:t>
      </w:r>
      <w:r w:rsidR="00F45B6F">
        <w:rPr>
          <w:rFonts w:hint="cs"/>
          <w:rtl/>
        </w:rPr>
        <w:t xml:space="preserve"> بالنسبة للمنظمة على المدى البعيد:</w:t>
      </w:r>
    </w:p>
    <w:p w:rsidR="00F45B6F" w:rsidRDefault="00F45B6F" w:rsidP="00EB631B">
      <w:pPr>
        <w:pStyle w:val="ONUMA"/>
        <w:numPr>
          <w:ilvl w:val="0"/>
          <w:numId w:val="0"/>
        </w:numPr>
        <w:rPr>
          <w:rtl/>
          <w:lang w:val="fr-CH"/>
        </w:rPr>
      </w:pPr>
      <w:r>
        <w:rPr>
          <w:rFonts w:hint="cs"/>
          <w:rtl/>
        </w:rPr>
        <w:t>"1"</w:t>
      </w:r>
      <w:r>
        <w:rPr>
          <w:rtl/>
        </w:rPr>
        <w:tab/>
      </w:r>
      <w:r w:rsidR="00EB631B">
        <w:rPr>
          <w:rFonts w:hint="cs"/>
          <w:rtl/>
        </w:rPr>
        <w:t>تقرّر</w:t>
      </w:r>
      <w:r>
        <w:rPr>
          <w:rFonts w:hint="cs"/>
          <w:rtl/>
        </w:rPr>
        <w:t xml:space="preserve"> الإبقاء على منهجية التخصيص الحالية لأغراض الثنائية 2020-2021، كما هي مبيّنة في المرفق الثالث من الأسئلة والأجوبة (</w:t>
      </w:r>
      <w:r w:rsidRPr="00F45B6F">
        <w:rPr>
          <w:lang w:val="fr-CH"/>
        </w:rPr>
        <w:t>WO/PBC/30/Q&amp;A</w:t>
      </w:r>
      <w:r>
        <w:rPr>
          <w:rFonts w:hint="cs"/>
          <w:rtl/>
          <w:lang w:val="fr-CH"/>
        </w:rPr>
        <w:t xml:space="preserve">)، </w:t>
      </w:r>
      <w:r w:rsidR="00EB631B">
        <w:rPr>
          <w:rFonts w:hint="cs"/>
          <w:rtl/>
          <w:lang w:val="fr-CH"/>
        </w:rPr>
        <w:t>وفقا</w:t>
      </w:r>
      <w:r>
        <w:rPr>
          <w:rFonts w:hint="cs"/>
          <w:rtl/>
          <w:lang w:val="fr-CH"/>
        </w:rPr>
        <w:t xml:space="preserve"> </w:t>
      </w:r>
      <w:r w:rsidR="00EB631B">
        <w:rPr>
          <w:rFonts w:hint="cs"/>
          <w:rtl/>
          <w:lang w:val="fr-CH"/>
        </w:rPr>
        <w:t>ل</w:t>
      </w:r>
      <w:r>
        <w:rPr>
          <w:rFonts w:hint="cs"/>
          <w:rtl/>
          <w:lang w:val="fr-CH"/>
        </w:rPr>
        <w:t>مبدأ التخصيص المستخدم في المرفق الثالث من برنامج وميزانية الثنائية</w:t>
      </w:r>
      <w:r w:rsidR="00EB631B">
        <w:rPr>
          <w:rFonts w:hint="eastAsia"/>
          <w:rtl/>
          <w:lang w:val="fr-CH"/>
        </w:rPr>
        <w:t> </w:t>
      </w:r>
      <w:r>
        <w:rPr>
          <w:rFonts w:hint="cs"/>
          <w:rtl/>
          <w:lang w:val="fr-CH"/>
        </w:rPr>
        <w:t>2018-2019 (</w:t>
      </w:r>
      <w:r w:rsidRPr="00F45B6F">
        <w:rPr>
          <w:lang w:val="fr-CH"/>
        </w:rPr>
        <w:t>WO/PBC/27/8</w:t>
      </w:r>
      <w:r>
        <w:rPr>
          <w:rFonts w:hint="cs"/>
          <w:rtl/>
          <w:lang w:val="fr-CH"/>
        </w:rPr>
        <w:t>).</w:t>
      </w:r>
    </w:p>
    <w:p w:rsidR="00F45B6F" w:rsidRDefault="00F45B6F" w:rsidP="00EB631B">
      <w:pPr>
        <w:pStyle w:val="ONUMA"/>
        <w:numPr>
          <w:ilvl w:val="0"/>
          <w:numId w:val="0"/>
        </w:numPr>
        <w:rPr>
          <w:rtl/>
          <w:lang w:val="fr-CH"/>
        </w:rPr>
      </w:pPr>
      <w:r>
        <w:rPr>
          <w:rFonts w:hint="cs"/>
          <w:rtl/>
          <w:lang w:val="fr-CH"/>
        </w:rPr>
        <w:t>"2"</w:t>
      </w:r>
      <w:r>
        <w:rPr>
          <w:rtl/>
          <w:lang w:val="fr-CH"/>
        </w:rPr>
        <w:tab/>
      </w:r>
      <w:r w:rsidR="00EB631B">
        <w:rPr>
          <w:rFonts w:hint="cs"/>
          <w:rtl/>
          <w:lang w:val="fr-CH"/>
        </w:rPr>
        <w:t>تطلب إلى الأمانة أن تقدم إلى الدورة الحادية والثلاثين للجنة البرنامج والميزانية اقتراحا يشتمل على التكييفات اللازمة لمعاهدات الويبو ذات الصلة لكي تُدرج رسميا ميزانية موحدة للويبو، بغرض تبسيط إدارة مسائل الميزانية، وذلك من أجل اعتماد الاقتراح المذكور في سلسلة الاجتماعات الستين لجمعيات الدول الأعضاء في الويبو.</w:t>
      </w:r>
    </w:p>
    <w:p w:rsidR="00EB631B" w:rsidRPr="000D7E81" w:rsidRDefault="00EB631B" w:rsidP="00EB631B">
      <w:pPr>
        <w:pStyle w:val="Endofdocument-Annex"/>
        <w:spacing w:before="480"/>
        <w:ind w:left="5530"/>
        <w:rPr>
          <w:rtl/>
        </w:rPr>
      </w:pPr>
      <w:r>
        <w:rPr>
          <w:rFonts w:hint="cs"/>
          <w:rtl/>
        </w:rPr>
        <w:t>[نهاية المرفق والوثيقة]</w:t>
      </w:r>
    </w:p>
    <w:sectPr w:rsidR="00EB631B" w:rsidRPr="000D7E81" w:rsidSect="00EB7752">
      <w:headerReference w:type="even" r:id="rId14"/>
      <w:headerReference w:type="default" r:id="rId15"/>
      <w:footerReference w:type="even" r:id="rId16"/>
      <w:footerReference w:type="default" r:id="rId17"/>
      <w:headerReference w:type="first" r:id="rId18"/>
      <w:footerReference w:type="first" r:id="rId1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4BE" w:rsidRDefault="00C864BE">
      <w:r>
        <w:separator/>
      </w:r>
    </w:p>
  </w:endnote>
  <w:endnote w:type="continuationSeparator" w:id="0">
    <w:p w:rsidR="00C864BE" w:rsidRDefault="00C8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4C" w:rsidRDefault="00FA524C" w:rsidP="00FA5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4C" w:rsidRDefault="00FA5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4C" w:rsidRDefault="00FA524C" w:rsidP="00FA52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4C" w:rsidRDefault="00FA52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4C" w:rsidRDefault="00FA5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4BE" w:rsidRDefault="00C864BE" w:rsidP="009622BF">
      <w:bookmarkStart w:id="0" w:name="OLE_LINK1"/>
      <w:bookmarkStart w:id="1" w:name="OLE_LINK2"/>
      <w:r>
        <w:separator/>
      </w:r>
      <w:bookmarkEnd w:id="0"/>
      <w:bookmarkEnd w:id="1"/>
    </w:p>
  </w:footnote>
  <w:footnote w:type="continuationSeparator" w:id="0">
    <w:p w:rsidR="00C864BE" w:rsidRDefault="00C864B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4C" w:rsidRPr="00C50A61" w:rsidRDefault="00FA524C" w:rsidP="00FA524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w:t>
    </w:r>
    <w:r w:rsidRPr="00C50A61">
      <w:rPr>
        <w:rFonts w:ascii="Arial" w:hAnsi="Arial" w:cs="Arial"/>
        <w:sz w:val="22"/>
        <w:szCs w:val="22"/>
      </w:rPr>
      <w:fldChar w:fldCharType="end"/>
    </w:r>
  </w:p>
  <w:p w:rsidR="00FA524C" w:rsidRPr="00C50A61" w:rsidRDefault="00FA524C" w:rsidP="00FA524C">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Code3"/>
  <w:bookmarkEnd w:id="13"/>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74F1C">
      <w:rPr>
        <w:rFonts w:ascii="Arial" w:hAnsi="Arial" w:cs="Arial"/>
        <w:noProof/>
        <w:sz w:val="22"/>
        <w:szCs w:val="22"/>
        <w:lang w:bidi="ar-EG"/>
      </w:rPr>
      <w:t>1</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4C" w:rsidRDefault="00FA52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4C" w:rsidRPr="00C50A61" w:rsidRDefault="00FA524C" w:rsidP="00FA524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w:t>
    </w:r>
    <w:r w:rsidRPr="00C50A61">
      <w:rPr>
        <w:rFonts w:ascii="Arial" w:hAnsi="Arial" w:cs="Arial"/>
        <w:sz w:val="22"/>
        <w:szCs w:val="22"/>
      </w:rPr>
      <w:fldChar w:fldCharType="end"/>
    </w:r>
  </w:p>
  <w:p w:rsidR="00FA524C" w:rsidRPr="00C50A61" w:rsidRDefault="00FA524C" w:rsidP="00FA524C">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4C" w:rsidRPr="00C50A61" w:rsidRDefault="00FA524C"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w:t>
    </w:r>
    <w:r w:rsidRPr="00C50A61">
      <w:rPr>
        <w:rFonts w:ascii="Arial" w:hAnsi="Arial" w:cs="Arial"/>
        <w:sz w:val="22"/>
        <w:szCs w:val="22"/>
      </w:rPr>
      <w:fldChar w:fldCharType="end"/>
    </w:r>
  </w:p>
  <w:p w:rsidR="00FA524C" w:rsidRPr="00C50A61" w:rsidRDefault="00FA524C"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D3D" w:rsidRDefault="001B5D3D" w:rsidP="001B5D3D">
    <w:pPr>
      <w:bidi w:val="0"/>
      <w:rPr>
        <w:rFonts w:ascii="Arial" w:eastAsia="SimSun" w:hAnsi="Arial" w:cs="Arial"/>
        <w:sz w:val="22"/>
        <w:szCs w:val="20"/>
        <w:lang w:eastAsia="zh-CN"/>
      </w:rPr>
    </w:pPr>
    <w:r w:rsidRPr="001B5D3D">
      <w:rPr>
        <w:rFonts w:ascii="Arial" w:eastAsia="SimSun" w:hAnsi="Arial" w:cs="Arial"/>
        <w:sz w:val="22"/>
        <w:szCs w:val="20"/>
        <w:lang w:eastAsia="zh-CN"/>
      </w:rPr>
      <w:t>A/59/11</w:t>
    </w:r>
  </w:p>
  <w:p w:rsidR="001B5D3D" w:rsidRDefault="007659C8" w:rsidP="001B5D3D">
    <w:pPr>
      <w:bidi w:val="0"/>
      <w:rPr>
        <w:rFonts w:ascii="Arial" w:eastAsia="SimSun" w:hAnsi="Arial" w:cs="Arial"/>
        <w:sz w:val="22"/>
        <w:szCs w:val="20"/>
        <w:lang w:eastAsia="zh-CN"/>
      </w:rPr>
    </w:pPr>
    <w:r>
      <w:rPr>
        <w:rFonts w:ascii="Arial" w:eastAsia="SimSun" w:hAnsi="Arial" w:cs="Arial"/>
        <w:sz w:val="22"/>
        <w:szCs w:val="20"/>
        <w:lang w:eastAsia="zh-CN"/>
      </w:rPr>
      <w:t>ANNEX</w:t>
    </w:r>
  </w:p>
  <w:p w:rsidR="001B5D3D" w:rsidRPr="001B5D3D" w:rsidRDefault="001B5D3D" w:rsidP="001B5D3D">
    <w:pPr>
      <w:jc w:val="right"/>
      <w:rPr>
        <w:rFonts w:eastAsia="SimSun"/>
        <w:rtl/>
        <w:lang w:eastAsia="zh-CN"/>
      </w:rPr>
    </w:pPr>
    <w:r w:rsidRPr="001B5D3D">
      <w:rPr>
        <w:rFonts w:eastAsia="SimSun"/>
        <w:rtl/>
        <w:lang w:eastAsia="zh-CN"/>
      </w:rPr>
      <w:t>المرفق</w:t>
    </w:r>
  </w:p>
  <w:p w:rsidR="001B5D3D" w:rsidRPr="001B5D3D" w:rsidRDefault="001B5D3D" w:rsidP="001B5D3D">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1134" w:firstLine="0"/>
      </w:pPr>
      <w:rPr>
        <w:rFonts w:ascii="Arabic Typesetting" w:hAnsi="Arabic Typesetting" w:cs="Arabic Typesetting" w:hint="default"/>
        <w:sz w:val="36"/>
        <w:szCs w:val="36"/>
      </w:rPr>
    </w:lvl>
    <w:lvl w:ilvl="1">
      <w:start w:val="1"/>
      <w:numFmt w:val="decimal"/>
      <w:lvlText w:val="&quot;%2&quot;"/>
      <w:lvlJc w:val="left"/>
      <w:pPr>
        <w:ind w:left="1701" w:firstLine="0"/>
      </w:pPr>
      <w:rPr>
        <w:rFonts w:hint="default"/>
      </w:rPr>
    </w:lvl>
    <w:lvl w:ilvl="2">
      <w:start w:val="1"/>
      <w:numFmt w:val="arabicAbjad"/>
      <w:lvlText w:val="(%3)"/>
      <w:lvlJc w:val="left"/>
      <w:pPr>
        <w:ind w:left="2268" w:firstLine="0"/>
      </w:pPr>
      <w:rPr>
        <w:rFonts w:ascii="Arabic Typesetting" w:hAnsi="Arabic Typesetting" w:cs="Arabic Typesetting" w:hint="default"/>
        <w:sz w:val="36"/>
        <w:szCs w:val="36"/>
      </w:rPr>
    </w:lvl>
    <w:lvl w:ilvl="3">
      <w:start w:val="1"/>
      <w:numFmt w:val="bullet"/>
      <w:lvlText w:val=""/>
      <w:lvlJc w:val="left"/>
      <w:pPr>
        <w:ind w:left="2835" w:firstLine="0"/>
      </w:pPr>
      <w:rPr>
        <w:rFonts w:ascii="Symbol" w:hAnsi="Symbol" w:cs="Times New Roman" w:hint="default"/>
        <w:sz w:val="24"/>
        <w:szCs w:val="22"/>
      </w:rPr>
    </w:lvl>
    <w:lvl w:ilvl="4">
      <w:start w:val="1"/>
      <w:numFmt w:val="bullet"/>
      <w:lvlText w:val=""/>
      <w:lvlJc w:val="left"/>
      <w:pPr>
        <w:ind w:left="3402" w:firstLine="0"/>
      </w:pPr>
      <w:rPr>
        <w:rFonts w:ascii="Wingdings" w:hAnsi="Wingdings" w:cs="Times New Roman" w:hint="default"/>
        <w:sz w:val="24"/>
        <w:szCs w:val="22"/>
      </w:rPr>
    </w:lvl>
    <w:lvl w:ilvl="5">
      <w:start w:val="1"/>
      <w:numFmt w:val="bullet"/>
      <w:lvlText w:val="–"/>
      <w:lvlJc w:val="left"/>
      <w:pPr>
        <w:ind w:left="3969" w:firstLine="0"/>
      </w:pPr>
      <w:rPr>
        <w:rFonts w:ascii="Arabic Typesetting" w:hAnsi="Arabic Typesetting" w:cs="Arabic Typesetting" w:hint="default"/>
        <w:sz w:val="24"/>
        <w:szCs w:val="22"/>
      </w:rPr>
    </w:lvl>
    <w:lvl w:ilvl="6">
      <w:start w:val="1"/>
      <w:numFmt w:val="bullet"/>
      <w:lvlText w:val="○"/>
      <w:lvlJc w:val="left"/>
      <w:pPr>
        <w:ind w:left="4536" w:firstLine="0"/>
      </w:pPr>
      <w:rPr>
        <w:rFonts w:ascii="Courier New" w:hAnsi="Courier New" w:cs="Times New Roman" w:hint="default"/>
        <w:sz w:val="24"/>
        <w:szCs w:val="22"/>
      </w:rPr>
    </w:lvl>
    <w:lvl w:ilvl="7">
      <w:start w:val="1"/>
      <w:numFmt w:val="bullet"/>
      <w:lvlText w:val=""/>
      <w:lvlJc w:val="left"/>
      <w:pPr>
        <w:ind w:left="5103" w:firstLine="0"/>
      </w:pPr>
      <w:rPr>
        <w:rFonts w:ascii="Symbol" w:hAnsi="Symbol" w:cs="Times New Roman" w:hint="default"/>
        <w:sz w:val="24"/>
        <w:szCs w:val="22"/>
      </w:rPr>
    </w:lvl>
    <w:lvl w:ilvl="8">
      <w:start w:val="1"/>
      <w:numFmt w:val="bullet"/>
      <w:lvlText w:val=""/>
      <w:lvlJc w:val="left"/>
      <w:pPr>
        <w:ind w:left="5669"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B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5D3D"/>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E5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072"/>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CBC"/>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34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59C8"/>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8B3"/>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4BE"/>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1C"/>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631B"/>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24B"/>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B6F"/>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24C"/>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9DAEFE6-E3C4-46C4-944A-E13255F0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1B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BCFF5-8420-443A-9AE0-901BEE42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234</Words>
  <Characters>1256</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A/58/_x000d_ (Arabic)</vt:lpstr>
    </vt:vector>
  </TitlesOfParts>
  <Company>World Intellectual Property Organization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A/58/_x000d_ (Arabic)</dc:title>
  <dc:creator>MERZOUK Fawzi</dc:creator>
  <cp:keywords>PUBLIC</cp:keywords>
  <cp:lastModifiedBy>HÄFLIGER Patience</cp:lastModifiedBy>
  <cp:revision>15</cp:revision>
  <cp:lastPrinted>2019-09-10T12:57:00Z</cp:lastPrinted>
  <dcterms:created xsi:type="dcterms:W3CDTF">2019-09-09T14:12:00Z</dcterms:created>
  <dcterms:modified xsi:type="dcterms:W3CDTF">2019-09-19T06:12:00Z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ac91baf1-c2a6-4e88-ac55-b2321ee869a9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