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0297CD8C" wp14:editId="14B51D99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16771B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16771B">
              <w:t>57</w:t>
            </w:r>
            <w:r w:rsidR="00B6101C" w:rsidRPr="00B6101C">
              <w:t>/</w:t>
            </w:r>
            <w:r w:rsidR="0016771B">
              <w:t>INF/7</w:t>
            </w:r>
            <w:r w:rsidR="006B57EC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8403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A0347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A26A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7A26A2">
              <w:t>26</w:t>
            </w:r>
            <w:r w:rsidRPr="00B6101C">
              <w:rPr>
                <w:rFonts w:hint="cs"/>
                <w:rtl/>
              </w:rPr>
              <w:t xml:space="preserve"> </w:t>
            </w:r>
            <w:r w:rsidR="007A26A2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16771B">
              <w:rPr>
                <w:rFonts w:hint="cs"/>
                <w:rtl/>
              </w:rPr>
              <w:t>2017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16771B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16771B">
        <w:rPr>
          <w:rFonts w:hint="cs"/>
          <w:rtl/>
        </w:rPr>
        <w:t>السابعة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16771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16771B">
        <w:rPr>
          <w:rFonts w:hint="cs"/>
          <w:rtl/>
        </w:rPr>
        <w:t>2</w:t>
      </w:r>
      <w:r w:rsidR="008C50F7">
        <w:rPr>
          <w:rFonts w:hint="cs"/>
          <w:rtl/>
        </w:rPr>
        <w:t xml:space="preserve"> إلى </w:t>
      </w:r>
      <w:r w:rsidR="00703293">
        <w:rPr>
          <w:rFonts w:hint="cs"/>
          <w:rtl/>
        </w:rPr>
        <w:t>11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16771B">
        <w:rPr>
          <w:rFonts w:hint="cs"/>
          <w:rtl/>
        </w:rPr>
        <w:t>2017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8403B" w:rsidP="00FB7EC9">
      <w:pPr>
        <w:pStyle w:val="DocumentTitleAR"/>
        <w:bidi/>
        <w:rPr>
          <w:rtl/>
        </w:rPr>
      </w:pPr>
      <w:r>
        <w:rPr>
          <w:rFonts w:hint="cs"/>
          <w:rtl/>
        </w:rPr>
        <w:t>وضع معاهدة بيجين بشأن الأداء السمعي البصري</w:t>
      </w:r>
    </w:p>
    <w:p w:rsidR="00D61541" w:rsidRPr="00D61541" w:rsidRDefault="0098403B" w:rsidP="0098403B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إعلامية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98403B" w:rsidRDefault="0098403B" w:rsidP="0016771B">
      <w:pPr>
        <w:pStyle w:val="NormalParaAR"/>
        <w:rPr>
          <w:rtl/>
        </w:rPr>
      </w:pPr>
      <w:r>
        <w:rPr>
          <w:rFonts w:hint="cs"/>
          <w:rtl/>
        </w:rPr>
        <w:t>تعرض</w:t>
      </w:r>
      <w:r w:rsidRPr="00F7404F">
        <w:rPr>
          <w:rtl/>
        </w:rPr>
        <w:t xml:space="preserve"> هذه الوثيقة معلومات عن وضع </w:t>
      </w:r>
      <w:r>
        <w:rPr>
          <w:rFonts w:hint="cs"/>
          <w:rtl/>
        </w:rPr>
        <w:t>توقيع</w:t>
      </w:r>
      <w:r w:rsidRPr="00F7404F">
        <w:rPr>
          <w:rtl/>
        </w:rPr>
        <w:t xml:space="preserve"> معاهدة بيجين بشأن الأداء السمعي البصري (</w:t>
      </w:r>
      <w:r w:rsidR="0016771B">
        <w:rPr>
          <w:rFonts w:hint="cs"/>
          <w:rtl/>
        </w:rPr>
        <w:t>"</w:t>
      </w:r>
      <w:r w:rsidRPr="00F7404F">
        <w:rPr>
          <w:rtl/>
        </w:rPr>
        <w:t>معاهدة</w:t>
      </w:r>
      <w:r>
        <w:rPr>
          <w:rFonts w:hint="cs"/>
          <w:rtl/>
        </w:rPr>
        <w:t xml:space="preserve"> بيجين</w:t>
      </w:r>
      <w:r w:rsidR="0016771B">
        <w:rPr>
          <w:rFonts w:hint="cs"/>
          <w:rtl/>
        </w:rPr>
        <w:t>"</w:t>
      </w:r>
      <w:r w:rsidRPr="00F7404F">
        <w:rPr>
          <w:rtl/>
        </w:rPr>
        <w:t>) والتصديق عليها</w:t>
      </w:r>
      <w:r>
        <w:rPr>
          <w:rFonts w:hint="cs"/>
          <w:rtl/>
        </w:rPr>
        <w:t xml:space="preserve"> والانضمام إليها</w:t>
      </w:r>
      <w:r w:rsidR="0016771B">
        <w:rPr>
          <w:rFonts w:hint="cs"/>
          <w:rtl/>
        </w:rPr>
        <w:t xml:space="preserve">، </w:t>
      </w:r>
      <w:r w:rsidR="0016771B">
        <w:rPr>
          <w:rtl/>
        </w:rPr>
        <w:t>بما في ذلك التقدم المحرز نحو دخول</w:t>
      </w:r>
      <w:r w:rsidR="0016771B">
        <w:rPr>
          <w:rFonts w:hint="cs"/>
          <w:rtl/>
        </w:rPr>
        <w:t>ها</w:t>
      </w:r>
      <w:r w:rsidR="0016771B">
        <w:rPr>
          <w:rtl/>
        </w:rPr>
        <w:t xml:space="preserve"> حيز النفاذ</w:t>
      </w:r>
      <w:r w:rsidRPr="00F7404F">
        <w:rPr>
          <w:rtl/>
        </w:rPr>
        <w:t>.</w:t>
      </w:r>
    </w:p>
    <w:p w:rsidR="0016771B" w:rsidRPr="00D220B1" w:rsidRDefault="0016771B" w:rsidP="0016771B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b/>
          <w:bCs/>
          <w:sz w:val="40"/>
          <w:szCs w:val="40"/>
          <w:rtl/>
        </w:rPr>
        <w:t>ألف.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>توقيع معاهدة بيجين</w:t>
      </w:r>
    </w:p>
    <w:p w:rsidR="0098403B" w:rsidRDefault="0098403B" w:rsidP="0016771B">
      <w:pPr>
        <w:pStyle w:val="NumberedParaAR"/>
      </w:pPr>
      <w:r>
        <w:rPr>
          <w:rtl/>
        </w:rPr>
        <w:t xml:space="preserve">في 24 يونيو 2012، اعتمد مؤتمر بيجين الدبلوماسي المعني بحماية الأداء السمعي البصري </w:t>
      </w:r>
      <w:r>
        <w:rPr>
          <w:rFonts w:hint="cs"/>
          <w:rtl/>
        </w:rPr>
        <w:t>معاهدة</w:t>
      </w:r>
      <w:r>
        <w:rPr>
          <w:rtl/>
        </w:rPr>
        <w:t xml:space="preserve"> </w:t>
      </w:r>
      <w:r>
        <w:rPr>
          <w:rFonts w:hint="cs"/>
          <w:rtl/>
        </w:rPr>
        <w:t xml:space="preserve">بيجين </w:t>
      </w:r>
      <w:r>
        <w:rPr>
          <w:rtl/>
        </w:rPr>
        <w:t>بالإجماع.</w:t>
      </w:r>
      <w:r w:rsidR="0016771B">
        <w:rPr>
          <w:rFonts w:hint="cs"/>
          <w:rtl/>
        </w:rPr>
        <w:t xml:space="preserve"> و</w:t>
      </w:r>
      <w:r>
        <w:rPr>
          <w:rtl/>
        </w:rPr>
        <w:t xml:space="preserve">فُتح باب </w:t>
      </w:r>
      <w:r>
        <w:rPr>
          <w:rFonts w:hint="cs"/>
          <w:rtl/>
        </w:rPr>
        <w:t>توقيع</w:t>
      </w:r>
      <w:r>
        <w:rPr>
          <w:rtl/>
        </w:rPr>
        <w:t xml:space="preserve"> </w:t>
      </w:r>
      <w:r>
        <w:rPr>
          <w:rFonts w:hint="cs"/>
          <w:rtl/>
        </w:rPr>
        <w:t>معاهدة بيجين</w:t>
      </w:r>
      <w:r>
        <w:rPr>
          <w:rtl/>
        </w:rPr>
        <w:t xml:space="preserve"> في 26 يونيو 2012.</w:t>
      </w:r>
      <w:r>
        <w:rPr>
          <w:rFonts w:hint="cs"/>
          <w:rtl/>
        </w:rPr>
        <w:t xml:space="preserve"> </w:t>
      </w:r>
      <w:r>
        <w:rPr>
          <w:rtl/>
        </w:rPr>
        <w:t>وطبقا</w:t>
      </w:r>
      <w:r>
        <w:rPr>
          <w:rFonts w:hint="cs"/>
          <w:rtl/>
        </w:rPr>
        <w:t>ً</w:t>
      </w:r>
      <w:r>
        <w:rPr>
          <w:rtl/>
        </w:rPr>
        <w:t xml:space="preserve"> للمادة 25 من المعاهدة، ظلّ باب </w:t>
      </w:r>
      <w:r>
        <w:rPr>
          <w:rFonts w:hint="cs"/>
          <w:rtl/>
        </w:rPr>
        <w:t>توقيعها</w:t>
      </w:r>
      <w:r>
        <w:rPr>
          <w:rtl/>
        </w:rPr>
        <w:t xml:space="preserve"> مفتوحا</w:t>
      </w:r>
      <w:r>
        <w:rPr>
          <w:rFonts w:hint="cs"/>
          <w:rtl/>
        </w:rPr>
        <w:t>ً</w:t>
      </w:r>
      <w:r>
        <w:rPr>
          <w:rtl/>
        </w:rPr>
        <w:t xml:space="preserve"> في مقرّ الويبو الرئيسي لمدة عام بعد اعتمادها، أي حتى 24 يونيو 2013.</w:t>
      </w:r>
    </w:p>
    <w:p w:rsidR="007A26A2" w:rsidRDefault="0098403B" w:rsidP="007A26A2">
      <w:pPr>
        <w:pStyle w:val="NumberedParaAR"/>
        <w:rPr>
          <w:rFonts w:hint="cs"/>
        </w:rPr>
      </w:pPr>
      <w:r>
        <w:rPr>
          <w:rtl/>
        </w:rPr>
        <w:t>ووقّع المعاهدة، حتى 24 يونيو 2013، 7</w:t>
      </w:r>
      <w:r>
        <w:rPr>
          <w:rFonts w:hint="cs"/>
          <w:rtl/>
        </w:rPr>
        <w:t>4</w:t>
      </w:r>
      <w:r>
        <w:rPr>
          <w:rtl/>
        </w:rPr>
        <w:t xml:space="preserve"> طرفا</w:t>
      </w:r>
      <w:r>
        <w:rPr>
          <w:rFonts w:hint="cs"/>
          <w:rtl/>
        </w:rPr>
        <w:t>ً</w:t>
      </w:r>
      <w:r>
        <w:rPr>
          <w:rtl/>
        </w:rPr>
        <w:t xml:space="preserve"> مؤهلا</w:t>
      </w:r>
      <w:r>
        <w:rPr>
          <w:rFonts w:hint="cs"/>
          <w:rtl/>
        </w:rPr>
        <w:t>ً</w:t>
      </w:r>
      <w:r>
        <w:rPr>
          <w:rtl/>
        </w:rPr>
        <w:t xml:space="preserve"> ترد أسماؤها في المرفق الأول.</w:t>
      </w:r>
    </w:p>
    <w:p w:rsidR="0098403B" w:rsidRPr="007A26A2" w:rsidRDefault="0098403B" w:rsidP="007A26A2">
      <w:pPr>
        <w:pStyle w:val="NormalParaAR"/>
        <w:keepNext/>
        <w:rPr>
          <w:b/>
          <w:bCs/>
          <w:sz w:val="40"/>
          <w:szCs w:val="40"/>
          <w:rtl/>
        </w:rPr>
      </w:pPr>
      <w:r w:rsidRPr="007A26A2">
        <w:rPr>
          <w:rFonts w:hint="cs"/>
          <w:b/>
          <w:bCs/>
          <w:sz w:val="40"/>
          <w:szCs w:val="40"/>
          <w:rtl/>
        </w:rPr>
        <w:t>باء.</w:t>
      </w:r>
      <w:r w:rsidRPr="007A26A2">
        <w:rPr>
          <w:b/>
          <w:bCs/>
          <w:sz w:val="40"/>
          <w:szCs w:val="40"/>
          <w:rtl/>
        </w:rPr>
        <w:tab/>
      </w:r>
      <w:r w:rsidRPr="007A26A2">
        <w:rPr>
          <w:rFonts w:hint="cs"/>
          <w:b/>
          <w:bCs/>
          <w:sz w:val="40"/>
          <w:szCs w:val="40"/>
          <w:rtl/>
        </w:rPr>
        <w:t>الترويج لمعاهدة بيجين</w:t>
      </w:r>
    </w:p>
    <w:p w:rsidR="0098403B" w:rsidRPr="005C7958" w:rsidRDefault="0098403B" w:rsidP="0016771B">
      <w:pPr>
        <w:pStyle w:val="NumberedParaAR"/>
      </w:pPr>
      <w:r w:rsidRPr="005C7958">
        <w:rPr>
          <w:rFonts w:hint="cs"/>
          <w:rtl/>
        </w:rPr>
        <w:t xml:space="preserve">نظَّمت الأمانة، منذ سبتمبر </w:t>
      </w:r>
      <w:r w:rsidR="0016771B">
        <w:rPr>
          <w:rFonts w:hint="cs"/>
          <w:rtl/>
        </w:rPr>
        <w:t>2016</w:t>
      </w:r>
      <w:r w:rsidRPr="005C7958">
        <w:rPr>
          <w:rFonts w:hint="cs"/>
          <w:rtl/>
        </w:rPr>
        <w:t xml:space="preserve">، </w:t>
      </w:r>
      <w:r w:rsidR="0016771B">
        <w:rPr>
          <w:rFonts w:hint="cs"/>
          <w:rtl/>
        </w:rPr>
        <w:t>خمس</w:t>
      </w:r>
      <w:r w:rsidRPr="005C7958">
        <w:rPr>
          <w:rFonts w:hint="cs"/>
          <w:rtl/>
        </w:rPr>
        <w:t xml:space="preserve"> فعاليات دولية وإقليمية وأقاليمية ترويجاً لمعاهدة بيجين في </w:t>
      </w:r>
      <w:r w:rsidR="0016771B">
        <w:rPr>
          <w:rFonts w:hint="cs"/>
          <w:rtl/>
        </w:rPr>
        <w:t>داكار</w:t>
      </w:r>
      <w:r w:rsidR="008C7F5A" w:rsidRPr="005C7958">
        <w:rPr>
          <w:rFonts w:hint="cs"/>
          <w:rtl/>
        </w:rPr>
        <w:t xml:space="preserve"> و</w:t>
      </w:r>
      <w:r w:rsidR="0016771B">
        <w:rPr>
          <w:rFonts w:hint="cs"/>
          <w:rtl/>
        </w:rPr>
        <w:t xml:space="preserve">الدوحة </w:t>
      </w:r>
      <w:proofErr w:type="spellStart"/>
      <w:r w:rsidR="00A14EFA">
        <w:rPr>
          <w:rFonts w:hint="cs"/>
          <w:rtl/>
        </w:rPr>
        <w:t>و</w:t>
      </w:r>
      <w:r w:rsidR="0016771B" w:rsidRPr="0016771B">
        <w:rPr>
          <w:rtl/>
        </w:rPr>
        <w:t>واغادوغو</w:t>
      </w:r>
      <w:proofErr w:type="spellEnd"/>
      <w:r w:rsidR="0016771B" w:rsidRPr="0016771B">
        <w:rPr>
          <w:rtl/>
        </w:rPr>
        <w:t xml:space="preserve"> </w:t>
      </w:r>
      <w:r w:rsidR="00A14EFA">
        <w:rPr>
          <w:rFonts w:hint="cs"/>
          <w:rtl/>
        </w:rPr>
        <w:t>وسان خوسيه</w:t>
      </w:r>
      <w:r w:rsidRPr="005C7958">
        <w:rPr>
          <w:rFonts w:hint="cs"/>
          <w:rtl/>
        </w:rPr>
        <w:t xml:space="preserve"> وسنغافورة.</w:t>
      </w:r>
    </w:p>
    <w:p w:rsidR="007A26A2" w:rsidRDefault="0098403B" w:rsidP="0098403B">
      <w:pPr>
        <w:pStyle w:val="NumberedParaAR"/>
        <w:rPr>
          <w:rtl/>
        </w:rPr>
      </w:pPr>
      <w:r>
        <w:rPr>
          <w:rFonts w:hint="cs"/>
          <w:rtl/>
        </w:rPr>
        <w:t>وشاركت الأمانة أيضاً في عدد من الأنشطة على الصعيد الوطني منها تقديم المساعدة التشريعية.</w:t>
      </w:r>
    </w:p>
    <w:p w:rsidR="007A26A2" w:rsidRDefault="007A26A2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98403B" w:rsidRPr="00D220B1" w:rsidRDefault="0098403B" w:rsidP="0098403B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lastRenderedPageBreak/>
        <w:t>جيم</w:t>
      </w:r>
      <w:r w:rsidRPr="00D220B1">
        <w:rPr>
          <w:b/>
          <w:bCs/>
          <w:sz w:val="40"/>
          <w:szCs w:val="40"/>
          <w:rtl/>
        </w:rPr>
        <w:t>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>التصديق على معاهدة بيجين والانضمام إليها</w:t>
      </w:r>
    </w:p>
    <w:p w:rsidR="0098403B" w:rsidRDefault="0098403B" w:rsidP="0098403B">
      <w:pPr>
        <w:pStyle w:val="NumberedParaAR"/>
      </w:pPr>
      <w:r>
        <w:rPr>
          <w:rtl/>
        </w:rPr>
        <w:t xml:space="preserve">بناء على المادة 26 من </w:t>
      </w:r>
      <w:r>
        <w:rPr>
          <w:rFonts w:hint="cs"/>
          <w:rtl/>
        </w:rPr>
        <w:t>المعاهدة</w:t>
      </w:r>
      <w:r>
        <w:rPr>
          <w:rtl/>
        </w:rPr>
        <w:t>، تدخل المعاهدة حيز النفاذ بعد ثلاثة أشهر من إيداع 30 طرفا</w:t>
      </w:r>
      <w:r>
        <w:rPr>
          <w:rFonts w:hint="cs"/>
          <w:rtl/>
        </w:rPr>
        <w:t>ً</w:t>
      </w:r>
      <w:r>
        <w:rPr>
          <w:rtl/>
        </w:rPr>
        <w:t xml:space="preserve"> من الأطراف المؤهلة، حسب التعريف الوارد في المادة 23 من المعاهدة، وثائق التصديق أو الانضمام الخاصة بها.</w:t>
      </w:r>
    </w:p>
    <w:p w:rsidR="0098403B" w:rsidRDefault="00A14EFA" w:rsidP="00A14EFA">
      <w:pPr>
        <w:pStyle w:val="NumberedParaAR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صدّقت </w:t>
      </w:r>
      <w:r>
        <w:rPr>
          <w:rFonts w:hint="cs"/>
          <w:rtl/>
        </w:rPr>
        <w:t>على</w:t>
      </w:r>
      <w:r w:rsidR="0016771B">
        <w:rPr>
          <w:rtl/>
        </w:rPr>
        <w:t xml:space="preserve"> </w:t>
      </w:r>
      <w:r w:rsidR="0098403B">
        <w:rPr>
          <w:rFonts w:hint="cs"/>
          <w:rtl/>
        </w:rPr>
        <w:t xml:space="preserve">المعاهدة أو </w:t>
      </w:r>
      <w:r>
        <w:rPr>
          <w:rFonts w:hint="cs"/>
          <w:rtl/>
        </w:rPr>
        <w:t>انضمت إ</w:t>
      </w:r>
      <w:r w:rsidR="0016771B">
        <w:rPr>
          <w:rtl/>
        </w:rPr>
        <w:t>ل</w:t>
      </w:r>
      <w:r w:rsidR="0016771B">
        <w:rPr>
          <w:rFonts w:hint="cs"/>
          <w:rtl/>
        </w:rPr>
        <w:t>يها</w:t>
      </w:r>
      <w:r w:rsidR="0098403B">
        <w:rPr>
          <w:rtl/>
        </w:rPr>
        <w:t>، حتى تاريخ إعداد هذه الوثيقة، الدول</w:t>
      </w:r>
      <w:r w:rsidR="0098403B">
        <w:rPr>
          <w:rFonts w:hint="cs"/>
          <w:rtl/>
        </w:rPr>
        <w:t xml:space="preserve"> الأعضاء </w:t>
      </w:r>
      <w:r w:rsidR="0098403B">
        <w:rPr>
          <w:rtl/>
        </w:rPr>
        <w:t>في الويبو الوارد</w:t>
      </w:r>
      <w:r w:rsidR="0098403B">
        <w:rPr>
          <w:rFonts w:hint="cs"/>
          <w:rtl/>
        </w:rPr>
        <w:t>ة</w:t>
      </w:r>
      <w:r w:rsidR="0098403B">
        <w:rPr>
          <w:rtl/>
        </w:rPr>
        <w:t xml:space="preserve"> </w:t>
      </w:r>
      <w:r w:rsidR="0098403B">
        <w:rPr>
          <w:rFonts w:hint="cs"/>
          <w:rtl/>
        </w:rPr>
        <w:t>أسماؤها</w:t>
      </w:r>
      <w:r w:rsidR="0098403B">
        <w:rPr>
          <w:rtl/>
        </w:rPr>
        <w:t xml:space="preserve"> في المرفق الثاني.</w:t>
      </w:r>
    </w:p>
    <w:p w:rsidR="0098403B" w:rsidRDefault="0098403B" w:rsidP="0098403B">
      <w:pPr>
        <w:pStyle w:val="EndofDocumentAR"/>
        <w:rPr>
          <w:rtl/>
        </w:rPr>
      </w:pPr>
      <w:r>
        <w:rPr>
          <w:rtl/>
        </w:rPr>
        <w:t>[يلي ذلك المرفقان]</w:t>
      </w:r>
    </w:p>
    <w:p w:rsidR="00BE3D9A" w:rsidRDefault="00BE3D9A" w:rsidP="007F38D1">
      <w:pPr>
        <w:pStyle w:val="NormalParaAR"/>
        <w:rPr>
          <w:rtl/>
        </w:rPr>
      </w:pPr>
    </w:p>
    <w:p w:rsidR="007A341D" w:rsidRDefault="007A341D" w:rsidP="007F38D1">
      <w:pPr>
        <w:pStyle w:val="NormalParaAR"/>
        <w:rPr>
          <w:rtl/>
        </w:rPr>
        <w:sectPr w:rsidR="007A341D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A341D" w:rsidRPr="00D220B1" w:rsidRDefault="007A341D" w:rsidP="007A341D">
      <w:pPr>
        <w:pStyle w:val="NormalParaAR"/>
        <w:keepNext/>
        <w:spacing w:after="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الأطراف الموقّعة </w:t>
      </w:r>
      <w:r>
        <w:rPr>
          <w:rFonts w:hint="cs"/>
          <w:sz w:val="40"/>
          <w:szCs w:val="40"/>
          <w:rtl/>
        </w:rPr>
        <w:t xml:space="preserve">على </w:t>
      </w:r>
      <w:r w:rsidRPr="00D220B1">
        <w:rPr>
          <w:sz w:val="40"/>
          <w:szCs w:val="40"/>
          <w:rtl/>
        </w:rPr>
        <w:t>معاهدة بيجين بشأن الأداء السمعي البصري</w:t>
      </w:r>
    </w:p>
    <w:p w:rsidR="007A341D" w:rsidRPr="00D220B1" w:rsidRDefault="007A341D" w:rsidP="007A341D">
      <w:pPr>
        <w:pStyle w:val="NormalParaAR"/>
        <w:keepNext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t>(حتى 24 يونيو 2013)</w:t>
      </w:r>
    </w:p>
    <w:p w:rsidR="007A341D" w:rsidRDefault="007A341D" w:rsidP="007A341D">
      <w:pPr>
        <w:pStyle w:val="NormalParaAR"/>
        <w:rPr>
          <w:rtl/>
        </w:rPr>
      </w:pPr>
      <w:r>
        <w:rPr>
          <w:rtl/>
        </w:rPr>
        <w:t xml:space="preserve">وقّعت معاهدة بيجين بشأن الأداء السمعي البصري الأطراف المؤهلة التالية: النمسا، </w:t>
      </w:r>
      <w:r>
        <w:rPr>
          <w:rFonts w:hint="cs"/>
          <w:rtl/>
        </w:rPr>
        <w:t>و</w:t>
      </w:r>
      <w:r>
        <w:rPr>
          <w:rtl/>
        </w:rPr>
        <w:t>بلجيكا، وبوتسوانا، وبلغاريا، وبوركينا فاصو، وبوروندي، والكاميرون، وجمهورية أفريقيا الوسطى، وتشاد، وشيلي، والصين، وكولومبيا، والكونغو، وكوستاريكا، وكوت ديفوار، وقبرص، والجمهورية التشيكية، وجمهورية كوريا الشعبية الديمقراطية، والدانمرك، وجيبوتي، والسلفادور، وإستونيا، والاتحاد الأوروبي،</w:t>
      </w:r>
      <w:r>
        <w:rPr>
          <w:rFonts w:hint="cs"/>
          <w:rtl/>
        </w:rPr>
        <w:t xml:space="preserve"> وفنلندا، </w:t>
      </w:r>
      <w:r>
        <w:rPr>
          <w:rtl/>
        </w:rPr>
        <w:t xml:space="preserve">وفرنسا، وألمانيا، وغانا، واليونان، وغرينادا، وغواتيمالا، وغينيا، وهايتي، وهندوراس، وهنغاريا، وإندونيسيا، وإيرلندا، وإيطاليا، وجامايكا، والأردن، وكينيا، ولكسمبرغ، ومدغشقر، ومالي، وموريتانيا، وموريشيوس، والمكسيك، ومنغوليا، والجبل الأسود، والمغرب، وناميبيا، وهولندا، ونيكاراغوا، وبيرو، وبولندا، وقطر، وجمهورية مولدوفا، ورومانيا، وسان تومي وبرينسيبي، والسنغال، وسيشيل، وسيراليون، وسلوفينيا، وإسبانيا، والسودان، </w:t>
      </w:r>
      <w:r>
        <w:rPr>
          <w:rFonts w:hint="cs"/>
          <w:rtl/>
        </w:rPr>
        <w:t xml:space="preserve">والسويد، </w:t>
      </w:r>
      <w:r>
        <w:rPr>
          <w:rtl/>
        </w:rPr>
        <w:t>وسويسرا، والجمهورية العربية السورية، وتوغو، وتونس، وأوغندا،</w:t>
      </w:r>
      <w:r>
        <w:rPr>
          <w:rFonts w:hint="cs"/>
          <w:rtl/>
        </w:rPr>
        <w:t xml:space="preserve"> والمملكة المتحدة،</w:t>
      </w:r>
      <w:r>
        <w:rPr>
          <w:rtl/>
        </w:rPr>
        <w:t xml:space="preserve"> والولايات المتحدة الأمريكية، وزامبيا، وزمبابوي (</w:t>
      </w:r>
      <w:r>
        <w:rPr>
          <w:rFonts w:hint="cs"/>
          <w:rtl/>
        </w:rPr>
        <w:t>74</w:t>
      </w:r>
      <w:r>
        <w:rPr>
          <w:rtl/>
        </w:rPr>
        <w:t>).</w:t>
      </w:r>
    </w:p>
    <w:p w:rsidR="007A341D" w:rsidRDefault="007A341D" w:rsidP="007A341D">
      <w:pPr>
        <w:pStyle w:val="EndofDocumentAR"/>
        <w:rPr>
          <w:rtl/>
        </w:rPr>
      </w:pPr>
      <w:r>
        <w:rPr>
          <w:rtl/>
        </w:rPr>
        <w:t>[يلي ذلك المرفق الثاني]</w:t>
      </w:r>
    </w:p>
    <w:p w:rsidR="007A341D" w:rsidRPr="00F7404F" w:rsidRDefault="007A341D" w:rsidP="007A341D">
      <w:pPr>
        <w:pStyle w:val="NormalParaAR"/>
        <w:rPr>
          <w:rtl/>
        </w:rPr>
      </w:pPr>
    </w:p>
    <w:p w:rsidR="007A341D" w:rsidRDefault="007A341D" w:rsidP="007A341D">
      <w:pPr>
        <w:pStyle w:val="NormalParaAR"/>
        <w:rPr>
          <w:rtl/>
        </w:rPr>
        <w:sectPr w:rsidR="007A341D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7A341D" w:rsidRPr="00D220B1" w:rsidRDefault="007A341D" w:rsidP="0016771B">
      <w:pPr>
        <w:pStyle w:val="NormalParaAR"/>
        <w:keepNext/>
        <w:spacing w:after="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حالات </w:t>
      </w:r>
      <w:r w:rsidR="0016771B">
        <w:rPr>
          <w:rFonts w:hint="cs"/>
          <w:sz w:val="40"/>
          <w:szCs w:val="40"/>
          <w:rtl/>
        </w:rPr>
        <w:t xml:space="preserve">التصديق على </w:t>
      </w:r>
      <w:r w:rsidRPr="00D220B1">
        <w:rPr>
          <w:sz w:val="40"/>
          <w:szCs w:val="40"/>
          <w:rtl/>
        </w:rPr>
        <w:t>معاهدة بيجين بشأن الأداء السمعي البصري</w:t>
      </w:r>
      <w:r w:rsidRPr="00D220B1">
        <w:rPr>
          <w:rFonts w:hint="cs"/>
          <w:sz w:val="40"/>
          <w:szCs w:val="40"/>
          <w:rtl/>
        </w:rPr>
        <w:t xml:space="preserve"> </w:t>
      </w:r>
      <w:r w:rsidR="0016771B">
        <w:rPr>
          <w:rFonts w:hint="cs"/>
          <w:sz w:val="40"/>
          <w:szCs w:val="40"/>
          <w:rtl/>
        </w:rPr>
        <w:t>والانضمام</w:t>
      </w:r>
      <w:r w:rsidR="0016771B" w:rsidRPr="00D220B1">
        <w:rPr>
          <w:sz w:val="40"/>
          <w:szCs w:val="40"/>
          <w:rtl/>
        </w:rPr>
        <w:t xml:space="preserve"> </w:t>
      </w:r>
      <w:r w:rsidR="0016771B">
        <w:rPr>
          <w:rFonts w:hint="cs"/>
          <w:sz w:val="40"/>
          <w:szCs w:val="40"/>
          <w:rtl/>
        </w:rPr>
        <w:t>إليها</w:t>
      </w:r>
    </w:p>
    <w:p w:rsidR="007A341D" w:rsidRPr="00D220B1" w:rsidRDefault="007A341D" w:rsidP="007A26A2">
      <w:pPr>
        <w:pStyle w:val="NormalParaAR"/>
        <w:keepNext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t xml:space="preserve">(حتى </w:t>
      </w:r>
      <w:r w:rsidR="007A26A2">
        <w:rPr>
          <w:rFonts w:hint="cs"/>
          <w:sz w:val="40"/>
          <w:szCs w:val="40"/>
          <w:rtl/>
        </w:rPr>
        <w:t>19</w:t>
      </w:r>
      <w:r w:rsidRPr="00D220B1">
        <w:rPr>
          <w:sz w:val="40"/>
          <w:szCs w:val="40"/>
          <w:rtl/>
        </w:rPr>
        <w:t xml:space="preserve"> </w:t>
      </w:r>
      <w:r w:rsidR="007A26A2">
        <w:rPr>
          <w:rFonts w:hint="cs"/>
          <w:sz w:val="40"/>
          <w:szCs w:val="40"/>
          <w:rtl/>
        </w:rPr>
        <w:t>سبتمبر</w:t>
      </w:r>
      <w:r w:rsidRPr="00D220B1">
        <w:rPr>
          <w:sz w:val="40"/>
          <w:szCs w:val="40"/>
          <w:rtl/>
        </w:rPr>
        <w:t xml:space="preserve"> </w:t>
      </w:r>
      <w:r w:rsidR="0016771B">
        <w:rPr>
          <w:rFonts w:hint="cs"/>
          <w:sz w:val="40"/>
          <w:szCs w:val="40"/>
          <w:rtl/>
        </w:rPr>
        <w:t>2017</w:t>
      </w:r>
      <w:r w:rsidRPr="00D220B1">
        <w:rPr>
          <w:sz w:val="40"/>
          <w:szCs w:val="40"/>
          <w:rtl/>
        </w:rPr>
        <w:t>)</w:t>
      </w:r>
    </w:p>
    <w:p w:rsidR="007A341D" w:rsidRDefault="00A14EFA" w:rsidP="007A26A2">
      <w:pPr>
        <w:pStyle w:val="NormalParaAR"/>
        <w:rPr>
          <w:rtl/>
        </w:rPr>
      </w:pPr>
      <w:r>
        <w:rPr>
          <w:rtl/>
        </w:rPr>
        <w:t>صدّقت</w:t>
      </w:r>
      <w:r>
        <w:rPr>
          <w:rFonts w:hint="cs"/>
          <w:rtl/>
        </w:rPr>
        <w:t xml:space="preserve"> على</w:t>
      </w:r>
      <w:r w:rsidR="002028AB">
        <w:rPr>
          <w:rFonts w:hint="cs"/>
          <w:rtl/>
        </w:rPr>
        <w:t xml:space="preserve"> </w:t>
      </w:r>
      <w:r w:rsidR="007A341D">
        <w:rPr>
          <w:rtl/>
        </w:rPr>
        <w:t xml:space="preserve">معاهدة بيجين بشأن الأداء السمعي البصري </w:t>
      </w:r>
      <w:r w:rsidR="002028AB">
        <w:rPr>
          <w:rFonts w:hint="cs"/>
          <w:rtl/>
        </w:rPr>
        <w:t>أو</w:t>
      </w:r>
      <w:r w:rsidR="002028AB" w:rsidRPr="002028AB">
        <w:rPr>
          <w:rtl/>
        </w:rPr>
        <w:t xml:space="preserve"> </w:t>
      </w:r>
      <w:r>
        <w:rPr>
          <w:rFonts w:hint="cs"/>
          <w:rtl/>
        </w:rPr>
        <w:t>انضمت إ</w:t>
      </w:r>
      <w:r w:rsidR="002028AB">
        <w:rPr>
          <w:rtl/>
        </w:rPr>
        <w:t>ل</w:t>
      </w:r>
      <w:r w:rsidR="002028AB">
        <w:rPr>
          <w:rFonts w:hint="cs"/>
          <w:rtl/>
        </w:rPr>
        <w:t>يها</w:t>
      </w:r>
      <w:r w:rsidR="007A341D">
        <w:rPr>
          <w:rFonts w:hint="cs"/>
          <w:rtl/>
        </w:rPr>
        <w:t xml:space="preserve"> الدول الأعضاء التالية</w:t>
      </w:r>
      <w:r w:rsidR="007A341D">
        <w:rPr>
          <w:rtl/>
        </w:rPr>
        <w:t xml:space="preserve">: </w:t>
      </w:r>
      <w:r w:rsidR="002028AB">
        <w:rPr>
          <w:rFonts w:hint="cs"/>
          <w:rtl/>
        </w:rPr>
        <w:t>الجزائر، و</w:t>
      </w:r>
      <w:r w:rsidR="007A341D">
        <w:rPr>
          <w:rFonts w:hint="cs"/>
          <w:rtl/>
        </w:rPr>
        <w:t xml:space="preserve">بوتسوانا، </w:t>
      </w:r>
      <w:r w:rsidR="007A26A2">
        <w:rPr>
          <w:rFonts w:hint="cs"/>
          <w:rtl/>
        </w:rPr>
        <w:t xml:space="preserve">وبوركينا فاسو، </w:t>
      </w:r>
      <w:r w:rsidR="007A341D">
        <w:rPr>
          <w:rFonts w:hint="cs"/>
          <w:rtl/>
        </w:rPr>
        <w:t xml:space="preserve">وشيلي، والصين، وجمهورية كوريا الشعبية الديمقراطية، </w:t>
      </w:r>
      <w:r>
        <w:rPr>
          <w:rFonts w:hint="cs"/>
          <w:rtl/>
        </w:rPr>
        <w:t>والسلفادور، و</w:t>
      </w:r>
      <w:r w:rsidR="002028AB">
        <w:rPr>
          <w:rFonts w:hint="cs"/>
          <w:rtl/>
        </w:rPr>
        <w:t xml:space="preserve">غابون، واليابان، </w:t>
      </w:r>
      <w:r w:rsidR="007A341D">
        <w:rPr>
          <w:rFonts w:hint="cs"/>
          <w:rtl/>
        </w:rPr>
        <w:t>وقطر، وج</w:t>
      </w:r>
      <w:r w:rsidR="002028AB">
        <w:rPr>
          <w:rFonts w:hint="cs"/>
          <w:rtl/>
        </w:rPr>
        <w:t>مهورية مولدوفا، والاتحاد</w:t>
      </w:r>
      <w:r w:rsidR="00CB1E42">
        <w:rPr>
          <w:rFonts w:hint="eastAsia"/>
          <w:rtl/>
        </w:rPr>
        <w:t> </w:t>
      </w:r>
      <w:r w:rsidR="002028AB">
        <w:rPr>
          <w:rFonts w:hint="cs"/>
          <w:rtl/>
        </w:rPr>
        <w:t>الروسي، و</w:t>
      </w:r>
      <w:r w:rsidR="002028AB" w:rsidRPr="002028AB">
        <w:rPr>
          <w:rtl/>
        </w:rPr>
        <w:t>سانت فنسنت وجزر غرينادين</w:t>
      </w:r>
      <w:r w:rsidR="002028AB">
        <w:rPr>
          <w:rFonts w:hint="cs"/>
          <w:rtl/>
        </w:rPr>
        <w:t>،</w:t>
      </w:r>
      <w:r w:rsidR="002028AB" w:rsidRPr="002028AB">
        <w:rPr>
          <w:rtl/>
        </w:rPr>
        <w:t xml:space="preserve"> </w:t>
      </w:r>
      <w:r w:rsidR="002028AB">
        <w:rPr>
          <w:rFonts w:hint="cs"/>
          <w:rtl/>
        </w:rPr>
        <w:t>و</w:t>
      </w:r>
      <w:r w:rsidR="002028AB" w:rsidRPr="002028AB">
        <w:rPr>
          <w:rtl/>
        </w:rPr>
        <w:t>ساموا</w:t>
      </w:r>
      <w:r w:rsidR="002028AB">
        <w:rPr>
          <w:rFonts w:hint="cs"/>
          <w:rtl/>
        </w:rPr>
        <w:t>،</w:t>
      </w:r>
      <w:r w:rsidR="002028AB" w:rsidRPr="002028AB">
        <w:rPr>
          <w:rFonts w:hint="cs"/>
          <w:rtl/>
        </w:rPr>
        <w:t xml:space="preserve"> </w:t>
      </w:r>
      <w:r w:rsidR="007A341D">
        <w:rPr>
          <w:rFonts w:hint="cs"/>
          <w:rtl/>
        </w:rPr>
        <w:t xml:space="preserve">وسلوفاكيا، والجمهورية العربية السورية، </w:t>
      </w:r>
      <w:r w:rsidR="00CB1E42">
        <w:rPr>
          <w:rFonts w:hint="cs"/>
          <w:rtl/>
        </w:rPr>
        <w:t>و</w:t>
      </w:r>
      <w:r w:rsidR="002028AB">
        <w:rPr>
          <w:rFonts w:hint="cs"/>
          <w:rtl/>
        </w:rPr>
        <w:t>تونس، والإمارات</w:t>
      </w:r>
      <w:r w:rsidR="002028AB">
        <w:rPr>
          <w:rFonts w:hint="eastAsia"/>
          <w:rtl/>
        </w:rPr>
        <w:t> </w:t>
      </w:r>
      <w:r w:rsidR="007A341D">
        <w:rPr>
          <w:rFonts w:hint="cs"/>
          <w:rtl/>
        </w:rPr>
        <w:t>العربية المتحدة (</w:t>
      </w:r>
      <w:r w:rsidR="007A26A2">
        <w:rPr>
          <w:rFonts w:hint="cs"/>
          <w:rtl/>
        </w:rPr>
        <w:t>18</w:t>
      </w:r>
      <w:bookmarkStart w:id="2" w:name="_GoBack"/>
      <w:bookmarkEnd w:id="2"/>
      <w:r w:rsidR="007A341D">
        <w:rPr>
          <w:rFonts w:hint="cs"/>
          <w:rtl/>
        </w:rPr>
        <w:t>).</w:t>
      </w:r>
    </w:p>
    <w:p w:rsidR="00BE3D9A" w:rsidRDefault="008F2EC7" w:rsidP="009F04B7">
      <w:pPr>
        <w:pStyle w:val="EndofDocumentAR"/>
        <w:rPr>
          <w:rtl/>
        </w:rPr>
      </w:pPr>
      <w:r>
        <w:rPr>
          <w:rtl/>
        </w:rPr>
        <w:t>[نهاية المرفق الثاني والوثي</w:t>
      </w:r>
      <w:r w:rsidR="009F04B7">
        <w:rPr>
          <w:rFonts w:hint="cs"/>
          <w:rtl/>
        </w:rPr>
        <w:t>قة</w:t>
      </w:r>
      <w:r w:rsidR="007A341D">
        <w:rPr>
          <w:rFonts w:hint="cs"/>
          <w:rtl/>
        </w:rPr>
        <w:t>]</w:t>
      </w:r>
    </w:p>
    <w:sectPr w:rsidR="00BE3D9A" w:rsidSect="007A341D">
      <w:headerReference w:type="first" r:id="rId12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8C" w:rsidRDefault="00AF278C">
      <w:r>
        <w:separator/>
      </w:r>
    </w:p>
  </w:endnote>
  <w:endnote w:type="continuationSeparator" w:id="0">
    <w:p w:rsidR="00AF278C" w:rsidRDefault="00A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8C" w:rsidRDefault="00AF278C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F278C" w:rsidRDefault="00AF278C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16771B">
    <w:r>
      <w:t>A/</w:t>
    </w:r>
    <w:r w:rsidR="0016771B">
      <w:t>57</w:t>
    </w:r>
    <w:r>
      <w:t>/</w:t>
    </w:r>
    <w:r w:rsidR="0016771B">
      <w:t>INF/7</w:t>
    </w:r>
    <w:r w:rsidR="006B57EC">
      <w:t xml:space="preserve"> Rev.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7A26A2">
      <w:rPr>
        <w:noProof/>
      </w:rPr>
      <w:t>2</w:t>
    </w:r>
    <w:r>
      <w:fldChar w:fldCharType="end"/>
    </w:r>
  </w:p>
  <w:p w:rsidR="001E12A4" w:rsidRDefault="001E12A4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1D" w:rsidRDefault="007A341D" w:rsidP="0016771B">
    <w:r>
      <w:t>A/</w:t>
    </w:r>
    <w:r w:rsidR="0016771B">
      <w:t>57</w:t>
    </w:r>
    <w:r>
      <w:t>/INF/</w:t>
    </w:r>
    <w:r w:rsidR="0016771B">
      <w:t>7</w:t>
    </w:r>
    <w:r w:rsidR="006B57EC">
      <w:t xml:space="preserve"> Rev.</w:t>
    </w:r>
  </w:p>
  <w:p w:rsidR="007A341D" w:rsidRDefault="007A341D" w:rsidP="00D220B1">
    <w:r>
      <w:t>ANNEX I</w:t>
    </w:r>
  </w:p>
  <w:p w:rsidR="007A341D" w:rsidRPr="00D220B1" w:rsidRDefault="007A341D" w:rsidP="00D220B1">
    <w:pPr>
      <w:bidi/>
      <w:jc w:val="right"/>
      <w:rPr>
        <w:rFonts w:ascii="Arabic Typesetting" w:hAnsi="Arabic Typesetting" w:cs="Arabic Typesetting"/>
        <w:sz w:val="36"/>
        <w:szCs w:val="36"/>
        <w:lang w:bidi="ar-EG"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1D" w:rsidRDefault="007A341D" w:rsidP="0016771B">
    <w:pPr>
      <w:pStyle w:val="Header"/>
    </w:pPr>
    <w:r>
      <w:t>A/</w:t>
    </w:r>
    <w:r w:rsidR="0016771B">
      <w:t>57/INF/7</w:t>
    </w:r>
    <w:r w:rsidR="006B57EC">
      <w:t xml:space="preserve"> Rev.</w:t>
    </w:r>
  </w:p>
  <w:p w:rsidR="007A341D" w:rsidRDefault="007A341D" w:rsidP="007A341D">
    <w:pPr>
      <w:pStyle w:val="Header"/>
    </w:pPr>
    <w:r>
      <w:t>ANNEX II</w:t>
    </w:r>
  </w:p>
  <w:p w:rsidR="007A341D" w:rsidRPr="007A341D" w:rsidRDefault="007A341D" w:rsidP="00A14EFA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7A341D">
      <w:rPr>
        <w:rFonts w:ascii="Arabic Typesetting" w:hAnsi="Arabic Typesetting" w:cs="Arabic Typesetting"/>
        <w:sz w:val="36"/>
        <w:szCs w:val="36"/>
        <w:rtl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  <w:p w:rsidR="007A341D" w:rsidRDefault="007A34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0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71B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4C5F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8AB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308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27F04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28F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D8C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C795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3891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57EC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53B6"/>
    <w:rsid w:val="006F7974"/>
    <w:rsid w:val="00700A60"/>
    <w:rsid w:val="00703293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26A2"/>
    <w:rsid w:val="007A341D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E1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C7F5A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2EC7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88B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03B"/>
    <w:rsid w:val="00984198"/>
    <w:rsid w:val="00984E04"/>
    <w:rsid w:val="00986194"/>
    <w:rsid w:val="009861D2"/>
    <w:rsid w:val="00986E53"/>
    <w:rsid w:val="00987CE5"/>
    <w:rsid w:val="00993CF0"/>
    <w:rsid w:val="0099404C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4B7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47B"/>
    <w:rsid w:val="00A06D32"/>
    <w:rsid w:val="00A07545"/>
    <w:rsid w:val="00A13947"/>
    <w:rsid w:val="00A13E2B"/>
    <w:rsid w:val="00A14EFA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278C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3D9A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4A4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4C8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1E42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406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0D7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87836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624C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43F0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7A341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16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88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92488B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92488B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92488B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92488B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7A341D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167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A527-F523-4E8C-ADB4-78D526A4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423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A/57/INF/7 (Arabic)</vt:lpstr>
    </vt:vector>
  </TitlesOfParts>
  <Company>World Intellectual Property Organization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A/57/INF/7 (Arabic)</dc:title>
  <dc:creator>YOUSSEF Randa</dc:creator>
  <cp:lastModifiedBy>CHADAREVIAN Diane</cp:lastModifiedBy>
  <cp:revision>4</cp:revision>
  <cp:lastPrinted>2017-08-07T15:41:00Z</cp:lastPrinted>
  <dcterms:created xsi:type="dcterms:W3CDTF">2017-09-26T12:53:00Z</dcterms:created>
  <dcterms:modified xsi:type="dcterms:W3CDTF">2017-09-26T12:57:00Z</dcterms:modified>
</cp:coreProperties>
</file>