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6FB4A45C" wp14:editId="0012580C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7F7465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703293">
              <w:t>6</w:t>
            </w:r>
            <w:r w:rsidR="00B6101C" w:rsidRPr="00B6101C">
              <w:t>/</w:t>
            </w:r>
            <w:r w:rsidR="007F7465">
              <w:t>2</w:t>
            </w:r>
            <w:r w:rsidR="000735BC">
              <w:t xml:space="preserve"> REV.</w:t>
            </w:r>
            <w:r w:rsidR="00597014">
              <w:rPr>
                <w:rStyle w:val="FootnoteReference"/>
              </w:rPr>
              <w:footnoteReference w:id="1"/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0613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A0613B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B4EEB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B4EEB">
              <w:rPr>
                <w:rFonts w:hint="cs"/>
                <w:rtl/>
              </w:rPr>
              <w:t>29 سبتمبر</w:t>
            </w:r>
            <w:bookmarkStart w:id="2" w:name="_GoBack"/>
            <w:bookmarkEnd w:id="2"/>
            <w:r w:rsidRPr="00B6101C">
              <w:rPr>
                <w:rFonts w:hint="cs"/>
                <w:rtl/>
              </w:rPr>
              <w:t xml:space="preserve"> </w:t>
            </w:r>
            <w:r w:rsidR="00B774A4">
              <w:rPr>
                <w:rFonts w:hint="cs"/>
                <w:rtl/>
              </w:rPr>
              <w:t>201</w:t>
            </w:r>
            <w:r w:rsidR="00703293">
              <w:rPr>
                <w:rFonts w:hint="cs"/>
                <w:rtl/>
              </w:rPr>
              <w:t>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703293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703293">
        <w:rPr>
          <w:rFonts w:hint="cs"/>
          <w:rtl/>
        </w:rPr>
        <w:t>السادسة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70329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703293">
        <w:rPr>
          <w:rFonts w:hint="cs"/>
          <w:rtl/>
        </w:rPr>
        <w:t>3</w:t>
      </w:r>
      <w:r w:rsidR="008C50F7">
        <w:rPr>
          <w:rFonts w:hint="cs"/>
          <w:rtl/>
        </w:rPr>
        <w:t xml:space="preserve"> إلى </w:t>
      </w:r>
      <w:r w:rsidR="00703293">
        <w:rPr>
          <w:rFonts w:hint="cs"/>
          <w:rtl/>
        </w:rPr>
        <w:t>11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201</w:t>
      </w:r>
      <w:r w:rsidR="00703293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E0ADD" w:rsidRDefault="003E0ADD" w:rsidP="00597014">
      <w:pPr>
        <w:pStyle w:val="MeetingTitleAR"/>
        <w:bidi/>
        <w:rPr>
          <w:rtl/>
        </w:rPr>
      </w:pPr>
      <w:r w:rsidRPr="003E0ADD">
        <w:rPr>
          <w:rtl/>
        </w:rPr>
        <w:t>قبول المراقبين</w:t>
      </w:r>
    </w:p>
    <w:p w:rsidR="00D61541" w:rsidRPr="00D61541" w:rsidRDefault="00A0613B" w:rsidP="003E0ADD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105977" w:rsidRDefault="00105977" w:rsidP="00671C36">
      <w:pPr>
        <w:pStyle w:val="NumberedParaAR"/>
      </w:pPr>
      <w:r w:rsidRPr="00105977">
        <w:rPr>
          <w:rtl/>
        </w:rPr>
        <w:t xml:space="preserve">تتضمن الوثيقة </w:t>
      </w:r>
      <w:r w:rsidRPr="00105977">
        <w:t>A/5</w:t>
      </w:r>
      <w:r w:rsidR="00671C36">
        <w:t>6</w:t>
      </w:r>
      <w:r w:rsidRPr="00105977">
        <w:t>/INF/1</w:t>
      </w:r>
      <w:r w:rsidRPr="00105977">
        <w:rPr>
          <w:rtl/>
        </w:rPr>
        <w:t xml:space="preserve"> قائمة المراقبين الذين قُبلوا لحضور سلسلة الاجتماعات </w:t>
      </w:r>
      <w:r w:rsidR="00671C36">
        <w:rPr>
          <w:rFonts w:hint="cs"/>
          <w:rtl/>
        </w:rPr>
        <w:t>السادسة</w:t>
      </w:r>
      <w:r w:rsidRPr="00105977">
        <w:rPr>
          <w:rtl/>
        </w:rPr>
        <w:t xml:space="preserve"> والخمسين لجمعيات الدول الأعضاء في الويبو والاتحادات</w:t>
      </w:r>
      <w:r w:rsidR="00BA4B42">
        <w:rPr>
          <w:rtl/>
        </w:rPr>
        <w:t xml:space="preserve"> التي تديرها الويبو (الجمعيات).</w:t>
      </w:r>
    </w:p>
    <w:p w:rsidR="00105977" w:rsidRDefault="00105977" w:rsidP="00EE5B98">
      <w:pPr>
        <w:pStyle w:val="NumberedParaAR"/>
      </w:pPr>
      <w:r w:rsidRPr="00105977">
        <w:rPr>
          <w:rtl/>
        </w:rPr>
        <w:t xml:space="preserve">وعند قبول </w:t>
      </w:r>
      <w:r w:rsidRPr="001372F8">
        <w:rPr>
          <w:rtl/>
        </w:rPr>
        <w:t>مراقب</w:t>
      </w:r>
      <w:r w:rsidRPr="00105977">
        <w:rPr>
          <w:rtl/>
        </w:rPr>
        <w:t xml:space="preserve"> لحضور اجتماعات الجمعيات، فإ</w:t>
      </w:r>
      <w:r w:rsidRPr="002D40AF">
        <w:rPr>
          <w:rtl/>
        </w:rPr>
        <w:t>ن</w:t>
      </w:r>
      <w:r w:rsidRPr="00105977">
        <w:rPr>
          <w:rtl/>
        </w:rPr>
        <w:t>ه يُدعى أيضا لحضور اجتماعات اللجان والأفرقة العاملة وسائر الهيئات الفرعية للجمعيات بالصفة ذاتها إذا كان الموضوع ا</w:t>
      </w:r>
      <w:r w:rsidR="00671C36">
        <w:rPr>
          <w:rtl/>
        </w:rPr>
        <w:t>لذي تتناوله يهمّه بصورة مباشرة.</w:t>
      </w:r>
    </w:p>
    <w:p w:rsidR="00DB4F07" w:rsidRDefault="00105977" w:rsidP="00671C36">
      <w:pPr>
        <w:pStyle w:val="NumberedParaAR"/>
      </w:pPr>
      <w:r w:rsidRPr="00105977">
        <w:rPr>
          <w:rtl/>
        </w:rPr>
        <w:t xml:space="preserve">واتُخذت القرارات المتعلقة بقبول المراقبين لحضور اجتماعات بعض الجمعيات، آخر مرّة، خلال السلسلة </w:t>
      </w:r>
      <w:r w:rsidR="00DB4F07">
        <w:rPr>
          <w:rFonts w:hint="cs"/>
          <w:rtl/>
        </w:rPr>
        <w:t>الخامسة</w:t>
      </w:r>
      <w:r w:rsidRPr="00105977">
        <w:rPr>
          <w:rtl/>
        </w:rPr>
        <w:t xml:space="preserve"> والخمسين لاجتماعات جمعيات الدول الأعضاء في الويبو المنعقدة في الفترة من </w:t>
      </w:r>
      <w:r w:rsidR="00DB4F07">
        <w:rPr>
          <w:rFonts w:hint="cs"/>
          <w:rtl/>
        </w:rPr>
        <w:t>5</w:t>
      </w:r>
      <w:r w:rsidRPr="00105977">
        <w:rPr>
          <w:rtl/>
        </w:rPr>
        <w:t xml:space="preserve"> إلى </w:t>
      </w:r>
      <w:r w:rsidR="00DB4F07">
        <w:rPr>
          <w:rFonts w:hint="cs"/>
          <w:rtl/>
        </w:rPr>
        <w:t>14</w:t>
      </w:r>
      <w:r w:rsidRPr="00105977">
        <w:rPr>
          <w:rtl/>
        </w:rPr>
        <w:t xml:space="preserve"> </w:t>
      </w:r>
      <w:r w:rsidR="00DB4F07">
        <w:rPr>
          <w:rFonts w:hint="cs"/>
          <w:rtl/>
        </w:rPr>
        <w:t>أكتوبر</w:t>
      </w:r>
      <w:r w:rsidRPr="00105977">
        <w:rPr>
          <w:rtl/>
        </w:rPr>
        <w:t xml:space="preserve"> </w:t>
      </w:r>
      <w:r w:rsidR="00DB4F07">
        <w:rPr>
          <w:rFonts w:hint="cs"/>
          <w:rtl/>
        </w:rPr>
        <w:t>2015</w:t>
      </w:r>
      <w:r w:rsidRPr="00105977">
        <w:rPr>
          <w:rtl/>
        </w:rPr>
        <w:t xml:space="preserve"> (الفقرات من 1</w:t>
      </w:r>
      <w:r w:rsidR="00DB4F07">
        <w:rPr>
          <w:rFonts w:hint="cs"/>
          <w:rtl/>
        </w:rPr>
        <w:t>57</w:t>
      </w:r>
      <w:r w:rsidRPr="00105977">
        <w:rPr>
          <w:rtl/>
        </w:rPr>
        <w:t xml:space="preserve"> إلى</w:t>
      </w:r>
      <w:r w:rsidR="00B3475B">
        <w:rPr>
          <w:rFonts w:hint="cs"/>
          <w:rtl/>
        </w:rPr>
        <w:t> </w:t>
      </w:r>
      <w:r w:rsidRPr="00105977">
        <w:rPr>
          <w:rtl/>
        </w:rPr>
        <w:t xml:space="preserve"> </w:t>
      </w:r>
      <w:r w:rsidR="00DB4F07">
        <w:rPr>
          <w:rFonts w:hint="cs"/>
          <w:rtl/>
        </w:rPr>
        <w:t>162</w:t>
      </w:r>
      <w:r w:rsidRPr="00105977">
        <w:rPr>
          <w:rtl/>
        </w:rPr>
        <w:t xml:space="preserve"> من الوثيقة </w:t>
      </w:r>
      <w:r w:rsidRPr="00105977">
        <w:t>A/</w:t>
      </w:r>
      <w:r w:rsidR="00DB4F07">
        <w:t>55</w:t>
      </w:r>
      <w:r w:rsidRPr="00105977">
        <w:t>/13</w:t>
      </w:r>
      <w:r w:rsidR="00DB4F07">
        <w:rPr>
          <w:rFonts w:hint="cs"/>
          <w:rtl/>
        </w:rPr>
        <w:t>)</w:t>
      </w:r>
      <w:r w:rsidR="00671C36">
        <w:rPr>
          <w:rtl/>
        </w:rPr>
        <w:t>.</w:t>
      </w:r>
    </w:p>
    <w:p w:rsidR="00DB4F07" w:rsidRDefault="00105977" w:rsidP="002D40AF">
      <w:pPr>
        <w:pStyle w:val="NumberedParaAR"/>
      </w:pPr>
      <w:r w:rsidRPr="00105977">
        <w:rPr>
          <w:rtl/>
        </w:rPr>
        <w:t xml:space="preserve">ومنذ ذلك الحين، تلقى المدير العام الطلبات والمعلومات اللازمة من كل </w:t>
      </w:r>
      <w:r w:rsidRPr="00093530">
        <w:rPr>
          <w:rtl/>
        </w:rPr>
        <w:t xml:space="preserve">منظمة من المنظمات التالية </w:t>
      </w:r>
      <w:r w:rsidRPr="00105977">
        <w:rPr>
          <w:rtl/>
        </w:rPr>
        <w:t>أسماؤها لحضو</w:t>
      </w:r>
      <w:r w:rsidR="00671C36">
        <w:rPr>
          <w:rtl/>
        </w:rPr>
        <w:t>ر اجتماعات الجمعيات بصفة مراقب:</w:t>
      </w:r>
    </w:p>
    <w:p w:rsidR="00DB4F07" w:rsidRDefault="00105977" w:rsidP="001372F8">
      <w:pPr>
        <w:pStyle w:val="NormalParaAR"/>
        <w:numPr>
          <w:ilvl w:val="1"/>
          <w:numId w:val="21"/>
        </w:numPr>
        <w:ind w:left="1134" w:hanging="567"/>
        <w:rPr>
          <w:sz w:val="40"/>
          <w:szCs w:val="40"/>
        </w:rPr>
      </w:pPr>
      <w:r w:rsidRPr="00DB4F07">
        <w:rPr>
          <w:sz w:val="40"/>
          <w:szCs w:val="40"/>
          <w:rtl/>
        </w:rPr>
        <w:t>المنظمات</w:t>
      </w:r>
      <w:r w:rsidR="000F047F">
        <w:rPr>
          <w:rFonts w:hint="cs"/>
          <w:sz w:val="40"/>
          <w:szCs w:val="40"/>
          <w:rtl/>
        </w:rPr>
        <w:t xml:space="preserve"> الدولية غير الحكومية</w:t>
      </w:r>
      <w:r w:rsidRPr="00DB4F07">
        <w:rPr>
          <w:sz w:val="40"/>
          <w:szCs w:val="40"/>
          <w:rtl/>
        </w:rPr>
        <w:t xml:space="preserve"> </w:t>
      </w:r>
    </w:p>
    <w:p w:rsidR="00BA4B42" w:rsidRPr="00634DC2" w:rsidRDefault="00671C36" w:rsidP="001372F8">
      <w:pPr>
        <w:pStyle w:val="NormalParaAR"/>
        <w:numPr>
          <w:ilvl w:val="0"/>
          <w:numId w:val="22"/>
        </w:numPr>
        <w:spacing w:after="0"/>
        <w:ind w:left="1701" w:hanging="567"/>
      </w:pPr>
      <w:r w:rsidRPr="00634DC2">
        <w:rPr>
          <w:rtl/>
        </w:rPr>
        <w:t>جمعيات ومؤسسات المكتبات والمعلومات الأفريقية (</w:t>
      </w:r>
      <w:r w:rsidRPr="00634DC2">
        <w:t>AfLIA</w:t>
      </w:r>
      <w:r w:rsidRPr="00634DC2">
        <w:rPr>
          <w:rFonts w:hint="cs"/>
          <w:rtl/>
        </w:rPr>
        <w:t>)</w:t>
      </w:r>
      <w:r w:rsidR="007955CF">
        <w:rPr>
          <w:rtl/>
        </w:rPr>
        <w:t>؛</w:t>
      </w:r>
    </w:p>
    <w:p w:rsidR="00BA4B42" w:rsidRPr="00634DC2" w:rsidRDefault="00CC308D" w:rsidP="001372F8">
      <w:pPr>
        <w:pStyle w:val="NormalParaAR"/>
        <w:numPr>
          <w:ilvl w:val="0"/>
          <w:numId w:val="22"/>
        </w:numPr>
        <w:spacing w:after="0"/>
        <w:ind w:left="1701" w:hanging="567"/>
      </w:pPr>
      <w:r>
        <w:rPr>
          <w:rFonts w:hint="cs"/>
          <w:rtl/>
        </w:rPr>
        <w:t>و</w:t>
      </w:r>
      <w:r w:rsidR="00252E63" w:rsidRPr="00634DC2">
        <w:rPr>
          <w:rFonts w:hint="cs"/>
          <w:rtl/>
        </w:rPr>
        <w:t xml:space="preserve">مركز الاستثمار الدولي </w:t>
      </w:r>
      <w:r w:rsidR="00972DED" w:rsidRPr="00634DC2">
        <w:rPr>
          <w:rFonts w:hint="cs"/>
          <w:rtl/>
        </w:rPr>
        <w:t>(</w:t>
      </w:r>
      <w:r w:rsidR="00B3475B">
        <w:t>Suisse</w:t>
      </w:r>
      <w:r w:rsidR="002F7BCC">
        <w:rPr>
          <w:rFonts w:hint="cs"/>
          <w:rtl/>
        </w:rPr>
        <w:t>-</w:t>
      </w:r>
      <w:r w:rsidR="00972DED" w:rsidRPr="00634DC2">
        <w:t>CII</w:t>
      </w:r>
      <w:r w:rsidR="00972DED" w:rsidRPr="00634DC2">
        <w:rPr>
          <w:rFonts w:hint="cs"/>
          <w:rtl/>
        </w:rPr>
        <w:t>)</w:t>
      </w:r>
      <w:r w:rsidR="007955CF">
        <w:rPr>
          <w:rtl/>
        </w:rPr>
        <w:t>؛</w:t>
      </w:r>
    </w:p>
    <w:p w:rsidR="00DB4F07" w:rsidRPr="00634DC2" w:rsidRDefault="00CC308D" w:rsidP="001372F8">
      <w:pPr>
        <w:pStyle w:val="NormalParaAR"/>
        <w:numPr>
          <w:ilvl w:val="0"/>
          <w:numId w:val="22"/>
        </w:numPr>
        <w:ind w:left="1701" w:hanging="567"/>
      </w:pPr>
      <w:r>
        <w:rPr>
          <w:rFonts w:hint="cs"/>
          <w:rtl/>
        </w:rPr>
        <w:t>و</w:t>
      </w:r>
      <w:r w:rsidR="00252E63" w:rsidRPr="00634DC2">
        <w:rPr>
          <w:rFonts w:hint="cs"/>
          <w:rtl/>
        </w:rPr>
        <w:t>أدوية من أجل أفريقيا</w:t>
      </w:r>
      <w:r>
        <w:rPr>
          <w:rFonts w:hint="cs"/>
          <w:rtl/>
        </w:rPr>
        <w:t>.</w:t>
      </w:r>
    </w:p>
    <w:p w:rsidR="00DB4F07" w:rsidRDefault="005C1913" w:rsidP="001372F8">
      <w:pPr>
        <w:pStyle w:val="NormalParaAR"/>
        <w:numPr>
          <w:ilvl w:val="1"/>
          <w:numId w:val="21"/>
        </w:numPr>
        <w:ind w:left="1134" w:hanging="567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المنظمات</w:t>
      </w:r>
      <w:r w:rsidR="000F047F">
        <w:rPr>
          <w:rFonts w:hint="cs"/>
          <w:sz w:val="40"/>
          <w:szCs w:val="40"/>
          <w:rtl/>
        </w:rPr>
        <w:t xml:space="preserve"> </w:t>
      </w:r>
      <w:r w:rsidR="003E195E">
        <w:rPr>
          <w:rFonts w:hint="cs"/>
          <w:sz w:val="40"/>
          <w:szCs w:val="40"/>
          <w:rtl/>
        </w:rPr>
        <w:t>الوطنية</w:t>
      </w:r>
      <w:r>
        <w:rPr>
          <w:rFonts w:hint="cs"/>
          <w:sz w:val="40"/>
          <w:szCs w:val="40"/>
          <w:rtl/>
        </w:rPr>
        <w:t xml:space="preserve"> غير الحكومية</w:t>
      </w:r>
      <w:r>
        <w:rPr>
          <w:rStyle w:val="FootnoteReference"/>
          <w:rtl/>
        </w:rPr>
        <w:footnoteReference w:id="2"/>
      </w:r>
      <w:r w:rsidR="00D475CF">
        <w:rPr>
          <w:sz w:val="40"/>
          <w:szCs w:val="40"/>
        </w:rPr>
        <w:t xml:space="preserve"> </w:t>
      </w:r>
    </w:p>
    <w:p w:rsidR="00D475CF" w:rsidRPr="00CC308D" w:rsidRDefault="00CC308D" w:rsidP="001372F8">
      <w:pPr>
        <w:pStyle w:val="NormalParaAR"/>
        <w:numPr>
          <w:ilvl w:val="0"/>
          <w:numId w:val="25"/>
        </w:numPr>
        <w:spacing w:after="0"/>
        <w:ind w:left="1701" w:hanging="567"/>
      </w:pPr>
      <w:r>
        <w:rPr>
          <w:rFonts w:hint="cs"/>
          <w:rtl/>
        </w:rPr>
        <w:lastRenderedPageBreak/>
        <w:t>و</w:t>
      </w:r>
      <w:r w:rsidR="00252E63" w:rsidRPr="00CC308D">
        <w:rPr>
          <w:rFonts w:hint="cs"/>
          <w:rtl/>
        </w:rPr>
        <w:t xml:space="preserve">الجمعية </w:t>
      </w:r>
      <w:r w:rsidR="00252E63" w:rsidRPr="00CC308D">
        <w:rPr>
          <w:rtl/>
        </w:rPr>
        <w:t>اليابانية للملكية الفكرية (</w:t>
      </w:r>
      <w:r w:rsidR="00252E63" w:rsidRPr="00CC308D">
        <w:t>JIPA</w:t>
      </w:r>
      <w:r w:rsidR="00252E63" w:rsidRPr="00CC308D">
        <w:rPr>
          <w:rtl/>
        </w:rPr>
        <w:t>)</w:t>
      </w:r>
      <w:r w:rsidR="00093530">
        <w:rPr>
          <w:rtl/>
        </w:rPr>
        <w:t>؛</w:t>
      </w:r>
    </w:p>
    <w:p w:rsidR="00D475CF" w:rsidRPr="00CC308D" w:rsidRDefault="00CC308D" w:rsidP="005B540B">
      <w:pPr>
        <w:pStyle w:val="NormalParaAR"/>
        <w:numPr>
          <w:ilvl w:val="0"/>
          <w:numId w:val="25"/>
        </w:numPr>
        <w:ind w:left="1701" w:hanging="567"/>
      </w:pPr>
      <w:r>
        <w:rPr>
          <w:rFonts w:hint="cs"/>
          <w:rtl/>
        </w:rPr>
        <w:t>و</w:t>
      </w:r>
      <w:r w:rsidR="00252E63" w:rsidRPr="00CC308D">
        <w:rPr>
          <w:rtl/>
        </w:rPr>
        <w:t>مؤسسة كاريزما</w:t>
      </w:r>
      <w:r w:rsidR="005B540B">
        <w:rPr>
          <w:rFonts w:hint="cs"/>
          <w:rtl/>
        </w:rPr>
        <w:t xml:space="preserve"> </w:t>
      </w:r>
      <w:r w:rsidR="005B540B" w:rsidRPr="005B540B">
        <w:t>(Karisma)</w:t>
      </w:r>
      <w:r w:rsidR="005B540B" w:rsidRPr="005B540B">
        <w:rPr>
          <w:rFonts w:hint="cs"/>
          <w:rtl/>
        </w:rPr>
        <w:t>.</w:t>
      </w:r>
    </w:p>
    <w:p w:rsidR="00D475CF" w:rsidRDefault="00D475CF" w:rsidP="00FB3045">
      <w:pPr>
        <w:pStyle w:val="NumberedParaAR"/>
      </w:pPr>
      <w:r>
        <w:rPr>
          <w:rFonts w:hint="cs"/>
          <w:rtl/>
        </w:rPr>
        <w:t>و</w:t>
      </w:r>
      <w:r w:rsidRPr="00D475CF">
        <w:rPr>
          <w:rtl/>
        </w:rPr>
        <w:t>ترد في مرفقات هذه الوثيقة أوصاف موجزة لكل من الكيانات المشار إليها أع</w:t>
      </w:r>
      <w:r w:rsidR="00BC540A">
        <w:rPr>
          <w:rtl/>
        </w:rPr>
        <w:t xml:space="preserve">لاه </w:t>
      </w:r>
      <w:r w:rsidR="00BC540A" w:rsidRPr="00972DED">
        <w:rPr>
          <w:rtl/>
        </w:rPr>
        <w:t xml:space="preserve">– </w:t>
      </w:r>
      <w:r w:rsidR="00BC540A">
        <w:rPr>
          <w:rtl/>
        </w:rPr>
        <w:t>أهدافها وهيكلها وعضويتها.</w:t>
      </w:r>
    </w:p>
    <w:p w:rsidR="00BE3D9A" w:rsidRDefault="00D475CF" w:rsidP="00FB3045">
      <w:pPr>
        <w:pStyle w:val="DecisionParaAR"/>
        <w:rPr>
          <w:rtl/>
        </w:rPr>
      </w:pPr>
      <w:r w:rsidRPr="00D475CF">
        <w:rPr>
          <w:rtl/>
        </w:rPr>
        <w:t>إن</w:t>
      </w:r>
      <w:r w:rsidR="00AB735B">
        <w:rPr>
          <w:rFonts w:hint="cs"/>
          <w:rtl/>
          <w:lang w:val="fr-FR"/>
        </w:rPr>
        <w:t>ّ</w:t>
      </w:r>
      <w:r w:rsidRPr="00D475CF">
        <w:rPr>
          <w:rtl/>
        </w:rPr>
        <w:t xml:space="preserve"> جمعيات الدول الأعضاء في الويبو والاتحادات التي تديرها الويبو مدعوة، كلّ فيما يعنيه، إلى اتخاذ قرار بشأن طلبات الحصول على صفة مراقب المقدمة من الكيانات الواردة أسماؤها في الفقرة 4 أعلاه</w:t>
      </w:r>
      <w:r w:rsidR="00FB3045">
        <w:rPr>
          <w:rFonts w:hint="cs"/>
          <w:rtl/>
        </w:rPr>
        <w:t>.</w:t>
      </w:r>
    </w:p>
    <w:p w:rsidR="00BE3D9A" w:rsidRPr="00F06361" w:rsidRDefault="00FB3045" w:rsidP="001372F8">
      <w:pPr>
        <w:pStyle w:val="EndofDocumentAR"/>
      </w:pPr>
      <w:r w:rsidRPr="00B3475B">
        <w:rPr>
          <w:rFonts w:hint="cs"/>
          <w:rtl/>
        </w:rPr>
        <w:t>[</w:t>
      </w:r>
      <w:r w:rsidRPr="00BC540A">
        <w:rPr>
          <w:rFonts w:hint="cs"/>
          <w:rtl/>
        </w:rPr>
        <w:t>تلي ذلك المرفقات</w:t>
      </w:r>
      <w:r w:rsidR="006A24A6" w:rsidRPr="00B3475B">
        <w:rPr>
          <w:rFonts w:hint="cs"/>
          <w:rtl/>
        </w:rPr>
        <w:t>]</w:t>
      </w:r>
    </w:p>
    <w:p w:rsidR="00FB3045" w:rsidRDefault="00FB3045" w:rsidP="007F38D1">
      <w:pPr>
        <w:pStyle w:val="NormalParaAR"/>
      </w:pPr>
    </w:p>
    <w:p w:rsidR="00FB3045" w:rsidRDefault="00FB3045" w:rsidP="007F38D1">
      <w:pPr>
        <w:pStyle w:val="NormalParaAR"/>
        <w:rPr>
          <w:rtl/>
        </w:rPr>
        <w:sectPr w:rsidR="00FB3045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FB3045" w:rsidRPr="003E195E" w:rsidRDefault="005C1913" w:rsidP="003E195E">
      <w:pPr>
        <w:pStyle w:val="Heading1"/>
        <w:rPr>
          <w:b/>
          <w:bCs w:val="0"/>
          <w:rtl/>
        </w:rPr>
      </w:pPr>
      <w:r w:rsidRPr="003E195E">
        <w:rPr>
          <w:b/>
          <w:bCs w:val="0"/>
          <w:rtl/>
        </w:rPr>
        <w:lastRenderedPageBreak/>
        <w:t>مواصفات المنظمات الدولية غير الحكومية (بالاستناد إلى المعلومات الواردة من المنظمات المذكورة)</w:t>
      </w:r>
    </w:p>
    <w:p w:rsidR="00F93616" w:rsidRPr="003E195E" w:rsidRDefault="001A457A" w:rsidP="003E195E">
      <w:pPr>
        <w:pStyle w:val="NormalParaAR"/>
        <w:rPr>
          <w:rtl/>
        </w:rPr>
      </w:pPr>
      <w:r w:rsidRPr="001A457A">
        <w:rPr>
          <w:u w:val="single"/>
          <w:rtl/>
          <w:lang w:val="fr-CH"/>
        </w:rPr>
        <w:t>جمعيات ومؤسسات المكتبات والمعلومات الأفريقية (</w:t>
      </w:r>
      <w:r w:rsidRPr="001A457A">
        <w:rPr>
          <w:u w:val="single"/>
          <w:lang w:val="fr-CH"/>
        </w:rPr>
        <w:t>AfLIA</w:t>
      </w:r>
      <w:r w:rsidRPr="001A457A">
        <w:rPr>
          <w:u w:val="single"/>
          <w:rtl/>
          <w:lang w:val="fr-CH"/>
        </w:rPr>
        <w:t>)</w:t>
      </w:r>
    </w:p>
    <w:p w:rsidR="001A457A" w:rsidRPr="001A457A" w:rsidRDefault="001A457A" w:rsidP="00F06361">
      <w:pPr>
        <w:pStyle w:val="NormalParaAR"/>
        <w:rPr>
          <w:rtl/>
        </w:rPr>
      </w:pPr>
      <w:r>
        <w:rPr>
          <w:rFonts w:hint="cs"/>
          <w:rtl/>
        </w:rPr>
        <w:t xml:space="preserve">المقر: </w:t>
      </w:r>
      <w:r w:rsidR="00F06361">
        <w:rPr>
          <w:rFonts w:hint="cs"/>
          <w:rtl/>
        </w:rPr>
        <w:t>تأسست</w:t>
      </w:r>
      <w:r>
        <w:rPr>
          <w:rFonts w:hint="cs"/>
          <w:rtl/>
        </w:rPr>
        <w:t xml:space="preserve"> </w:t>
      </w:r>
      <w:r w:rsidRPr="001A457A">
        <w:rPr>
          <w:rtl/>
          <w:lang w:val="fr-CH"/>
        </w:rPr>
        <w:t>جمعيات ومؤسسات المكتبات والمعلومات الأفريقية (</w:t>
      </w:r>
      <w:r w:rsidRPr="001A457A">
        <w:rPr>
          <w:lang w:val="fr-CH"/>
        </w:rPr>
        <w:t>AfLIA</w:t>
      </w:r>
      <w:r w:rsidRPr="001A457A">
        <w:rPr>
          <w:rtl/>
          <w:lang w:val="fr-CH"/>
        </w:rPr>
        <w:t>)</w:t>
      </w:r>
      <w:r>
        <w:rPr>
          <w:rFonts w:hint="cs"/>
          <w:rtl/>
          <w:lang w:val="fr-CH"/>
        </w:rPr>
        <w:t xml:space="preserve"> عام 2014 ومقرها في أكرا في غانا.</w:t>
      </w:r>
    </w:p>
    <w:p w:rsidR="00F93616" w:rsidRDefault="001A457A" w:rsidP="00F06361">
      <w:pPr>
        <w:pStyle w:val="NormalParaAR"/>
        <w:rPr>
          <w:rtl/>
        </w:rPr>
      </w:pPr>
      <w:r>
        <w:rPr>
          <w:rFonts w:hint="cs"/>
          <w:rtl/>
        </w:rPr>
        <w:t xml:space="preserve">الأهداف: </w:t>
      </w:r>
      <w:r w:rsidR="00F06361">
        <w:rPr>
          <w:rFonts w:hint="cs"/>
          <w:rtl/>
        </w:rPr>
        <w:t>تسعى</w:t>
      </w:r>
      <w:r>
        <w:rPr>
          <w:rFonts w:hint="cs"/>
          <w:rtl/>
        </w:rPr>
        <w:t xml:space="preserve"> </w:t>
      </w:r>
      <w:r w:rsidR="00F06361" w:rsidRPr="001A457A">
        <w:rPr>
          <w:rtl/>
          <w:lang w:val="fr-CH"/>
        </w:rPr>
        <w:t xml:space="preserve">جمعيات ومؤسسات المكتبات والمعلومات الأفريقية </w:t>
      </w:r>
      <w:r w:rsidR="00F06361">
        <w:rPr>
          <w:rFonts w:hint="cs"/>
          <w:rtl/>
          <w:lang w:val="fr-CH"/>
        </w:rPr>
        <w:t>(</w:t>
      </w:r>
      <w:r w:rsidR="00F06361">
        <w:rPr>
          <w:rFonts w:hint="cs"/>
          <w:rtl/>
        </w:rPr>
        <w:t>الجمعية) في المقام الأول</w:t>
      </w:r>
      <w:r>
        <w:rPr>
          <w:rFonts w:hint="cs"/>
          <w:rtl/>
        </w:rPr>
        <w:t xml:space="preserve"> إلى تمث</w:t>
      </w:r>
      <w:r w:rsidR="00F06361">
        <w:rPr>
          <w:rFonts w:hint="cs"/>
          <w:rtl/>
        </w:rPr>
        <w:t>ي</w:t>
      </w:r>
      <w:r>
        <w:rPr>
          <w:rFonts w:hint="cs"/>
          <w:rtl/>
        </w:rPr>
        <w:t>ل مصالح المكتبات وأمناء المكتبات في جميع أنحاء أفريقيا</w:t>
      </w:r>
      <w:r w:rsidR="00F06361">
        <w:rPr>
          <w:rFonts w:hint="cs"/>
          <w:rtl/>
        </w:rPr>
        <w:t xml:space="preserve">. كما </w:t>
      </w:r>
      <w:r>
        <w:rPr>
          <w:rFonts w:hint="cs"/>
          <w:rtl/>
        </w:rPr>
        <w:t>تسعى إلى دعم المهنة ورفع جودة خدمات المكتبات وتناصر المكتبات في جدول الأعمال الوطني والدولي.</w:t>
      </w:r>
    </w:p>
    <w:p w:rsidR="001A457A" w:rsidRDefault="001A457A" w:rsidP="00F06361">
      <w:pPr>
        <w:pStyle w:val="NormalParaAR"/>
        <w:rPr>
          <w:rtl/>
        </w:rPr>
      </w:pPr>
      <w:r>
        <w:rPr>
          <w:rFonts w:hint="cs"/>
          <w:rtl/>
        </w:rPr>
        <w:t xml:space="preserve">الهيكل: الاجتماع </w:t>
      </w:r>
      <w:r w:rsidR="00F06361">
        <w:rPr>
          <w:rFonts w:hint="cs"/>
          <w:rtl/>
        </w:rPr>
        <w:t xml:space="preserve">السنوي </w:t>
      </w:r>
      <w:r>
        <w:rPr>
          <w:rFonts w:hint="cs"/>
          <w:rtl/>
        </w:rPr>
        <w:t xml:space="preserve">العام هو أعلى </w:t>
      </w:r>
      <w:r w:rsidR="00F06361">
        <w:rPr>
          <w:rFonts w:hint="cs"/>
          <w:rtl/>
        </w:rPr>
        <w:t>مستوى</w:t>
      </w:r>
      <w:r>
        <w:rPr>
          <w:rFonts w:hint="cs"/>
          <w:rtl/>
        </w:rPr>
        <w:t xml:space="preserve"> </w:t>
      </w:r>
      <w:r w:rsidR="00F06361">
        <w:rPr>
          <w:rFonts w:hint="cs"/>
          <w:rtl/>
        </w:rPr>
        <w:t>إداري</w:t>
      </w:r>
      <w:r>
        <w:rPr>
          <w:rFonts w:hint="cs"/>
          <w:rtl/>
        </w:rPr>
        <w:t xml:space="preserve"> في الجمعية. ويدير مجلسُ الإدارة الجمعيةَ </w:t>
      </w:r>
      <w:r w:rsidR="00F36E0C">
        <w:rPr>
          <w:rFonts w:hint="cs"/>
          <w:rtl/>
        </w:rPr>
        <w:t>ويضم</w:t>
      </w:r>
      <w:r>
        <w:rPr>
          <w:rFonts w:hint="cs"/>
          <w:rtl/>
        </w:rPr>
        <w:t xml:space="preserve"> رئيس</w:t>
      </w:r>
      <w:r w:rsidR="00F36E0C">
        <w:rPr>
          <w:rFonts w:hint="cs"/>
          <w:rtl/>
        </w:rPr>
        <w:t>ا</w:t>
      </w:r>
      <w:r>
        <w:rPr>
          <w:rFonts w:hint="cs"/>
          <w:rtl/>
        </w:rPr>
        <w:t xml:space="preserve"> ونائب</w:t>
      </w:r>
      <w:r w:rsidR="00295982">
        <w:rPr>
          <w:rFonts w:hint="cs"/>
          <w:rtl/>
        </w:rPr>
        <w:t>ا</w:t>
      </w:r>
      <w:r>
        <w:rPr>
          <w:rFonts w:hint="cs"/>
          <w:rtl/>
        </w:rPr>
        <w:t xml:space="preserve"> </w:t>
      </w:r>
      <w:r w:rsidR="00295982">
        <w:rPr>
          <w:rFonts w:hint="cs"/>
          <w:rtl/>
        </w:rPr>
        <w:t>لل</w:t>
      </w:r>
      <w:r>
        <w:rPr>
          <w:rFonts w:hint="cs"/>
          <w:rtl/>
        </w:rPr>
        <w:t>رئيس و</w:t>
      </w:r>
      <w:r w:rsidRPr="00BE6D5D">
        <w:rPr>
          <w:rFonts w:hint="eastAsia"/>
          <w:rtl/>
        </w:rPr>
        <w:t>أمين</w:t>
      </w:r>
      <w:r w:rsidR="00F06361" w:rsidRPr="00BE6D5D">
        <w:rPr>
          <w:rFonts w:hint="eastAsia"/>
          <w:rtl/>
        </w:rPr>
        <w:t>ا</w:t>
      </w:r>
      <w:r w:rsidRPr="00BE6D5D">
        <w:rPr>
          <w:rtl/>
        </w:rPr>
        <w:t xml:space="preserve"> </w:t>
      </w:r>
      <w:r w:rsidR="00F06361" w:rsidRPr="00BE6D5D">
        <w:rPr>
          <w:rFonts w:hint="eastAsia"/>
          <w:rtl/>
        </w:rPr>
        <w:t>لل</w:t>
      </w:r>
      <w:r w:rsidRPr="00BE6D5D">
        <w:rPr>
          <w:rFonts w:hint="eastAsia"/>
          <w:rtl/>
        </w:rPr>
        <w:t>صندوق</w:t>
      </w:r>
      <w:r w:rsidRPr="00BE6D5D">
        <w:rPr>
          <w:rtl/>
        </w:rPr>
        <w:t xml:space="preserve"> </w:t>
      </w:r>
      <w:r w:rsidR="00F36E0C">
        <w:rPr>
          <w:rFonts w:hint="cs"/>
          <w:rtl/>
        </w:rPr>
        <w:t>والرئيس المنتهية ولايته وممثلين إقليميين.</w:t>
      </w:r>
    </w:p>
    <w:p w:rsidR="00F36E0C" w:rsidRDefault="00295982" w:rsidP="00962D04">
      <w:pPr>
        <w:pStyle w:val="NormalParaAR"/>
        <w:rPr>
          <w:rtl/>
        </w:rPr>
      </w:pPr>
      <w:r>
        <w:rPr>
          <w:rFonts w:hint="cs"/>
          <w:rtl/>
        </w:rPr>
        <w:t xml:space="preserve">العضوية: </w:t>
      </w:r>
      <w:r w:rsidR="00F36E0C">
        <w:rPr>
          <w:rFonts w:hint="cs"/>
          <w:rtl/>
        </w:rPr>
        <w:t xml:space="preserve">تضم </w:t>
      </w:r>
      <w:r w:rsidR="00F06361">
        <w:rPr>
          <w:rFonts w:hint="cs"/>
          <w:rtl/>
        </w:rPr>
        <w:t>الجمعية</w:t>
      </w:r>
      <w:r w:rsidR="00F36E0C">
        <w:rPr>
          <w:rFonts w:hint="cs"/>
          <w:rtl/>
        </w:rPr>
        <w:t xml:space="preserve"> 74 عضوا من</w:t>
      </w:r>
      <w:r>
        <w:rPr>
          <w:rFonts w:hint="cs"/>
          <w:rtl/>
        </w:rPr>
        <w:t>ها</w:t>
      </w:r>
      <w:r w:rsidR="00F36E0C">
        <w:rPr>
          <w:rFonts w:hint="cs"/>
          <w:rtl/>
        </w:rPr>
        <w:t xml:space="preserve"> المكتبات وجمعيات المكتبات الوطنية أو الإقليمية ومراكز </w:t>
      </w:r>
      <w:r w:rsidR="00B3475B">
        <w:rPr>
          <w:rFonts w:hint="cs"/>
          <w:rtl/>
          <w:lang w:val="fr-FR"/>
        </w:rPr>
        <w:t xml:space="preserve">الإعلام والتوثيق </w:t>
      </w:r>
      <w:r w:rsidR="00F36E0C">
        <w:rPr>
          <w:rFonts w:hint="cs"/>
          <w:rtl/>
        </w:rPr>
        <w:t>في</w:t>
      </w:r>
      <w:r w:rsidR="00F06361">
        <w:rPr>
          <w:rFonts w:hint="cs"/>
          <w:rtl/>
        </w:rPr>
        <w:t xml:space="preserve"> </w:t>
      </w:r>
      <w:r w:rsidR="00F36E0C">
        <w:rPr>
          <w:rFonts w:hint="cs"/>
          <w:rtl/>
        </w:rPr>
        <w:t>القارة</w:t>
      </w:r>
      <w:r w:rsidR="00962D04">
        <w:rPr>
          <w:rFonts w:hint="eastAsia"/>
          <w:rtl/>
        </w:rPr>
        <w:t> </w:t>
      </w:r>
      <w:r w:rsidR="00F36E0C">
        <w:rPr>
          <w:rFonts w:hint="cs"/>
          <w:rtl/>
        </w:rPr>
        <w:t>الأفريقية.</w:t>
      </w:r>
    </w:p>
    <w:p w:rsidR="00F93616" w:rsidRDefault="00F36E0C" w:rsidP="00B3475B">
      <w:pPr>
        <w:pStyle w:val="NormalParaAR"/>
        <w:rPr>
          <w:rtl/>
        </w:rPr>
      </w:pPr>
      <w:r w:rsidRPr="00295982">
        <w:rPr>
          <w:i/>
          <w:iCs/>
          <w:u w:val="single"/>
          <w:rtl/>
          <w:lang w:val="fr-CH"/>
        </w:rPr>
        <w:t>مركز الاستثمار الدولي</w:t>
      </w:r>
      <w:r w:rsidRPr="00F36E0C">
        <w:rPr>
          <w:u w:val="single"/>
          <w:rtl/>
          <w:lang w:val="fr-CH"/>
        </w:rPr>
        <w:t xml:space="preserve"> </w:t>
      </w:r>
      <w:r w:rsidR="00B3475B" w:rsidRPr="001372F8">
        <w:rPr>
          <w:rFonts w:hint="cs"/>
          <w:u w:val="single"/>
          <w:rtl/>
        </w:rPr>
        <w:t>(</w:t>
      </w:r>
      <w:r w:rsidR="00B3475B" w:rsidRPr="001372F8">
        <w:rPr>
          <w:u w:val="single"/>
        </w:rPr>
        <w:t>Suisse</w:t>
      </w:r>
      <w:r w:rsidR="00B3475B" w:rsidRPr="001372F8">
        <w:rPr>
          <w:rFonts w:hint="cs"/>
          <w:u w:val="single"/>
          <w:rtl/>
        </w:rPr>
        <w:t>-</w:t>
      </w:r>
      <w:r w:rsidR="00B3475B" w:rsidRPr="001372F8">
        <w:rPr>
          <w:u w:val="single"/>
        </w:rPr>
        <w:t>CII</w:t>
      </w:r>
      <w:r w:rsidR="00B3475B" w:rsidRPr="001372F8">
        <w:rPr>
          <w:rFonts w:hint="cs"/>
          <w:u w:val="single"/>
          <w:rtl/>
        </w:rPr>
        <w:t>)</w:t>
      </w:r>
      <w:r w:rsidR="00B3475B" w:rsidRPr="00F36E0C" w:rsidDel="00B3475B">
        <w:rPr>
          <w:u w:val="single"/>
          <w:rtl/>
          <w:lang w:val="fr-CH"/>
        </w:rPr>
        <w:t xml:space="preserve"> </w:t>
      </w:r>
    </w:p>
    <w:p w:rsidR="00F93616" w:rsidRDefault="00295982" w:rsidP="007F38D1">
      <w:pPr>
        <w:pStyle w:val="NormalParaAR"/>
        <w:rPr>
          <w:rtl/>
        </w:rPr>
      </w:pPr>
      <w:r>
        <w:rPr>
          <w:rFonts w:hint="cs"/>
          <w:rtl/>
        </w:rPr>
        <w:t xml:space="preserve">المقر: </w:t>
      </w:r>
      <w:r w:rsidR="000D4095">
        <w:rPr>
          <w:rFonts w:hint="cs"/>
          <w:rtl/>
        </w:rPr>
        <w:t xml:space="preserve">أنشئ </w:t>
      </w:r>
      <w:r w:rsidR="000D4095" w:rsidRPr="000D4095">
        <w:rPr>
          <w:rtl/>
          <w:lang w:val="fr-CH"/>
        </w:rPr>
        <w:t>مركز الاستثمار الدولي</w:t>
      </w:r>
      <w:r w:rsidR="000D4095">
        <w:rPr>
          <w:rFonts w:hint="cs"/>
          <w:rtl/>
          <w:lang w:val="fr-CH"/>
        </w:rPr>
        <w:t xml:space="preserve"> (المركز) عام 2010 ومقره في جنيف في سويسرا.</w:t>
      </w:r>
    </w:p>
    <w:p w:rsidR="00F93616" w:rsidRDefault="000D4095" w:rsidP="0052547B">
      <w:pPr>
        <w:pStyle w:val="NormalParaAR"/>
        <w:rPr>
          <w:rtl/>
        </w:rPr>
      </w:pPr>
      <w:r>
        <w:rPr>
          <w:rFonts w:hint="cs"/>
          <w:rtl/>
        </w:rPr>
        <w:t xml:space="preserve">الأهداف: يسعى المركز إلى </w:t>
      </w:r>
      <w:r w:rsidR="00F06361">
        <w:rPr>
          <w:rFonts w:hint="cs"/>
          <w:rtl/>
        </w:rPr>
        <w:t>النهوض ب</w:t>
      </w:r>
      <w:r>
        <w:rPr>
          <w:rFonts w:hint="cs"/>
          <w:rtl/>
        </w:rPr>
        <w:t xml:space="preserve">التنمية المستدامة والدفاع عن التنوع الثقافي وتطوير الفن والتعاون الدولي في </w:t>
      </w:r>
      <w:r w:rsidRPr="00B3475B">
        <w:rPr>
          <w:rFonts w:hint="eastAsia"/>
          <w:rtl/>
        </w:rPr>
        <w:t>مجال</w:t>
      </w:r>
      <w:r>
        <w:rPr>
          <w:rFonts w:hint="cs"/>
          <w:rtl/>
        </w:rPr>
        <w:t xml:space="preserve"> التعليم والصحة وتعزيز التكنولوجيات الجديدة والعلوم والابتكار وحماية حقوق الإنسان.</w:t>
      </w:r>
    </w:p>
    <w:p w:rsidR="00F93616" w:rsidRDefault="000D4095" w:rsidP="00FA0623">
      <w:pPr>
        <w:pStyle w:val="NormalParaAR"/>
        <w:rPr>
          <w:rtl/>
        </w:rPr>
      </w:pPr>
      <w:r>
        <w:rPr>
          <w:rFonts w:hint="cs"/>
          <w:rtl/>
        </w:rPr>
        <w:t xml:space="preserve">الهيكل: </w:t>
      </w:r>
      <w:r w:rsidR="003C0CBB">
        <w:rPr>
          <w:rFonts w:hint="cs"/>
          <w:rtl/>
        </w:rPr>
        <w:t xml:space="preserve">الجمعية العامة هي </w:t>
      </w:r>
      <w:r w:rsidR="001372F8">
        <w:rPr>
          <w:rFonts w:hint="cs"/>
          <w:rtl/>
        </w:rPr>
        <w:t>ال</w:t>
      </w:r>
      <w:r w:rsidR="003C0CBB">
        <w:rPr>
          <w:rFonts w:hint="cs"/>
          <w:rtl/>
        </w:rPr>
        <w:t>هيئة</w:t>
      </w:r>
      <w:r w:rsidR="003C0CBB" w:rsidRPr="005B540B">
        <w:rPr>
          <w:rFonts w:hint="cs"/>
          <w:rtl/>
        </w:rPr>
        <w:t xml:space="preserve"> </w:t>
      </w:r>
      <w:r w:rsidR="00FA0623">
        <w:rPr>
          <w:rFonts w:hint="cs"/>
          <w:rtl/>
        </w:rPr>
        <w:t>الإدارية</w:t>
      </w:r>
      <w:r w:rsidR="00FA0623" w:rsidRPr="005B540B">
        <w:rPr>
          <w:rFonts w:hint="cs"/>
          <w:rtl/>
        </w:rPr>
        <w:t xml:space="preserve"> </w:t>
      </w:r>
      <w:r w:rsidR="003C0CBB">
        <w:rPr>
          <w:rFonts w:hint="cs"/>
          <w:rtl/>
        </w:rPr>
        <w:t>الرئيسية في المركز. ويتألف المجلس التنفيذي من رئيس وأمين عام وأمين صندوق.</w:t>
      </w:r>
    </w:p>
    <w:p w:rsidR="003C0CBB" w:rsidRDefault="003C0CBB" w:rsidP="00B5629C">
      <w:pPr>
        <w:pStyle w:val="NormalParaAR"/>
        <w:rPr>
          <w:rtl/>
        </w:rPr>
      </w:pPr>
      <w:r>
        <w:rPr>
          <w:rFonts w:hint="cs"/>
          <w:rtl/>
        </w:rPr>
        <w:t xml:space="preserve">العضوية: </w:t>
      </w:r>
      <w:r w:rsidR="00B5629C">
        <w:rPr>
          <w:rFonts w:hint="cs"/>
          <w:rtl/>
        </w:rPr>
        <w:t>يضم</w:t>
      </w:r>
      <w:r>
        <w:rPr>
          <w:rFonts w:hint="cs"/>
          <w:rtl/>
        </w:rPr>
        <w:t xml:space="preserve"> </w:t>
      </w:r>
      <w:r w:rsidR="00B5629C">
        <w:rPr>
          <w:rFonts w:hint="cs"/>
          <w:rtl/>
        </w:rPr>
        <w:t xml:space="preserve">المركز </w:t>
      </w:r>
      <w:r>
        <w:rPr>
          <w:rFonts w:hint="cs"/>
          <w:rtl/>
        </w:rPr>
        <w:t>كيانات من سويسرا والاتحاد الروسي.</w:t>
      </w:r>
    </w:p>
    <w:p w:rsidR="00F93616" w:rsidRDefault="00865EB7" w:rsidP="007F38D1">
      <w:pPr>
        <w:pStyle w:val="NormalParaAR"/>
        <w:rPr>
          <w:rtl/>
        </w:rPr>
      </w:pPr>
      <w:r w:rsidRPr="00B5629C">
        <w:rPr>
          <w:u w:val="single"/>
          <w:rtl/>
          <w:lang w:val="fr-CH"/>
        </w:rPr>
        <w:t>أدوية من أجل أفريقيا</w:t>
      </w:r>
    </w:p>
    <w:p w:rsidR="00F93616" w:rsidRDefault="00865EB7" w:rsidP="00596D9A">
      <w:pPr>
        <w:pStyle w:val="NormalParaAR"/>
        <w:rPr>
          <w:rtl/>
        </w:rPr>
      </w:pPr>
      <w:r>
        <w:rPr>
          <w:rFonts w:hint="cs"/>
          <w:rtl/>
        </w:rPr>
        <w:t xml:space="preserve">المقر: </w:t>
      </w:r>
      <w:r w:rsidR="005E1CD4">
        <w:rPr>
          <w:rFonts w:hint="cs"/>
          <w:rtl/>
        </w:rPr>
        <w:t xml:space="preserve">يقع </w:t>
      </w:r>
      <w:r>
        <w:rPr>
          <w:rFonts w:hint="cs"/>
          <w:rtl/>
        </w:rPr>
        <w:t xml:space="preserve">مقر أدوية من أجل أفريقيا في جنيف في سويسرا </w:t>
      </w:r>
      <w:r w:rsidRPr="00287024">
        <w:rPr>
          <w:rFonts w:hint="eastAsia"/>
          <w:rtl/>
        </w:rPr>
        <w:t>و</w:t>
      </w:r>
      <w:r>
        <w:rPr>
          <w:rFonts w:hint="cs"/>
          <w:rtl/>
        </w:rPr>
        <w:t>المنظمة مسجلة في المملكة المتحدة.</w:t>
      </w:r>
    </w:p>
    <w:p w:rsidR="00865EB7" w:rsidRPr="005B6E68" w:rsidRDefault="00865EB7" w:rsidP="00F86C37">
      <w:pPr>
        <w:pStyle w:val="NormalParaAR"/>
        <w:rPr>
          <w:rtl/>
          <w:lang w:bidi="ar-EG"/>
        </w:rPr>
      </w:pPr>
      <w:r>
        <w:rPr>
          <w:rFonts w:hint="cs"/>
          <w:rtl/>
        </w:rPr>
        <w:t xml:space="preserve">الأهداف: تسعى </w:t>
      </w:r>
      <w:r w:rsidR="00596D9A">
        <w:rPr>
          <w:rFonts w:hint="cs"/>
          <w:rtl/>
        </w:rPr>
        <w:t xml:space="preserve">المنظمة </w:t>
      </w:r>
      <w:r>
        <w:rPr>
          <w:rFonts w:hint="cs"/>
          <w:rtl/>
        </w:rPr>
        <w:t xml:space="preserve">إلى تحسين النفاذ إلى الأدوية من خلال دعم </w:t>
      </w:r>
      <w:r w:rsidR="00352931">
        <w:rPr>
          <w:rFonts w:hint="cs"/>
          <w:rtl/>
        </w:rPr>
        <w:t xml:space="preserve">شراء البلدان الأفريقية للأدوية </w:t>
      </w:r>
      <w:r w:rsidR="005B540B" w:rsidRPr="00F86C37">
        <w:rPr>
          <w:rFonts w:hint="cs"/>
          <w:rtl/>
        </w:rPr>
        <w:t>بشكل فعال من حيث التكلفة</w:t>
      </w:r>
      <w:r w:rsidR="00352931" w:rsidRPr="00F86C37">
        <w:rPr>
          <w:color w:val="FF0000"/>
          <w:rtl/>
        </w:rPr>
        <w:t xml:space="preserve"> </w:t>
      </w:r>
      <w:r w:rsidR="00352931">
        <w:rPr>
          <w:rFonts w:hint="cs"/>
          <w:rtl/>
        </w:rPr>
        <w:t xml:space="preserve">وبأسعار مماثلة لما يدفعه الآخرون في السوق الدولية. وتركز المنظمة على الأدوية ذات الأولوية التي لا تندرج في </w:t>
      </w:r>
      <w:r w:rsidR="00A94A21">
        <w:rPr>
          <w:rFonts w:hint="cs"/>
          <w:rtl/>
        </w:rPr>
        <w:t xml:space="preserve">جدول </w:t>
      </w:r>
      <w:r w:rsidR="00352931" w:rsidRPr="00F86C37">
        <w:rPr>
          <w:rFonts w:hint="eastAsia"/>
          <w:rtl/>
        </w:rPr>
        <w:t>المشتريات</w:t>
      </w:r>
      <w:r w:rsidR="00352931" w:rsidRPr="00F86C37">
        <w:rPr>
          <w:rtl/>
        </w:rPr>
        <w:t xml:space="preserve"> </w:t>
      </w:r>
      <w:r w:rsidR="00352931" w:rsidRPr="00F86C37">
        <w:rPr>
          <w:rFonts w:hint="eastAsia"/>
          <w:rtl/>
        </w:rPr>
        <w:t>الدولية</w:t>
      </w:r>
      <w:r w:rsidR="00596D9A" w:rsidRPr="00F86C37">
        <w:rPr>
          <w:rtl/>
        </w:rPr>
        <w:t xml:space="preserve"> </w:t>
      </w:r>
      <w:r w:rsidR="00A94A21" w:rsidRPr="00F86C37">
        <w:rPr>
          <w:rFonts w:hint="cs"/>
          <w:rtl/>
        </w:rPr>
        <w:t xml:space="preserve">ولا </w:t>
      </w:r>
      <w:r w:rsidR="00F86C37" w:rsidRPr="00F86C37">
        <w:rPr>
          <w:rFonts w:hint="cs"/>
          <w:rtl/>
        </w:rPr>
        <w:t>يدعم تطويرها</w:t>
      </w:r>
      <w:r w:rsidR="00352931" w:rsidRPr="00F86C37">
        <w:rPr>
          <w:rtl/>
        </w:rPr>
        <w:t>.</w:t>
      </w:r>
    </w:p>
    <w:p w:rsidR="00F93616" w:rsidRDefault="00352931" w:rsidP="00352931">
      <w:pPr>
        <w:pStyle w:val="NormalParaAR"/>
        <w:rPr>
          <w:rtl/>
        </w:rPr>
      </w:pPr>
      <w:r>
        <w:rPr>
          <w:rFonts w:hint="cs"/>
          <w:rtl/>
        </w:rPr>
        <w:t xml:space="preserve">الهيكل: مجلس الإدارة هو </w:t>
      </w:r>
      <w:r w:rsidR="005B5FFA">
        <w:rPr>
          <w:rFonts w:hint="cs"/>
          <w:rtl/>
        </w:rPr>
        <w:t>ال</w:t>
      </w:r>
      <w:r>
        <w:rPr>
          <w:rFonts w:hint="cs"/>
          <w:rtl/>
        </w:rPr>
        <w:t>هيئة الإدار</w:t>
      </w:r>
      <w:r w:rsidR="005B5FFA">
        <w:rPr>
          <w:rFonts w:hint="cs"/>
          <w:rtl/>
          <w:lang w:val="fr-FR"/>
        </w:rPr>
        <w:t>ي</w:t>
      </w:r>
      <w:r>
        <w:rPr>
          <w:rFonts w:hint="cs"/>
          <w:rtl/>
        </w:rPr>
        <w:t>ة الرئيسية.</w:t>
      </w:r>
    </w:p>
    <w:p w:rsidR="00352931" w:rsidRDefault="00352931" w:rsidP="005B540B">
      <w:pPr>
        <w:pStyle w:val="NormalParaAR"/>
        <w:spacing w:after="480"/>
        <w:rPr>
          <w:rtl/>
        </w:rPr>
      </w:pPr>
      <w:r>
        <w:rPr>
          <w:rFonts w:hint="cs"/>
          <w:rtl/>
        </w:rPr>
        <w:t>العضوية: تضم المنظمة 9</w:t>
      </w:r>
      <w:r w:rsidR="005B540B">
        <w:rPr>
          <w:rFonts w:hint="cs"/>
          <w:rtl/>
        </w:rPr>
        <w:t xml:space="preserve"> أفراد</w:t>
      </w:r>
      <w:r>
        <w:rPr>
          <w:rFonts w:hint="cs"/>
          <w:rtl/>
        </w:rPr>
        <w:t>.</w:t>
      </w:r>
    </w:p>
    <w:p w:rsidR="00FB3045" w:rsidRDefault="00FB3045" w:rsidP="00865EB7">
      <w:pPr>
        <w:pStyle w:val="EndofDocumentAR"/>
        <w:rPr>
          <w:rtl/>
        </w:rPr>
      </w:pPr>
      <w:r>
        <w:rPr>
          <w:rFonts w:hint="cs"/>
          <w:rtl/>
        </w:rPr>
        <w:t>[</w:t>
      </w:r>
      <w:r w:rsidR="00865EB7">
        <w:rPr>
          <w:rFonts w:hint="cs"/>
          <w:rtl/>
        </w:rPr>
        <w:t>ي</w:t>
      </w:r>
      <w:r>
        <w:rPr>
          <w:rFonts w:hint="cs"/>
          <w:rtl/>
        </w:rPr>
        <w:t>لي ذلك المرفق الثاني]</w:t>
      </w:r>
    </w:p>
    <w:p w:rsidR="00FB3045" w:rsidRDefault="00FB3045" w:rsidP="00FB3045">
      <w:pPr>
        <w:pStyle w:val="NormalParaAR"/>
        <w:rPr>
          <w:rtl/>
        </w:rPr>
      </w:pPr>
    </w:p>
    <w:p w:rsidR="00FB3045" w:rsidRDefault="00FB3045" w:rsidP="00FB3045">
      <w:pPr>
        <w:pStyle w:val="NormalParaAR"/>
        <w:rPr>
          <w:rtl/>
        </w:rPr>
        <w:sectPr w:rsidR="00FB3045" w:rsidSect="00F93616">
          <w:headerReference w:type="default" r:id="rId11"/>
          <w:headerReference w:type="first" r:id="rId12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</w:p>
    <w:p w:rsidR="00FB3045" w:rsidRPr="00CF49FA" w:rsidRDefault="003E195E" w:rsidP="00CF49FA">
      <w:pPr>
        <w:pStyle w:val="Heading1"/>
        <w:rPr>
          <w:b/>
          <w:bCs w:val="0"/>
          <w:rtl/>
        </w:rPr>
      </w:pPr>
      <w:r w:rsidRPr="00CF49FA">
        <w:rPr>
          <w:b/>
          <w:bCs w:val="0"/>
          <w:rtl/>
        </w:rPr>
        <w:lastRenderedPageBreak/>
        <w:t>مواصفات المنظمات الوطنية غير الحكومية (بالاستناد إلى المعلومات الواردة من المنظمات المذكورة)</w:t>
      </w:r>
    </w:p>
    <w:p w:rsidR="006536E4" w:rsidRDefault="006536E4" w:rsidP="005B540B">
      <w:pPr>
        <w:pStyle w:val="NormalParaAR"/>
        <w:rPr>
          <w:rtl/>
        </w:rPr>
      </w:pPr>
    </w:p>
    <w:p w:rsidR="002E154C" w:rsidRPr="002E154C" w:rsidRDefault="002E154C" w:rsidP="002E154C">
      <w:pPr>
        <w:pStyle w:val="NormalParaAR"/>
        <w:rPr>
          <w:u w:val="single"/>
          <w:rtl/>
        </w:rPr>
      </w:pPr>
      <w:r w:rsidRPr="002E154C">
        <w:rPr>
          <w:u w:val="single"/>
          <w:rtl/>
        </w:rPr>
        <w:t>الجمعية اليابانية للملكية الفكرية (</w:t>
      </w:r>
      <w:r w:rsidRPr="002E154C">
        <w:rPr>
          <w:u w:val="single"/>
        </w:rPr>
        <w:t>JIPA</w:t>
      </w:r>
      <w:r w:rsidRPr="002E154C">
        <w:rPr>
          <w:u w:val="single"/>
          <w:rtl/>
        </w:rPr>
        <w:t>)</w:t>
      </w:r>
    </w:p>
    <w:p w:rsidR="006536E4" w:rsidRDefault="006536E4" w:rsidP="00C844DD">
      <w:pPr>
        <w:pStyle w:val="NormalParaAR"/>
        <w:rPr>
          <w:rtl/>
        </w:rPr>
      </w:pPr>
      <w:r>
        <w:rPr>
          <w:rtl/>
        </w:rPr>
        <w:t>المقر:</w:t>
      </w:r>
      <w:r w:rsidR="00C844DD" w:rsidRPr="00C844DD">
        <w:rPr>
          <w:rtl/>
        </w:rPr>
        <w:t xml:space="preserve"> </w:t>
      </w:r>
      <w:r w:rsidR="00C844DD">
        <w:rPr>
          <w:rFonts w:hint="cs"/>
          <w:rtl/>
        </w:rPr>
        <w:t xml:space="preserve">أُنشئت </w:t>
      </w:r>
      <w:r w:rsidR="00C844DD" w:rsidRPr="00C844DD">
        <w:rPr>
          <w:rtl/>
        </w:rPr>
        <w:t>الجمعية اليابانية للملكية الفكرية</w:t>
      </w:r>
      <w:r w:rsidR="00C844DD">
        <w:rPr>
          <w:rFonts w:hint="cs"/>
          <w:rtl/>
        </w:rPr>
        <w:t xml:space="preserve"> (الجمعية) عام 1938 ومقرها في طوكيو في اليابان.</w:t>
      </w:r>
    </w:p>
    <w:p w:rsidR="006536E4" w:rsidRDefault="006536E4" w:rsidP="007132A0">
      <w:pPr>
        <w:pStyle w:val="NormalParaAR"/>
        <w:rPr>
          <w:rtl/>
        </w:rPr>
      </w:pPr>
      <w:r>
        <w:rPr>
          <w:rtl/>
        </w:rPr>
        <w:t>الأهداف:</w:t>
      </w:r>
      <w:r w:rsidR="005D24CA">
        <w:rPr>
          <w:rFonts w:hint="cs"/>
          <w:rtl/>
        </w:rPr>
        <w:t xml:space="preserve"> تسعى الجمعية إلى المساهمة في أعمال أعض</w:t>
      </w:r>
      <w:r w:rsidR="007132A0">
        <w:rPr>
          <w:rFonts w:hint="cs"/>
          <w:rtl/>
        </w:rPr>
        <w:t>ا</w:t>
      </w:r>
      <w:r w:rsidR="005D24CA">
        <w:rPr>
          <w:rFonts w:hint="cs"/>
          <w:rtl/>
        </w:rPr>
        <w:t xml:space="preserve">ئها من خلال </w:t>
      </w:r>
      <w:r w:rsidR="007132A0">
        <w:rPr>
          <w:rFonts w:hint="cs"/>
          <w:rtl/>
        </w:rPr>
        <w:t>العمل على</w:t>
      </w:r>
      <w:r w:rsidR="005D24CA">
        <w:rPr>
          <w:rFonts w:hint="cs"/>
          <w:rtl/>
        </w:rPr>
        <w:t xml:space="preserve"> تحقيق الاستخدام </w:t>
      </w:r>
      <w:r w:rsidR="007132A0">
        <w:rPr>
          <w:rFonts w:hint="cs"/>
          <w:rtl/>
        </w:rPr>
        <w:t>الكامل لنظم الملكية الف</w:t>
      </w:r>
      <w:r w:rsidR="005D24CA">
        <w:rPr>
          <w:rFonts w:hint="cs"/>
          <w:rtl/>
        </w:rPr>
        <w:t>ك</w:t>
      </w:r>
      <w:r w:rsidR="007132A0">
        <w:rPr>
          <w:rFonts w:hint="cs"/>
          <w:rtl/>
        </w:rPr>
        <w:t>ر</w:t>
      </w:r>
      <w:r w:rsidR="005D24CA">
        <w:rPr>
          <w:rFonts w:hint="cs"/>
          <w:rtl/>
        </w:rPr>
        <w:t>ية وتحسينها. كما تسعى الجمعية إلى المساهمة في تقدم التكنولوجيا</w:t>
      </w:r>
      <w:r w:rsidR="00D81D11">
        <w:rPr>
          <w:rFonts w:hint="cs"/>
          <w:rtl/>
        </w:rPr>
        <w:t xml:space="preserve"> وتطوير الصناعة.</w:t>
      </w:r>
    </w:p>
    <w:p w:rsidR="006536E4" w:rsidRDefault="006536E4" w:rsidP="00D81D11">
      <w:pPr>
        <w:pStyle w:val="NormalParaAR"/>
        <w:rPr>
          <w:rtl/>
        </w:rPr>
      </w:pPr>
      <w:r>
        <w:rPr>
          <w:rtl/>
        </w:rPr>
        <w:t>الهيكل:</w:t>
      </w:r>
      <w:r w:rsidR="00D81D11">
        <w:rPr>
          <w:rFonts w:hint="cs"/>
          <w:rtl/>
        </w:rPr>
        <w:t xml:space="preserve"> المجلس هو </w:t>
      </w:r>
      <w:r w:rsidR="005B540B" w:rsidRPr="005B540B">
        <w:rPr>
          <w:rFonts w:hint="cs"/>
          <w:rtl/>
        </w:rPr>
        <w:t>ال</w:t>
      </w:r>
      <w:r w:rsidR="00D81D11" w:rsidRPr="005B540B">
        <w:rPr>
          <w:rFonts w:hint="eastAsia"/>
          <w:rtl/>
        </w:rPr>
        <w:t>هيئة</w:t>
      </w:r>
      <w:r w:rsidR="00D81D11" w:rsidRPr="005B540B">
        <w:rPr>
          <w:rtl/>
        </w:rPr>
        <w:t xml:space="preserve"> الإدار</w:t>
      </w:r>
      <w:r w:rsidR="005B540B" w:rsidRPr="005B540B">
        <w:rPr>
          <w:rFonts w:hint="cs"/>
          <w:rtl/>
        </w:rPr>
        <w:t>ي</w:t>
      </w:r>
      <w:r w:rsidR="00D81D11" w:rsidRPr="005B540B">
        <w:rPr>
          <w:rtl/>
        </w:rPr>
        <w:t xml:space="preserve">ة </w:t>
      </w:r>
      <w:r w:rsidR="00D81D11">
        <w:rPr>
          <w:rFonts w:hint="cs"/>
          <w:rtl/>
        </w:rPr>
        <w:t>في الجمعية ويتألف من الرئيس ونائبه.</w:t>
      </w:r>
    </w:p>
    <w:p w:rsidR="002E154C" w:rsidRDefault="006536E4" w:rsidP="00330250">
      <w:pPr>
        <w:pStyle w:val="NormalParaAR"/>
        <w:rPr>
          <w:rtl/>
        </w:rPr>
      </w:pPr>
      <w:r>
        <w:rPr>
          <w:rtl/>
        </w:rPr>
        <w:t>العضوية:</w:t>
      </w:r>
      <w:r w:rsidR="00D81D11">
        <w:rPr>
          <w:rFonts w:hint="cs"/>
          <w:rtl/>
        </w:rPr>
        <w:t xml:space="preserve"> تضم الجمعية نحو 1200 عضو</w:t>
      </w:r>
      <w:r w:rsidR="007132A0" w:rsidRPr="007132A0">
        <w:rPr>
          <w:rFonts w:hint="cs"/>
          <w:rtl/>
        </w:rPr>
        <w:t xml:space="preserve"> </w:t>
      </w:r>
      <w:r w:rsidR="007132A0">
        <w:rPr>
          <w:rFonts w:hint="cs"/>
          <w:rtl/>
        </w:rPr>
        <w:t>إجمالا</w:t>
      </w:r>
      <w:r w:rsidR="00D81D11">
        <w:rPr>
          <w:rFonts w:hint="cs"/>
          <w:rtl/>
        </w:rPr>
        <w:t xml:space="preserve">. وبالجمعية نوعان من الأعضاء، الأعضاء </w:t>
      </w:r>
      <w:r w:rsidR="00074ED3">
        <w:rPr>
          <w:rFonts w:hint="cs"/>
          <w:rtl/>
        </w:rPr>
        <w:t xml:space="preserve">العاديون </w:t>
      </w:r>
      <w:r w:rsidR="007132A0">
        <w:rPr>
          <w:rFonts w:hint="cs"/>
          <w:rtl/>
        </w:rPr>
        <w:t>و</w:t>
      </w:r>
      <w:r w:rsidR="00074ED3">
        <w:rPr>
          <w:rFonts w:hint="cs"/>
          <w:rtl/>
        </w:rPr>
        <w:t xml:space="preserve">الأعضاء المنتسبون. </w:t>
      </w:r>
      <w:r w:rsidR="007132A0">
        <w:rPr>
          <w:rFonts w:hint="cs"/>
          <w:rtl/>
        </w:rPr>
        <w:t xml:space="preserve">ويتألف </w:t>
      </w:r>
      <w:r w:rsidR="004072E8">
        <w:rPr>
          <w:rFonts w:hint="cs"/>
          <w:rtl/>
        </w:rPr>
        <w:t>الأعضاء العاديون</w:t>
      </w:r>
      <w:r w:rsidR="007132A0">
        <w:rPr>
          <w:rFonts w:hint="cs"/>
          <w:rtl/>
        </w:rPr>
        <w:t xml:space="preserve"> من أكثر من</w:t>
      </w:r>
      <w:r w:rsidR="004072E8">
        <w:rPr>
          <w:rFonts w:hint="cs"/>
          <w:rtl/>
        </w:rPr>
        <w:t xml:space="preserve"> 900 شركة تنشئ أصول الملكية</w:t>
      </w:r>
      <w:r w:rsidR="00D63916">
        <w:rPr>
          <w:rFonts w:hint="cs"/>
          <w:rtl/>
        </w:rPr>
        <w:t xml:space="preserve"> </w:t>
      </w:r>
      <w:r w:rsidR="004072E8">
        <w:rPr>
          <w:rFonts w:hint="cs"/>
          <w:rtl/>
        </w:rPr>
        <w:t xml:space="preserve">الفكرية </w:t>
      </w:r>
      <w:r w:rsidR="005C5421">
        <w:rPr>
          <w:rFonts w:hint="cs"/>
          <w:rtl/>
        </w:rPr>
        <w:t>وتحميها. أما الأعضاء المنتسبون ف</w:t>
      </w:r>
      <w:r w:rsidR="004072E8">
        <w:rPr>
          <w:rFonts w:hint="cs"/>
          <w:rtl/>
        </w:rPr>
        <w:t xml:space="preserve">عددهم </w:t>
      </w:r>
      <w:r w:rsidR="005C5421">
        <w:rPr>
          <w:rFonts w:hint="cs"/>
          <w:rtl/>
        </w:rPr>
        <w:t>أكثر من</w:t>
      </w:r>
      <w:r w:rsidR="004072E8">
        <w:rPr>
          <w:rFonts w:hint="cs"/>
          <w:rtl/>
        </w:rPr>
        <w:t xml:space="preserve"> 300 </w:t>
      </w:r>
      <w:r w:rsidR="008D4717" w:rsidRPr="005B540B">
        <w:rPr>
          <w:rFonts w:hint="cs"/>
          <w:rtl/>
        </w:rPr>
        <w:t>عضو</w:t>
      </w:r>
      <w:r w:rsidR="008D4717">
        <w:rPr>
          <w:rFonts w:hint="cs"/>
          <w:rtl/>
        </w:rPr>
        <w:t xml:space="preserve"> </w:t>
      </w:r>
      <w:r w:rsidR="005C5421">
        <w:rPr>
          <w:rFonts w:hint="cs"/>
          <w:rtl/>
        </w:rPr>
        <w:t>ويضمون</w:t>
      </w:r>
      <w:r w:rsidR="004072E8">
        <w:rPr>
          <w:rFonts w:hint="cs"/>
          <w:rtl/>
        </w:rPr>
        <w:t xml:space="preserve"> </w:t>
      </w:r>
      <w:r w:rsidR="005C5421" w:rsidRPr="005C5421">
        <w:rPr>
          <w:rFonts w:hint="cs"/>
          <w:rtl/>
        </w:rPr>
        <w:t>ال</w:t>
      </w:r>
      <w:r w:rsidR="004072E8" w:rsidRPr="005C5421">
        <w:rPr>
          <w:rFonts w:hint="cs"/>
          <w:rtl/>
        </w:rPr>
        <w:t xml:space="preserve">مكاتب </w:t>
      </w:r>
      <w:r w:rsidR="005C5421" w:rsidRPr="005C5421">
        <w:rPr>
          <w:rFonts w:hint="cs"/>
          <w:rtl/>
        </w:rPr>
        <w:t>القانونية</w:t>
      </w:r>
      <w:r w:rsidR="004072E8" w:rsidRPr="005C5421">
        <w:rPr>
          <w:rFonts w:hint="cs"/>
          <w:rtl/>
        </w:rPr>
        <w:t xml:space="preserve"> </w:t>
      </w:r>
      <w:r w:rsidR="00330250">
        <w:rPr>
          <w:rFonts w:hint="cs"/>
          <w:rtl/>
        </w:rPr>
        <w:t>و</w:t>
      </w:r>
      <w:r w:rsidR="00330250" w:rsidRPr="00330250">
        <w:rPr>
          <w:rtl/>
        </w:rPr>
        <w:t>مكاتب محامي البراءات</w:t>
      </w:r>
      <w:r w:rsidR="00AA2EE4">
        <w:rPr>
          <w:rFonts w:hint="cs"/>
          <w:rtl/>
        </w:rPr>
        <w:t>.</w:t>
      </w:r>
    </w:p>
    <w:p w:rsidR="00CF49FA" w:rsidRPr="002E154C" w:rsidRDefault="002E154C" w:rsidP="00DA4445">
      <w:pPr>
        <w:pStyle w:val="NormalParaAR"/>
        <w:rPr>
          <w:u w:val="single"/>
          <w:rtl/>
        </w:rPr>
      </w:pPr>
      <w:r w:rsidRPr="002E154C">
        <w:rPr>
          <w:u w:val="single"/>
          <w:rtl/>
        </w:rPr>
        <w:t>مؤسسة كاريزما</w:t>
      </w:r>
      <w:r w:rsidR="00DA4445">
        <w:rPr>
          <w:rFonts w:hint="cs"/>
          <w:u w:val="single"/>
          <w:rtl/>
        </w:rPr>
        <w:t xml:space="preserve"> </w:t>
      </w:r>
      <w:r w:rsidR="00DA4445">
        <w:rPr>
          <w:u w:val="single"/>
        </w:rPr>
        <w:t>(</w:t>
      </w:r>
      <w:proofErr w:type="spellStart"/>
      <w:r w:rsidR="00DA4445">
        <w:rPr>
          <w:u w:val="single"/>
        </w:rPr>
        <w:t>Karisma</w:t>
      </w:r>
      <w:proofErr w:type="spellEnd"/>
      <w:r w:rsidR="00DA4445">
        <w:rPr>
          <w:u w:val="single"/>
        </w:rPr>
        <w:t>)</w:t>
      </w:r>
    </w:p>
    <w:p w:rsidR="006536E4" w:rsidRDefault="006536E4" w:rsidP="00AA2EE4">
      <w:pPr>
        <w:pStyle w:val="NormalParaAR"/>
        <w:rPr>
          <w:rtl/>
        </w:rPr>
      </w:pPr>
      <w:r>
        <w:rPr>
          <w:rtl/>
        </w:rPr>
        <w:t>المقر:</w:t>
      </w:r>
      <w:r w:rsidR="00AA2EE4">
        <w:rPr>
          <w:rFonts w:hint="cs"/>
          <w:rtl/>
        </w:rPr>
        <w:t xml:space="preserve"> أنشئت مؤسسة كاريزما (المؤسسة) عام 2003 في بوغوتا في كولومبيا.</w:t>
      </w:r>
    </w:p>
    <w:p w:rsidR="006536E4" w:rsidRDefault="006536E4" w:rsidP="005B540B">
      <w:pPr>
        <w:pStyle w:val="NormalParaAR"/>
        <w:rPr>
          <w:rtl/>
        </w:rPr>
      </w:pPr>
      <w:r>
        <w:rPr>
          <w:rtl/>
        </w:rPr>
        <w:t>الأهداف:</w:t>
      </w:r>
      <w:r w:rsidR="00AA2EE4">
        <w:rPr>
          <w:rFonts w:hint="cs"/>
          <w:rtl/>
        </w:rPr>
        <w:t xml:space="preserve"> تسعى المؤسسة أساسا إلى ضمان وصول منافع التكنولوجيا إلى </w:t>
      </w:r>
      <w:r w:rsidR="008E76B5">
        <w:rPr>
          <w:rFonts w:hint="cs"/>
          <w:rtl/>
        </w:rPr>
        <w:t xml:space="preserve">الأشخاص </w:t>
      </w:r>
      <w:r w:rsidR="00AA2EE4">
        <w:rPr>
          <w:rFonts w:hint="cs"/>
          <w:rtl/>
        </w:rPr>
        <w:t>الأكثر احتياجا وضمان أن التطور التك</w:t>
      </w:r>
      <w:r w:rsidR="008E76B5">
        <w:rPr>
          <w:rFonts w:hint="cs"/>
          <w:rtl/>
        </w:rPr>
        <w:t>نولوجي</w:t>
      </w:r>
      <w:r w:rsidR="00AA2EE4">
        <w:rPr>
          <w:rFonts w:hint="cs"/>
          <w:rtl/>
        </w:rPr>
        <w:t xml:space="preserve"> </w:t>
      </w:r>
      <w:r w:rsidR="00AA2EE4" w:rsidRPr="005B540B">
        <w:rPr>
          <w:rFonts w:hint="eastAsia"/>
          <w:rtl/>
        </w:rPr>
        <w:t>يعزز</w:t>
      </w:r>
      <w:r w:rsidR="00AA2EE4" w:rsidRPr="005B540B">
        <w:rPr>
          <w:rtl/>
        </w:rPr>
        <w:t xml:space="preserve"> </w:t>
      </w:r>
      <w:r w:rsidR="00AA2EE4" w:rsidRPr="005B540B">
        <w:rPr>
          <w:rFonts w:hint="eastAsia"/>
          <w:rtl/>
        </w:rPr>
        <w:t>حقوق</w:t>
      </w:r>
      <w:r w:rsidR="00AA2EE4" w:rsidRPr="005B540B">
        <w:rPr>
          <w:rtl/>
        </w:rPr>
        <w:t xml:space="preserve"> </w:t>
      </w:r>
      <w:r w:rsidR="00AA2EE4" w:rsidRPr="005B540B">
        <w:rPr>
          <w:rFonts w:hint="eastAsia"/>
          <w:rtl/>
        </w:rPr>
        <w:t>الإنسان</w:t>
      </w:r>
      <w:r w:rsidR="00AA2EE4" w:rsidRPr="005B540B">
        <w:rPr>
          <w:rtl/>
        </w:rPr>
        <w:t xml:space="preserve"> </w:t>
      </w:r>
      <w:r w:rsidR="00AA2EE4" w:rsidRPr="005B540B">
        <w:rPr>
          <w:rFonts w:hint="eastAsia"/>
          <w:rtl/>
        </w:rPr>
        <w:t>و</w:t>
      </w:r>
      <w:r w:rsidR="005B540B" w:rsidRPr="005B540B">
        <w:rPr>
          <w:rFonts w:hint="cs"/>
          <w:rtl/>
        </w:rPr>
        <w:t xml:space="preserve">المساواة بين الجنسين </w:t>
      </w:r>
      <w:r w:rsidR="00AA2EE4" w:rsidRPr="005B540B">
        <w:rPr>
          <w:rFonts w:hint="eastAsia"/>
          <w:rtl/>
        </w:rPr>
        <w:t>والعدالة</w:t>
      </w:r>
      <w:r w:rsidR="00AA2EE4" w:rsidRPr="005B540B">
        <w:rPr>
          <w:rtl/>
        </w:rPr>
        <w:t xml:space="preserve"> </w:t>
      </w:r>
      <w:r w:rsidR="00AA2EE4" w:rsidRPr="005B540B">
        <w:rPr>
          <w:rFonts w:hint="eastAsia"/>
          <w:rtl/>
        </w:rPr>
        <w:t>الاجتماعية</w:t>
      </w:r>
      <w:r w:rsidR="00AA2EE4">
        <w:rPr>
          <w:rFonts w:hint="cs"/>
          <w:rtl/>
        </w:rPr>
        <w:t xml:space="preserve">. وتعتمد المؤسسة في </w:t>
      </w:r>
      <w:r w:rsidR="00AA2EE4" w:rsidRPr="005B540B">
        <w:rPr>
          <w:rFonts w:hint="eastAsia"/>
          <w:rtl/>
        </w:rPr>
        <w:t>مقاربتها</w:t>
      </w:r>
      <w:r w:rsidR="00AA2EE4">
        <w:rPr>
          <w:rFonts w:hint="cs"/>
          <w:rtl/>
        </w:rPr>
        <w:t xml:space="preserve"> على زو</w:t>
      </w:r>
      <w:r w:rsidR="008E76B5">
        <w:rPr>
          <w:rFonts w:hint="cs"/>
          <w:rtl/>
        </w:rPr>
        <w:t>ا</w:t>
      </w:r>
      <w:r w:rsidR="00AA2EE4">
        <w:rPr>
          <w:rFonts w:hint="cs"/>
          <w:rtl/>
        </w:rPr>
        <w:t xml:space="preserve">يا </w:t>
      </w:r>
      <w:r w:rsidR="008E76B5">
        <w:rPr>
          <w:rFonts w:hint="cs"/>
          <w:rtl/>
        </w:rPr>
        <w:t>عدة</w:t>
      </w:r>
      <w:r w:rsidR="00AA2EE4">
        <w:rPr>
          <w:rFonts w:hint="cs"/>
          <w:rtl/>
        </w:rPr>
        <w:t xml:space="preserve"> </w:t>
      </w:r>
      <w:r w:rsidR="008E76B5">
        <w:rPr>
          <w:rFonts w:hint="cs"/>
          <w:rtl/>
        </w:rPr>
        <w:t>"</w:t>
      </w:r>
      <w:r w:rsidR="00AA2EE4">
        <w:rPr>
          <w:rFonts w:hint="cs"/>
          <w:rtl/>
        </w:rPr>
        <w:t>قانونية وتكنولوجية واجتماعية و</w:t>
      </w:r>
      <w:r w:rsidR="008E76B5">
        <w:rPr>
          <w:rFonts w:hint="cs"/>
          <w:rtl/>
        </w:rPr>
        <w:t>اقتصادية</w:t>
      </w:r>
      <w:r w:rsidR="00AA2EE4">
        <w:rPr>
          <w:rFonts w:hint="cs"/>
          <w:rtl/>
        </w:rPr>
        <w:t>" في تحليل الفرص والتهديدات والاستجابة لها في تكتلات مع الشركاء المحليين والإقليميين والدوليين.</w:t>
      </w:r>
    </w:p>
    <w:p w:rsidR="006536E4" w:rsidRDefault="006536E4" w:rsidP="005B540B">
      <w:pPr>
        <w:pStyle w:val="NormalParaAR"/>
        <w:keepNext/>
        <w:keepLines/>
        <w:rPr>
          <w:rtl/>
        </w:rPr>
      </w:pPr>
      <w:r>
        <w:rPr>
          <w:rtl/>
        </w:rPr>
        <w:t>الهيكل:</w:t>
      </w:r>
      <w:r w:rsidR="008E76B5">
        <w:rPr>
          <w:rFonts w:hint="cs"/>
          <w:rtl/>
        </w:rPr>
        <w:t xml:space="preserve"> </w:t>
      </w:r>
      <w:r w:rsidR="00AA2EE4">
        <w:rPr>
          <w:rFonts w:hint="cs"/>
          <w:rtl/>
        </w:rPr>
        <w:t xml:space="preserve">تضم الجمعية </w:t>
      </w:r>
      <w:r w:rsidR="008E76B5">
        <w:rPr>
          <w:rFonts w:hint="cs"/>
          <w:rtl/>
        </w:rPr>
        <w:t xml:space="preserve">كل </w:t>
      </w:r>
      <w:r w:rsidR="00AA2EE4">
        <w:rPr>
          <w:rFonts w:hint="cs"/>
          <w:rtl/>
        </w:rPr>
        <w:t xml:space="preserve">الأعضاء وهي </w:t>
      </w:r>
      <w:r w:rsidR="00332A52">
        <w:rPr>
          <w:rFonts w:hint="cs"/>
          <w:rtl/>
        </w:rPr>
        <w:t>ال</w:t>
      </w:r>
      <w:r w:rsidR="00AA2EE4">
        <w:rPr>
          <w:rFonts w:hint="cs"/>
          <w:rtl/>
        </w:rPr>
        <w:t xml:space="preserve">هيئة </w:t>
      </w:r>
      <w:r w:rsidR="008E76B5">
        <w:rPr>
          <w:rFonts w:hint="cs"/>
          <w:rtl/>
        </w:rPr>
        <w:t>ال</w:t>
      </w:r>
      <w:r w:rsidR="00AA2EE4">
        <w:rPr>
          <w:rFonts w:hint="cs"/>
          <w:rtl/>
        </w:rPr>
        <w:t>إدار</w:t>
      </w:r>
      <w:r w:rsidR="007555C8">
        <w:rPr>
          <w:rFonts w:hint="cs"/>
          <w:rtl/>
        </w:rPr>
        <w:t>ي</w:t>
      </w:r>
      <w:r w:rsidR="00AA2EE4">
        <w:rPr>
          <w:rFonts w:hint="cs"/>
          <w:rtl/>
        </w:rPr>
        <w:t>ة</w:t>
      </w:r>
      <w:r w:rsidR="008E76B5">
        <w:rPr>
          <w:rFonts w:hint="cs"/>
          <w:rtl/>
        </w:rPr>
        <w:t xml:space="preserve"> العليا</w:t>
      </w:r>
      <w:r w:rsidR="00AA2EE4">
        <w:rPr>
          <w:rFonts w:hint="cs"/>
          <w:rtl/>
        </w:rPr>
        <w:t xml:space="preserve">. ويدير مجلس الأمناء المؤسسةَ ويتكون من خمسة أعضاء </w:t>
      </w:r>
      <w:r w:rsidR="008E76B5">
        <w:rPr>
          <w:rFonts w:hint="cs"/>
          <w:rtl/>
        </w:rPr>
        <w:t>منهم</w:t>
      </w:r>
      <w:r w:rsidR="00AA2EE4">
        <w:rPr>
          <w:rFonts w:hint="cs"/>
          <w:rtl/>
        </w:rPr>
        <w:t xml:space="preserve"> المدير والرئيس </w:t>
      </w:r>
      <w:r w:rsidR="005B540B">
        <w:rPr>
          <w:rFonts w:hint="cs"/>
          <w:rtl/>
        </w:rPr>
        <w:t xml:space="preserve">ومدقق الحسابات </w:t>
      </w:r>
      <w:r w:rsidR="00AA2EE4">
        <w:rPr>
          <w:rFonts w:hint="cs"/>
          <w:rtl/>
        </w:rPr>
        <w:t>(</w:t>
      </w:r>
      <w:r w:rsidR="005B540B">
        <w:rPr>
          <w:rFonts w:hint="cs"/>
          <w:rtl/>
        </w:rPr>
        <w:t xml:space="preserve">أي </w:t>
      </w:r>
      <w:r w:rsidR="00C32E46">
        <w:rPr>
          <w:rFonts w:hint="cs"/>
          <w:rtl/>
        </w:rPr>
        <w:t>مراجع ضريبي).</w:t>
      </w:r>
    </w:p>
    <w:p w:rsidR="00CF49FA" w:rsidRDefault="006536E4" w:rsidP="005B540B">
      <w:pPr>
        <w:pStyle w:val="NormalParaAR"/>
        <w:keepNext/>
        <w:keepLines/>
        <w:rPr>
          <w:rtl/>
        </w:rPr>
      </w:pPr>
      <w:r>
        <w:rPr>
          <w:rtl/>
        </w:rPr>
        <w:t>العضوية:</w:t>
      </w:r>
      <w:r w:rsidR="008E76B5">
        <w:rPr>
          <w:rFonts w:hint="cs"/>
          <w:rtl/>
        </w:rPr>
        <w:t xml:space="preserve"> </w:t>
      </w:r>
      <w:r w:rsidR="00C32E46">
        <w:rPr>
          <w:rFonts w:hint="cs"/>
          <w:rtl/>
        </w:rPr>
        <w:t xml:space="preserve">تضم المؤسسة 13 </w:t>
      </w:r>
      <w:r w:rsidR="005B540B">
        <w:rPr>
          <w:rFonts w:hint="cs"/>
          <w:rtl/>
        </w:rPr>
        <w:t>فردا</w:t>
      </w:r>
      <w:r w:rsidR="00C32E46">
        <w:rPr>
          <w:rFonts w:hint="cs"/>
          <w:rtl/>
        </w:rPr>
        <w:t>.</w:t>
      </w:r>
    </w:p>
    <w:p w:rsidR="00CF49FA" w:rsidRPr="00FB3045" w:rsidRDefault="00CF49FA" w:rsidP="00FA0623">
      <w:pPr>
        <w:pStyle w:val="EndofDocumentAR"/>
        <w:keepNext/>
        <w:keepLines/>
      </w:pPr>
      <w:r>
        <w:rPr>
          <w:rFonts w:hint="cs"/>
          <w:rtl/>
        </w:rPr>
        <w:t>[نهاية المرفق الثاني والوثيقة]</w:t>
      </w:r>
    </w:p>
    <w:sectPr w:rsidR="00CF49FA" w:rsidRPr="00FB3045" w:rsidSect="000A7624">
      <w:headerReference w:type="default" r:id="rId13"/>
      <w:headerReference w:type="first" r:id="rId14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06E" w:rsidRDefault="0002706E">
      <w:r>
        <w:separator/>
      </w:r>
    </w:p>
  </w:endnote>
  <w:endnote w:type="continuationSeparator" w:id="0">
    <w:p w:rsidR="0002706E" w:rsidRDefault="0002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06E" w:rsidRDefault="0002706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2706E" w:rsidRDefault="0002706E" w:rsidP="009622BF">
      <w:pPr>
        <w:bidi/>
      </w:pPr>
      <w:r>
        <w:separator/>
      </w:r>
    </w:p>
  </w:footnote>
  <w:footnote w:id="1">
    <w:p w:rsidR="00597014" w:rsidRDefault="00597014" w:rsidP="003566C0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ab/>
      </w:r>
      <w:r w:rsidR="003566C0">
        <w:rPr>
          <w:rFonts w:hint="cs"/>
          <w:rtl/>
        </w:rPr>
        <w:t>أعدّت</w:t>
      </w:r>
      <w:r>
        <w:rPr>
          <w:rFonts w:hint="cs"/>
          <w:rtl/>
        </w:rPr>
        <w:t xml:space="preserve"> هذه الصيغة </w:t>
      </w:r>
      <w:r>
        <w:rPr>
          <w:rFonts w:hint="cs"/>
          <w:rtl/>
          <w:lang w:bidi="ar-EG"/>
        </w:rPr>
        <w:t>ال</w:t>
      </w:r>
      <w:r>
        <w:rPr>
          <w:rFonts w:hint="cs"/>
          <w:rtl/>
        </w:rPr>
        <w:t xml:space="preserve">معدّلة للوثيقة لأن منظمة وطنية غير حكومية سحبت طلب الحصول على صفة مراقب دائم لدى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في 27 سبتمبر 2016.</w:t>
      </w:r>
    </w:p>
  </w:footnote>
  <w:footnote w:id="2">
    <w:p w:rsidR="005C1913" w:rsidRDefault="005C1913" w:rsidP="00450E3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041FC6">
        <w:rPr>
          <w:rFonts w:hint="cs"/>
          <w:rtl/>
        </w:rPr>
        <w:t xml:space="preserve">ترد </w:t>
      </w:r>
      <w:r w:rsidR="00BC540A">
        <w:rPr>
          <w:rFonts w:hint="cs"/>
          <w:rtl/>
        </w:rPr>
        <w:t>المبادئ الم</w:t>
      </w:r>
      <w:r w:rsidR="00F06361">
        <w:rPr>
          <w:rFonts w:hint="cs"/>
          <w:rtl/>
        </w:rPr>
        <w:t>ُ</w:t>
      </w:r>
      <w:r w:rsidR="00BC540A">
        <w:rPr>
          <w:rFonts w:hint="cs"/>
          <w:rtl/>
        </w:rPr>
        <w:t xml:space="preserve">طبقة في توجيه </w:t>
      </w:r>
      <w:r w:rsidR="001A457A">
        <w:rPr>
          <w:rFonts w:hint="cs"/>
          <w:rtl/>
        </w:rPr>
        <w:t>ال</w:t>
      </w:r>
      <w:r w:rsidR="00BC540A">
        <w:rPr>
          <w:rFonts w:hint="cs"/>
          <w:rtl/>
        </w:rPr>
        <w:t>دعوا</w:t>
      </w:r>
      <w:r w:rsidR="001A457A">
        <w:rPr>
          <w:rFonts w:hint="cs"/>
          <w:rtl/>
        </w:rPr>
        <w:t>ت</w:t>
      </w:r>
      <w:r w:rsidR="00BC540A">
        <w:rPr>
          <w:rFonts w:hint="cs"/>
          <w:rtl/>
        </w:rPr>
        <w:t xml:space="preserve"> إلى ا</w:t>
      </w:r>
      <w:r w:rsidR="001A457A">
        <w:rPr>
          <w:rFonts w:hint="cs"/>
          <w:rtl/>
        </w:rPr>
        <w:t>لجمعيات غير الحكومية الوطنية بصفة مراقب</w:t>
      </w:r>
      <w:r w:rsidR="00BC540A">
        <w:rPr>
          <w:rFonts w:hint="cs"/>
          <w:rtl/>
        </w:rPr>
        <w:t xml:space="preserve"> التي اعتمدتها الجمعيات في سلسلة اجتماعاتها السابعة والثلاثين المنعقدة</w:t>
      </w:r>
      <w:r w:rsidR="001A457A">
        <w:rPr>
          <w:rFonts w:hint="cs"/>
          <w:rtl/>
        </w:rPr>
        <w:t xml:space="preserve"> </w:t>
      </w:r>
      <w:r w:rsidR="00F06361">
        <w:rPr>
          <w:rFonts w:hint="cs"/>
          <w:rtl/>
        </w:rPr>
        <w:t xml:space="preserve">في الفترة </w:t>
      </w:r>
      <w:r w:rsidR="001A457A">
        <w:rPr>
          <w:rFonts w:hint="cs"/>
          <w:rtl/>
        </w:rPr>
        <w:t>من 23 سبتمبر إلى 1 أكتوبر 2002</w:t>
      </w:r>
      <w:r w:rsidR="00BC540A">
        <w:rPr>
          <w:rFonts w:hint="cs"/>
          <w:rtl/>
        </w:rPr>
        <w:t xml:space="preserve"> </w:t>
      </w:r>
      <w:r w:rsidR="001A457A">
        <w:rPr>
          <w:rFonts w:hint="cs"/>
          <w:rtl/>
        </w:rPr>
        <w:t xml:space="preserve">في </w:t>
      </w:r>
      <w:r w:rsidR="00BC540A" w:rsidRPr="00450E36">
        <w:rPr>
          <w:rFonts w:hint="cs"/>
          <w:rtl/>
        </w:rPr>
        <w:t>الفقرة</w:t>
      </w:r>
      <w:r w:rsidR="00B05B78">
        <w:rPr>
          <w:rFonts w:hint="cs"/>
          <w:rtl/>
        </w:rPr>
        <w:t xml:space="preserve"> </w:t>
      </w:r>
      <w:r w:rsidR="00BC540A" w:rsidRPr="00450E36">
        <w:rPr>
          <w:rFonts w:hint="cs"/>
          <w:rtl/>
        </w:rPr>
        <w:t>316 من</w:t>
      </w:r>
      <w:r w:rsidR="00BC540A" w:rsidRPr="001372F8">
        <w:rPr>
          <w:sz w:val="40"/>
          <w:szCs w:val="40"/>
          <w:rtl/>
        </w:rPr>
        <w:t xml:space="preserve"> </w:t>
      </w:r>
      <w:r w:rsidR="00BC540A">
        <w:rPr>
          <w:rFonts w:hint="cs"/>
          <w:rtl/>
        </w:rPr>
        <w:t xml:space="preserve">الوثيقة </w:t>
      </w:r>
      <w:r w:rsidR="00BC540A" w:rsidRPr="00BC540A">
        <w:t>A/37/14</w:t>
      </w:r>
      <w:r w:rsidR="00BC540A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Pr="00962D04" w:rsidRDefault="001E12A4" w:rsidP="00AB735B">
    <w:pPr>
      <w:rPr>
        <w:szCs w:val="22"/>
      </w:rPr>
    </w:pPr>
    <w:r w:rsidRPr="00962D04">
      <w:rPr>
        <w:szCs w:val="22"/>
      </w:rPr>
      <w:t>A/</w:t>
    </w:r>
    <w:r w:rsidR="00B774A4" w:rsidRPr="00962D04">
      <w:rPr>
        <w:szCs w:val="22"/>
      </w:rPr>
      <w:t>5</w:t>
    </w:r>
    <w:r w:rsidR="00703293" w:rsidRPr="00962D04">
      <w:rPr>
        <w:szCs w:val="22"/>
      </w:rPr>
      <w:t>6</w:t>
    </w:r>
    <w:r w:rsidRPr="00962D04">
      <w:rPr>
        <w:szCs w:val="22"/>
      </w:rPr>
      <w:t>/</w:t>
    </w:r>
    <w:r w:rsidR="005C1913" w:rsidRPr="00962D04">
      <w:rPr>
        <w:szCs w:val="22"/>
        <w:rtl/>
      </w:rPr>
      <w:t>2</w:t>
    </w:r>
    <w:r w:rsidR="000735BC">
      <w:rPr>
        <w:szCs w:val="22"/>
      </w:rPr>
      <w:t xml:space="preserve"> Rev.</w:t>
    </w:r>
  </w:p>
  <w:p w:rsidR="001E12A4" w:rsidRPr="00962D04" w:rsidRDefault="001E12A4" w:rsidP="00AB735B">
    <w:pPr>
      <w:rPr>
        <w:szCs w:val="22"/>
      </w:rPr>
    </w:pPr>
    <w:r w:rsidRPr="00962D04">
      <w:rPr>
        <w:szCs w:val="22"/>
      </w:rPr>
      <w:fldChar w:fldCharType="begin"/>
    </w:r>
    <w:r w:rsidRPr="00962D04">
      <w:rPr>
        <w:szCs w:val="22"/>
      </w:rPr>
      <w:instrText xml:space="preserve"> PAGE  \* MERGEFORMAT </w:instrText>
    </w:r>
    <w:r w:rsidRPr="00962D04">
      <w:rPr>
        <w:szCs w:val="22"/>
      </w:rPr>
      <w:fldChar w:fldCharType="separate"/>
    </w:r>
    <w:r w:rsidR="00237018">
      <w:rPr>
        <w:noProof/>
        <w:szCs w:val="22"/>
      </w:rPr>
      <w:t>2</w:t>
    </w:r>
    <w:r w:rsidRPr="00962D04">
      <w:rPr>
        <w:szCs w:val="22"/>
      </w:rPr>
      <w:fldChar w:fldCharType="end"/>
    </w:r>
  </w:p>
  <w:p w:rsidR="001E12A4" w:rsidRDefault="001E12A4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616" w:rsidRDefault="00F93616" w:rsidP="00F93616">
    <w:pPr>
      <w:rPr>
        <w:rtl/>
      </w:rPr>
    </w:pPr>
    <w:r>
      <w:t>A/56/</w:t>
    </w:r>
    <w:r w:rsidRPr="00F93616">
      <w:rPr>
        <w:rFonts w:hint="cs"/>
        <w:szCs w:val="22"/>
        <w:rtl/>
      </w:rPr>
      <w:t>2</w:t>
    </w:r>
  </w:p>
  <w:p w:rsidR="00F93616" w:rsidRDefault="00F93616" w:rsidP="00F93616">
    <w:r>
      <w:t>Annex I</w:t>
    </w:r>
  </w:p>
  <w:p w:rsidR="00F93616" w:rsidRDefault="00F93616" w:rsidP="00D61541">
    <w:r>
      <w:fldChar w:fldCharType="begin"/>
    </w:r>
    <w:r>
      <w:instrText xml:space="preserve"> PAGE   \* MERGEFORMAT </w:instrText>
    </w:r>
    <w:r>
      <w:fldChar w:fldCharType="separate"/>
    </w:r>
    <w:r w:rsidR="00A3013C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45" w:rsidRDefault="00FB3045" w:rsidP="00FB3045">
    <w:pPr>
      <w:pStyle w:val="Header"/>
    </w:pPr>
    <w:r>
      <w:t>A/56/2</w:t>
    </w:r>
    <w:r w:rsidR="000735BC">
      <w:t xml:space="preserve"> Rev.</w:t>
    </w:r>
  </w:p>
  <w:p w:rsidR="00FB3045" w:rsidRDefault="00FB3045" w:rsidP="00FB3045">
    <w:pPr>
      <w:pStyle w:val="Header"/>
    </w:pPr>
    <w:r>
      <w:t>ANNEX I</w:t>
    </w:r>
  </w:p>
  <w:p w:rsidR="00FB3045" w:rsidRPr="00FB3045" w:rsidRDefault="00FB3045" w:rsidP="00FB3045">
    <w:pPr>
      <w:pStyle w:val="Header"/>
      <w:rPr>
        <w:rFonts w:ascii="Arabic Typesetting" w:hAnsi="Arabic Typesetting" w:cs="Arabic Typesetting"/>
        <w:sz w:val="36"/>
        <w:szCs w:val="36"/>
        <w:rtl/>
      </w:rPr>
    </w:pPr>
    <w:r w:rsidRPr="00FB3045">
      <w:rPr>
        <w:rFonts w:ascii="Arabic Typesetting" w:hAnsi="Arabic Typesetting" w:cs="Arabic Typesetting"/>
        <w:sz w:val="36"/>
        <w:szCs w:val="36"/>
        <w:rtl/>
      </w:rPr>
      <w:t>المرفق الأول</w:t>
    </w:r>
  </w:p>
  <w:p w:rsidR="00FB3045" w:rsidRDefault="00FB304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0BC" w:rsidRDefault="004F60BC" w:rsidP="00F93616">
    <w:pPr>
      <w:rPr>
        <w:rtl/>
      </w:rPr>
    </w:pPr>
    <w:r>
      <w:t>A/56/</w:t>
    </w:r>
    <w:r w:rsidRPr="00F93616">
      <w:rPr>
        <w:rFonts w:hint="cs"/>
        <w:szCs w:val="22"/>
        <w:rtl/>
      </w:rPr>
      <w:t>2</w:t>
    </w:r>
  </w:p>
  <w:p w:rsidR="004F60BC" w:rsidRDefault="004F60BC" w:rsidP="00F93616">
    <w:r>
      <w:t>Annex II</w:t>
    </w:r>
  </w:p>
  <w:p w:rsidR="004F60BC" w:rsidRDefault="000A7624" w:rsidP="00D61541">
    <w:r>
      <w:fldChar w:fldCharType="begin"/>
    </w:r>
    <w:r>
      <w:instrText xml:space="preserve"> PAGE   \* MERGEFORMAT </w:instrText>
    </w:r>
    <w:r>
      <w:fldChar w:fldCharType="separate"/>
    </w:r>
    <w:r w:rsidR="00A3013C">
      <w:rPr>
        <w:noProof/>
      </w:rPr>
      <w:t>2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616" w:rsidRDefault="00F93616" w:rsidP="00FB3045">
    <w:pPr>
      <w:pStyle w:val="Header"/>
    </w:pPr>
    <w:r>
      <w:t>A/56/2</w:t>
    </w:r>
    <w:r w:rsidR="000735BC">
      <w:t xml:space="preserve"> Rev.</w:t>
    </w:r>
  </w:p>
  <w:p w:rsidR="00F93616" w:rsidRDefault="00F93616" w:rsidP="00FB3045">
    <w:pPr>
      <w:pStyle w:val="Header"/>
    </w:pPr>
    <w:r>
      <w:t>ANNEX II</w:t>
    </w:r>
  </w:p>
  <w:p w:rsidR="00F93616" w:rsidRPr="00FB3045" w:rsidRDefault="00F93616" w:rsidP="00596D9A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FB3045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الثاني</w:t>
    </w:r>
  </w:p>
  <w:p w:rsidR="00F93616" w:rsidRDefault="00F93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3403B6"/>
    <w:multiLevelType w:val="hybridMultilevel"/>
    <w:tmpl w:val="DEA27578"/>
    <w:lvl w:ilvl="0" w:tplc="0828547C">
      <w:start w:val="1"/>
      <w:numFmt w:val="decimal"/>
      <w:lvlText w:val="&quot;%1&quot;"/>
      <w:lvlJc w:val="left"/>
      <w:pPr>
        <w:ind w:left="242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3140" w:hanging="360"/>
      </w:pPr>
    </w:lvl>
    <w:lvl w:ilvl="2" w:tplc="0409001B" w:tentative="1">
      <w:start w:val="1"/>
      <w:numFmt w:val="lowerRoman"/>
      <w:lvlText w:val="%3."/>
      <w:lvlJc w:val="right"/>
      <w:pPr>
        <w:ind w:left="3860" w:hanging="180"/>
      </w:pPr>
    </w:lvl>
    <w:lvl w:ilvl="3" w:tplc="0409000F" w:tentative="1">
      <w:start w:val="1"/>
      <w:numFmt w:val="decimal"/>
      <w:lvlText w:val="%4."/>
      <w:lvlJc w:val="left"/>
      <w:pPr>
        <w:ind w:left="4580" w:hanging="360"/>
      </w:pPr>
    </w:lvl>
    <w:lvl w:ilvl="4" w:tplc="04090019" w:tentative="1">
      <w:start w:val="1"/>
      <w:numFmt w:val="lowerLetter"/>
      <w:lvlText w:val="%5."/>
      <w:lvlJc w:val="left"/>
      <w:pPr>
        <w:ind w:left="5300" w:hanging="360"/>
      </w:pPr>
    </w:lvl>
    <w:lvl w:ilvl="5" w:tplc="0409001B" w:tentative="1">
      <w:start w:val="1"/>
      <w:numFmt w:val="lowerRoman"/>
      <w:lvlText w:val="%6."/>
      <w:lvlJc w:val="right"/>
      <w:pPr>
        <w:ind w:left="6020" w:hanging="180"/>
      </w:pPr>
    </w:lvl>
    <w:lvl w:ilvl="6" w:tplc="0409000F" w:tentative="1">
      <w:start w:val="1"/>
      <w:numFmt w:val="decimal"/>
      <w:lvlText w:val="%7."/>
      <w:lvlJc w:val="left"/>
      <w:pPr>
        <w:ind w:left="6740" w:hanging="360"/>
      </w:pPr>
    </w:lvl>
    <w:lvl w:ilvl="7" w:tplc="04090019" w:tentative="1">
      <w:start w:val="1"/>
      <w:numFmt w:val="lowerLetter"/>
      <w:lvlText w:val="%8."/>
      <w:lvlJc w:val="left"/>
      <w:pPr>
        <w:ind w:left="7460" w:hanging="360"/>
      </w:pPr>
    </w:lvl>
    <w:lvl w:ilvl="8" w:tplc="0409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3">
    <w:nsid w:val="25E87973"/>
    <w:multiLevelType w:val="hybridMultilevel"/>
    <w:tmpl w:val="C3C62F8C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74008E82">
      <w:start w:val="1"/>
      <w:numFmt w:val="arabicAlpha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DF04716"/>
    <w:multiLevelType w:val="hybridMultilevel"/>
    <w:tmpl w:val="DEA27578"/>
    <w:lvl w:ilvl="0" w:tplc="0828547C">
      <w:start w:val="1"/>
      <w:numFmt w:val="decimal"/>
      <w:lvlText w:val="&quot;%1&quot;"/>
      <w:lvlJc w:val="left"/>
      <w:pPr>
        <w:ind w:left="242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3140" w:hanging="360"/>
      </w:pPr>
    </w:lvl>
    <w:lvl w:ilvl="2" w:tplc="0409001B" w:tentative="1">
      <w:start w:val="1"/>
      <w:numFmt w:val="lowerRoman"/>
      <w:lvlText w:val="%3."/>
      <w:lvlJc w:val="right"/>
      <w:pPr>
        <w:ind w:left="3860" w:hanging="180"/>
      </w:pPr>
    </w:lvl>
    <w:lvl w:ilvl="3" w:tplc="0409000F" w:tentative="1">
      <w:start w:val="1"/>
      <w:numFmt w:val="decimal"/>
      <w:lvlText w:val="%4."/>
      <w:lvlJc w:val="left"/>
      <w:pPr>
        <w:ind w:left="4580" w:hanging="360"/>
      </w:pPr>
    </w:lvl>
    <w:lvl w:ilvl="4" w:tplc="04090019" w:tentative="1">
      <w:start w:val="1"/>
      <w:numFmt w:val="lowerLetter"/>
      <w:lvlText w:val="%5."/>
      <w:lvlJc w:val="left"/>
      <w:pPr>
        <w:ind w:left="5300" w:hanging="360"/>
      </w:pPr>
    </w:lvl>
    <w:lvl w:ilvl="5" w:tplc="0409001B" w:tentative="1">
      <w:start w:val="1"/>
      <w:numFmt w:val="lowerRoman"/>
      <w:lvlText w:val="%6."/>
      <w:lvlJc w:val="right"/>
      <w:pPr>
        <w:ind w:left="6020" w:hanging="180"/>
      </w:pPr>
    </w:lvl>
    <w:lvl w:ilvl="6" w:tplc="0409000F" w:tentative="1">
      <w:start w:val="1"/>
      <w:numFmt w:val="decimal"/>
      <w:lvlText w:val="%7."/>
      <w:lvlJc w:val="left"/>
      <w:pPr>
        <w:ind w:left="6740" w:hanging="360"/>
      </w:pPr>
    </w:lvl>
    <w:lvl w:ilvl="7" w:tplc="04090019" w:tentative="1">
      <w:start w:val="1"/>
      <w:numFmt w:val="lowerLetter"/>
      <w:lvlText w:val="%8."/>
      <w:lvlJc w:val="left"/>
      <w:pPr>
        <w:ind w:left="7460" w:hanging="360"/>
      </w:pPr>
    </w:lvl>
    <w:lvl w:ilvl="8" w:tplc="0409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7">
    <w:nsid w:val="58852A6E"/>
    <w:multiLevelType w:val="hybridMultilevel"/>
    <w:tmpl w:val="0512FB04"/>
    <w:lvl w:ilvl="0" w:tplc="60424AD8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60424AD8">
      <w:start w:val="1"/>
      <w:numFmt w:val="arabicAbjad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11184"/>
    <w:multiLevelType w:val="hybridMultilevel"/>
    <w:tmpl w:val="DEA27578"/>
    <w:lvl w:ilvl="0" w:tplc="0828547C">
      <w:start w:val="1"/>
      <w:numFmt w:val="decimal"/>
      <w:lvlText w:val="&quot;%1&quot;"/>
      <w:lvlJc w:val="left"/>
      <w:pPr>
        <w:ind w:left="242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3140" w:hanging="360"/>
      </w:pPr>
    </w:lvl>
    <w:lvl w:ilvl="2" w:tplc="0409001B" w:tentative="1">
      <w:start w:val="1"/>
      <w:numFmt w:val="lowerRoman"/>
      <w:lvlText w:val="%3."/>
      <w:lvlJc w:val="right"/>
      <w:pPr>
        <w:ind w:left="3860" w:hanging="180"/>
      </w:pPr>
    </w:lvl>
    <w:lvl w:ilvl="3" w:tplc="0409000F" w:tentative="1">
      <w:start w:val="1"/>
      <w:numFmt w:val="decimal"/>
      <w:lvlText w:val="%4."/>
      <w:lvlJc w:val="left"/>
      <w:pPr>
        <w:ind w:left="4580" w:hanging="360"/>
      </w:pPr>
    </w:lvl>
    <w:lvl w:ilvl="4" w:tplc="04090019" w:tentative="1">
      <w:start w:val="1"/>
      <w:numFmt w:val="lowerLetter"/>
      <w:lvlText w:val="%5."/>
      <w:lvlJc w:val="left"/>
      <w:pPr>
        <w:ind w:left="5300" w:hanging="360"/>
      </w:pPr>
    </w:lvl>
    <w:lvl w:ilvl="5" w:tplc="0409001B" w:tentative="1">
      <w:start w:val="1"/>
      <w:numFmt w:val="lowerRoman"/>
      <w:lvlText w:val="%6."/>
      <w:lvlJc w:val="right"/>
      <w:pPr>
        <w:ind w:left="6020" w:hanging="180"/>
      </w:pPr>
    </w:lvl>
    <w:lvl w:ilvl="6" w:tplc="0409000F" w:tentative="1">
      <w:start w:val="1"/>
      <w:numFmt w:val="decimal"/>
      <w:lvlText w:val="%7."/>
      <w:lvlJc w:val="left"/>
      <w:pPr>
        <w:ind w:left="6740" w:hanging="360"/>
      </w:pPr>
    </w:lvl>
    <w:lvl w:ilvl="7" w:tplc="04090019" w:tentative="1">
      <w:start w:val="1"/>
      <w:numFmt w:val="lowerLetter"/>
      <w:lvlText w:val="%8."/>
      <w:lvlJc w:val="left"/>
      <w:pPr>
        <w:ind w:left="7460" w:hanging="360"/>
      </w:pPr>
    </w:lvl>
    <w:lvl w:ilvl="8" w:tplc="0409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9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1"/>
  </w:num>
  <w:num w:numId="5">
    <w:abstractNumId w:val="8"/>
  </w:num>
  <w:num w:numId="6">
    <w:abstractNumId w:val="22"/>
  </w:num>
  <w:num w:numId="7">
    <w:abstractNumId w:val="14"/>
  </w:num>
  <w:num w:numId="8">
    <w:abstractNumId w:val="20"/>
  </w:num>
  <w:num w:numId="9">
    <w:abstractNumId w:val="19"/>
  </w:num>
  <w:num w:numId="10">
    <w:abstractNumId w:val="23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12"/>
  </w:num>
  <w:num w:numId="23">
    <w:abstractNumId w:val="18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6E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706E"/>
    <w:rsid w:val="00031B2C"/>
    <w:rsid w:val="00033D2C"/>
    <w:rsid w:val="00035CE8"/>
    <w:rsid w:val="00036041"/>
    <w:rsid w:val="00040637"/>
    <w:rsid w:val="00040688"/>
    <w:rsid w:val="0004070F"/>
    <w:rsid w:val="0004115B"/>
    <w:rsid w:val="00041FC6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35BC"/>
    <w:rsid w:val="00074ED3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3530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624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4095"/>
    <w:rsid w:val="000D5FB7"/>
    <w:rsid w:val="000E06A5"/>
    <w:rsid w:val="000E16EB"/>
    <w:rsid w:val="000E591F"/>
    <w:rsid w:val="000E5A23"/>
    <w:rsid w:val="000E6045"/>
    <w:rsid w:val="000E7872"/>
    <w:rsid w:val="000F047F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7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85F"/>
    <w:rsid w:val="0013191A"/>
    <w:rsid w:val="00131E8F"/>
    <w:rsid w:val="00135C24"/>
    <w:rsid w:val="00136389"/>
    <w:rsid w:val="00136A1A"/>
    <w:rsid w:val="00136A96"/>
    <w:rsid w:val="001372F8"/>
    <w:rsid w:val="001376B6"/>
    <w:rsid w:val="00140A35"/>
    <w:rsid w:val="00142F4D"/>
    <w:rsid w:val="00143428"/>
    <w:rsid w:val="0014412C"/>
    <w:rsid w:val="00144713"/>
    <w:rsid w:val="00144CC3"/>
    <w:rsid w:val="001478FA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57A"/>
    <w:rsid w:val="001A4A9C"/>
    <w:rsid w:val="001A6B88"/>
    <w:rsid w:val="001A6C33"/>
    <w:rsid w:val="001A6E68"/>
    <w:rsid w:val="001B3131"/>
    <w:rsid w:val="001B4B2F"/>
    <w:rsid w:val="001B6B3D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902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56D7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0F56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018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2E63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87024"/>
    <w:rsid w:val="00287DA6"/>
    <w:rsid w:val="002909B9"/>
    <w:rsid w:val="00292CEE"/>
    <w:rsid w:val="00292D22"/>
    <w:rsid w:val="0029470D"/>
    <w:rsid w:val="00295982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0A91"/>
    <w:rsid w:val="002D1662"/>
    <w:rsid w:val="002D1DE5"/>
    <w:rsid w:val="002D3506"/>
    <w:rsid w:val="002D3670"/>
    <w:rsid w:val="002D40AF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154C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2F7BC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0250"/>
    <w:rsid w:val="00332A52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2931"/>
    <w:rsid w:val="003534EE"/>
    <w:rsid w:val="003566C0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0CBB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0ADD"/>
    <w:rsid w:val="003E195E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55D1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072E8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445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3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0B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9E6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547B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B44"/>
    <w:rsid w:val="00592D5D"/>
    <w:rsid w:val="00592F37"/>
    <w:rsid w:val="005955C0"/>
    <w:rsid w:val="00595B68"/>
    <w:rsid w:val="00595EAA"/>
    <w:rsid w:val="0059672B"/>
    <w:rsid w:val="00596D9A"/>
    <w:rsid w:val="00597014"/>
    <w:rsid w:val="005A0C60"/>
    <w:rsid w:val="005A255F"/>
    <w:rsid w:val="005A330E"/>
    <w:rsid w:val="005A5554"/>
    <w:rsid w:val="005A5651"/>
    <w:rsid w:val="005A642A"/>
    <w:rsid w:val="005A6AFE"/>
    <w:rsid w:val="005A7BF3"/>
    <w:rsid w:val="005A7DE0"/>
    <w:rsid w:val="005B0AEF"/>
    <w:rsid w:val="005B37D9"/>
    <w:rsid w:val="005B445B"/>
    <w:rsid w:val="005B474E"/>
    <w:rsid w:val="005B489A"/>
    <w:rsid w:val="005B540B"/>
    <w:rsid w:val="005B5FFA"/>
    <w:rsid w:val="005B63A6"/>
    <w:rsid w:val="005B64D1"/>
    <w:rsid w:val="005B6A88"/>
    <w:rsid w:val="005B6E05"/>
    <w:rsid w:val="005B6E68"/>
    <w:rsid w:val="005B7F42"/>
    <w:rsid w:val="005C1913"/>
    <w:rsid w:val="005C1D45"/>
    <w:rsid w:val="005C3C9B"/>
    <w:rsid w:val="005C42AB"/>
    <w:rsid w:val="005C45C0"/>
    <w:rsid w:val="005C5335"/>
    <w:rsid w:val="005C5421"/>
    <w:rsid w:val="005C5D7B"/>
    <w:rsid w:val="005C5E29"/>
    <w:rsid w:val="005C6474"/>
    <w:rsid w:val="005C6A68"/>
    <w:rsid w:val="005D0AE3"/>
    <w:rsid w:val="005D1103"/>
    <w:rsid w:val="005D24CA"/>
    <w:rsid w:val="005D276D"/>
    <w:rsid w:val="005D5912"/>
    <w:rsid w:val="005D794C"/>
    <w:rsid w:val="005D7A9F"/>
    <w:rsid w:val="005D7AA2"/>
    <w:rsid w:val="005E0185"/>
    <w:rsid w:val="005E1CD4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4DC2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36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1C36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87C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24A6"/>
    <w:rsid w:val="006A339D"/>
    <w:rsid w:val="006A4462"/>
    <w:rsid w:val="006A5B59"/>
    <w:rsid w:val="006A6161"/>
    <w:rsid w:val="006A6A14"/>
    <w:rsid w:val="006A753A"/>
    <w:rsid w:val="006A777C"/>
    <w:rsid w:val="006A7C46"/>
    <w:rsid w:val="006A7FB1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293"/>
    <w:rsid w:val="00705027"/>
    <w:rsid w:val="00710494"/>
    <w:rsid w:val="007117BD"/>
    <w:rsid w:val="007132A0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5C8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55CF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196"/>
    <w:rsid w:val="007B2800"/>
    <w:rsid w:val="007B38F7"/>
    <w:rsid w:val="007B40BD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7F7465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5EB7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1DF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EEB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4717"/>
    <w:rsid w:val="008D564A"/>
    <w:rsid w:val="008D5E47"/>
    <w:rsid w:val="008D7D8C"/>
    <w:rsid w:val="008E004E"/>
    <w:rsid w:val="008E04FB"/>
    <w:rsid w:val="008E3E79"/>
    <w:rsid w:val="008E5282"/>
    <w:rsid w:val="008E5E2C"/>
    <w:rsid w:val="008E76B5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2D04"/>
    <w:rsid w:val="009651B8"/>
    <w:rsid w:val="009653F3"/>
    <w:rsid w:val="0096587A"/>
    <w:rsid w:val="009666E7"/>
    <w:rsid w:val="00967278"/>
    <w:rsid w:val="00971568"/>
    <w:rsid w:val="009728F2"/>
    <w:rsid w:val="00972BEF"/>
    <w:rsid w:val="00972DED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651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13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013C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1F4B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4A21"/>
    <w:rsid w:val="00A9614E"/>
    <w:rsid w:val="00A963B5"/>
    <w:rsid w:val="00A96FA8"/>
    <w:rsid w:val="00A97665"/>
    <w:rsid w:val="00AA0504"/>
    <w:rsid w:val="00AA0909"/>
    <w:rsid w:val="00AA0E00"/>
    <w:rsid w:val="00AA17BE"/>
    <w:rsid w:val="00AA1C72"/>
    <w:rsid w:val="00AA1E8D"/>
    <w:rsid w:val="00AA1FDE"/>
    <w:rsid w:val="00AA291C"/>
    <w:rsid w:val="00AA2EE4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B735B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5B78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475B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29C"/>
    <w:rsid w:val="00B56711"/>
    <w:rsid w:val="00B57EF2"/>
    <w:rsid w:val="00B604F3"/>
    <w:rsid w:val="00B6101C"/>
    <w:rsid w:val="00B615ED"/>
    <w:rsid w:val="00B618F4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C70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4B42"/>
    <w:rsid w:val="00BA524B"/>
    <w:rsid w:val="00BA54F7"/>
    <w:rsid w:val="00BA576C"/>
    <w:rsid w:val="00BA6205"/>
    <w:rsid w:val="00BA6CE5"/>
    <w:rsid w:val="00BA6F38"/>
    <w:rsid w:val="00BB1388"/>
    <w:rsid w:val="00BB2683"/>
    <w:rsid w:val="00BB405F"/>
    <w:rsid w:val="00BB40DF"/>
    <w:rsid w:val="00BB5E2C"/>
    <w:rsid w:val="00BB7D9E"/>
    <w:rsid w:val="00BC16AC"/>
    <w:rsid w:val="00BC2B7B"/>
    <w:rsid w:val="00BC3AE8"/>
    <w:rsid w:val="00BC3AF4"/>
    <w:rsid w:val="00BC43A8"/>
    <w:rsid w:val="00BC540A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3D9A"/>
    <w:rsid w:val="00BE48A8"/>
    <w:rsid w:val="00BE528F"/>
    <w:rsid w:val="00BE5850"/>
    <w:rsid w:val="00BE58D6"/>
    <w:rsid w:val="00BE5CA6"/>
    <w:rsid w:val="00BE6D5D"/>
    <w:rsid w:val="00BE707F"/>
    <w:rsid w:val="00BE7F5D"/>
    <w:rsid w:val="00BF0707"/>
    <w:rsid w:val="00BF164F"/>
    <w:rsid w:val="00BF1AAF"/>
    <w:rsid w:val="00BF268B"/>
    <w:rsid w:val="00BF270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2E46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44DD"/>
    <w:rsid w:val="00C8533B"/>
    <w:rsid w:val="00C858BA"/>
    <w:rsid w:val="00C86002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308D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49FA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475C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916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1D11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1D2D"/>
    <w:rsid w:val="00D94564"/>
    <w:rsid w:val="00D94F4E"/>
    <w:rsid w:val="00D9536E"/>
    <w:rsid w:val="00D97426"/>
    <w:rsid w:val="00D97568"/>
    <w:rsid w:val="00DA06B0"/>
    <w:rsid w:val="00DA29BA"/>
    <w:rsid w:val="00DA3249"/>
    <w:rsid w:val="00DA38CE"/>
    <w:rsid w:val="00DA4445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53C"/>
    <w:rsid w:val="00DB364F"/>
    <w:rsid w:val="00DB39E7"/>
    <w:rsid w:val="00DB3B3E"/>
    <w:rsid w:val="00DB4F07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6AB3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1D06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3DB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4EEF"/>
    <w:rsid w:val="00EE5B98"/>
    <w:rsid w:val="00EE6989"/>
    <w:rsid w:val="00EE6C77"/>
    <w:rsid w:val="00EE7604"/>
    <w:rsid w:val="00EE7912"/>
    <w:rsid w:val="00EE7915"/>
    <w:rsid w:val="00EF0465"/>
    <w:rsid w:val="00EF0999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6361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6E0C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6C37"/>
    <w:rsid w:val="00F87431"/>
    <w:rsid w:val="00F8765C"/>
    <w:rsid w:val="00F87A53"/>
    <w:rsid w:val="00F9031B"/>
    <w:rsid w:val="00F91DA4"/>
    <w:rsid w:val="00F92728"/>
    <w:rsid w:val="00F93616"/>
    <w:rsid w:val="00F937AF"/>
    <w:rsid w:val="00F94494"/>
    <w:rsid w:val="00F96483"/>
    <w:rsid w:val="00F9648C"/>
    <w:rsid w:val="00F96671"/>
    <w:rsid w:val="00F9680E"/>
    <w:rsid w:val="00F96E21"/>
    <w:rsid w:val="00FA00AF"/>
    <w:rsid w:val="00FA0623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045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FB3045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D94F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4F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254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2547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2547B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2547B"/>
    <w:rPr>
      <w:rFonts w:ascii="Arial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FB3045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D94F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4F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254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2547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2547B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2547B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5B20F-37DC-467C-B83A-E025C96C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A_56_AR.dotx</Template>
  <TotalTime>519</TotalTime>
  <Pages>4</Pages>
  <Words>707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A/56/-- (Arabic)</vt:lpstr>
    </vt:vector>
  </TitlesOfParts>
  <Company>World Intellectual Property Organization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A/56/-- (Arabic)</dc:title>
  <dc:creator>YOUSSEF Randa</dc:creator>
  <cp:lastModifiedBy>AHMIDOUCH Noureddine</cp:lastModifiedBy>
  <cp:revision>103</cp:revision>
  <cp:lastPrinted>2016-09-30T08:38:00Z</cp:lastPrinted>
  <dcterms:created xsi:type="dcterms:W3CDTF">2016-07-19T07:08:00Z</dcterms:created>
  <dcterms:modified xsi:type="dcterms:W3CDTF">2016-09-30T08:39:00Z</dcterms:modified>
</cp:coreProperties>
</file>