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C1" w:rsidRPr="00D91030" w:rsidRDefault="001857C1" w:rsidP="009058A5">
      <w:pPr>
        <w:pStyle w:val="NormalParaAR"/>
        <w:spacing w:after="200"/>
        <w:rPr>
          <w:sz w:val="40"/>
          <w:szCs w:val="40"/>
          <w:rtl/>
        </w:rPr>
      </w:pPr>
      <w:r w:rsidRPr="00D91030">
        <w:rPr>
          <w:rFonts w:hint="cs"/>
          <w:sz w:val="40"/>
          <w:szCs w:val="40"/>
          <w:rtl/>
        </w:rPr>
        <w:t>فهرس مداخلات وفود الدول والمجموعات الإقليمية وممثلي المنظمات الحكومية الدولية والمنظمات غير الحكومية</w:t>
      </w:r>
      <w:r w:rsidRPr="00D91030">
        <w:rPr>
          <w:rFonts w:hint="eastAsia"/>
          <w:sz w:val="40"/>
          <w:szCs w:val="40"/>
          <w:rtl/>
        </w:rPr>
        <w:t> </w:t>
      </w:r>
      <w:r w:rsidRPr="00D91030">
        <w:rPr>
          <w:rFonts w:hint="cs"/>
          <w:sz w:val="40"/>
          <w:szCs w:val="40"/>
          <w:rtl/>
        </w:rPr>
        <w:t>الدولية</w:t>
      </w:r>
    </w:p>
    <w:p w:rsidR="001857C1" w:rsidRDefault="001857C1" w:rsidP="009058A5">
      <w:pPr>
        <w:pStyle w:val="NormalParaAR"/>
        <w:rPr>
          <w:rtl/>
        </w:rPr>
      </w:pPr>
      <w:r>
        <w:rPr>
          <w:rFonts w:hint="cs"/>
          <w:rtl/>
        </w:rPr>
        <w:t>(تشير الأعداد إلى أرقام الفقرات الواردة في هذه الوثيقة</w:t>
      </w:r>
      <w:r w:rsidR="0043462C">
        <w:rPr>
          <w:rFonts w:hint="cs"/>
          <w:rtl/>
        </w:rPr>
        <w:t>؛ وإذا سبق الرقم "</w:t>
      </w:r>
      <w:r w:rsidR="005901DF">
        <w:rPr>
          <w:rFonts w:hint="cs"/>
          <w:rtl/>
        </w:rPr>
        <w:t>م2</w:t>
      </w:r>
      <w:r w:rsidR="005901DF">
        <w:rPr>
          <w:rFonts w:hint="cs"/>
          <w:rtl/>
        </w:rPr>
        <w:noBreakHyphen/>
      </w:r>
      <w:r w:rsidR="0043462C">
        <w:rPr>
          <w:rFonts w:hint="cs"/>
          <w:rtl/>
        </w:rPr>
        <w:t>"، فيشير ذلك إلى فقرة في المرفق الثاني</w:t>
      </w:r>
      <w:r>
        <w:rPr>
          <w:rFonts w:hint="cs"/>
          <w:rtl/>
        </w:rPr>
        <w:t>)</w:t>
      </w:r>
    </w:p>
    <w:p w:rsidR="001857C1" w:rsidRPr="00F75A6A" w:rsidRDefault="001857C1" w:rsidP="009058A5">
      <w:pPr>
        <w:pStyle w:val="NormalParaAR"/>
        <w:spacing w:after="200"/>
        <w:rPr>
          <w:u w:val="single"/>
        </w:rPr>
      </w:pPr>
      <w:r w:rsidRPr="00F75A6A">
        <w:rPr>
          <w:rFonts w:hint="cs"/>
          <w:u w:val="single"/>
          <w:rtl/>
        </w:rPr>
        <w:t>وفود الدول:</w:t>
      </w:r>
    </w:p>
    <w:p w:rsidR="001857C1" w:rsidRPr="009058A5" w:rsidRDefault="0002644E" w:rsidP="001B3E1A">
      <w:pPr>
        <w:pStyle w:val="NormalParaAR"/>
        <w:spacing w:after="0" w:line="340" w:lineRule="exact"/>
        <w:rPr>
          <w:sz w:val="34"/>
          <w:szCs w:val="34"/>
          <w:rtl/>
        </w:rPr>
      </w:pPr>
      <w:r w:rsidRPr="009058A5">
        <w:rPr>
          <w:sz w:val="34"/>
          <w:szCs w:val="34"/>
          <w:rtl/>
        </w:rPr>
        <w:t>ألبانيا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107؛ الجزائر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80، 116،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15؛ أنغولا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98؛ أنتيغوا وبربودا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108؛ أرمينيا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109؛ الأرجنتين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52؛ أستراليا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47؛ النمسا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110؛ أذربيجان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16؛ بنغلاديش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vertAlign w:val="superscript"/>
          <w:rtl/>
        </w:rPr>
        <w:t>1</w:t>
      </w:r>
      <w:r w:rsidRPr="009058A5">
        <w:rPr>
          <w:sz w:val="34"/>
          <w:szCs w:val="34"/>
          <w:rtl/>
        </w:rPr>
        <w:t xml:space="preserve">10،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70؛ بربادوس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87؛ بيلاروس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60؛ بنن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61؛ بوتان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77؛ بوتسوانا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75؛ البرازيل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52، 119،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17؛ بروني</w:t>
      </w:r>
      <w:r w:rsidRP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دار السلام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vertAlign w:val="superscript"/>
          <w:rtl/>
        </w:rPr>
        <w:t>2</w:t>
      </w:r>
      <w:r w:rsidRPr="009058A5">
        <w:rPr>
          <w:sz w:val="34"/>
          <w:szCs w:val="34"/>
          <w:rtl/>
        </w:rPr>
        <w:t>9؛ بلغاريا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36؛ الكاميرون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85، 122،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106؛ كندا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30،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44؛ تشاد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92،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57؛ شيلي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vertAlign w:val="superscript"/>
          <w:rtl/>
        </w:rPr>
        <w:t>3</w:t>
      </w:r>
      <w:r w:rsidRPr="009058A5">
        <w:rPr>
          <w:sz w:val="34"/>
          <w:szCs w:val="34"/>
          <w:rtl/>
        </w:rPr>
        <w:t xml:space="preserve">68، 102، </w:t>
      </w:r>
      <w:r w:rsidRPr="009058A5">
        <w:rPr>
          <w:sz w:val="34"/>
          <w:szCs w:val="34"/>
          <w:vertAlign w:val="superscript"/>
          <w:rtl/>
        </w:rPr>
        <w:t>3</w:t>
      </w:r>
      <w:r w:rsidRPr="009058A5">
        <w:rPr>
          <w:sz w:val="34"/>
          <w:szCs w:val="34"/>
          <w:rtl/>
        </w:rPr>
        <w:t xml:space="preserve">106، </w:t>
      </w:r>
      <w:r w:rsidRPr="009058A5">
        <w:rPr>
          <w:sz w:val="34"/>
          <w:szCs w:val="34"/>
          <w:vertAlign w:val="superscript"/>
          <w:rtl/>
        </w:rPr>
        <w:t>3</w:t>
      </w:r>
      <w:r w:rsidRPr="009058A5">
        <w:rPr>
          <w:sz w:val="34"/>
          <w:szCs w:val="34"/>
          <w:rtl/>
        </w:rPr>
        <w:t xml:space="preserve">155،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vertAlign w:val="superscript"/>
          <w:rtl/>
        </w:rPr>
        <w:t>3</w:t>
      </w:r>
      <w:r w:rsidRPr="009058A5">
        <w:rPr>
          <w:sz w:val="34"/>
          <w:szCs w:val="34"/>
          <w:rtl/>
        </w:rPr>
        <w:t xml:space="preserve">8،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23؛ الصين</w:t>
      </w:r>
      <w:r w:rsidR="009058A5">
        <w:rPr>
          <w:sz w:val="34"/>
          <w:szCs w:val="34"/>
          <w:rtl/>
        </w:rPr>
        <w:t>: </w:t>
      </w:r>
      <w:r w:rsidR="0054697B">
        <w:rPr>
          <w:sz w:val="34"/>
          <w:szCs w:val="34"/>
          <w:rtl/>
        </w:rPr>
        <w:t>47، 73</w:t>
      </w:r>
      <w:r w:rsidRPr="009058A5">
        <w:rPr>
          <w:sz w:val="34"/>
          <w:szCs w:val="34"/>
          <w:rtl/>
        </w:rPr>
        <w:t xml:space="preserve">، 152،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2؛ كولومبيا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88، 123،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93؛ الكونغو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95؛ كوستاريكا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89؛ كوت ديفوار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86، 124،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68؛ كرواتيا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111؛ كوبا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84؛ الجمهورية التشيكية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112؛ جمهورية كوريا الشعبية الديمقراطية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56؛ الدانمرك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113؛ جيبوتي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67؛ إكوادور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43؛ مصر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37؛ غينيا الاستوائية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114؛ السلفادور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40؛ إثيوبيا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95،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25؛ فرنسا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53،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74؛ غابون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63؛ غامبيا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105؛ جورجيا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>82،</w:t>
      </w:r>
      <w:r w:rsidR="005901DF" w:rsidRPr="009058A5">
        <w:rPr>
          <w:rFonts w:hint="cs"/>
          <w:sz w:val="34"/>
          <w:szCs w:val="34"/>
          <w:rtl/>
        </w:rPr>
        <w:t>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76؛ ألمانيا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26؛ غانا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97،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71؛ اليونان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vertAlign w:val="superscript"/>
          <w:rtl/>
        </w:rPr>
        <w:t>4</w:t>
      </w:r>
      <w:r w:rsidRPr="009058A5">
        <w:rPr>
          <w:sz w:val="34"/>
          <w:szCs w:val="34"/>
          <w:rtl/>
        </w:rPr>
        <w:t xml:space="preserve">54، </w:t>
      </w:r>
      <w:r w:rsidRPr="009058A5">
        <w:rPr>
          <w:sz w:val="34"/>
          <w:szCs w:val="34"/>
          <w:vertAlign w:val="superscript"/>
          <w:rtl/>
        </w:rPr>
        <w:t>4</w:t>
      </w:r>
      <w:r w:rsidRPr="009058A5">
        <w:rPr>
          <w:sz w:val="34"/>
          <w:szCs w:val="34"/>
          <w:rtl/>
        </w:rPr>
        <w:t xml:space="preserve">72، </w:t>
      </w:r>
      <w:r w:rsidRPr="009058A5">
        <w:rPr>
          <w:sz w:val="34"/>
          <w:szCs w:val="34"/>
          <w:vertAlign w:val="superscript"/>
          <w:rtl/>
        </w:rPr>
        <w:t>4</w:t>
      </w:r>
      <w:r w:rsidRPr="009058A5">
        <w:rPr>
          <w:sz w:val="34"/>
          <w:szCs w:val="34"/>
          <w:rtl/>
        </w:rPr>
        <w:t xml:space="preserve">151، </w:t>
      </w:r>
      <w:r w:rsidRPr="009058A5">
        <w:rPr>
          <w:sz w:val="34"/>
          <w:szCs w:val="34"/>
          <w:vertAlign w:val="superscript"/>
          <w:rtl/>
        </w:rPr>
        <w:t>4</w:t>
      </w:r>
      <w:r w:rsidRPr="009058A5">
        <w:rPr>
          <w:sz w:val="34"/>
          <w:szCs w:val="34"/>
          <w:rtl/>
        </w:rPr>
        <w:t xml:space="preserve">158،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vertAlign w:val="superscript"/>
          <w:rtl/>
        </w:rPr>
        <w:t>4</w:t>
      </w:r>
      <w:r w:rsidRPr="009058A5">
        <w:rPr>
          <w:sz w:val="34"/>
          <w:szCs w:val="34"/>
          <w:rtl/>
        </w:rPr>
        <w:t xml:space="preserve">7،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103؛ غواتيمالا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73؛ غينيا بيساو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115؛ الكرسي</w:t>
      </w:r>
      <w:r w:rsidR="005901DF" w:rsidRP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الرسولي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38؛ هنغاريا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62،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80؛ آيسلندا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116؛ الهند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28، </w:t>
      </w:r>
      <w:r w:rsidRPr="009058A5">
        <w:rPr>
          <w:sz w:val="34"/>
          <w:szCs w:val="34"/>
          <w:vertAlign w:val="superscript"/>
          <w:rtl/>
        </w:rPr>
        <w:t>5</w:t>
      </w:r>
      <w:r w:rsidRPr="009058A5">
        <w:rPr>
          <w:sz w:val="34"/>
          <w:szCs w:val="34"/>
          <w:rtl/>
        </w:rPr>
        <w:t xml:space="preserve">71، 89، 110، </w:t>
      </w:r>
      <w:r w:rsidRPr="009058A5">
        <w:rPr>
          <w:sz w:val="34"/>
          <w:szCs w:val="34"/>
          <w:vertAlign w:val="superscript"/>
          <w:rtl/>
        </w:rPr>
        <w:t>5</w:t>
      </w:r>
      <w:r w:rsidRPr="009058A5">
        <w:rPr>
          <w:sz w:val="34"/>
          <w:szCs w:val="34"/>
          <w:rtl/>
        </w:rPr>
        <w:t xml:space="preserve">150،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 xml:space="preserve">4،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18؛ إندونيسيا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12؛ إيران (جمهورية – الإسلامية)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49، 58، 120،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14؛ العراق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>98؛ إيطاليا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57، 109،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69؛ اليابان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118،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21؛ الأردن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99؛ كينيا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83؛ قيرغيزستان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91؛ جمهورية</w:t>
      </w:r>
      <w:r w:rsidR="005901DF" w:rsidRP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لاو</w:t>
      </w:r>
      <w:r w:rsidR="005901DF" w:rsidRP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الديمقراطية</w:t>
      </w:r>
      <w:r w:rsidR="005901DF" w:rsidRP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الشعبية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93،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45؛ لاتفيا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vertAlign w:val="superscript"/>
          <w:rtl/>
        </w:rPr>
        <w:t>6</w:t>
      </w:r>
      <w:r w:rsidRPr="009058A5">
        <w:rPr>
          <w:sz w:val="34"/>
          <w:szCs w:val="34"/>
          <w:rtl/>
        </w:rPr>
        <w:t>70؛</w:t>
      </w:r>
      <w:r w:rsidRPr="009058A5">
        <w:rPr>
          <w:sz w:val="34"/>
          <w:szCs w:val="34"/>
          <w:vertAlign w:val="superscript"/>
          <w:rtl/>
        </w:rPr>
        <w:t>6</w:t>
      </w:r>
      <w:r w:rsidRPr="009058A5">
        <w:rPr>
          <w:sz w:val="34"/>
          <w:szCs w:val="34"/>
          <w:rtl/>
        </w:rPr>
        <w:t xml:space="preserve">149،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vertAlign w:val="superscript"/>
          <w:rtl/>
        </w:rPr>
        <w:t>6</w:t>
      </w:r>
      <w:r w:rsidRPr="009058A5">
        <w:rPr>
          <w:sz w:val="34"/>
          <w:szCs w:val="34"/>
          <w:rtl/>
        </w:rPr>
        <w:t>6؛ لبنان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58؛ ليسوتو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117؛ ليبيريا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48؛ مدغشقر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102؛ ملاوي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100؛ ماليزيا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32؛ المكسيك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27، 61،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42؛ منغوليا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100،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82؛ الجبل الأسود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118؛ المغرب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46؛ ناميبيا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101؛ نيبال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92؛ نيوزيلندا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34؛ نيكاراغوا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88؛ نيجيريا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vertAlign w:val="superscript"/>
          <w:rtl/>
        </w:rPr>
        <w:t>7</w:t>
      </w:r>
      <w:r w:rsidRPr="009058A5">
        <w:rPr>
          <w:sz w:val="34"/>
          <w:szCs w:val="34"/>
          <w:rtl/>
        </w:rPr>
        <w:t xml:space="preserve">29، </w:t>
      </w:r>
      <w:r w:rsidRPr="009058A5">
        <w:rPr>
          <w:sz w:val="34"/>
          <w:szCs w:val="34"/>
          <w:vertAlign w:val="superscript"/>
          <w:rtl/>
        </w:rPr>
        <w:t>7</w:t>
      </w:r>
      <w:r w:rsidRPr="009058A5">
        <w:rPr>
          <w:sz w:val="34"/>
          <w:szCs w:val="34"/>
          <w:rtl/>
        </w:rPr>
        <w:t xml:space="preserve">38، </w:t>
      </w:r>
      <w:r w:rsidRPr="009058A5">
        <w:rPr>
          <w:sz w:val="34"/>
          <w:szCs w:val="34"/>
          <w:vertAlign w:val="superscript"/>
          <w:rtl/>
        </w:rPr>
        <w:t>7</w:t>
      </w:r>
      <w:r w:rsidRPr="009058A5">
        <w:rPr>
          <w:sz w:val="34"/>
          <w:szCs w:val="34"/>
          <w:rtl/>
        </w:rPr>
        <w:t xml:space="preserve">40، </w:t>
      </w:r>
      <w:r w:rsidRPr="009058A5">
        <w:rPr>
          <w:sz w:val="34"/>
          <w:szCs w:val="34"/>
          <w:vertAlign w:val="superscript"/>
          <w:rtl/>
        </w:rPr>
        <w:t>7</w:t>
      </w:r>
      <w:r w:rsidRPr="009058A5">
        <w:rPr>
          <w:sz w:val="34"/>
          <w:szCs w:val="34"/>
          <w:rtl/>
        </w:rPr>
        <w:t xml:space="preserve">42، </w:t>
      </w:r>
      <w:r w:rsidRPr="009058A5">
        <w:rPr>
          <w:sz w:val="34"/>
          <w:szCs w:val="34"/>
          <w:vertAlign w:val="superscript"/>
          <w:rtl/>
        </w:rPr>
        <w:t>7</w:t>
      </w:r>
      <w:r w:rsidRPr="009058A5">
        <w:rPr>
          <w:sz w:val="34"/>
          <w:szCs w:val="34"/>
          <w:rtl/>
        </w:rPr>
        <w:t xml:space="preserve">69، 87، </w:t>
      </w:r>
      <w:r w:rsidRPr="009058A5">
        <w:rPr>
          <w:sz w:val="34"/>
          <w:szCs w:val="34"/>
          <w:vertAlign w:val="superscript"/>
          <w:rtl/>
        </w:rPr>
        <w:t>7</w:t>
      </w:r>
      <w:r w:rsidRPr="009058A5">
        <w:rPr>
          <w:sz w:val="34"/>
          <w:szCs w:val="34"/>
          <w:rtl/>
        </w:rPr>
        <w:t xml:space="preserve">107، 115، </w:t>
      </w:r>
      <w:r w:rsidRPr="009058A5">
        <w:rPr>
          <w:sz w:val="34"/>
          <w:szCs w:val="34"/>
          <w:vertAlign w:val="superscript"/>
          <w:rtl/>
        </w:rPr>
        <w:t>7</w:t>
      </w:r>
      <w:r w:rsidRPr="009058A5">
        <w:rPr>
          <w:sz w:val="34"/>
          <w:szCs w:val="34"/>
          <w:rtl/>
        </w:rPr>
        <w:t xml:space="preserve">153،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vertAlign w:val="superscript"/>
          <w:rtl/>
        </w:rPr>
        <w:t>7</w:t>
      </w:r>
      <w:r w:rsidRPr="009058A5">
        <w:rPr>
          <w:sz w:val="34"/>
          <w:szCs w:val="34"/>
          <w:rtl/>
        </w:rPr>
        <w:t xml:space="preserve">3،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24؛ عمان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65؛ باكستان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45، 77، 112،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39؛ باراغواي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31؛ بيرو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64؛ الفلبين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49؛ بولندا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33؛ البرتغال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59،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53؛ جمهورية كوريا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81، 114،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20؛ جمهورية</w:t>
      </w:r>
      <w:r w:rsid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مولدوفا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67،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27؛ رومانيا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75،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66؛ الاتحاد الروسي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79،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59؛ رواندا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79؛ سان</w:t>
      </w:r>
      <w:r w:rsid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مارينو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13؛ المملكة العربية السعودية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>84، 113؛ السنغال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81؛ صربيا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>99؛ سيراليون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96؛ سنغافورة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30؛ سلوفاكيا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60،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vertAlign w:val="superscript"/>
          <w:rtl/>
        </w:rPr>
        <w:t>8</w:t>
      </w:r>
      <w:r w:rsidRPr="009058A5">
        <w:rPr>
          <w:sz w:val="34"/>
          <w:szCs w:val="34"/>
          <w:rtl/>
        </w:rPr>
        <w:t xml:space="preserve">11،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90؛ إسبانيا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50؛ جنوب أفريقيا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50، 78،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29؛ سري</w:t>
      </w:r>
      <w:r w:rsidR="005901DF" w:rsidRP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لانكا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 xml:space="preserve">85،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86؛ السودان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90، 121،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62؛ سوازيلند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119؛ السويد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120؛ سويسرا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56، 117،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28؛ الجمهورية</w:t>
      </w:r>
      <w:r w:rsidR="005901DF" w:rsidRP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العربية السورية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94؛ طاجيكستان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vertAlign w:val="superscript"/>
          <w:rtl/>
        </w:rPr>
        <w:t>9</w:t>
      </w:r>
      <w:r w:rsidRPr="009058A5">
        <w:rPr>
          <w:sz w:val="34"/>
          <w:szCs w:val="34"/>
          <w:rtl/>
        </w:rPr>
        <w:t xml:space="preserve">154،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vertAlign w:val="superscript"/>
          <w:rtl/>
        </w:rPr>
        <w:t>9</w:t>
      </w:r>
      <w:r w:rsidRPr="009058A5">
        <w:rPr>
          <w:sz w:val="34"/>
          <w:szCs w:val="34"/>
          <w:rtl/>
        </w:rPr>
        <w:t xml:space="preserve">5،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104؛ تايلند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91،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55؛ ترينيداد</w:t>
      </w:r>
      <w:r w:rsidR="005901DF" w:rsidRP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وتوباغو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121؛ تونس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35؛ تركيا</w:t>
      </w:r>
      <w:r w:rsidR="009058A5">
        <w:rPr>
          <w:sz w:val="34"/>
          <w:szCs w:val="34"/>
          <w:rtl/>
        </w:rPr>
        <w:t>: </w:t>
      </w:r>
      <w:r w:rsidRPr="009058A5">
        <w:rPr>
          <w:sz w:val="34"/>
          <w:szCs w:val="34"/>
          <w:rtl/>
        </w:rPr>
        <w:t xml:space="preserve">94، 111،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41؛ أوغندا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97؛ أوكرانيا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78؛ الإمارات</w:t>
      </w:r>
      <w:r w:rsidR="005901DF" w:rsidRPr="009058A5">
        <w:rPr>
          <w:rFonts w:hint="cs"/>
          <w:sz w:val="34"/>
          <w:szCs w:val="34"/>
          <w:rtl/>
        </w:rPr>
        <w:t> </w:t>
      </w:r>
      <w:r w:rsidRPr="009058A5">
        <w:rPr>
          <w:sz w:val="34"/>
          <w:szCs w:val="34"/>
          <w:rtl/>
        </w:rPr>
        <w:t>العربية المتحدة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54؛ المملكة المتحدة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22؛ الولايات المتحدة الأمريكية</w:t>
      </w:r>
      <w:r w:rsidR="009058A5">
        <w:rPr>
          <w:sz w:val="34"/>
          <w:szCs w:val="34"/>
          <w:rtl/>
        </w:rPr>
        <w:t>: </w:t>
      </w:r>
      <w:r w:rsidR="001B3E1A">
        <w:rPr>
          <w:sz w:val="34"/>
          <w:szCs w:val="34"/>
          <w:rtl/>
        </w:rPr>
        <w:t>43</w:t>
      </w:r>
      <w:r w:rsidRPr="009058A5">
        <w:rPr>
          <w:sz w:val="34"/>
          <w:szCs w:val="34"/>
          <w:rtl/>
        </w:rPr>
        <w:t xml:space="preserve">، 55، 64، 108، 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19؛ فييت نام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122؛ اليمن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51؛ زامبيا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123؛ زمبابوي</w:t>
      </w:r>
      <w:r w:rsid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72.</w:t>
      </w:r>
    </w:p>
    <w:p w:rsidR="005901DF" w:rsidRDefault="005901DF" w:rsidP="005901DF">
      <w:pPr>
        <w:pStyle w:val="NormalParaAR"/>
        <w:spacing w:after="0" w:line="340" w:lineRule="exact"/>
        <w:rPr>
          <w:rtl/>
        </w:rPr>
      </w:pPr>
    </w:p>
    <w:p w:rsidR="005901DF" w:rsidRPr="008563A0" w:rsidRDefault="005901DF" w:rsidP="005901DF">
      <w:pPr>
        <w:pStyle w:val="NormalParaAR"/>
        <w:pBdr>
          <w:top w:val="single" w:sz="4" w:space="1" w:color="auto"/>
        </w:pBdr>
        <w:spacing w:after="0" w:line="280" w:lineRule="exact"/>
        <w:ind w:right="6521"/>
        <w:rPr>
          <w:sz w:val="28"/>
          <w:szCs w:val="28"/>
          <w:rtl/>
        </w:rPr>
      </w:pPr>
    </w:p>
    <w:p w:rsidR="005901DF" w:rsidRDefault="005901DF" w:rsidP="005901DF">
      <w:pPr>
        <w:pStyle w:val="NormalParaAR"/>
        <w:spacing w:after="0" w:line="28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vertAlign w:val="superscript"/>
          <w:rtl/>
        </w:rPr>
        <w:t>1</w:t>
      </w:r>
      <w:r>
        <w:rPr>
          <w:rFonts w:hint="cs"/>
          <w:sz w:val="28"/>
          <w:szCs w:val="28"/>
          <w:rtl/>
        </w:rPr>
        <w:tab/>
      </w:r>
      <w:r w:rsidRPr="008563A0">
        <w:rPr>
          <w:rFonts w:hint="cs"/>
          <w:sz w:val="28"/>
          <w:szCs w:val="28"/>
          <w:rtl/>
        </w:rPr>
        <w:t>باسم مجموعة البلدان الأقلّ نموا.</w:t>
      </w:r>
    </w:p>
    <w:p w:rsidR="005901DF" w:rsidRPr="008563A0" w:rsidRDefault="005901DF" w:rsidP="005901DF">
      <w:pPr>
        <w:pStyle w:val="NormalParaAR"/>
        <w:spacing w:after="0" w:line="28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vertAlign w:val="superscript"/>
          <w:rtl/>
        </w:rPr>
        <w:t>2</w:t>
      </w:r>
      <w:r>
        <w:rPr>
          <w:rFonts w:hint="cs"/>
          <w:sz w:val="28"/>
          <w:szCs w:val="28"/>
          <w:rtl/>
        </w:rPr>
        <w:tab/>
        <w:t>باسم رباطة أمم جنوب شرقي آسيا (آسيان)</w:t>
      </w:r>
      <w:r w:rsidRPr="008563A0">
        <w:rPr>
          <w:sz w:val="28"/>
          <w:szCs w:val="28"/>
          <w:rtl/>
        </w:rPr>
        <w:t>.</w:t>
      </w:r>
    </w:p>
    <w:p w:rsidR="005901DF" w:rsidRDefault="005901DF" w:rsidP="005901DF">
      <w:pPr>
        <w:pStyle w:val="NormalParaAR"/>
        <w:spacing w:after="0" w:line="28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vertAlign w:val="superscript"/>
          <w:rtl/>
        </w:rPr>
        <w:t>3</w:t>
      </w:r>
      <w:r>
        <w:rPr>
          <w:rFonts w:hint="cs"/>
          <w:sz w:val="28"/>
          <w:szCs w:val="28"/>
          <w:rtl/>
        </w:rPr>
        <w:tab/>
      </w:r>
      <w:r w:rsidRPr="008563A0">
        <w:rPr>
          <w:sz w:val="28"/>
          <w:szCs w:val="28"/>
          <w:rtl/>
        </w:rPr>
        <w:t>باسم مجموعة بلدان أمريكا اللاتينية والكاريبي.</w:t>
      </w:r>
    </w:p>
    <w:p w:rsidR="005901DF" w:rsidRPr="008563A0" w:rsidRDefault="005901DF" w:rsidP="005901DF">
      <w:pPr>
        <w:pStyle w:val="NormalParaAR"/>
        <w:spacing w:after="0" w:line="28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vertAlign w:val="superscript"/>
          <w:rtl/>
        </w:rPr>
        <w:t>4</w:t>
      </w:r>
      <w:r>
        <w:rPr>
          <w:rFonts w:hint="cs"/>
          <w:sz w:val="28"/>
          <w:szCs w:val="28"/>
          <w:rtl/>
        </w:rPr>
        <w:tab/>
      </w:r>
      <w:r w:rsidRPr="008563A0">
        <w:rPr>
          <w:sz w:val="28"/>
          <w:szCs w:val="28"/>
          <w:rtl/>
        </w:rPr>
        <w:t>باسم المجموعة باء.</w:t>
      </w:r>
    </w:p>
    <w:p w:rsidR="005901DF" w:rsidRDefault="005901DF" w:rsidP="005901DF">
      <w:pPr>
        <w:pStyle w:val="NormalParaAR"/>
        <w:spacing w:after="0" w:line="28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vertAlign w:val="superscript"/>
          <w:rtl/>
        </w:rPr>
        <w:t>5</w:t>
      </w:r>
      <w:r>
        <w:rPr>
          <w:rFonts w:hint="cs"/>
          <w:sz w:val="28"/>
          <w:szCs w:val="28"/>
          <w:rtl/>
        </w:rPr>
        <w:tab/>
      </w:r>
      <w:r w:rsidRPr="008563A0">
        <w:rPr>
          <w:rFonts w:hint="cs"/>
          <w:sz w:val="28"/>
          <w:szCs w:val="28"/>
          <w:rtl/>
        </w:rPr>
        <w:t xml:space="preserve">باسم مجموعة </w:t>
      </w:r>
      <w:r>
        <w:rPr>
          <w:rFonts w:hint="cs"/>
          <w:sz w:val="28"/>
          <w:szCs w:val="28"/>
          <w:rtl/>
        </w:rPr>
        <w:t>آسيا والمحيط الهادئ</w:t>
      </w:r>
      <w:r w:rsidRPr="008563A0">
        <w:rPr>
          <w:rFonts w:hint="cs"/>
          <w:sz w:val="28"/>
          <w:szCs w:val="28"/>
          <w:rtl/>
        </w:rPr>
        <w:t>.</w:t>
      </w:r>
    </w:p>
    <w:p w:rsidR="005901DF" w:rsidRPr="008563A0" w:rsidRDefault="005901DF" w:rsidP="005901DF">
      <w:pPr>
        <w:pStyle w:val="NormalParaAR"/>
        <w:spacing w:after="0" w:line="28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vertAlign w:val="superscript"/>
          <w:rtl/>
        </w:rPr>
        <w:t>6</w:t>
      </w:r>
      <w:r>
        <w:rPr>
          <w:rFonts w:hint="cs"/>
          <w:sz w:val="28"/>
          <w:szCs w:val="28"/>
          <w:rtl/>
        </w:rPr>
        <w:tab/>
      </w:r>
      <w:r w:rsidRPr="008563A0">
        <w:rPr>
          <w:sz w:val="28"/>
          <w:szCs w:val="28"/>
          <w:rtl/>
        </w:rPr>
        <w:t>باسم مجموعة أوروبا الوسطى و</w:t>
      </w:r>
      <w:r w:rsidRPr="008563A0">
        <w:rPr>
          <w:rFonts w:hint="cs"/>
          <w:sz w:val="28"/>
          <w:szCs w:val="28"/>
          <w:rtl/>
        </w:rPr>
        <w:t xml:space="preserve">دول </w:t>
      </w:r>
      <w:r w:rsidRPr="008563A0">
        <w:rPr>
          <w:sz w:val="28"/>
          <w:szCs w:val="28"/>
          <w:rtl/>
        </w:rPr>
        <w:t>البلطيق.</w:t>
      </w:r>
    </w:p>
    <w:p w:rsidR="005901DF" w:rsidRPr="008563A0" w:rsidRDefault="005901DF" w:rsidP="005901DF">
      <w:pPr>
        <w:pStyle w:val="NormalParaAR"/>
        <w:spacing w:after="0" w:line="28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vertAlign w:val="superscript"/>
          <w:rtl/>
        </w:rPr>
        <w:t>7</w:t>
      </w:r>
      <w:r>
        <w:rPr>
          <w:rFonts w:hint="cs"/>
          <w:sz w:val="28"/>
          <w:szCs w:val="28"/>
          <w:rtl/>
        </w:rPr>
        <w:tab/>
      </w:r>
      <w:r w:rsidRPr="008563A0">
        <w:rPr>
          <w:sz w:val="28"/>
          <w:szCs w:val="28"/>
          <w:rtl/>
        </w:rPr>
        <w:t xml:space="preserve">باسم </w:t>
      </w:r>
      <w:r w:rsidRPr="008563A0">
        <w:rPr>
          <w:rFonts w:hint="cs"/>
          <w:sz w:val="28"/>
          <w:szCs w:val="28"/>
          <w:rtl/>
        </w:rPr>
        <w:t>ال</w:t>
      </w:r>
      <w:r w:rsidRPr="008563A0">
        <w:rPr>
          <w:sz w:val="28"/>
          <w:szCs w:val="28"/>
          <w:rtl/>
        </w:rPr>
        <w:t>مجموعة الأفريقية</w:t>
      </w:r>
      <w:r w:rsidRPr="008563A0">
        <w:rPr>
          <w:rFonts w:hint="cs"/>
          <w:sz w:val="28"/>
          <w:szCs w:val="28"/>
          <w:rtl/>
        </w:rPr>
        <w:t>.</w:t>
      </w:r>
    </w:p>
    <w:p w:rsidR="005901DF" w:rsidRPr="008563A0" w:rsidRDefault="005901DF" w:rsidP="005901DF">
      <w:pPr>
        <w:pStyle w:val="NormalParaAR"/>
        <w:spacing w:after="0" w:line="28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vertAlign w:val="superscript"/>
          <w:rtl/>
        </w:rPr>
        <w:t>8</w:t>
      </w:r>
      <w:r>
        <w:rPr>
          <w:rFonts w:hint="cs"/>
          <w:sz w:val="28"/>
          <w:szCs w:val="28"/>
          <w:rtl/>
        </w:rPr>
        <w:tab/>
      </w:r>
      <w:r w:rsidRPr="008563A0">
        <w:rPr>
          <w:sz w:val="28"/>
          <w:szCs w:val="28"/>
          <w:rtl/>
        </w:rPr>
        <w:t>باسم الاتحاد الأوروبي والدول الأعضاء فيه.</w:t>
      </w:r>
    </w:p>
    <w:p w:rsidR="005901DF" w:rsidRDefault="005901DF" w:rsidP="005901DF">
      <w:pPr>
        <w:pStyle w:val="NormalParaAR"/>
        <w:spacing w:after="0" w:line="280" w:lineRule="exact"/>
        <w:rPr>
          <w:sz w:val="28"/>
          <w:szCs w:val="28"/>
          <w:rtl/>
        </w:rPr>
      </w:pPr>
      <w:r>
        <w:rPr>
          <w:rFonts w:hint="cs"/>
          <w:sz w:val="28"/>
          <w:szCs w:val="28"/>
          <w:vertAlign w:val="superscript"/>
          <w:rtl/>
        </w:rPr>
        <w:t>9</w:t>
      </w:r>
      <w:r>
        <w:rPr>
          <w:rFonts w:hint="cs"/>
          <w:sz w:val="28"/>
          <w:szCs w:val="28"/>
          <w:rtl/>
        </w:rPr>
        <w:tab/>
      </w:r>
      <w:r w:rsidRPr="008563A0">
        <w:rPr>
          <w:sz w:val="28"/>
          <w:szCs w:val="28"/>
          <w:rtl/>
        </w:rPr>
        <w:t>باسم مجموعة بلدان آسيا الوسطى والقوقاز وأوروبا الشرقية.</w:t>
      </w:r>
    </w:p>
    <w:p w:rsidR="009058A5" w:rsidRDefault="001857C1" w:rsidP="009058A5">
      <w:pPr>
        <w:pStyle w:val="NormalParaAR"/>
        <w:keepNext/>
        <w:spacing w:line="340" w:lineRule="exact"/>
        <w:rPr>
          <w:u w:val="single"/>
          <w:rtl/>
        </w:rPr>
      </w:pPr>
      <w:r w:rsidRPr="006F4E41">
        <w:rPr>
          <w:rFonts w:hint="cs"/>
          <w:u w:val="single"/>
          <w:rtl/>
        </w:rPr>
        <w:lastRenderedPageBreak/>
        <w:t>المنظمات الحكومية الدولية</w:t>
      </w:r>
      <w:r w:rsidR="009058A5">
        <w:rPr>
          <w:rFonts w:hint="cs"/>
          <w:u w:val="single"/>
          <w:rtl/>
        </w:rPr>
        <w:t>:</w:t>
      </w:r>
    </w:p>
    <w:p w:rsidR="00EE3495" w:rsidRDefault="0002644E" w:rsidP="009058A5">
      <w:pPr>
        <w:pStyle w:val="NormalParaAR"/>
        <w:spacing w:line="340" w:lineRule="exact"/>
        <w:rPr>
          <w:rtl/>
        </w:rPr>
      </w:pPr>
      <w:r w:rsidRPr="0002644E">
        <w:rPr>
          <w:rtl/>
        </w:rPr>
        <w:t>المنظمة الأفريقية للملكية الفكرية (</w:t>
      </w:r>
      <w:r w:rsidRPr="0002644E">
        <w:t>OAPI</w:t>
      </w:r>
      <w:r w:rsidRPr="0002644E">
        <w:rPr>
          <w:rtl/>
        </w:rPr>
        <w:t>)</w:t>
      </w:r>
      <w:r w:rsidR="009058A5">
        <w:rPr>
          <w:rtl/>
        </w:rPr>
        <w:t>: </w:t>
      </w:r>
      <w:r w:rsidR="005901DF">
        <w:rPr>
          <w:rtl/>
        </w:rPr>
        <w:t>م2</w:t>
      </w:r>
      <w:r w:rsidR="005901DF">
        <w:rPr>
          <w:rtl/>
        </w:rPr>
        <w:noBreakHyphen/>
      </w:r>
      <w:r w:rsidRPr="0002644E">
        <w:rPr>
          <w:rtl/>
        </w:rPr>
        <w:t xml:space="preserve">139؛ المنظمة الإقليمية </w:t>
      </w:r>
      <w:bookmarkStart w:id="2" w:name="_GoBack"/>
      <w:r w:rsidRPr="0002644E">
        <w:rPr>
          <w:rtl/>
        </w:rPr>
        <w:t xml:space="preserve">الأفريقية </w:t>
      </w:r>
      <w:bookmarkEnd w:id="2"/>
      <w:r w:rsidRPr="0002644E">
        <w:rPr>
          <w:rtl/>
        </w:rPr>
        <w:t>للملكية الفكرية (</w:t>
      </w:r>
      <w:r w:rsidRPr="0002644E">
        <w:t>ARIPO</w:t>
      </w:r>
      <w:r w:rsidRPr="0002644E">
        <w:rPr>
          <w:rtl/>
        </w:rPr>
        <w:t>)</w:t>
      </w:r>
      <w:r w:rsidR="009058A5">
        <w:rPr>
          <w:rtl/>
        </w:rPr>
        <w:t>: </w:t>
      </w:r>
      <w:r w:rsidR="005901DF">
        <w:rPr>
          <w:rtl/>
        </w:rPr>
        <w:t>م2</w:t>
      </w:r>
      <w:r w:rsidR="005901DF">
        <w:rPr>
          <w:rtl/>
        </w:rPr>
        <w:noBreakHyphen/>
      </w:r>
      <w:r w:rsidRPr="0002644E">
        <w:rPr>
          <w:rtl/>
        </w:rPr>
        <w:t>127؛ مجلس التعاون لدول الخليج العربية (</w:t>
      </w:r>
      <w:r w:rsidRPr="0002644E">
        <w:t>GCC</w:t>
      </w:r>
      <w:r w:rsidRPr="0002644E">
        <w:rPr>
          <w:rtl/>
        </w:rPr>
        <w:t>)</w:t>
      </w:r>
      <w:r w:rsidR="009058A5">
        <w:rPr>
          <w:rtl/>
        </w:rPr>
        <w:t>: </w:t>
      </w:r>
      <w:r w:rsidR="005901DF">
        <w:rPr>
          <w:rtl/>
        </w:rPr>
        <w:t>م2</w:t>
      </w:r>
      <w:r w:rsidR="005901DF">
        <w:rPr>
          <w:rtl/>
        </w:rPr>
        <w:noBreakHyphen/>
      </w:r>
      <w:r w:rsidRPr="0002644E">
        <w:rPr>
          <w:rtl/>
        </w:rPr>
        <w:t>124؛ المنظمة الأوروبية الآسيوية للبراءات (</w:t>
      </w:r>
      <w:r w:rsidRPr="0002644E">
        <w:t>EAPO</w:t>
      </w:r>
      <w:r w:rsidRPr="0002644E">
        <w:rPr>
          <w:rtl/>
        </w:rPr>
        <w:t>)</w:t>
      </w:r>
      <w:r w:rsidR="009058A5">
        <w:rPr>
          <w:rtl/>
        </w:rPr>
        <w:t>: </w:t>
      </w:r>
      <w:r w:rsidR="005901DF">
        <w:rPr>
          <w:rtl/>
        </w:rPr>
        <w:t>م2</w:t>
      </w:r>
      <w:r w:rsidR="005901DF">
        <w:rPr>
          <w:rtl/>
        </w:rPr>
        <w:noBreakHyphen/>
      </w:r>
      <w:r w:rsidRPr="0002644E">
        <w:rPr>
          <w:rtl/>
        </w:rPr>
        <w:t>138؛ جامعة الدول العربية (</w:t>
      </w:r>
      <w:r w:rsidRPr="0002644E">
        <w:t>LAS</w:t>
      </w:r>
      <w:r w:rsidRPr="0002644E">
        <w:rPr>
          <w:rtl/>
        </w:rPr>
        <w:t>)</w:t>
      </w:r>
      <w:r w:rsidR="009058A5">
        <w:rPr>
          <w:rtl/>
        </w:rPr>
        <w:t>: </w:t>
      </w:r>
      <w:r w:rsidR="005901DF">
        <w:rPr>
          <w:rtl/>
        </w:rPr>
        <w:t>م2</w:t>
      </w:r>
      <w:r w:rsidR="005901DF">
        <w:rPr>
          <w:rtl/>
        </w:rPr>
        <w:noBreakHyphen/>
      </w:r>
      <w:r w:rsidRPr="0002644E">
        <w:rPr>
          <w:rtl/>
        </w:rPr>
        <w:t>125؛ مركز الجنوب (</w:t>
      </w:r>
      <w:r w:rsidRPr="0002644E">
        <w:t>SC</w:t>
      </w:r>
      <w:r w:rsidRPr="0002644E">
        <w:rPr>
          <w:rtl/>
        </w:rPr>
        <w:t>)</w:t>
      </w:r>
      <w:r w:rsidR="009058A5">
        <w:rPr>
          <w:rtl/>
        </w:rPr>
        <w:t>: </w:t>
      </w:r>
      <w:r w:rsidR="005901DF">
        <w:rPr>
          <w:rtl/>
        </w:rPr>
        <w:t>م2</w:t>
      </w:r>
      <w:r w:rsidR="005901DF">
        <w:rPr>
          <w:rtl/>
        </w:rPr>
        <w:noBreakHyphen/>
      </w:r>
      <w:r w:rsidRPr="0002644E">
        <w:rPr>
          <w:rtl/>
        </w:rPr>
        <w:t>137.</w:t>
      </w:r>
    </w:p>
    <w:p w:rsidR="00EE3495" w:rsidRDefault="001857C1" w:rsidP="009058A5">
      <w:pPr>
        <w:pStyle w:val="NormalParaAR"/>
        <w:spacing w:line="340" w:lineRule="exact"/>
        <w:rPr>
          <w:rtl/>
        </w:rPr>
      </w:pPr>
      <w:r w:rsidRPr="001D0DC1">
        <w:rPr>
          <w:rFonts w:hint="cs"/>
          <w:u w:val="single"/>
          <w:rtl/>
        </w:rPr>
        <w:t>المنظمات غير الحكومية الدولية:</w:t>
      </w:r>
    </w:p>
    <w:p w:rsidR="001857C1" w:rsidRPr="009058A5" w:rsidRDefault="0002644E" w:rsidP="009058A5">
      <w:pPr>
        <w:pStyle w:val="NormalParaAR"/>
        <w:spacing w:line="340" w:lineRule="exact"/>
        <w:rPr>
          <w:sz w:val="34"/>
          <w:szCs w:val="34"/>
          <w:rtl/>
        </w:rPr>
      </w:pPr>
      <w:r w:rsidRPr="009058A5">
        <w:rPr>
          <w:sz w:val="34"/>
          <w:szCs w:val="34"/>
          <w:rtl/>
        </w:rPr>
        <w:t>المعلومات الإلكترونية للمكتبات (</w:t>
      </w:r>
      <w:proofErr w:type="spellStart"/>
      <w:r w:rsidRPr="009058A5">
        <w:rPr>
          <w:sz w:val="34"/>
          <w:szCs w:val="34"/>
        </w:rPr>
        <w:t>eIFL</w:t>
      </w:r>
      <w:proofErr w:type="spellEnd"/>
      <w:r w:rsidRPr="009058A5">
        <w:rPr>
          <w:sz w:val="34"/>
          <w:szCs w:val="34"/>
          <w:rtl/>
        </w:rPr>
        <w:t>)</w:t>
      </w:r>
      <w:r w:rsidR="009058A5" w:rsidRP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128؛ الاتحاد الأمريكي اللاتيني الإيبيري لفناني الأداء (</w:t>
      </w:r>
      <w:r w:rsidRPr="009058A5">
        <w:rPr>
          <w:sz w:val="34"/>
          <w:szCs w:val="34"/>
        </w:rPr>
        <w:t>FILAIE</w:t>
      </w:r>
      <w:r w:rsidRPr="009058A5">
        <w:rPr>
          <w:sz w:val="34"/>
          <w:szCs w:val="34"/>
          <w:rtl/>
        </w:rPr>
        <w:t>)</w:t>
      </w:r>
      <w:r w:rsidR="009058A5" w:rsidRP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136؛ برنامج الصحة والبيئة (</w:t>
      </w:r>
      <w:r w:rsidRPr="009058A5">
        <w:rPr>
          <w:sz w:val="34"/>
          <w:szCs w:val="34"/>
        </w:rPr>
        <w:t>HEP</w:t>
      </w:r>
      <w:r w:rsidRPr="009058A5">
        <w:rPr>
          <w:sz w:val="34"/>
          <w:szCs w:val="34"/>
          <w:rtl/>
        </w:rPr>
        <w:t>)</w:t>
      </w:r>
      <w:r w:rsidR="009058A5" w:rsidRP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133؛ الاتحاد الدولي لناشري الموسيقى (</w:t>
      </w:r>
      <w:r w:rsidRPr="009058A5">
        <w:rPr>
          <w:sz w:val="34"/>
          <w:szCs w:val="34"/>
        </w:rPr>
        <w:t>ICMP</w:t>
      </w:r>
      <w:r w:rsidRPr="009058A5">
        <w:rPr>
          <w:sz w:val="34"/>
          <w:szCs w:val="34"/>
          <w:rtl/>
        </w:rPr>
        <w:t>)</w:t>
      </w:r>
      <w:r w:rsidR="009058A5" w:rsidRP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130؛ الاتحاد الدولي لجمعيات المكتبات ومعاهدها (</w:t>
      </w:r>
      <w:r w:rsidRPr="009058A5">
        <w:rPr>
          <w:sz w:val="34"/>
          <w:szCs w:val="34"/>
        </w:rPr>
        <w:t>IFLA</w:t>
      </w:r>
      <w:r w:rsidRPr="009058A5">
        <w:rPr>
          <w:sz w:val="34"/>
          <w:szCs w:val="34"/>
          <w:rtl/>
        </w:rPr>
        <w:t>)</w:t>
      </w:r>
      <w:r w:rsidR="009058A5" w:rsidRP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132؛ المجلس الدولي للاستغلال التجاري للملكية الفكرية المحدود (</w:t>
      </w:r>
      <w:r w:rsidRPr="009058A5">
        <w:rPr>
          <w:sz w:val="34"/>
          <w:szCs w:val="34"/>
        </w:rPr>
        <w:t>IIPCC</w:t>
      </w:r>
      <w:r w:rsidRPr="009058A5">
        <w:rPr>
          <w:sz w:val="34"/>
          <w:szCs w:val="34"/>
          <w:rtl/>
        </w:rPr>
        <w:t>)</w:t>
      </w:r>
      <w:r w:rsidR="009058A5" w:rsidRP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131؛ مبادرة تصورات الابتكار</w:t>
      </w:r>
      <w:r w:rsidR="009058A5" w:rsidRP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135؛ المؤسسة الدولية للإيكولوجيا المعرفية (</w:t>
      </w:r>
      <w:r w:rsidRPr="009058A5">
        <w:rPr>
          <w:sz w:val="34"/>
          <w:szCs w:val="34"/>
        </w:rPr>
        <w:t>KEI</w:t>
      </w:r>
      <w:r w:rsidRPr="009058A5">
        <w:rPr>
          <w:sz w:val="34"/>
          <w:szCs w:val="34"/>
          <w:rtl/>
        </w:rPr>
        <w:t>)</w:t>
      </w:r>
      <w:r w:rsidR="009058A5" w:rsidRP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134؛ جمعية أطباء بلا حدود (</w:t>
      </w:r>
      <w:r w:rsidRPr="009058A5">
        <w:rPr>
          <w:sz w:val="34"/>
          <w:szCs w:val="34"/>
        </w:rPr>
        <w:t>MSF</w:t>
      </w:r>
      <w:r w:rsidRPr="009058A5">
        <w:rPr>
          <w:sz w:val="34"/>
          <w:szCs w:val="34"/>
          <w:rtl/>
        </w:rPr>
        <w:t>)</w:t>
      </w:r>
      <w:r w:rsidR="009058A5" w:rsidRP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126؛ شبكة العالم الثالث (</w:t>
      </w:r>
      <w:r w:rsidRPr="009058A5">
        <w:rPr>
          <w:sz w:val="34"/>
          <w:szCs w:val="34"/>
        </w:rPr>
        <w:t>TWN</w:t>
      </w:r>
      <w:r w:rsidRPr="009058A5">
        <w:rPr>
          <w:sz w:val="34"/>
          <w:szCs w:val="34"/>
          <w:rtl/>
        </w:rPr>
        <w:t>)</w:t>
      </w:r>
      <w:r w:rsidR="009058A5" w:rsidRPr="009058A5">
        <w:rPr>
          <w:sz w:val="34"/>
          <w:szCs w:val="34"/>
          <w:rtl/>
        </w:rPr>
        <w:t>: </w:t>
      </w:r>
      <w:r w:rsidR="005901DF" w:rsidRPr="009058A5">
        <w:rPr>
          <w:sz w:val="34"/>
          <w:szCs w:val="34"/>
          <w:rtl/>
        </w:rPr>
        <w:t>م2</w:t>
      </w:r>
      <w:r w:rsidR="005901DF" w:rsidRPr="009058A5">
        <w:rPr>
          <w:sz w:val="34"/>
          <w:szCs w:val="34"/>
          <w:rtl/>
        </w:rPr>
        <w:noBreakHyphen/>
      </w:r>
      <w:r w:rsidRPr="009058A5">
        <w:rPr>
          <w:sz w:val="34"/>
          <w:szCs w:val="34"/>
          <w:rtl/>
        </w:rPr>
        <w:t>129.</w:t>
      </w:r>
    </w:p>
    <w:p w:rsidR="001857C1" w:rsidRDefault="001857C1" w:rsidP="0002644E">
      <w:pPr>
        <w:pStyle w:val="EndofDocumentAR"/>
        <w:rPr>
          <w:rtl/>
        </w:rPr>
      </w:pPr>
      <w:r>
        <w:rPr>
          <w:rFonts w:hint="cs"/>
          <w:rtl/>
        </w:rPr>
        <w:t xml:space="preserve">[نهاية المرفق </w:t>
      </w:r>
      <w:r w:rsidR="0002644E">
        <w:rPr>
          <w:rFonts w:hint="cs"/>
          <w:rtl/>
        </w:rPr>
        <w:t>الثالث</w:t>
      </w:r>
      <w:r w:rsidR="00C944A6">
        <w:rPr>
          <w:rFonts w:hint="cs"/>
          <w:rtl/>
        </w:rPr>
        <w:t xml:space="preserve"> </w:t>
      </w:r>
      <w:r>
        <w:rPr>
          <w:rFonts w:hint="cs"/>
          <w:rtl/>
        </w:rPr>
        <w:t>والوثيقة]</w:t>
      </w:r>
    </w:p>
    <w:sectPr w:rsidR="001857C1" w:rsidSect="00EB7752"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36F" w:rsidRDefault="006B436F">
      <w:r>
        <w:separator/>
      </w:r>
    </w:p>
  </w:endnote>
  <w:endnote w:type="continuationSeparator" w:id="0">
    <w:p w:rsidR="006B436F" w:rsidRDefault="006B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altName w:val="HelveticaNeue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Cn">
    <w:altName w:val="HelveticaNeueLT Std 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36F" w:rsidRDefault="006B436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B436F" w:rsidRDefault="006B436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E8" w:rsidRDefault="008E61C1" w:rsidP="003E0E06">
    <w:pPr>
      <w:pStyle w:val="Header"/>
    </w:pPr>
    <w:r>
      <w:t>A/56/17</w:t>
    </w:r>
  </w:p>
  <w:p w:rsidR="00EE1DE8" w:rsidRDefault="00EE1DE8" w:rsidP="003E0E06">
    <w:pPr>
      <w:pStyle w:val="Header"/>
    </w:pPr>
    <w:r>
      <w:t>Annex</w:t>
    </w:r>
    <w:r w:rsidR="0058486D">
      <w:t xml:space="preserve"> </w:t>
    </w:r>
    <w:r w:rsidR="00C944A6">
      <w:t>I</w:t>
    </w:r>
    <w:r w:rsidR="0058486D">
      <w:t>I</w:t>
    </w:r>
    <w:r w:rsidR="0002644E">
      <w:t>I</w:t>
    </w:r>
  </w:p>
  <w:p w:rsidR="0049700E" w:rsidRDefault="0049700E" w:rsidP="0049700E">
    <w:pPr>
      <w:rPr>
        <w:rtl/>
      </w:rPr>
    </w:pPr>
    <w:r>
      <w:fldChar w:fldCharType="begin"/>
    </w:r>
    <w:r>
      <w:instrText xml:space="preserve"> PAGE  \* MERGEFORMAT </w:instrText>
    </w:r>
    <w:r>
      <w:fldChar w:fldCharType="separate"/>
    </w:r>
    <w:r w:rsidR="00705BB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E8" w:rsidRPr="00293741" w:rsidRDefault="008E61C1" w:rsidP="0058486D">
    <w:pPr>
      <w:pStyle w:val="Header"/>
      <w:rPr>
        <w:rFonts w:hint="cs"/>
        <w:rtl/>
      </w:rPr>
    </w:pPr>
    <w:r>
      <w:t>A/56/17</w:t>
    </w:r>
  </w:p>
  <w:p w:rsidR="00EE1DE8" w:rsidRPr="00293741" w:rsidRDefault="00EE1DE8" w:rsidP="00293741">
    <w:pPr>
      <w:pStyle w:val="Header"/>
    </w:pPr>
    <w:r w:rsidRPr="00293741">
      <w:t>ANNEX</w:t>
    </w:r>
    <w:r w:rsidR="0058486D">
      <w:t xml:space="preserve"> </w:t>
    </w:r>
    <w:r w:rsidR="001857C1">
      <w:t>I</w:t>
    </w:r>
    <w:r w:rsidR="0058486D">
      <w:t>I</w:t>
    </w:r>
    <w:r w:rsidR="0043462C">
      <w:t>I</w:t>
    </w:r>
  </w:p>
  <w:p w:rsidR="00EE1DE8" w:rsidRPr="0058486D" w:rsidRDefault="00EE1DE8" w:rsidP="008E61C1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  <w:lang w:val="fr-CH"/>
      </w:rPr>
    </w:pPr>
    <w:r w:rsidRPr="00293741">
      <w:rPr>
        <w:rFonts w:ascii="Arabic Typesetting" w:hAnsi="Arabic Typesetting" w:cs="Arabic Typesetting"/>
        <w:sz w:val="36"/>
        <w:szCs w:val="36"/>
        <w:rtl/>
      </w:rPr>
      <w:t>المرفق</w:t>
    </w:r>
    <w:r w:rsidR="0058486D">
      <w:rPr>
        <w:rFonts w:ascii="Arabic Typesetting" w:hAnsi="Arabic Typesetting" w:cs="Arabic Typesetting" w:hint="cs"/>
        <w:sz w:val="36"/>
        <w:szCs w:val="36"/>
        <w:rtl/>
        <w:lang w:val="fr-CH"/>
      </w:rPr>
      <w:t xml:space="preserve"> </w:t>
    </w:r>
    <w:r w:rsidR="0043462C">
      <w:rPr>
        <w:rFonts w:ascii="Arabic Typesetting" w:hAnsi="Arabic Typesetting" w:cs="Arabic Typesetting" w:hint="cs"/>
        <w:sz w:val="36"/>
        <w:szCs w:val="36"/>
        <w:rtl/>
        <w:lang w:val="fr-CH"/>
      </w:rPr>
      <w:t>الثالث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6C53C9A"/>
    <w:multiLevelType w:val="hybridMultilevel"/>
    <w:tmpl w:val="5CFE003C"/>
    <w:lvl w:ilvl="0" w:tplc="FE6C0D5A">
      <w:start w:val="17"/>
      <w:numFmt w:val="bullet"/>
      <w:lvlText w:val="•"/>
      <w:lvlJc w:val="left"/>
      <w:pPr>
        <w:ind w:left="720" w:hanging="360"/>
      </w:pPr>
      <w:rPr>
        <w:rFonts w:ascii="Arabic Typesetting" w:eastAsia="Times New Roman" w:hAnsi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580E6A"/>
    <w:multiLevelType w:val="hybridMultilevel"/>
    <w:tmpl w:val="C2364710"/>
    <w:lvl w:ilvl="0" w:tplc="16B479EC">
      <w:start w:val="1"/>
      <w:numFmt w:val="arabicAlpha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38D3E26"/>
    <w:multiLevelType w:val="hybridMultilevel"/>
    <w:tmpl w:val="A1FE3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31806"/>
    <w:multiLevelType w:val="hybridMultilevel"/>
    <w:tmpl w:val="77243BC6"/>
    <w:lvl w:ilvl="0" w:tplc="95C2BDDC">
      <w:start w:val="1"/>
      <w:numFmt w:val="decimal"/>
      <w:pStyle w:val="ARNumbered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9"/>
  </w:num>
  <w:num w:numId="5">
    <w:abstractNumId w:val="8"/>
  </w:num>
  <w:num w:numId="6">
    <w:abstractNumId w:val="22"/>
  </w:num>
  <w:num w:numId="7">
    <w:abstractNumId w:val="13"/>
  </w:num>
  <w:num w:numId="8">
    <w:abstractNumId w:val="17"/>
  </w:num>
  <w:num w:numId="9">
    <w:abstractNumId w:val="16"/>
  </w:num>
  <w:num w:numId="10">
    <w:abstractNumId w:val="23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</w:num>
  <w:num w:numId="22">
    <w:abstractNumId w:val="18"/>
  </w:num>
  <w:num w:numId="23">
    <w:abstractNumId w:val="2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03"/>
    </w:lvlOverride>
  </w:num>
  <w:num w:numId="26">
    <w:abstractNumId w:val="21"/>
  </w:num>
  <w:num w:numId="27">
    <w:abstractNumId w:val="12"/>
    <w:lvlOverride w:ilvl="0">
      <w:startOverride w:val="1"/>
    </w:lvlOverride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E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644E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2BA6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DF0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A96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1201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3E0A"/>
    <w:rsid w:val="00164691"/>
    <w:rsid w:val="00164BD2"/>
    <w:rsid w:val="00165AC3"/>
    <w:rsid w:val="00165CEF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7C1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2CE5"/>
    <w:rsid w:val="001B3131"/>
    <w:rsid w:val="001B3E1A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5F25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0EE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3741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5475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31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0E06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1B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62C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617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00E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1483"/>
    <w:rsid w:val="004E1CA9"/>
    <w:rsid w:val="004E2CBC"/>
    <w:rsid w:val="004E3DD4"/>
    <w:rsid w:val="004E5C1A"/>
    <w:rsid w:val="004E6C8C"/>
    <w:rsid w:val="004E6CC7"/>
    <w:rsid w:val="004E6FB9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697B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498"/>
    <w:rsid w:val="005825FC"/>
    <w:rsid w:val="00583437"/>
    <w:rsid w:val="00583CE0"/>
    <w:rsid w:val="0058486D"/>
    <w:rsid w:val="00584B4A"/>
    <w:rsid w:val="00584DCB"/>
    <w:rsid w:val="00585A16"/>
    <w:rsid w:val="00585B98"/>
    <w:rsid w:val="005863D8"/>
    <w:rsid w:val="005865B2"/>
    <w:rsid w:val="00586812"/>
    <w:rsid w:val="00587BC2"/>
    <w:rsid w:val="005901DF"/>
    <w:rsid w:val="005918E4"/>
    <w:rsid w:val="005919AF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5A73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1D7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4101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C48"/>
    <w:rsid w:val="006B3E04"/>
    <w:rsid w:val="006B4024"/>
    <w:rsid w:val="006B436F"/>
    <w:rsid w:val="006B47D7"/>
    <w:rsid w:val="006B499D"/>
    <w:rsid w:val="006B5041"/>
    <w:rsid w:val="006B643D"/>
    <w:rsid w:val="006B79A4"/>
    <w:rsid w:val="006C1254"/>
    <w:rsid w:val="006C2DC5"/>
    <w:rsid w:val="006C3A7B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5094"/>
    <w:rsid w:val="006F7974"/>
    <w:rsid w:val="00700A60"/>
    <w:rsid w:val="00705027"/>
    <w:rsid w:val="00705BBE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8DB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B06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5D78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B9F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1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6A11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61C1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8A5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58B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3B57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38F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453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595B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33E"/>
    <w:rsid w:val="00AA6DE4"/>
    <w:rsid w:val="00AA7408"/>
    <w:rsid w:val="00AA7D1F"/>
    <w:rsid w:val="00AA7F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2FD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B92"/>
    <w:rsid w:val="00BE7F5D"/>
    <w:rsid w:val="00BF0707"/>
    <w:rsid w:val="00BF164F"/>
    <w:rsid w:val="00BF1AAF"/>
    <w:rsid w:val="00BF268B"/>
    <w:rsid w:val="00BF29AF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4E90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0DB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4A6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61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9AC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604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03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F65"/>
    <w:rsid w:val="00DE1F29"/>
    <w:rsid w:val="00DE3FEB"/>
    <w:rsid w:val="00DE4905"/>
    <w:rsid w:val="00DE4F7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04E0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09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13E6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1DE8"/>
    <w:rsid w:val="00EE270D"/>
    <w:rsid w:val="00EE3495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7E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E06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165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C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E0E06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3E0E06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3E0E06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3E0E06"/>
    <w:rPr>
      <w:rFonts w:ascii="Arial" w:eastAsia="SimSun" w:hAnsi="Arial" w:cs="Arial"/>
      <w:bCs/>
      <w:i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E0E06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E0E06"/>
    <w:rPr>
      <w:rFonts w:ascii="Arial" w:hAnsi="Arial" w:cs="Arial"/>
      <w:sz w:val="22"/>
    </w:rPr>
  </w:style>
  <w:style w:type="character" w:customStyle="1" w:styleId="SalutationChar">
    <w:name w:val="Salutation Char"/>
    <w:basedOn w:val="DefaultParagraphFont"/>
    <w:link w:val="Salutation"/>
    <w:semiHidden/>
    <w:rsid w:val="003E0E06"/>
    <w:rPr>
      <w:rFonts w:ascii="Arial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3E0E06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3E0E06"/>
    <w:rPr>
      <w:rFonts w:ascii="Arabic Typesetting" w:hAnsi="Arabic Typesetting" w:cs="Arabic Typesetting"/>
      <w:sz w:val="28"/>
      <w:szCs w:val="28"/>
    </w:rPr>
  </w:style>
  <w:style w:type="character" w:customStyle="1" w:styleId="EndnoteTextChar">
    <w:name w:val="Endnote Text Char"/>
    <w:basedOn w:val="DefaultParagraphFont"/>
    <w:link w:val="EndnoteText"/>
    <w:semiHidden/>
    <w:rsid w:val="003E0E06"/>
    <w:rPr>
      <w:rFonts w:ascii="Arial" w:hAnsi="Arial" w:cs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3E0E06"/>
    <w:rPr>
      <w:rFonts w:ascii="Arial" w:hAnsi="Arial" w:cs="Arial"/>
      <w:sz w:val="18"/>
    </w:rPr>
  </w:style>
  <w:style w:type="paragraph" w:customStyle="1" w:styleId="ReportDecisionParaAR">
    <w:name w:val="Report_Decision_Para_AR"/>
    <w:basedOn w:val="NumberedParaAR"/>
    <w:next w:val="NumberedParaAR"/>
    <w:autoRedefine/>
    <w:qFormat/>
    <w:rsid w:val="003E0E06"/>
    <w:pPr>
      <w:ind w:left="567"/>
    </w:pPr>
  </w:style>
  <w:style w:type="paragraph" w:styleId="ListParagraph">
    <w:name w:val="List Paragraph"/>
    <w:basedOn w:val="Normal"/>
    <w:uiPriority w:val="34"/>
    <w:qFormat/>
    <w:rsid w:val="003E0E06"/>
    <w:pPr>
      <w:ind w:left="720"/>
      <w:contextualSpacing/>
    </w:pPr>
  </w:style>
  <w:style w:type="paragraph" w:customStyle="1" w:styleId="ARNumbered1">
    <w:name w:val="AR_Numbered1"/>
    <w:basedOn w:val="Normal"/>
    <w:qFormat/>
    <w:rsid w:val="003E0E06"/>
    <w:pPr>
      <w:numPr>
        <w:numId w:val="26"/>
      </w:numPr>
      <w:bidi/>
      <w:spacing w:after="120" w:line="340" w:lineRule="exact"/>
      <w:jc w:val="both"/>
    </w:pPr>
    <w:rPr>
      <w:rFonts w:ascii="Arabic Typesetting" w:hAnsi="Arabic Typesetting" w:cs="Arabic Typesetting"/>
      <w:sz w:val="34"/>
      <w:szCs w:val="34"/>
      <w:lang w:val="fr-CH" w:bidi="ar-EG"/>
    </w:rPr>
  </w:style>
  <w:style w:type="paragraph" w:customStyle="1" w:styleId="figtitre">
    <w:name w:val="fig_titre"/>
    <w:basedOn w:val="Normal"/>
    <w:uiPriority w:val="99"/>
    <w:rsid w:val="003E0E06"/>
    <w:pPr>
      <w:keepLines/>
      <w:widowControl w:val="0"/>
      <w:pBdr>
        <w:bottom w:val="single" w:sz="2" w:space="3" w:color="auto"/>
      </w:pBdr>
      <w:suppressAutoHyphens/>
      <w:autoSpaceDE w:val="0"/>
      <w:autoSpaceDN w:val="0"/>
      <w:adjustRightInd w:val="0"/>
      <w:spacing w:line="210" w:lineRule="atLeast"/>
      <w:textAlignment w:val="center"/>
    </w:pPr>
    <w:rPr>
      <w:rFonts w:ascii="HelveticaNeueLTStd-Bd" w:eastAsiaTheme="minorEastAsia" w:hAnsi="HelveticaNeueLTStd-Bd" w:cs="HelveticaNeueLTStd-Bd"/>
      <w:b/>
      <w:bCs/>
      <w:color w:val="000000"/>
      <w:spacing w:val="-2"/>
      <w:sz w:val="18"/>
      <w:szCs w:val="18"/>
      <w:lang w:eastAsia="fr-FR"/>
    </w:rPr>
  </w:style>
  <w:style w:type="paragraph" w:customStyle="1" w:styleId="tablecourant">
    <w:name w:val="table_courant"/>
    <w:basedOn w:val="Normal"/>
    <w:uiPriority w:val="99"/>
    <w:rsid w:val="003E0E06"/>
    <w:pPr>
      <w:keepLines/>
      <w:widowControl w:val="0"/>
      <w:suppressAutoHyphens/>
      <w:autoSpaceDE w:val="0"/>
      <w:autoSpaceDN w:val="0"/>
      <w:adjustRightInd w:val="0"/>
      <w:spacing w:line="140" w:lineRule="atLeast"/>
      <w:textAlignment w:val="center"/>
    </w:pPr>
    <w:rPr>
      <w:rFonts w:ascii="HelveticaNeueLTStd-Cn" w:eastAsiaTheme="minorEastAsia" w:hAnsi="HelveticaNeueLTStd-Cn" w:cs="HelveticaNeueLTStd-Cn"/>
      <w:color w:val="000000"/>
      <w:spacing w:val="-1"/>
      <w:sz w:val="14"/>
      <w:szCs w:val="14"/>
      <w:lang w:val="fr-FR" w:eastAsia="fr-FR"/>
    </w:rPr>
  </w:style>
  <w:style w:type="character" w:customStyle="1" w:styleId="NormalParaARChar">
    <w:name w:val="Normal_Para_AR Char"/>
    <w:basedOn w:val="DefaultParagraphFont"/>
    <w:link w:val="NormalParaAR"/>
    <w:rsid w:val="001857C1"/>
    <w:rPr>
      <w:rFonts w:ascii="Arabic Typesetting" w:hAnsi="Arabic Typesetting" w:cs="Arabic Typesetting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E06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link w:val="NormalParaARCh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165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C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E0E06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3E0E06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3E0E06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3E0E06"/>
    <w:rPr>
      <w:rFonts w:ascii="Arial" w:eastAsia="SimSun" w:hAnsi="Arial" w:cs="Arial"/>
      <w:bCs/>
      <w:i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E0E06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E0E06"/>
    <w:rPr>
      <w:rFonts w:ascii="Arial" w:hAnsi="Arial" w:cs="Arial"/>
      <w:sz w:val="22"/>
    </w:rPr>
  </w:style>
  <w:style w:type="character" w:customStyle="1" w:styleId="SalutationChar">
    <w:name w:val="Salutation Char"/>
    <w:basedOn w:val="DefaultParagraphFont"/>
    <w:link w:val="Salutation"/>
    <w:semiHidden/>
    <w:rsid w:val="003E0E06"/>
    <w:rPr>
      <w:rFonts w:ascii="Arial" w:hAnsi="Arial" w:cs="Arial"/>
      <w:sz w:val="22"/>
    </w:rPr>
  </w:style>
  <w:style w:type="character" w:customStyle="1" w:styleId="SignatureChar">
    <w:name w:val="Signature Char"/>
    <w:basedOn w:val="DefaultParagraphFont"/>
    <w:link w:val="Signature"/>
    <w:semiHidden/>
    <w:rsid w:val="003E0E06"/>
    <w:rPr>
      <w:rFonts w:ascii="Arial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3E0E06"/>
    <w:rPr>
      <w:rFonts w:ascii="Arabic Typesetting" w:hAnsi="Arabic Typesetting" w:cs="Arabic Typesetting"/>
      <w:sz w:val="28"/>
      <w:szCs w:val="28"/>
    </w:rPr>
  </w:style>
  <w:style w:type="character" w:customStyle="1" w:styleId="EndnoteTextChar">
    <w:name w:val="Endnote Text Char"/>
    <w:basedOn w:val="DefaultParagraphFont"/>
    <w:link w:val="EndnoteText"/>
    <w:semiHidden/>
    <w:rsid w:val="003E0E06"/>
    <w:rPr>
      <w:rFonts w:ascii="Arial" w:hAnsi="Arial" w:cs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3E0E06"/>
    <w:rPr>
      <w:rFonts w:ascii="Arial" w:hAnsi="Arial" w:cs="Arial"/>
      <w:sz w:val="18"/>
    </w:rPr>
  </w:style>
  <w:style w:type="paragraph" w:customStyle="1" w:styleId="ReportDecisionParaAR">
    <w:name w:val="Report_Decision_Para_AR"/>
    <w:basedOn w:val="NumberedParaAR"/>
    <w:next w:val="NumberedParaAR"/>
    <w:autoRedefine/>
    <w:qFormat/>
    <w:rsid w:val="003E0E06"/>
    <w:pPr>
      <w:ind w:left="567"/>
    </w:pPr>
  </w:style>
  <w:style w:type="paragraph" w:styleId="ListParagraph">
    <w:name w:val="List Paragraph"/>
    <w:basedOn w:val="Normal"/>
    <w:uiPriority w:val="34"/>
    <w:qFormat/>
    <w:rsid w:val="003E0E06"/>
    <w:pPr>
      <w:ind w:left="720"/>
      <w:contextualSpacing/>
    </w:pPr>
  </w:style>
  <w:style w:type="paragraph" w:customStyle="1" w:styleId="ARNumbered1">
    <w:name w:val="AR_Numbered1"/>
    <w:basedOn w:val="Normal"/>
    <w:qFormat/>
    <w:rsid w:val="003E0E06"/>
    <w:pPr>
      <w:numPr>
        <w:numId w:val="26"/>
      </w:numPr>
      <w:bidi/>
      <w:spacing w:after="120" w:line="340" w:lineRule="exact"/>
      <w:jc w:val="both"/>
    </w:pPr>
    <w:rPr>
      <w:rFonts w:ascii="Arabic Typesetting" w:hAnsi="Arabic Typesetting" w:cs="Arabic Typesetting"/>
      <w:sz w:val="34"/>
      <w:szCs w:val="34"/>
      <w:lang w:val="fr-CH" w:bidi="ar-EG"/>
    </w:rPr>
  </w:style>
  <w:style w:type="paragraph" w:customStyle="1" w:styleId="figtitre">
    <w:name w:val="fig_titre"/>
    <w:basedOn w:val="Normal"/>
    <w:uiPriority w:val="99"/>
    <w:rsid w:val="003E0E06"/>
    <w:pPr>
      <w:keepLines/>
      <w:widowControl w:val="0"/>
      <w:pBdr>
        <w:bottom w:val="single" w:sz="2" w:space="3" w:color="auto"/>
      </w:pBdr>
      <w:suppressAutoHyphens/>
      <w:autoSpaceDE w:val="0"/>
      <w:autoSpaceDN w:val="0"/>
      <w:adjustRightInd w:val="0"/>
      <w:spacing w:line="210" w:lineRule="atLeast"/>
      <w:textAlignment w:val="center"/>
    </w:pPr>
    <w:rPr>
      <w:rFonts w:ascii="HelveticaNeueLTStd-Bd" w:eastAsiaTheme="minorEastAsia" w:hAnsi="HelveticaNeueLTStd-Bd" w:cs="HelveticaNeueLTStd-Bd"/>
      <w:b/>
      <w:bCs/>
      <w:color w:val="000000"/>
      <w:spacing w:val="-2"/>
      <w:sz w:val="18"/>
      <w:szCs w:val="18"/>
      <w:lang w:eastAsia="fr-FR"/>
    </w:rPr>
  </w:style>
  <w:style w:type="paragraph" w:customStyle="1" w:styleId="tablecourant">
    <w:name w:val="table_courant"/>
    <w:basedOn w:val="Normal"/>
    <w:uiPriority w:val="99"/>
    <w:rsid w:val="003E0E06"/>
    <w:pPr>
      <w:keepLines/>
      <w:widowControl w:val="0"/>
      <w:suppressAutoHyphens/>
      <w:autoSpaceDE w:val="0"/>
      <w:autoSpaceDN w:val="0"/>
      <w:adjustRightInd w:val="0"/>
      <w:spacing w:line="140" w:lineRule="atLeast"/>
      <w:textAlignment w:val="center"/>
    </w:pPr>
    <w:rPr>
      <w:rFonts w:ascii="HelveticaNeueLTStd-Cn" w:eastAsiaTheme="minorEastAsia" w:hAnsi="HelveticaNeueLTStd-Cn" w:cs="HelveticaNeueLTStd-Cn"/>
      <w:color w:val="000000"/>
      <w:spacing w:val="-1"/>
      <w:sz w:val="14"/>
      <w:szCs w:val="14"/>
      <w:lang w:val="fr-FR" w:eastAsia="fr-FR"/>
    </w:rPr>
  </w:style>
  <w:style w:type="character" w:customStyle="1" w:styleId="NormalParaARChar">
    <w:name w:val="Normal_Para_AR Char"/>
    <w:basedOn w:val="DefaultParagraphFont"/>
    <w:link w:val="NormalParaAR"/>
    <w:rsid w:val="001857C1"/>
    <w:rPr>
      <w:rFonts w:ascii="Arabic Typesetting" w:hAnsi="Arabic Typesetting" w:cs="Arabic Typesetting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935B-95B2-4F5D-90AE-CC743155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A_55_AR.dotx</Template>
  <TotalTime>7</TotalTime>
  <Pages>2</Pages>
  <Words>555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A/56/17 Annex 3 (Arabic)</vt:lpstr>
    </vt:vector>
  </TitlesOfParts>
  <Company>World Intellectual Property Organization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A/56/17 Annex 3 (Arabic)</dc:title>
  <dc:creator>Ahmed Hassan</dc:creator>
  <cp:lastModifiedBy> </cp:lastModifiedBy>
  <cp:revision>8</cp:revision>
  <cp:lastPrinted>2016-12-12T16:06:00Z</cp:lastPrinted>
  <dcterms:created xsi:type="dcterms:W3CDTF">2016-12-12T15:59:00Z</dcterms:created>
  <dcterms:modified xsi:type="dcterms:W3CDTF">2016-12-12T16:06:00Z</dcterms:modified>
</cp:coreProperties>
</file>