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860F2E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B43BE0">
              <w:t>/16</w:t>
            </w:r>
            <w:r w:rsidR="00534573">
              <w:t xml:space="preserve"> A</w:t>
            </w:r>
            <w:r w:rsidR="00FF11AE">
              <w:t>D</w:t>
            </w:r>
            <w:r w:rsidR="00534573">
              <w:t>D.</w:t>
            </w:r>
            <w:r w:rsidR="00860F2E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43BE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43BE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43BE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43BE0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B43BE0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43BE0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 الموجز</w:t>
      </w:r>
    </w:p>
    <w:p w:rsidR="00D61541" w:rsidRPr="00D61541" w:rsidRDefault="00D61541" w:rsidP="00931859">
      <w:pPr>
        <w:pStyle w:val="PreparedbyAR"/>
        <w:bidi/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43BE0">
        <w:rPr>
          <w:rFonts w:hint="cs"/>
          <w:rtl/>
        </w:rPr>
        <w:t xml:space="preserve"> الأمانة</w:t>
      </w:r>
    </w:p>
    <w:p w:rsidR="000730A3" w:rsidRPr="000730A3" w:rsidRDefault="000730A3" w:rsidP="000730A3">
      <w:pPr>
        <w:pStyle w:val="NormalParaAR"/>
        <w:keepNext/>
        <w:rPr>
          <w:sz w:val="40"/>
          <w:szCs w:val="40"/>
          <w:rtl/>
        </w:rPr>
      </w:pPr>
      <w:r w:rsidRPr="000730A3">
        <w:rPr>
          <w:sz w:val="40"/>
          <w:szCs w:val="40"/>
          <w:rtl/>
        </w:rPr>
        <w:t xml:space="preserve">البند </w:t>
      </w:r>
      <w:r>
        <w:rPr>
          <w:rFonts w:hint="cs"/>
          <w:sz w:val="40"/>
          <w:szCs w:val="40"/>
          <w:rtl/>
        </w:rPr>
        <w:t>10</w:t>
      </w:r>
      <w:r w:rsidRPr="000730A3">
        <w:rPr>
          <w:sz w:val="40"/>
          <w:szCs w:val="40"/>
          <w:rtl/>
        </w:rPr>
        <w:t xml:space="preserve"> من جدول الأعمال الموحّد</w:t>
      </w:r>
    </w:p>
    <w:p w:rsidR="000730A3" w:rsidRPr="000730A3" w:rsidRDefault="000730A3" w:rsidP="000730A3">
      <w:pPr>
        <w:pStyle w:val="NormalParaAR"/>
        <w:keepNext/>
        <w:rPr>
          <w:sz w:val="40"/>
          <w:szCs w:val="40"/>
          <w:rtl/>
        </w:rPr>
      </w:pPr>
      <w:r w:rsidRPr="000730A3">
        <w:rPr>
          <w:rFonts w:hint="cs"/>
          <w:sz w:val="40"/>
          <w:szCs w:val="40"/>
          <w:rtl/>
        </w:rPr>
        <w:t>تقرير عن لجنة البرنامج والميزانية</w:t>
      </w:r>
    </w:p>
    <w:p w:rsidR="00534573" w:rsidRDefault="00534573" w:rsidP="007B2150">
      <w:pPr>
        <w:pStyle w:val="NumberedParaAR"/>
      </w:pPr>
      <w:r>
        <w:rPr>
          <w:rFonts w:hint="cs"/>
          <w:rtl/>
          <w:lang w:bidi="ar-EG"/>
        </w:rPr>
        <w:t>إن جمعيات الدول الأعضاء في الويبو والاتحادات التي تديرها، كل فيما يعنيه:</w:t>
      </w:r>
    </w:p>
    <w:p w:rsidR="00534573" w:rsidRDefault="00534573" w:rsidP="00534573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Fonts w:hint="cs"/>
          <w:rtl/>
          <w:lang w:bidi="ar-EG"/>
        </w:rPr>
        <w:tab/>
        <w:t xml:space="preserve">أحاطت علما بوثيقة "قائمة القرارات" (الوثيقة </w:t>
      </w:r>
      <w:r>
        <w:rPr>
          <w:lang w:val="fr-CH" w:bidi="ar-EG"/>
        </w:rPr>
        <w:t>WO/PBC/25/21</w:t>
      </w:r>
      <w:r>
        <w:rPr>
          <w:rFonts w:hint="cs"/>
          <w:rtl/>
          <w:lang w:bidi="ar-EG"/>
        </w:rPr>
        <w:t>)؛</w:t>
      </w:r>
    </w:p>
    <w:p w:rsidR="00534573" w:rsidRDefault="00534573" w:rsidP="00860F2E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Fonts w:hint="cs"/>
          <w:rtl/>
          <w:lang w:bidi="ar-EG"/>
        </w:rPr>
        <w:tab/>
        <w:t xml:space="preserve">وفيما يتعلق </w:t>
      </w:r>
      <w:r w:rsidR="00860F2E">
        <w:rPr>
          <w:rFonts w:hint="cs"/>
          <w:rtl/>
          <w:lang w:bidi="ar-EG"/>
        </w:rPr>
        <w:t xml:space="preserve">بجميع المسائل تحت هذا البند من جدول الأعمال، فيما عدا البندين 16 </w:t>
      </w:r>
      <w:r w:rsidR="00860F2E">
        <w:rPr>
          <w:rFonts w:hint="cs"/>
          <w:rtl/>
        </w:rPr>
        <w:t>"</w:t>
      </w:r>
      <w:r w:rsidR="00860F2E" w:rsidRPr="00534573">
        <w:rPr>
          <w:rtl/>
        </w:rPr>
        <w:t>استعراض منهجية تخصيص الإيرادات والميزانية بحسب كل اتحاد</w:t>
      </w:r>
      <w:r w:rsidR="00860F2E">
        <w:rPr>
          <w:rFonts w:hint="cs"/>
          <w:rtl/>
        </w:rPr>
        <w:t>" و13 "</w:t>
      </w:r>
      <w:r w:rsidR="00860F2E" w:rsidRPr="00660295">
        <w:rPr>
          <w:rtl/>
        </w:rPr>
        <w:t xml:space="preserve">فتح مكاتب خارجية جديدة </w:t>
      </w:r>
      <w:proofErr w:type="spellStart"/>
      <w:r w:rsidR="00860F2E" w:rsidRPr="00660295">
        <w:rPr>
          <w:rtl/>
        </w:rPr>
        <w:t>للويبو</w:t>
      </w:r>
      <w:proofErr w:type="spellEnd"/>
      <w:r w:rsidR="00860F2E">
        <w:rPr>
          <w:rFonts w:hint="cs"/>
          <w:rtl/>
        </w:rPr>
        <w:t xml:space="preserve">" من جدول أعمال لجنة البرنامج والميزانية، </w:t>
      </w:r>
      <w:r>
        <w:rPr>
          <w:rFonts w:hint="cs"/>
          <w:rtl/>
          <w:lang w:bidi="ar-EG"/>
        </w:rPr>
        <w:t xml:space="preserve">وافقت على توصيات لجنة البرنامج والميزانية كما هي واردة في الوثيقة </w:t>
      </w:r>
      <w:r>
        <w:rPr>
          <w:lang w:val="fr-CH" w:bidi="ar-EG"/>
        </w:rPr>
        <w:t>WO/PBC/25/21</w:t>
      </w:r>
      <w:r>
        <w:rPr>
          <w:rFonts w:hint="cs"/>
          <w:rtl/>
          <w:lang w:bidi="ar-EG"/>
        </w:rPr>
        <w:t>؛</w:t>
      </w:r>
    </w:p>
    <w:p w:rsidR="00534573" w:rsidRDefault="00534573" w:rsidP="003506C6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"3"</w:t>
      </w:r>
      <w:r>
        <w:rPr>
          <w:rFonts w:hint="cs"/>
          <w:rtl/>
        </w:rPr>
        <w:tab/>
        <w:t>وفيما يتعلق بالبند 16 "</w:t>
      </w:r>
      <w:r w:rsidRPr="00534573">
        <w:rPr>
          <w:rtl/>
        </w:rPr>
        <w:t>استعراض منهجية تخصيص الإيرادات والميزانية بحسب كل اتحاد</w:t>
      </w:r>
      <w:r>
        <w:rPr>
          <w:rFonts w:hint="cs"/>
          <w:rtl/>
        </w:rPr>
        <w:t>"، إذ ناقشت الوثيقة</w:t>
      </w:r>
      <w:r w:rsidR="003506C6">
        <w:rPr>
          <w:rFonts w:hint="eastAsia"/>
          <w:rtl/>
        </w:rPr>
        <w:t> </w:t>
      </w:r>
      <w:r>
        <w:rPr>
          <w:lang w:val="fr-CH"/>
        </w:rPr>
        <w:t>A/56/14</w:t>
      </w:r>
      <w:r>
        <w:rPr>
          <w:rFonts w:hint="cs"/>
          <w:rtl/>
          <w:lang w:bidi="ar-EG"/>
        </w:rPr>
        <w:t xml:space="preserve">، </w:t>
      </w:r>
      <w:r>
        <w:rPr>
          <w:rFonts w:hint="cs"/>
          <w:rtl/>
        </w:rPr>
        <w:t>أحاطت علما بعمل لجنة البرنامج والميزانية وشدّدت على أهمية الإدارة الفعّالة والشفافية في عرض الوثائق المقترحة للجنة الويبو للبرنامج والميزانية بما يمكّن جمعيات الويبو المعنية من اتخاذ قرارات مستنيرة؛</w:t>
      </w:r>
    </w:p>
    <w:p w:rsidR="00660295" w:rsidRDefault="00660295" w:rsidP="00CC44B7">
      <w:pPr>
        <w:pStyle w:val="NumberedParaAR"/>
        <w:numPr>
          <w:ilvl w:val="0"/>
          <w:numId w:val="0"/>
        </w:numPr>
        <w:ind w:left="566"/>
        <w:rPr>
          <w:rtl/>
          <w:lang w:bidi="ar-EG"/>
        </w:rPr>
      </w:pPr>
      <w:r>
        <w:rPr>
          <w:rFonts w:hint="cs"/>
          <w:rtl/>
        </w:rPr>
        <w:t>"4"</w:t>
      </w:r>
      <w:r>
        <w:rPr>
          <w:rFonts w:hint="cs"/>
          <w:rtl/>
        </w:rPr>
        <w:tab/>
        <w:t>وفيما يتعلق بالبند 13 من جدول أعمال لجنة البرنامج والميزانية "</w:t>
      </w:r>
      <w:r w:rsidRPr="00660295">
        <w:rPr>
          <w:rtl/>
        </w:rPr>
        <w:t xml:space="preserve">فتح مكاتب خارجية جديدة </w:t>
      </w:r>
      <w:proofErr w:type="spellStart"/>
      <w:r w:rsidRPr="00660295">
        <w:rPr>
          <w:rtl/>
        </w:rPr>
        <w:t>للويبو</w:t>
      </w:r>
      <w:proofErr w:type="spellEnd"/>
      <w:r>
        <w:rPr>
          <w:rFonts w:hint="cs"/>
          <w:rtl/>
        </w:rPr>
        <w:t xml:space="preserve">"، </w:t>
      </w:r>
      <w:r w:rsidR="004229B8">
        <w:rPr>
          <w:rFonts w:hint="cs"/>
          <w:rtl/>
        </w:rPr>
        <w:t xml:space="preserve">وبعد بحث الوثيقة </w:t>
      </w:r>
      <w:r w:rsidR="004229B8">
        <w:rPr>
          <w:lang w:val="fr-CH"/>
        </w:rPr>
        <w:t>A/56/15</w:t>
      </w:r>
      <w:r w:rsidR="004229B8">
        <w:rPr>
          <w:rFonts w:hint="cs"/>
          <w:rtl/>
          <w:lang w:bidi="ar-EG"/>
        </w:rPr>
        <w:t xml:space="preserve"> وعملا بقرار الجمعية العامة لعام 2015 (الوثيقة </w:t>
      </w:r>
      <w:r w:rsidR="004229B8">
        <w:rPr>
          <w:lang w:val="fr-CH" w:bidi="ar-EG"/>
        </w:rPr>
        <w:t>A</w:t>
      </w:r>
      <w:bookmarkStart w:id="2" w:name="_GoBack"/>
      <w:bookmarkEnd w:id="2"/>
      <w:r w:rsidR="004229B8">
        <w:rPr>
          <w:lang w:val="fr-CH" w:bidi="ar-EG"/>
        </w:rPr>
        <w:t>/5</w:t>
      </w:r>
      <w:r w:rsidR="00CC44B7">
        <w:rPr>
          <w:lang w:val="fr-CH" w:bidi="ar-EG"/>
        </w:rPr>
        <w:t>5</w:t>
      </w:r>
      <w:r w:rsidR="004229B8">
        <w:rPr>
          <w:lang w:val="fr-CH" w:bidi="ar-EG"/>
        </w:rPr>
        <w:t>/13</w:t>
      </w:r>
      <w:r w:rsidR="004229B8">
        <w:rPr>
          <w:rFonts w:hint="cs"/>
          <w:rtl/>
          <w:lang w:bidi="ar-EG"/>
        </w:rPr>
        <w:t>)، فإن الجمعية العامة قرّرت:</w:t>
      </w:r>
    </w:p>
    <w:p w:rsidR="004229B8" w:rsidRDefault="004229B8" w:rsidP="00CC44B7">
      <w:pPr>
        <w:pStyle w:val="NumberedParaAR"/>
        <w:numPr>
          <w:ilvl w:val="0"/>
          <w:numId w:val="0"/>
        </w:numPr>
        <w:ind w:left="1133"/>
        <w:rPr>
          <w:rtl/>
          <w:lang w:bidi="ar-EG"/>
        </w:rPr>
      </w:pPr>
      <w:r>
        <w:rPr>
          <w:rFonts w:hint="cs"/>
          <w:rtl/>
          <w:lang w:bidi="ar-EG"/>
        </w:rPr>
        <w:t>1.</w:t>
      </w:r>
      <w:r>
        <w:rPr>
          <w:rFonts w:hint="cs"/>
          <w:rtl/>
          <w:lang w:bidi="ar-EG"/>
        </w:rPr>
        <w:tab/>
        <w:t>فتح مكتب</w:t>
      </w:r>
      <w:r w:rsidR="00CC44B7">
        <w:rPr>
          <w:rFonts w:hint="cs"/>
          <w:rtl/>
          <w:lang w:bidi="ar-EG"/>
        </w:rPr>
        <w:t>ين</w:t>
      </w:r>
      <w:r>
        <w:rPr>
          <w:rFonts w:hint="cs"/>
          <w:rtl/>
          <w:lang w:bidi="ar-EG"/>
        </w:rPr>
        <w:t xml:space="preserve"> </w:t>
      </w:r>
      <w:r w:rsidR="00CC44B7">
        <w:rPr>
          <w:rFonts w:hint="cs"/>
          <w:rtl/>
          <w:lang w:bidi="ar-EG"/>
        </w:rPr>
        <w:t>خارجيين</w:t>
      </w:r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للويبو</w:t>
      </w:r>
      <w:proofErr w:type="spellEnd"/>
      <w:r>
        <w:rPr>
          <w:rFonts w:hint="cs"/>
          <w:rtl/>
          <w:lang w:bidi="ar-EG"/>
        </w:rPr>
        <w:t xml:space="preserve"> في الجزائر ونيجيريا؛</w:t>
      </w:r>
    </w:p>
    <w:p w:rsidR="004229B8" w:rsidRPr="004229B8" w:rsidRDefault="004229B8" w:rsidP="001C4D30">
      <w:pPr>
        <w:pStyle w:val="NumberedParaAR"/>
        <w:numPr>
          <w:ilvl w:val="0"/>
          <w:numId w:val="0"/>
        </w:numPr>
        <w:ind w:left="1133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2.</w:t>
      </w:r>
      <w:r>
        <w:rPr>
          <w:rFonts w:hint="cs"/>
          <w:rtl/>
          <w:lang w:bidi="ar-EG"/>
        </w:rPr>
        <w:tab/>
        <w:t xml:space="preserve">ومواصلة المشاورات حول فتح مكتب خارجي واحد خلال الثنائية الحالية وثلاثة مكاتب خارجية في الثنائية 2018-2019 </w:t>
      </w:r>
      <w:r w:rsidR="001C4D30">
        <w:rPr>
          <w:rFonts w:hint="cs"/>
          <w:rtl/>
          <w:lang w:bidi="ar-EG"/>
        </w:rPr>
        <w:t xml:space="preserve">بالاستناد </w:t>
      </w:r>
      <w:r w:rsidR="007A2568">
        <w:rPr>
          <w:rFonts w:hint="cs"/>
          <w:rtl/>
        </w:rPr>
        <w:t xml:space="preserve">إلى </w:t>
      </w:r>
      <w:r w:rsidR="001C4D30">
        <w:rPr>
          <w:rFonts w:hint="cs"/>
          <w:rtl/>
          <w:lang w:bidi="ar-EG"/>
        </w:rPr>
        <w:t>الدعوة التي وجّهتها الأمانة للتقدم باقتراحات بهدف اتخاذ قرار حول المسألة أعلاه خلال الجمعية العامة لعام 2017 على أساس المبادئ التوجيهية.</w:t>
      </w:r>
    </w:p>
    <w:p w:rsidR="00660295" w:rsidRDefault="00660295" w:rsidP="00660295">
      <w:pPr>
        <w:pStyle w:val="NumberedParaAR"/>
        <w:numPr>
          <w:ilvl w:val="0"/>
          <w:numId w:val="0"/>
        </w:numPr>
        <w:rPr>
          <w:rtl/>
        </w:rPr>
      </w:pPr>
    </w:p>
    <w:p w:rsidR="00B52625" w:rsidRDefault="00B52625" w:rsidP="00B52625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p w:rsidR="009667A5" w:rsidRPr="009667A5" w:rsidRDefault="009667A5" w:rsidP="009667A5">
      <w:pPr>
        <w:pStyle w:val="NormalParaAR"/>
      </w:pPr>
    </w:p>
    <w:sectPr w:rsidR="009667A5" w:rsidRPr="009667A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50" w:rsidRDefault="007B2150">
      <w:r>
        <w:separator/>
      </w:r>
    </w:p>
  </w:endnote>
  <w:endnote w:type="continuationSeparator" w:id="0">
    <w:p w:rsidR="007B2150" w:rsidRDefault="007B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50" w:rsidRDefault="007B2150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B2150" w:rsidRDefault="007B2150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50" w:rsidRPr="009667A5" w:rsidRDefault="007B2150" w:rsidP="00860F2E">
    <w:pPr>
      <w:rPr>
        <w:rtl/>
        <w:lang w:val="fr-CH"/>
      </w:rPr>
    </w:pPr>
    <w:r>
      <w:t>A/56/16</w:t>
    </w:r>
    <w:r w:rsidR="009667A5">
      <w:rPr>
        <w:lang w:val="fr-CH"/>
      </w:rPr>
      <w:t xml:space="preserve"> ADD.</w:t>
    </w:r>
    <w:r w:rsidR="00860F2E">
      <w:rPr>
        <w:lang w:val="fr-CH"/>
      </w:rPr>
      <w:t>2</w:t>
    </w:r>
  </w:p>
  <w:p w:rsidR="007B2150" w:rsidRDefault="007B2150" w:rsidP="00D61541">
    <w:r>
      <w:fldChar w:fldCharType="begin"/>
    </w:r>
    <w:r>
      <w:instrText xml:space="preserve"> PAGE  \* MERGEFORMAT </w:instrText>
    </w:r>
    <w:r>
      <w:fldChar w:fldCharType="separate"/>
    </w:r>
    <w:r w:rsidR="009D078C">
      <w:rPr>
        <w:noProof/>
      </w:rPr>
      <w:t>2</w:t>
    </w:r>
    <w:r>
      <w:fldChar w:fldCharType="end"/>
    </w:r>
  </w:p>
  <w:p w:rsidR="007B2150" w:rsidRDefault="007B2150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E0"/>
    <w:rsid w:val="0000164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0B2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36595"/>
    <w:rsid w:val="0004026A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E94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0A3"/>
    <w:rsid w:val="00073402"/>
    <w:rsid w:val="00075745"/>
    <w:rsid w:val="00075A04"/>
    <w:rsid w:val="00075D39"/>
    <w:rsid w:val="000760C3"/>
    <w:rsid w:val="000763A4"/>
    <w:rsid w:val="00076901"/>
    <w:rsid w:val="00077116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890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066"/>
    <w:rsid w:val="00112524"/>
    <w:rsid w:val="00113769"/>
    <w:rsid w:val="00114141"/>
    <w:rsid w:val="00114827"/>
    <w:rsid w:val="00115266"/>
    <w:rsid w:val="001154FB"/>
    <w:rsid w:val="00115B51"/>
    <w:rsid w:val="0011683C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4880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50D"/>
    <w:rsid w:val="00186606"/>
    <w:rsid w:val="00190B6D"/>
    <w:rsid w:val="00191E75"/>
    <w:rsid w:val="00192022"/>
    <w:rsid w:val="0019301D"/>
    <w:rsid w:val="0019454F"/>
    <w:rsid w:val="00194719"/>
    <w:rsid w:val="00194774"/>
    <w:rsid w:val="00195A98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4D30"/>
    <w:rsid w:val="001C5ADE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ACD"/>
    <w:rsid w:val="001D2DC4"/>
    <w:rsid w:val="001D6A48"/>
    <w:rsid w:val="001D7E8F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F3E"/>
    <w:rsid w:val="0022176B"/>
    <w:rsid w:val="00222760"/>
    <w:rsid w:val="00222782"/>
    <w:rsid w:val="0022360A"/>
    <w:rsid w:val="00226558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E2E"/>
    <w:rsid w:val="0024220D"/>
    <w:rsid w:val="00242A9E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65D"/>
    <w:rsid w:val="00254DE4"/>
    <w:rsid w:val="002559DA"/>
    <w:rsid w:val="00256955"/>
    <w:rsid w:val="0026071A"/>
    <w:rsid w:val="00261223"/>
    <w:rsid w:val="00261B27"/>
    <w:rsid w:val="00262B5A"/>
    <w:rsid w:val="0026520E"/>
    <w:rsid w:val="00266282"/>
    <w:rsid w:val="00266486"/>
    <w:rsid w:val="00266B0A"/>
    <w:rsid w:val="00266C61"/>
    <w:rsid w:val="0026749A"/>
    <w:rsid w:val="00270E72"/>
    <w:rsid w:val="0027167E"/>
    <w:rsid w:val="00271F24"/>
    <w:rsid w:val="002724A9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4CEA"/>
    <w:rsid w:val="002D5DDC"/>
    <w:rsid w:val="002D5F16"/>
    <w:rsid w:val="002D62F1"/>
    <w:rsid w:val="002D6FD8"/>
    <w:rsid w:val="002D727B"/>
    <w:rsid w:val="002D7EAD"/>
    <w:rsid w:val="002E1169"/>
    <w:rsid w:val="002E1218"/>
    <w:rsid w:val="002E20F7"/>
    <w:rsid w:val="002E28F3"/>
    <w:rsid w:val="002E7615"/>
    <w:rsid w:val="002E76BD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0CD0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A9A"/>
    <w:rsid w:val="00345CAC"/>
    <w:rsid w:val="0034789E"/>
    <w:rsid w:val="003501DA"/>
    <w:rsid w:val="003503E2"/>
    <w:rsid w:val="003506C6"/>
    <w:rsid w:val="00351DC1"/>
    <w:rsid w:val="003534EE"/>
    <w:rsid w:val="003535A7"/>
    <w:rsid w:val="003600A2"/>
    <w:rsid w:val="003612D8"/>
    <w:rsid w:val="0036300A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77AC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0F8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2C0B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9B8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5A57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77C98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4B04"/>
    <w:rsid w:val="00495A07"/>
    <w:rsid w:val="00497356"/>
    <w:rsid w:val="004A060E"/>
    <w:rsid w:val="004A076F"/>
    <w:rsid w:val="004A1DC1"/>
    <w:rsid w:val="004A31A2"/>
    <w:rsid w:val="004A48A7"/>
    <w:rsid w:val="004A655D"/>
    <w:rsid w:val="004A745C"/>
    <w:rsid w:val="004B01B1"/>
    <w:rsid w:val="004B08D1"/>
    <w:rsid w:val="004B10E6"/>
    <w:rsid w:val="004B198F"/>
    <w:rsid w:val="004B46D0"/>
    <w:rsid w:val="004B57B0"/>
    <w:rsid w:val="004B60CE"/>
    <w:rsid w:val="004B61C9"/>
    <w:rsid w:val="004B6B25"/>
    <w:rsid w:val="004C0B26"/>
    <w:rsid w:val="004C12FE"/>
    <w:rsid w:val="004C1D57"/>
    <w:rsid w:val="004C2F7C"/>
    <w:rsid w:val="004C34F8"/>
    <w:rsid w:val="004C375F"/>
    <w:rsid w:val="004C482F"/>
    <w:rsid w:val="004C49C9"/>
    <w:rsid w:val="004C6145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F13"/>
    <w:rsid w:val="004E1264"/>
    <w:rsid w:val="004E2CBC"/>
    <w:rsid w:val="004E3DD4"/>
    <w:rsid w:val="004E41C2"/>
    <w:rsid w:val="004E4D8B"/>
    <w:rsid w:val="004E5C1A"/>
    <w:rsid w:val="004E6C8C"/>
    <w:rsid w:val="004E6CC7"/>
    <w:rsid w:val="004E776F"/>
    <w:rsid w:val="004F111D"/>
    <w:rsid w:val="004F1843"/>
    <w:rsid w:val="004F1EEC"/>
    <w:rsid w:val="004F24C8"/>
    <w:rsid w:val="004F2FDB"/>
    <w:rsid w:val="004F30D6"/>
    <w:rsid w:val="004F34A5"/>
    <w:rsid w:val="004F40D6"/>
    <w:rsid w:val="004F4A0E"/>
    <w:rsid w:val="004F6925"/>
    <w:rsid w:val="00503AE1"/>
    <w:rsid w:val="00503CA6"/>
    <w:rsid w:val="00503FAE"/>
    <w:rsid w:val="00504DC1"/>
    <w:rsid w:val="00505332"/>
    <w:rsid w:val="00505A57"/>
    <w:rsid w:val="00505D37"/>
    <w:rsid w:val="0051007B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573"/>
    <w:rsid w:val="00534AF0"/>
    <w:rsid w:val="00535060"/>
    <w:rsid w:val="00535738"/>
    <w:rsid w:val="005409EB"/>
    <w:rsid w:val="00540F30"/>
    <w:rsid w:val="00541B7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33FC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3CE9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3AE"/>
    <w:rsid w:val="005A0C60"/>
    <w:rsid w:val="005A255F"/>
    <w:rsid w:val="005A330E"/>
    <w:rsid w:val="005A5554"/>
    <w:rsid w:val="005A5651"/>
    <w:rsid w:val="005A671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4A4"/>
    <w:rsid w:val="005C5D7B"/>
    <w:rsid w:val="005C5E29"/>
    <w:rsid w:val="005C6474"/>
    <w:rsid w:val="005C6A68"/>
    <w:rsid w:val="005D0AE3"/>
    <w:rsid w:val="005D1103"/>
    <w:rsid w:val="005D276D"/>
    <w:rsid w:val="005D3FDE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819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1B1B"/>
    <w:rsid w:val="00653149"/>
    <w:rsid w:val="006531E4"/>
    <w:rsid w:val="00654505"/>
    <w:rsid w:val="006575ED"/>
    <w:rsid w:val="006578FD"/>
    <w:rsid w:val="00660060"/>
    <w:rsid w:val="00660295"/>
    <w:rsid w:val="006609AA"/>
    <w:rsid w:val="00662EDE"/>
    <w:rsid w:val="00664C9F"/>
    <w:rsid w:val="00666548"/>
    <w:rsid w:val="00666A71"/>
    <w:rsid w:val="00667537"/>
    <w:rsid w:val="00667EC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843"/>
    <w:rsid w:val="00694487"/>
    <w:rsid w:val="00695815"/>
    <w:rsid w:val="0069581B"/>
    <w:rsid w:val="00696601"/>
    <w:rsid w:val="006977FA"/>
    <w:rsid w:val="006A20FB"/>
    <w:rsid w:val="006A339D"/>
    <w:rsid w:val="006A4462"/>
    <w:rsid w:val="006A54BE"/>
    <w:rsid w:val="006A56E7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19F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35A"/>
    <w:rsid w:val="006D7FA8"/>
    <w:rsid w:val="006E4601"/>
    <w:rsid w:val="006E5B86"/>
    <w:rsid w:val="006E63FF"/>
    <w:rsid w:val="006E652D"/>
    <w:rsid w:val="006E7572"/>
    <w:rsid w:val="006F135A"/>
    <w:rsid w:val="006F2F22"/>
    <w:rsid w:val="006F434A"/>
    <w:rsid w:val="006F60B8"/>
    <w:rsid w:val="006F759B"/>
    <w:rsid w:val="006F7974"/>
    <w:rsid w:val="006F7CF1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17E8D"/>
    <w:rsid w:val="00720860"/>
    <w:rsid w:val="00721087"/>
    <w:rsid w:val="00721530"/>
    <w:rsid w:val="00723422"/>
    <w:rsid w:val="00725E86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C2F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904"/>
    <w:rsid w:val="00752AEC"/>
    <w:rsid w:val="00752FBA"/>
    <w:rsid w:val="00753324"/>
    <w:rsid w:val="0075458D"/>
    <w:rsid w:val="007554A9"/>
    <w:rsid w:val="007556F5"/>
    <w:rsid w:val="00757105"/>
    <w:rsid w:val="00757B82"/>
    <w:rsid w:val="007624F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B63"/>
    <w:rsid w:val="00772CFE"/>
    <w:rsid w:val="007730CF"/>
    <w:rsid w:val="00774418"/>
    <w:rsid w:val="00774756"/>
    <w:rsid w:val="00775181"/>
    <w:rsid w:val="007751B6"/>
    <w:rsid w:val="00775345"/>
    <w:rsid w:val="007759EB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4C4"/>
    <w:rsid w:val="00796CF7"/>
    <w:rsid w:val="007A0313"/>
    <w:rsid w:val="007A0A83"/>
    <w:rsid w:val="007A2568"/>
    <w:rsid w:val="007A3869"/>
    <w:rsid w:val="007A4BB3"/>
    <w:rsid w:val="007A4F70"/>
    <w:rsid w:val="007A6307"/>
    <w:rsid w:val="007A6822"/>
    <w:rsid w:val="007A724D"/>
    <w:rsid w:val="007A749D"/>
    <w:rsid w:val="007A7B37"/>
    <w:rsid w:val="007B024C"/>
    <w:rsid w:val="007B1C4C"/>
    <w:rsid w:val="007B2150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D91"/>
    <w:rsid w:val="007D668A"/>
    <w:rsid w:val="007E09E2"/>
    <w:rsid w:val="007E0FF5"/>
    <w:rsid w:val="007E1012"/>
    <w:rsid w:val="007E156A"/>
    <w:rsid w:val="007E17CD"/>
    <w:rsid w:val="007E19F2"/>
    <w:rsid w:val="007E24ED"/>
    <w:rsid w:val="007E374B"/>
    <w:rsid w:val="007E39DE"/>
    <w:rsid w:val="007E3F53"/>
    <w:rsid w:val="007E7997"/>
    <w:rsid w:val="007E7A40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478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8B6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1634"/>
    <w:rsid w:val="00842827"/>
    <w:rsid w:val="00842965"/>
    <w:rsid w:val="00844300"/>
    <w:rsid w:val="00844A74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2E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1C89"/>
    <w:rsid w:val="00882931"/>
    <w:rsid w:val="00884939"/>
    <w:rsid w:val="00884A9F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954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0AA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578E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E7F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67A5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03DB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1FC3"/>
    <w:rsid w:val="009B2AD1"/>
    <w:rsid w:val="009B3224"/>
    <w:rsid w:val="009B3A61"/>
    <w:rsid w:val="009B528E"/>
    <w:rsid w:val="009B54FE"/>
    <w:rsid w:val="009B77DD"/>
    <w:rsid w:val="009C13BF"/>
    <w:rsid w:val="009C2943"/>
    <w:rsid w:val="009C4809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78C"/>
    <w:rsid w:val="009D2376"/>
    <w:rsid w:val="009D2D48"/>
    <w:rsid w:val="009D3103"/>
    <w:rsid w:val="009D4409"/>
    <w:rsid w:val="009D467D"/>
    <w:rsid w:val="009D4724"/>
    <w:rsid w:val="009D4B2F"/>
    <w:rsid w:val="009D4C1B"/>
    <w:rsid w:val="009D500A"/>
    <w:rsid w:val="009D5159"/>
    <w:rsid w:val="009D5EA5"/>
    <w:rsid w:val="009D64DA"/>
    <w:rsid w:val="009D661D"/>
    <w:rsid w:val="009D6BEA"/>
    <w:rsid w:val="009D76A3"/>
    <w:rsid w:val="009D7F17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B12"/>
    <w:rsid w:val="00A13947"/>
    <w:rsid w:val="00A13E2B"/>
    <w:rsid w:val="00A1562A"/>
    <w:rsid w:val="00A15901"/>
    <w:rsid w:val="00A1618E"/>
    <w:rsid w:val="00A161A1"/>
    <w:rsid w:val="00A17779"/>
    <w:rsid w:val="00A20562"/>
    <w:rsid w:val="00A20F75"/>
    <w:rsid w:val="00A212B1"/>
    <w:rsid w:val="00A22FB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AD0"/>
    <w:rsid w:val="00A50595"/>
    <w:rsid w:val="00A50A39"/>
    <w:rsid w:val="00A51DF1"/>
    <w:rsid w:val="00A52AFB"/>
    <w:rsid w:val="00A53967"/>
    <w:rsid w:val="00A53A38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3B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1A9"/>
    <w:rsid w:val="00AA334D"/>
    <w:rsid w:val="00AA37B1"/>
    <w:rsid w:val="00AA47B8"/>
    <w:rsid w:val="00AA4E38"/>
    <w:rsid w:val="00AA550A"/>
    <w:rsid w:val="00AA5EBD"/>
    <w:rsid w:val="00AA628B"/>
    <w:rsid w:val="00AA6DE4"/>
    <w:rsid w:val="00AA70B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B0A"/>
    <w:rsid w:val="00AB7348"/>
    <w:rsid w:val="00AC13B0"/>
    <w:rsid w:val="00AC2FD0"/>
    <w:rsid w:val="00AC3DBD"/>
    <w:rsid w:val="00AC5E85"/>
    <w:rsid w:val="00AD03D8"/>
    <w:rsid w:val="00AD0D5F"/>
    <w:rsid w:val="00AD2063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6730"/>
    <w:rsid w:val="00B072A3"/>
    <w:rsid w:val="00B07FCD"/>
    <w:rsid w:val="00B1149C"/>
    <w:rsid w:val="00B11F60"/>
    <w:rsid w:val="00B121EF"/>
    <w:rsid w:val="00B127AA"/>
    <w:rsid w:val="00B130CB"/>
    <w:rsid w:val="00B14745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2C7"/>
    <w:rsid w:val="00B2769B"/>
    <w:rsid w:val="00B307D2"/>
    <w:rsid w:val="00B3398B"/>
    <w:rsid w:val="00B33B1E"/>
    <w:rsid w:val="00B340BB"/>
    <w:rsid w:val="00B35AEB"/>
    <w:rsid w:val="00B362D9"/>
    <w:rsid w:val="00B36B99"/>
    <w:rsid w:val="00B36D20"/>
    <w:rsid w:val="00B36EB7"/>
    <w:rsid w:val="00B36F67"/>
    <w:rsid w:val="00B40633"/>
    <w:rsid w:val="00B43BE0"/>
    <w:rsid w:val="00B44049"/>
    <w:rsid w:val="00B44318"/>
    <w:rsid w:val="00B44C4B"/>
    <w:rsid w:val="00B477CB"/>
    <w:rsid w:val="00B508A7"/>
    <w:rsid w:val="00B52081"/>
    <w:rsid w:val="00B52625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574"/>
    <w:rsid w:val="00B72C1C"/>
    <w:rsid w:val="00B73BB7"/>
    <w:rsid w:val="00B73CD6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87555"/>
    <w:rsid w:val="00B90558"/>
    <w:rsid w:val="00B92958"/>
    <w:rsid w:val="00B92DE1"/>
    <w:rsid w:val="00B93957"/>
    <w:rsid w:val="00B9404A"/>
    <w:rsid w:val="00B94877"/>
    <w:rsid w:val="00B9491F"/>
    <w:rsid w:val="00B94DA6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3E21"/>
    <w:rsid w:val="00BC43A8"/>
    <w:rsid w:val="00BC5C6D"/>
    <w:rsid w:val="00BC7120"/>
    <w:rsid w:val="00BC76A3"/>
    <w:rsid w:val="00BD00D1"/>
    <w:rsid w:val="00BD07A2"/>
    <w:rsid w:val="00BD1093"/>
    <w:rsid w:val="00BD2603"/>
    <w:rsid w:val="00BD4EEC"/>
    <w:rsid w:val="00BD4F34"/>
    <w:rsid w:val="00BD537C"/>
    <w:rsid w:val="00BD6F5B"/>
    <w:rsid w:val="00BD7662"/>
    <w:rsid w:val="00BE05ED"/>
    <w:rsid w:val="00BE09D9"/>
    <w:rsid w:val="00BE350E"/>
    <w:rsid w:val="00BE3801"/>
    <w:rsid w:val="00BE38CF"/>
    <w:rsid w:val="00BE394B"/>
    <w:rsid w:val="00BE3D9A"/>
    <w:rsid w:val="00BE48A8"/>
    <w:rsid w:val="00BE4E4B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7C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0300"/>
    <w:rsid w:val="00C82EE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7EA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5F78"/>
    <w:rsid w:val="00CB7BD7"/>
    <w:rsid w:val="00CC44B7"/>
    <w:rsid w:val="00CC4CB6"/>
    <w:rsid w:val="00CC4DB0"/>
    <w:rsid w:val="00CC5038"/>
    <w:rsid w:val="00CC5326"/>
    <w:rsid w:val="00CC7426"/>
    <w:rsid w:val="00CC7910"/>
    <w:rsid w:val="00CD0C20"/>
    <w:rsid w:val="00CD1479"/>
    <w:rsid w:val="00CD297A"/>
    <w:rsid w:val="00CD3198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98F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2B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AB5"/>
    <w:rsid w:val="00D9536E"/>
    <w:rsid w:val="00D9613D"/>
    <w:rsid w:val="00D97426"/>
    <w:rsid w:val="00D97568"/>
    <w:rsid w:val="00DA06B0"/>
    <w:rsid w:val="00DA2862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404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1A82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53DC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6EE7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2AC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4FA1"/>
    <w:rsid w:val="00E85533"/>
    <w:rsid w:val="00E86343"/>
    <w:rsid w:val="00E866CD"/>
    <w:rsid w:val="00E877ED"/>
    <w:rsid w:val="00E901FD"/>
    <w:rsid w:val="00E91964"/>
    <w:rsid w:val="00E91FB1"/>
    <w:rsid w:val="00E92AE0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3FD2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29F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6E5"/>
    <w:rsid w:val="00F02663"/>
    <w:rsid w:val="00F03369"/>
    <w:rsid w:val="00F04E62"/>
    <w:rsid w:val="00F050AA"/>
    <w:rsid w:val="00F05E6D"/>
    <w:rsid w:val="00F065C7"/>
    <w:rsid w:val="00F11800"/>
    <w:rsid w:val="00F11B61"/>
    <w:rsid w:val="00F135D6"/>
    <w:rsid w:val="00F13922"/>
    <w:rsid w:val="00F13DBC"/>
    <w:rsid w:val="00F15FCF"/>
    <w:rsid w:val="00F16613"/>
    <w:rsid w:val="00F20706"/>
    <w:rsid w:val="00F20833"/>
    <w:rsid w:val="00F20F75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B69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905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413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4B9E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37EA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2E0D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273"/>
    <w:rsid w:val="00FE6E94"/>
    <w:rsid w:val="00FE76CB"/>
    <w:rsid w:val="00FE7BD8"/>
    <w:rsid w:val="00FF11AE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B4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BE0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AA31A9"/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B4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BE0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AA31A9"/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606</TotalTime>
  <Pages>2</Pages>
  <Words>237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A/56/16 (Arabic)</vt:lpstr>
    </vt:vector>
  </TitlesOfParts>
  <Company>World Intellectual Property Organization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(Arabic)</dc:title>
  <dc:creator>AHMIDOUCH Noureddine</dc:creator>
  <cp:lastModifiedBy>AHMIDOUCH Noureddine</cp:lastModifiedBy>
  <cp:revision>91</cp:revision>
  <cp:lastPrinted>2016-10-11T16:32:00Z</cp:lastPrinted>
  <dcterms:created xsi:type="dcterms:W3CDTF">2016-10-10T07:58:00Z</dcterms:created>
  <dcterms:modified xsi:type="dcterms:W3CDTF">2016-10-11T16:35:00Z</dcterms:modified>
</cp:coreProperties>
</file>