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2B8A4C58" wp14:editId="739F894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6F6195" w:rsidP="006F6195">
            <w:pPr>
              <w:pStyle w:val="DocumentCodeAR"/>
              <w:bidi/>
              <w:rPr>
                <w:rtl/>
              </w:rPr>
            </w:pPr>
            <w:r>
              <w:t>A</w:t>
            </w:r>
            <w:r w:rsidR="00A9449A">
              <w:t>/</w:t>
            </w:r>
            <w:r w:rsidR="001A4046">
              <w:t>55</w:t>
            </w:r>
            <w:r w:rsidR="00B6101C" w:rsidRPr="00B6101C">
              <w:t>/</w:t>
            </w:r>
            <w:r w:rsidR="00746C53">
              <w:t>1</w:t>
            </w:r>
            <w:r w:rsidR="001A4046">
              <w:t>1</w:t>
            </w:r>
          </w:p>
        </w:tc>
      </w:tr>
      <w:tr w:rsidR="001667B6" w:rsidTr="00BF164F">
        <w:tc>
          <w:tcPr>
            <w:tcW w:w="9571" w:type="dxa"/>
            <w:gridSpan w:val="3"/>
          </w:tcPr>
          <w:p w:rsidR="001667B6" w:rsidRPr="00B6101C" w:rsidRDefault="00B6101C" w:rsidP="00746C53">
            <w:pPr>
              <w:pStyle w:val="DocumentLanguageAR"/>
              <w:bidi/>
              <w:rPr>
                <w:rtl/>
              </w:rPr>
            </w:pPr>
            <w:r w:rsidRPr="00B6101C">
              <w:rPr>
                <w:rFonts w:hint="cs"/>
                <w:rtl/>
              </w:rPr>
              <w:t xml:space="preserve">الأصل: </w:t>
            </w:r>
            <w:proofErr w:type="gramStart"/>
            <w:r w:rsidR="00746C53">
              <w:rPr>
                <w:rFonts w:hint="cs"/>
                <w:rtl/>
              </w:rPr>
              <w:t>بالإنكليزية</w:t>
            </w:r>
            <w:proofErr w:type="gramEnd"/>
          </w:p>
        </w:tc>
      </w:tr>
      <w:tr w:rsidR="001667B6" w:rsidTr="00BF164F">
        <w:tc>
          <w:tcPr>
            <w:tcW w:w="9571" w:type="dxa"/>
            <w:gridSpan w:val="3"/>
          </w:tcPr>
          <w:p w:rsidR="001667B6" w:rsidRPr="00B6101C" w:rsidRDefault="00B6101C" w:rsidP="001A4046">
            <w:pPr>
              <w:pStyle w:val="DocumentDateAR"/>
              <w:bidi/>
              <w:rPr>
                <w:rtl/>
              </w:rPr>
            </w:pPr>
            <w:r w:rsidRPr="00B6101C">
              <w:rPr>
                <w:rFonts w:hint="cs"/>
                <w:rtl/>
              </w:rPr>
              <w:t>التاريخ:</w:t>
            </w:r>
            <w:r w:rsidR="001A4046">
              <w:rPr>
                <w:rFonts w:hint="cs"/>
                <w:rtl/>
              </w:rPr>
              <w:t xml:space="preserve"> </w:t>
            </w:r>
            <w:r w:rsidR="001A4046">
              <w:t xml:space="preserve"> 2</w:t>
            </w:r>
            <w:r w:rsidR="001A4046">
              <w:rPr>
                <w:rFonts w:hint="cs"/>
                <w:rtl/>
              </w:rPr>
              <w:t>اكتوبر</w:t>
            </w:r>
            <w:r w:rsidRPr="00B6101C">
              <w:rPr>
                <w:rFonts w:hint="cs"/>
                <w:rtl/>
              </w:rPr>
              <w:t xml:space="preserve"> </w:t>
            </w:r>
            <w:r w:rsidR="00190B6D">
              <w:rPr>
                <w:rFonts w:hint="cs"/>
                <w:rtl/>
              </w:rPr>
              <w:t>201</w:t>
            </w:r>
            <w:r w:rsidR="00151493">
              <w:rPr>
                <w:rFonts w:hint="cs"/>
                <w:rtl/>
              </w:rPr>
              <w:t>5</w:t>
            </w:r>
          </w:p>
        </w:tc>
      </w:tr>
    </w:tbl>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1A4046" w:rsidP="00A9449A">
      <w:pPr>
        <w:bidi/>
        <w:spacing w:line="360" w:lineRule="exact"/>
        <w:ind w:right="550"/>
        <w:rPr>
          <w:rFonts w:ascii="Arial Black" w:hAnsi="Arial Black" w:cs="PT Bold Heading"/>
          <w:sz w:val="34"/>
          <w:szCs w:val="34"/>
          <w:rtl/>
          <w:lang w:val="fr-CH"/>
        </w:rPr>
      </w:pPr>
      <w:r w:rsidRPr="001A4046">
        <w:rPr>
          <w:rFonts w:ascii="Arial Black" w:hAnsi="Arial Black" w:cs="PT Bold Heading"/>
          <w:sz w:val="34"/>
          <w:szCs w:val="34"/>
          <w:rtl/>
          <w:lang w:val="fr-CH"/>
        </w:rPr>
        <w:t>جمعيات الدول الأعضاء في الويبو،</w:t>
      </w:r>
    </w:p>
    <w:p w:rsidR="00A9449A" w:rsidRPr="001A28BF" w:rsidRDefault="00A9449A" w:rsidP="00A9449A">
      <w:pPr>
        <w:bidi/>
        <w:spacing w:line="360" w:lineRule="exact"/>
        <w:rPr>
          <w:rFonts w:ascii="Arabic Typesetting" w:hAnsi="Arabic Typesetting" w:cs="Arabic Typesetting"/>
          <w:sz w:val="36"/>
          <w:szCs w:val="36"/>
          <w:rtl/>
        </w:rPr>
      </w:pPr>
    </w:p>
    <w:p w:rsidR="001A4046" w:rsidRDefault="001A4046" w:rsidP="00A9449A">
      <w:pPr>
        <w:bidi/>
        <w:spacing w:line="360" w:lineRule="exact"/>
        <w:rPr>
          <w:rFonts w:ascii="Cambria Math" w:hAnsi="Cambria Math" w:cs="PT Bold Heading"/>
          <w:sz w:val="30"/>
          <w:szCs w:val="30"/>
        </w:rPr>
      </w:pPr>
      <w:r w:rsidRPr="001A4046">
        <w:rPr>
          <w:rFonts w:ascii="Cambria Math" w:hAnsi="Cambria Math" w:cs="PT Bold Heading"/>
          <w:sz w:val="30"/>
          <w:szCs w:val="30"/>
          <w:rtl/>
        </w:rPr>
        <w:t xml:space="preserve">سلسلة الاجتماعات الخامسة </w:t>
      </w:r>
      <w:proofErr w:type="gramStart"/>
      <w:r w:rsidRPr="001A4046">
        <w:rPr>
          <w:rFonts w:ascii="Cambria Math" w:hAnsi="Cambria Math" w:cs="PT Bold Heading"/>
          <w:sz w:val="30"/>
          <w:szCs w:val="30"/>
          <w:rtl/>
        </w:rPr>
        <w:t>والخمسون</w:t>
      </w:r>
      <w:proofErr w:type="gramEnd"/>
    </w:p>
    <w:p w:rsidR="00A9449A" w:rsidRPr="001A28BF" w:rsidRDefault="00A9449A" w:rsidP="001A4046">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sidR="001A4046">
        <w:rPr>
          <w:rFonts w:ascii="Arabic Typesetting" w:hAnsi="Arabic Typesetting" w:cs="Arabic Typesetting"/>
          <w:b/>
          <w:bCs/>
          <w:sz w:val="36"/>
          <w:szCs w:val="36"/>
        </w:rPr>
        <w:t>5</w:t>
      </w:r>
      <w:r w:rsidRPr="001A28BF">
        <w:rPr>
          <w:rFonts w:ascii="Arabic Typesetting" w:hAnsi="Arabic Typesetting" w:cs="Arabic Typesetting" w:hint="cs"/>
          <w:b/>
          <w:bCs/>
          <w:sz w:val="36"/>
          <w:szCs w:val="36"/>
          <w:rtl/>
        </w:rPr>
        <w:t xml:space="preserve"> إلى </w:t>
      </w:r>
      <w:r w:rsidR="001A4046">
        <w:rPr>
          <w:rFonts w:ascii="Arabic Typesetting" w:hAnsi="Arabic Typesetting" w:cs="Arabic Typesetting"/>
          <w:b/>
          <w:bCs/>
          <w:sz w:val="36"/>
          <w:szCs w:val="36"/>
        </w:rPr>
        <w:t>14</w:t>
      </w:r>
      <w:r w:rsidRPr="001A28BF">
        <w:rPr>
          <w:rFonts w:ascii="Arabic Typesetting" w:hAnsi="Arabic Typesetting" w:cs="Arabic Typesetting" w:hint="cs"/>
          <w:b/>
          <w:bCs/>
          <w:sz w:val="36"/>
          <w:szCs w:val="36"/>
          <w:rtl/>
        </w:rPr>
        <w:t xml:space="preserve"> </w:t>
      </w:r>
      <w:r w:rsidR="001A4046">
        <w:rPr>
          <w:rFonts w:ascii="Arabic Typesetting" w:hAnsi="Arabic Typesetting" w:cs="Arabic Typesetting" w:hint="cs"/>
          <w:b/>
          <w:bCs/>
          <w:sz w:val="36"/>
          <w:szCs w:val="36"/>
          <w:rtl/>
        </w:rPr>
        <w:t>اكتوبر</w:t>
      </w:r>
      <w:r>
        <w:rPr>
          <w:rFonts w:ascii="Arabic Typesetting" w:hAnsi="Arabic Typesetting" w:cs="Arabic Typesetting" w:hint="cs"/>
          <w:b/>
          <w:bCs/>
          <w:sz w:val="36"/>
          <w:szCs w:val="36"/>
          <w:rtl/>
        </w:rPr>
        <w:t xml:space="preserve"> 2015</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746C53" w:rsidP="00A9449A">
      <w:pPr>
        <w:bidi/>
        <w:spacing w:line="360" w:lineRule="exact"/>
        <w:rPr>
          <w:rFonts w:ascii="Arial Black" w:hAnsi="Arial Black" w:cs="PT Bold Heading"/>
          <w:sz w:val="26"/>
          <w:szCs w:val="26"/>
          <w:rtl/>
        </w:rPr>
      </w:pPr>
      <w:r>
        <w:rPr>
          <w:rFonts w:ascii="Arial Black" w:hAnsi="Arial Black" w:cs="PT Bold Heading" w:hint="cs"/>
          <w:sz w:val="26"/>
          <w:szCs w:val="26"/>
          <w:rtl/>
        </w:rPr>
        <w:t xml:space="preserve">تقرير مرحلي عن مشروع البناء الجديد </w:t>
      </w:r>
      <w:proofErr w:type="gramStart"/>
      <w:r>
        <w:rPr>
          <w:rFonts w:ascii="Arial Black" w:hAnsi="Arial Black" w:cs="PT Bold Heading" w:hint="cs"/>
          <w:sz w:val="26"/>
          <w:szCs w:val="26"/>
          <w:rtl/>
        </w:rPr>
        <w:t>ومشروع</w:t>
      </w:r>
      <w:proofErr w:type="gramEnd"/>
      <w:r>
        <w:rPr>
          <w:rFonts w:ascii="Arial Black" w:hAnsi="Arial Black" w:cs="PT Bold Heading" w:hint="cs"/>
          <w:sz w:val="26"/>
          <w:szCs w:val="26"/>
          <w:rtl/>
        </w:rPr>
        <w:t xml:space="preserve"> قاعة المؤتمرات الجديدة</w:t>
      </w:r>
    </w:p>
    <w:p w:rsidR="00A9449A" w:rsidRPr="001A28BF" w:rsidRDefault="00A9449A" w:rsidP="00A9449A">
      <w:pPr>
        <w:bidi/>
        <w:spacing w:before="240" w:after="840" w:line="360" w:lineRule="exact"/>
        <w:rPr>
          <w:rFonts w:ascii="Arabic Typesetting" w:hAnsi="Arabic Typesetting" w:cs="Arabic Typesetting"/>
          <w:i/>
          <w:iCs/>
          <w:sz w:val="36"/>
          <w:szCs w:val="36"/>
          <w:rtl/>
        </w:rPr>
      </w:pPr>
      <w:proofErr w:type="gramStart"/>
      <w:r w:rsidRPr="001A28BF">
        <w:rPr>
          <w:rFonts w:ascii="Arabic Typesetting" w:hAnsi="Arabic Typesetting" w:cs="Arabic Typesetting" w:hint="cs"/>
          <w:i/>
          <w:iCs/>
          <w:sz w:val="36"/>
          <w:szCs w:val="36"/>
          <w:rtl/>
        </w:rPr>
        <w:t>من</w:t>
      </w:r>
      <w:proofErr w:type="gramEnd"/>
      <w:r w:rsidRPr="001A28BF">
        <w:rPr>
          <w:rFonts w:ascii="Arabic Typesetting" w:hAnsi="Arabic Typesetting" w:cs="Arabic Typesetting" w:hint="cs"/>
          <w:i/>
          <w:iCs/>
          <w:sz w:val="36"/>
          <w:szCs w:val="36"/>
          <w:rtl/>
        </w:rPr>
        <w:t xml:space="preserve"> إعداد</w:t>
      </w:r>
      <w:r w:rsidR="00746C53">
        <w:rPr>
          <w:rFonts w:ascii="Arabic Typesetting" w:hAnsi="Arabic Typesetting" w:cs="Arabic Typesetting" w:hint="cs"/>
          <w:i/>
          <w:iCs/>
          <w:sz w:val="36"/>
          <w:szCs w:val="36"/>
          <w:rtl/>
        </w:rPr>
        <w:t xml:space="preserve"> الأمانة</w:t>
      </w:r>
    </w:p>
    <w:p w:rsidR="00A9449A" w:rsidRPr="00746C53" w:rsidRDefault="00746C53" w:rsidP="008A7F3E">
      <w:pPr>
        <w:pStyle w:val="NormalParaAR"/>
        <w:keepNext/>
        <w:rPr>
          <w:b/>
          <w:bCs/>
          <w:sz w:val="40"/>
          <w:szCs w:val="40"/>
          <w:rtl/>
        </w:rPr>
      </w:pPr>
      <w:r w:rsidRPr="00746C53">
        <w:rPr>
          <w:rFonts w:hint="cs"/>
          <w:b/>
          <w:bCs/>
          <w:sz w:val="40"/>
          <w:szCs w:val="40"/>
          <w:rtl/>
        </w:rPr>
        <w:t>مقدمة</w:t>
      </w:r>
    </w:p>
    <w:p w:rsidR="00CB79E4" w:rsidRDefault="008A7F3E" w:rsidP="001A4046">
      <w:pPr>
        <w:pStyle w:val="NumberedParaAR"/>
      </w:pPr>
      <w:r>
        <w:rPr>
          <w:rFonts w:hint="cs"/>
          <w:rtl/>
        </w:rPr>
        <w:t xml:space="preserve">الغرض من هذه الوثيقة هو تزويد </w:t>
      </w:r>
      <w:r w:rsidR="001A4046" w:rsidRPr="001A4046">
        <w:rPr>
          <w:rtl/>
        </w:rPr>
        <w:t>جمعيات الدول الأعضاء في الويبو</w:t>
      </w:r>
      <w:r w:rsidR="001A4046" w:rsidRPr="001A4046">
        <w:rPr>
          <w:rFonts w:hint="cs"/>
          <w:rtl/>
        </w:rPr>
        <w:t xml:space="preserve"> </w:t>
      </w:r>
      <w:r>
        <w:rPr>
          <w:rFonts w:hint="cs"/>
          <w:rtl/>
        </w:rPr>
        <w:t>("ال</w:t>
      </w:r>
      <w:r w:rsidR="001A4046" w:rsidRPr="001A4046">
        <w:rPr>
          <w:rtl/>
        </w:rPr>
        <w:t>جمعيات</w:t>
      </w:r>
      <w:r>
        <w:rPr>
          <w:rFonts w:hint="cs"/>
          <w:rtl/>
        </w:rPr>
        <w:t>") بتقرير مرحلي محدث عن مشروع البناء الجديد ومشروع قاعة المؤتمرات الجديدة يغطي الفترة من سبتمبر</w:t>
      </w:r>
      <w:r>
        <w:rPr>
          <w:rFonts w:hint="eastAsia"/>
          <w:rtl/>
        </w:rPr>
        <w:t> </w:t>
      </w:r>
      <w:r>
        <w:rPr>
          <w:rFonts w:hint="cs"/>
          <w:rtl/>
        </w:rPr>
        <w:t xml:space="preserve">2014، وهو التاريخ الذي قُدم فيه </w:t>
      </w:r>
      <w:r w:rsidR="00371E7C">
        <w:rPr>
          <w:rFonts w:hint="cs"/>
          <w:rtl/>
        </w:rPr>
        <w:t xml:space="preserve">إلى </w:t>
      </w:r>
      <w:r w:rsidR="001A4046">
        <w:rPr>
          <w:rFonts w:hint="cs"/>
          <w:rtl/>
        </w:rPr>
        <w:t>ال</w:t>
      </w:r>
      <w:r w:rsidR="001A4046" w:rsidRPr="001A4046">
        <w:rPr>
          <w:rtl/>
        </w:rPr>
        <w:t>جمعيات</w:t>
      </w:r>
      <w:r w:rsidR="00371E7C">
        <w:rPr>
          <w:rFonts w:hint="cs"/>
          <w:rtl/>
        </w:rPr>
        <w:t xml:space="preserve"> </w:t>
      </w:r>
      <w:r>
        <w:rPr>
          <w:rFonts w:hint="cs"/>
          <w:rtl/>
        </w:rPr>
        <w:t>آخر تقرير مرحلي عن المشروعين (الوثيقة</w:t>
      </w:r>
      <w:r>
        <w:rPr>
          <w:rFonts w:hint="eastAsia"/>
          <w:rtl/>
        </w:rPr>
        <w:t> </w:t>
      </w:r>
      <w:r w:rsidR="001A4046">
        <w:t>A/54/11</w:t>
      </w:r>
      <w:r>
        <w:rPr>
          <w:rFonts w:hint="cs"/>
          <w:rtl/>
        </w:rPr>
        <w:t xml:space="preserve">)، </w:t>
      </w:r>
      <w:r w:rsidR="00EF1A15">
        <w:rPr>
          <w:rFonts w:hint="cs"/>
          <w:rtl/>
        </w:rPr>
        <w:t>حتى</w:t>
      </w:r>
      <w:r>
        <w:rPr>
          <w:rFonts w:hint="cs"/>
          <w:rtl/>
        </w:rPr>
        <w:t xml:space="preserve"> الآن.</w:t>
      </w:r>
    </w:p>
    <w:p w:rsidR="002A5F39" w:rsidRDefault="00D67931" w:rsidP="00D67931">
      <w:pPr>
        <w:pStyle w:val="NumberedParaAR"/>
      </w:pPr>
      <w:proofErr w:type="gramStart"/>
      <w:r>
        <w:rPr>
          <w:rFonts w:hint="cs"/>
          <w:rtl/>
        </w:rPr>
        <w:t>وقد</w:t>
      </w:r>
      <w:proofErr w:type="gramEnd"/>
      <w:r>
        <w:rPr>
          <w:rFonts w:hint="cs"/>
          <w:rtl/>
        </w:rPr>
        <w:t xml:space="preserve"> قدّمنا تقريرا مرحليا عن المشروعين (الوثيقة </w:t>
      </w:r>
      <w:r w:rsidRPr="00D67931">
        <w:t>WO/PBC/24/13</w:t>
      </w:r>
      <w:r>
        <w:rPr>
          <w:rFonts w:hint="cs"/>
          <w:rtl/>
          <w:lang w:bidi="ar-EG"/>
        </w:rPr>
        <w:t>) إلى لجنة البرنامج والميزانية في دورتها الرابعة والعشرين (من 14 إلى 18 سبتمبر 2015). وفي تلك الدورة، اتخذت اللجنة القرار التالي: "</w:t>
      </w:r>
      <w:r w:rsidRPr="00A23571">
        <w:rPr>
          <w:i/>
          <w:iCs/>
          <w:rtl/>
        </w:rPr>
        <w:t>أحالت لجنة البرنامج والميزانية مناقشة التقرير المرحلي النهائي عن مشروع البناء الجديد ومشروع قاعة المؤتمرات الجديدة إلى جمعيات الدول الأعضاء في الويبو.</w:t>
      </w:r>
      <w:r>
        <w:rPr>
          <w:rFonts w:hint="cs"/>
          <w:i/>
          <w:iCs/>
          <w:rtl/>
        </w:rPr>
        <w:t xml:space="preserve">" </w:t>
      </w:r>
      <w:r>
        <w:rPr>
          <w:rFonts w:hint="cs"/>
          <w:rtl/>
          <w:lang w:bidi="ar-EG"/>
        </w:rPr>
        <w:t>(</w:t>
      </w:r>
      <w:proofErr w:type="gramStart"/>
      <w:r>
        <w:rPr>
          <w:rFonts w:hint="cs"/>
          <w:rtl/>
          <w:lang w:bidi="ar-EG"/>
        </w:rPr>
        <w:t>الوثيقة</w:t>
      </w:r>
      <w:proofErr w:type="gramEnd"/>
      <w:r>
        <w:rPr>
          <w:rFonts w:hint="cs"/>
          <w:rtl/>
          <w:lang w:bidi="ar-EG"/>
        </w:rPr>
        <w:t> </w:t>
      </w:r>
      <w:r w:rsidRPr="00D67931">
        <w:rPr>
          <w:lang w:bidi="ar-EG"/>
        </w:rPr>
        <w:t>A/55/4</w:t>
      </w:r>
      <w:r>
        <w:rPr>
          <w:rFonts w:hint="cs"/>
          <w:rtl/>
          <w:lang w:bidi="ar-EG"/>
        </w:rPr>
        <w:t xml:space="preserve"> التي تحتوي على الوثيقة</w:t>
      </w:r>
      <w:r>
        <w:rPr>
          <w:rFonts w:hint="eastAsia"/>
          <w:rtl/>
          <w:lang w:bidi="ar-EG"/>
        </w:rPr>
        <w:t> </w:t>
      </w:r>
      <w:r w:rsidRPr="00D67931">
        <w:rPr>
          <w:lang w:bidi="ar-EG"/>
        </w:rPr>
        <w:t>WO/PBC/24/17</w:t>
      </w:r>
      <w:r>
        <w:rPr>
          <w:rFonts w:hint="cs"/>
          <w:rtl/>
          <w:lang w:bidi="ar-EG"/>
        </w:rPr>
        <w:t>. انظر البند 13</w:t>
      </w:r>
      <w:r w:rsidR="00565A07">
        <w:rPr>
          <w:rFonts w:hint="cs"/>
          <w:rtl/>
          <w:lang w:bidi="ar-EG"/>
        </w:rPr>
        <w:t xml:space="preserve"> </w:t>
      </w:r>
      <w:proofErr w:type="gramStart"/>
      <w:r w:rsidR="00565A07">
        <w:rPr>
          <w:rFonts w:hint="cs"/>
          <w:rtl/>
          <w:lang w:bidi="ar-EG"/>
        </w:rPr>
        <w:t>من</w:t>
      </w:r>
      <w:proofErr w:type="gramEnd"/>
      <w:r w:rsidR="00565A07">
        <w:rPr>
          <w:rFonts w:hint="cs"/>
          <w:rtl/>
          <w:lang w:bidi="ar-EG"/>
        </w:rPr>
        <w:t xml:space="preserve"> جدول الأعمال</w:t>
      </w:r>
      <w:r>
        <w:rPr>
          <w:rFonts w:hint="cs"/>
          <w:rtl/>
          <w:lang w:bidi="ar-EG"/>
        </w:rPr>
        <w:t>).</w:t>
      </w:r>
    </w:p>
    <w:p w:rsidR="002A5F39" w:rsidRDefault="002A5F39" w:rsidP="008A7F3E">
      <w:pPr>
        <w:pStyle w:val="NormalParaAR"/>
        <w:keepNext/>
        <w:rPr>
          <w:b/>
          <w:bCs/>
          <w:sz w:val="40"/>
          <w:szCs w:val="40"/>
        </w:rPr>
      </w:pPr>
      <w:r w:rsidRPr="002A5F39">
        <w:rPr>
          <w:b/>
          <w:bCs/>
          <w:sz w:val="40"/>
          <w:szCs w:val="40"/>
          <w:rtl/>
        </w:rPr>
        <w:t>قاعة مؤتمرات الويبو الجديدة</w:t>
      </w:r>
      <w:r w:rsidRPr="002A5F39">
        <w:rPr>
          <w:rFonts w:hint="cs"/>
          <w:b/>
          <w:bCs/>
          <w:sz w:val="40"/>
          <w:szCs w:val="40"/>
          <w:rtl/>
        </w:rPr>
        <w:t xml:space="preserve"> </w:t>
      </w:r>
    </w:p>
    <w:p w:rsidR="002A5F39" w:rsidRDefault="00732804" w:rsidP="00565A07">
      <w:pPr>
        <w:pStyle w:val="NumberedParaAR"/>
      </w:pPr>
      <w:r>
        <w:rPr>
          <w:rFonts w:hint="cs"/>
          <w:rtl/>
        </w:rPr>
        <w:t>ويجدر التذكير بأن قاعة المؤتمرات الجديدة بحد ذاتها قد جهزت في موعدها للدورة الثانية والعشرين التي انعقدت من</w:t>
      </w:r>
      <w:r>
        <w:rPr>
          <w:rFonts w:hint="eastAsia"/>
          <w:rtl/>
        </w:rPr>
        <w:t> </w:t>
      </w:r>
      <w:r>
        <w:rPr>
          <w:rFonts w:hint="cs"/>
          <w:rtl/>
        </w:rPr>
        <w:t>1</w:t>
      </w:r>
      <w:r>
        <w:rPr>
          <w:rFonts w:hint="eastAsia"/>
          <w:rtl/>
        </w:rPr>
        <w:t> </w:t>
      </w:r>
      <w:r>
        <w:rPr>
          <w:rFonts w:hint="cs"/>
          <w:rtl/>
        </w:rPr>
        <w:t xml:space="preserve">إلى 5 سبتمبر 2014، وبأن القاعة مع جميع المرافق المتاخمة في المباني الجديدة فضلا عن الطوابق المجددة في المبنى الرئيسي قد جهزت في موعدها لاستضافة الدورة الرابعة والخمسين للجمعيات التي انعقدت من 22 إلى 30 سبتمبر 2014، وشملت حفل الافتتاح يوم 22 سبتمبر 2014. وقد استخدمنا القاعة في عدد من المناسبات خلال العام الفائت لإقامة عدد من اجتماعات الويبو </w:t>
      </w:r>
      <w:r w:rsidR="00565A07">
        <w:rPr>
          <w:rFonts w:hint="cs"/>
          <w:rtl/>
        </w:rPr>
        <w:t>ومراسمها فضلا عن مراسم منظمات وهيئات دولية أخرى، في أشكال متنوعة (مثلا تجهيز لاجتماع عادي أو ندوة نقاش متبادل مع الحضور أو احتفالات ثقافية).</w:t>
      </w:r>
    </w:p>
    <w:p w:rsidR="008A7F3E" w:rsidRPr="008A7F3E" w:rsidRDefault="008A7F3E" w:rsidP="008A7F3E">
      <w:pPr>
        <w:pStyle w:val="NormalParaAR"/>
        <w:keepNext/>
        <w:rPr>
          <w:b/>
          <w:bCs/>
          <w:sz w:val="40"/>
          <w:szCs w:val="40"/>
          <w:rtl/>
        </w:rPr>
      </w:pPr>
      <w:r w:rsidRPr="008A7F3E">
        <w:rPr>
          <w:rFonts w:hint="cs"/>
          <w:b/>
          <w:bCs/>
          <w:sz w:val="40"/>
          <w:szCs w:val="40"/>
          <w:rtl/>
        </w:rPr>
        <w:lastRenderedPageBreak/>
        <w:t>تقرير مرحلي عملي عن المشروعين</w:t>
      </w:r>
    </w:p>
    <w:p w:rsidR="008A7F3E" w:rsidRDefault="008A7F3E" w:rsidP="008A7F3E">
      <w:pPr>
        <w:pStyle w:val="NumberedParaAR"/>
      </w:pPr>
      <w:proofErr w:type="gramStart"/>
      <w:r>
        <w:rPr>
          <w:rFonts w:hint="cs"/>
          <w:rtl/>
        </w:rPr>
        <w:t>فيما</w:t>
      </w:r>
      <w:proofErr w:type="gramEnd"/>
      <w:r>
        <w:rPr>
          <w:rFonts w:hint="cs"/>
          <w:rtl/>
        </w:rPr>
        <w:t xml:space="preserve"> يخص </w:t>
      </w:r>
      <w:r w:rsidRPr="004A7668">
        <w:rPr>
          <w:rFonts w:hint="cs"/>
          <w:u w:val="single"/>
          <w:rtl/>
        </w:rPr>
        <w:t>مشروع البناء الجديد</w:t>
      </w:r>
      <w:r>
        <w:rPr>
          <w:rFonts w:hint="cs"/>
          <w:rtl/>
        </w:rPr>
        <w:t>، وفي تاريخ إعداد هذه الوثيقة، يوصف وضع العناصر الموجودة داخل المبنى الجديد وحوله والتي لم تكن مُنجزة قبل سبتمبر 2014 كما يلي:</w:t>
      </w:r>
    </w:p>
    <w:p w:rsidR="008A7F3E" w:rsidRDefault="008A7F3E" w:rsidP="00565A07">
      <w:pPr>
        <w:pStyle w:val="NumberedParaAR"/>
        <w:numPr>
          <w:ilvl w:val="0"/>
          <w:numId w:val="0"/>
        </w:numPr>
        <w:ind w:left="1133" w:hanging="567"/>
        <w:rPr>
          <w:rtl/>
        </w:rPr>
      </w:pPr>
      <w:r>
        <w:rPr>
          <w:rFonts w:hint="cs"/>
          <w:rtl/>
        </w:rPr>
        <w:t>(أ)</w:t>
      </w:r>
      <w:r>
        <w:rPr>
          <w:rtl/>
        </w:rPr>
        <w:tab/>
      </w:r>
      <w:proofErr w:type="gramStart"/>
      <w:r w:rsidRPr="00DD07CE">
        <w:rPr>
          <w:rFonts w:hint="cs"/>
          <w:i/>
          <w:iCs/>
          <w:rtl/>
        </w:rPr>
        <w:t>العناصر</w:t>
      </w:r>
      <w:proofErr w:type="gramEnd"/>
      <w:r w:rsidRPr="00DD07CE">
        <w:rPr>
          <w:rFonts w:hint="cs"/>
          <w:i/>
          <w:iCs/>
          <w:rtl/>
        </w:rPr>
        <w:t xml:space="preserve"> المُنجزة بعد دورة اللجنة لعام 2014 وقبل نهاية عام 2014:</w:t>
      </w:r>
      <w:r>
        <w:rPr>
          <w:rFonts w:hint="cs"/>
          <w:rtl/>
        </w:rPr>
        <w:t xml:space="preserve"> </w:t>
      </w:r>
      <w:r w:rsidR="006304F3">
        <w:rPr>
          <w:rFonts w:hint="cs"/>
          <w:rtl/>
        </w:rPr>
        <w:t>ال</w:t>
      </w:r>
      <w:r w:rsidR="0080696B">
        <w:rPr>
          <w:rFonts w:hint="cs"/>
          <w:rtl/>
        </w:rPr>
        <w:t xml:space="preserve">تصميم </w:t>
      </w:r>
      <w:r w:rsidR="006304F3">
        <w:rPr>
          <w:rFonts w:hint="cs"/>
          <w:rtl/>
        </w:rPr>
        <w:t>ال</w:t>
      </w:r>
      <w:r w:rsidR="0080696B">
        <w:rPr>
          <w:rFonts w:hint="cs"/>
          <w:rtl/>
        </w:rPr>
        <w:t>خارجي قبالة المبنى الجديد، و</w:t>
      </w:r>
      <w:r w:rsidR="004A7668">
        <w:rPr>
          <w:rFonts w:hint="cs"/>
          <w:rtl/>
        </w:rPr>
        <w:t xml:space="preserve">أعمال </w:t>
      </w:r>
      <w:r w:rsidR="0080696B">
        <w:rPr>
          <w:rFonts w:hint="cs"/>
          <w:rtl/>
        </w:rPr>
        <w:t xml:space="preserve">استبدال وإصلاح النوافذ </w:t>
      </w:r>
      <w:r w:rsidR="004A7668">
        <w:rPr>
          <w:rFonts w:hint="cs"/>
          <w:rtl/>
        </w:rPr>
        <w:t>الموجودة في سلالم</w:t>
      </w:r>
      <w:r w:rsidR="0080696B">
        <w:rPr>
          <w:rFonts w:hint="cs"/>
          <w:rtl/>
        </w:rPr>
        <w:t xml:space="preserve"> </w:t>
      </w:r>
      <w:r w:rsidR="004A7668">
        <w:rPr>
          <w:rFonts w:hint="cs"/>
          <w:rtl/>
        </w:rPr>
        <w:t>المبنى الجديد؛</w:t>
      </w:r>
    </w:p>
    <w:p w:rsidR="004A7668" w:rsidRDefault="004A7668" w:rsidP="00565A07">
      <w:pPr>
        <w:pStyle w:val="NumberedParaAR"/>
        <w:numPr>
          <w:ilvl w:val="0"/>
          <w:numId w:val="0"/>
        </w:numPr>
        <w:ind w:left="1133" w:hanging="567"/>
        <w:rPr>
          <w:rtl/>
        </w:rPr>
      </w:pPr>
      <w:r>
        <w:rPr>
          <w:rFonts w:hint="cs"/>
          <w:i/>
          <w:iCs/>
          <w:rtl/>
        </w:rPr>
        <w:t>(ب)</w:t>
      </w:r>
      <w:r>
        <w:rPr>
          <w:i/>
          <w:iCs/>
          <w:rtl/>
        </w:rPr>
        <w:tab/>
      </w:r>
      <w:r w:rsidR="006304F3">
        <w:rPr>
          <w:rFonts w:hint="cs"/>
          <w:i/>
          <w:iCs/>
          <w:rtl/>
        </w:rPr>
        <w:t>و</w:t>
      </w:r>
      <w:r>
        <w:rPr>
          <w:rFonts w:hint="cs"/>
          <w:i/>
          <w:iCs/>
          <w:rtl/>
        </w:rPr>
        <w:t xml:space="preserve">العناصر المُنجزة في النصف الأول </w:t>
      </w:r>
      <w:proofErr w:type="gramStart"/>
      <w:r>
        <w:rPr>
          <w:rFonts w:hint="cs"/>
          <w:i/>
          <w:iCs/>
          <w:rtl/>
        </w:rPr>
        <w:t>من</w:t>
      </w:r>
      <w:proofErr w:type="gramEnd"/>
      <w:r>
        <w:rPr>
          <w:rFonts w:hint="cs"/>
          <w:i/>
          <w:iCs/>
          <w:rtl/>
        </w:rPr>
        <w:t xml:space="preserve"> عام 2015:</w:t>
      </w:r>
      <w:r>
        <w:rPr>
          <w:rFonts w:hint="cs"/>
          <w:rtl/>
        </w:rPr>
        <w:t xml:space="preserve"> مجموعة متنوعة من العناصر العالقة الصغيرة؛</w:t>
      </w:r>
    </w:p>
    <w:p w:rsidR="004A7668" w:rsidRDefault="004A7668" w:rsidP="00565A07">
      <w:pPr>
        <w:pStyle w:val="NumberedParaAR"/>
        <w:numPr>
          <w:ilvl w:val="0"/>
          <w:numId w:val="0"/>
        </w:numPr>
        <w:ind w:left="1133" w:hanging="567"/>
        <w:rPr>
          <w:rtl/>
        </w:rPr>
      </w:pPr>
      <w:r>
        <w:rPr>
          <w:rFonts w:hint="cs"/>
          <w:i/>
          <w:iCs/>
          <w:rtl/>
        </w:rPr>
        <w:t>(ج)</w:t>
      </w:r>
      <w:r>
        <w:rPr>
          <w:i/>
          <w:iCs/>
          <w:rtl/>
        </w:rPr>
        <w:tab/>
      </w:r>
      <w:r w:rsidR="006304F3">
        <w:rPr>
          <w:rFonts w:hint="cs"/>
          <w:i/>
          <w:iCs/>
          <w:rtl/>
        </w:rPr>
        <w:t>و</w:t>
      </w:r>
      <w:r>
        <w:rPr>
          <w:rFonts w:hint="cs"/>
          <w:i/>
          <w:iCs/>
          <w:rtl/>
        </w:rPr>
        <w:t>العناصر المتوقّع إنجازها بحلول نهاية عام 2015:</w:t>
      </w:r>
      <w:r>
        <w:rPr>
          <w:rFonts w:hint="cs"/>
          <w:rtl/>
        </w:rPr>
        <w:t xml:space="preserve"> أعمال استبدال وإصلاح النوافذ الموجودة في الطابق الأرضي (التي بدأت في يونيو 2015 وستتوقف خلال جمعيات </w:t>
      </w:r>
      <w:proofErr w:type="gramStart"/>
      <w:r>
        <w:rPr>
          <w:rFonts w:hint="cs"/>
          <w:rtl/>
        </w:rPr>
        <w:t>عام</w:t>
      </w:r>
      <w:proofErr w:type="gramEnd"/>
      <w:r>
        <w:rPr>
          <w:rFonts w:hint="cs"/>
          <w:rtl/>
        </w:rPr>
        <w:t xml:space="preserve"> 2015).</w:t>
      </w:r>
    </w:p>
    <w:p w:rsidR="006304F3" w:rsidRDefault="004A7668" w:rsidP="006304F3">
      <w:pPr>
        <w:pStyle w:val="NumberedParaAR"/>
      </w:pPr>
      <w:proofErr w:type="gramStart"/>
      <w:r>
        <w:rPr>
          <w:rFonts w:hint="cs"/>
          <w:rtl/>
        </w:rPr>
        <w:t>وفيما</w:t>
      </w:r>
      <w:proofErr w:type="gramEnd"/>
      <w:r>
        <w:rPr>
          <w:rFonts w:hint="cs"/>
          <w:rtl/>
        </w:rPr>
        <w:t xml:space="preserve"> يخص </w:t>
      </w:r>
      <w:r w:rsidRPr="00EF1A15">
        <w:rPr>
          <w:rFonts w:hint="cs"/>
          <w:u w:val="single"/>
          <w:rtl/>
        </w:rPr>
        <w:t>مشروع قاعة المؤتمرات الجديدة</w:t>
      </w:r>
      <w:r>
        <w:rPr>
          <w:rFonts w:hint="cs"/>
          <w:rtl/>
        </w:rPr>
        <w:t xml:space="preserve">، وفي تاريخ إعداد هذه الوثيقة، </w:t>
      </w:r>
      <w:r w:rsidR="006304F3">
        <w:rPr>
          <w:rFonts w:hint="cs"/>
          <w:rtl/>
        </w:rPr>
        <w:t>يوصف وضع العناصر التي لم تكن مُنجزة قبل سبتمبر 2014 كما يلي:</w:t>
      </w:r>
    </w:p>
    <w:p w:rsidR="004A7668" w:rsidRDefault="006304F3" w:rsidP="00565A07">
      <w:pPr>
        <w:pStyle w:val="NumberedParaAR"/>
        <w:numPr>
          <w:ilvl w:val="0"/>
          <w:numId w:val="0"/>
        </w:numPr>
        <w:ind w:left="1133" w:hanging="567"/>
        <w:rPr>
          <w:rtl/>
        </w:rPr>
      </w:pPr>
      <w:r>
        <w:rPr>
          <w:rFonts w:hint="cs"/>
          <w:rtl/>
        </w:rPr>
        <w:t>(أ)</w:t>
      </w:r>
      <w:r>
        <w:rPr>
          <w:rtl/>
        </w:rPr>
        <w:tab/>
      </w:r>
      <w:r w:rsidRPr="00DD07CE">
        <w:rPr>
          <w:rFonts w:hint="cs"/>
          <w:i/>
          <w:iCs/>
          <w:rtl/>
        </w:rPr>
        <w:t>العناصر المُنجزة بعد دورة اللجنة لعام 2014 وقبل نهاية عام 2014:</w:t>
      </w:r>
      <w:r>
        <w:rPr>
          <w:rFonts w:hint="cs"/>
          <w:rtl/>
        </w:rPr>
        <w:t xml:space="preserve"> الواجهة الخارجية لمدخل الويبو المركزي الجديد ومجموعة مختلفة من العناصر العالقة في </w:t>
      </w:r>
      <w:r w:rsidR="00EF1A15">
        <w:rPr>
          <w:rFonts w:hint="cs"/>
          <w:rtl/>
        </w:rPr>
        <w:t>ال</w:t>
      </w:r>
      <w:r>
        <w:rPr>
          <w:rFonts w:hint="cs"/>
          <w:rtl/>
        </w:rPr>
        <w:t>قاعة الجديدة وحولها؛</w:t>
      </w:r>
    </w:p>
    <w:p w:rsidR="006304F3" w:rsidRDefault="006304F3" w:rsidP="00565A07">
      <w:pPr>
        <w:pStyle w:val="NumberedParaAR"/>
        <w:numPr>
          <w:ilvl w:val="0"/>
          <w:numId w:val="0"/>
        </w:numPr>
        <w:ind w:left="1133" w:hanging="567"/>
        <w:rPr>
          <w:rtl/>
        </w:rPr>
      </w:pPr>
      <w:r>
        <w:rPr>
          <w:rFonts w:hint="cs"/>
          <w:i/>
          <w:iCs/>
          <w:rtl/>
        </w:rPr>
        <w:t>(ب)</w:t>
      </w:r>
      <w:r>
        <w:rPr>
          <w:i/>
          <w:iCs/>
          <w:rtl/>
        </w:rPr>
        <w:tab/>
      </w:r>
      <w:proofErr w:type="gramStart"/>
      <w:r>
        <w:rPr>
          <w:rFonts w:hint="cs"/>
          <w:i/>
          <w:iCs/>
          <w:rtl/>
        </w:rPr>
        <w:t>والعناصر</w:t>
      </w:r>
      <w:proofErr w:type="gramEnd"/>
      <w:r>
        <w:rPr>
          <w:rFonts w:hint="cs"/>
          <w:i/>
          <w:iCs/>
          <w:rtl/>
        </w:rPr>
        <w:t xml:space="preserve"> المُنجزة في النصف الأول من عام 2015:</w:t>
      </w:r>
      <w:r>
        <w:rPr>
          <w:rFonts w:hint="cs"/>
          <w:rtl/>
        </w:rPr>
        <w:t xml:space="preserve"> بقية العناصر العالقة في </w:t>
      </w:r>
      <w:r w:rsidR="00EF1A15">
        <w:rPr>
          <w:rFonts w:hint="cs"/>
          <w:rtl/>
        </w:rPr>
        <w:t>ال</w:t>
      </w:r>
      <w:r>
        <w:rPr>
          <w:rFonts w:hint="cs"/>
          <w:rtl/>
        </w:rPr>
        <w:t xml:space="preserve">قاعة الجديدة وحولها، فضلا عن التصميم الخارجي وعمليات زرع النباتات في أسفل </w:t>
      </w:r>
      <w:r w:rsidR="00EF1A15">
        <w:rPr>
          <w:rFonts w:hint="cs"/>
          <w:rtl/>
        </w:rPr>
        <w:t>ال</w:t>
      </w:r>
      <w:r>
        <w:rPr>
          <w:rFonts w:hint="cs"/>
          <w:rtl/>
        </w:rPr>
        <w:t>قاعة الجديدة؛</w:t>
      </w:r>
    </w:p>
    <w:p w:rsidR="006304F3" w:rsidRPr="006304F3" w:rsidRDefault="006304F3" w:rsidP="006304F3">
      <w:pPr>
        <w:pStyle w:val="NormalParaAR"/>
        <w:keepNext/>
        <w:rPr>
          <w:b/>
          <w:bCs/>
          <w:sz w:val="40"/>
          <w:szCs w:val="40"/>
          <w:rtl/>
        </w:rPr>
      </w:pPr>
      <w:r w:rsidRPr="006304F3">
        <w:rPr>
          <w:rFonts w:hint="cs"/>
          <w:b/>
          <w:bCs/>
          <w:sz w:val="40"/>
          <w:szCs w:val="40"/>
          <w:rtl/>
        </w:rPr>
        <w:t xml:space="preserve">الرقابة </w:t>
      </w:r>
      <w:proofErr w:type="gramStart"/>
      <w:r w:rsidRPr="006304F3">
        <w:rPr>
          <w:rFonts w:hint="cs"/>
          <w:b/>
          <w:bCs/>
          <w:sz w:val="40"/>
          <w:szCs w:val="40"/>
          <w:rtl/>
        </w:rPr>
        <w:t>والتدقيق</w:t>
      </w:r>
      <w:proofErr w:type="gramEnd"/>
    </w:p>
    <w:p w:rsidR="006304F3" w:rsidRDefault="000741B2" w:rsidP="006304F3">
      <w:pPr>
        <w:pStyle w:val="NumberedParaAR"/>
      </w:pPr>
      <w:r>
        <w:rPr>
          <w:rFonts w:hint="cs"/>
          <w:rtl/>
        </w:rPr>
        <w:t xml:space="preserve">واصلت الأمانة تقديم تقارير مرحلية </w:t>
      </w:r>
      <w:proofErr w:type="gramStart"/>
      <w:r>
        <w:rPr>
          <w:rFonts w:hint="cs"/>
          <w:rtl/>
        </w:rPr>
        <w:t>عن</w:t>
      </w:r>
      <w:proofErr w:type="gramEnd"/>
      <w:r>
        <w:rPr>
          <w:rFonts w:hint="cs"/>
          <w:rtl/>
        </w:rPr>
        <w:t xml:space="preserve"> كلا المشروعين إلى اللجنة الاستشارية المستقلة للرقابة.</w:t>
      </w:r>
    </w:p>
    <w:p w:rsidR="000741B2" w:rsidRDefault="000741B2" w:rsidP="00945E08">
      <w:pPr>
        <w:pStyle w:val="NumberedParaAR"/>
      </w:pPr>
      <w:r>
        <w:rPr>
          <w:rFonts w:hint="cs"/>
          <w:rtl/>
        </w:rPr>
        <w:t>وقد نُفّذت كل التوصيات الست الواردة في تقرير التدقيق الصادر عن شعبة الرقابة الداخلية في يونيو</w:t>
      </w:r>
      <w:r w:rsidR="00967110">
        <w:rPr>
          <w:rFonts w:hint="eastAsia"/>
          <w:rtl/>
        </w:rPr>
        <w:t> </w:t>
      </w:r>
      <w:r>
        <w:rPr>
          <w:rFonts w:hint="cs"/>
          <w:rtl/>
        </w:rPr>
        <w:t>2013 ولا</w:t>
      </w:r>
      <w:r w:rsidR="00945E08">
        <w:rPr>
          <w:rFonts w:hint="eastAsia"/>
          <w:rtl/>
        </w:rPr>
        <w:t> </w:t>
      </w:r>
      <w:r>
        <w:rPr>
          <w:rFonts w:hint="cs"/>
          <w:rtl/>
        </w:rPr>
        <w:t>توجد أية توصيات عالقة فيما يخص المشروعين.</w:t>
      </w:r>
    </w:p>
    <w:p w:rsidR="00C04B86" w:rsidRDefault="000741B2" w:rsidP="00945E08">
      <w:pPr>
        <w:pStyle w:val="NumberedParaAR"/>
      </w:pPr>
      <w:r>
        <w:rPr>
          <w:rFonts w:hint="cs"/>
          <w:rtl/>
        </w:rPr>
        <w:t>ومن أصل التوصيات العشر الواردة في تقرير التدقيق الصادر عن مراجعي الحسابات الخارجيين في أغسطس</w:t>
      </w:r>
      <w:r>
        <w:rPr>
          <w:rFonts w:hint="eastAsia"/>
          <w:rtl/>
        </w:rPr>
        <w:t> </w:t>
      </w:r>
      <w:r>
        <w:rPr>
          <w:rFonts w:hint="cs"/>
          <w:rtl/>
        </w:rPr>
        <w:t>2014 والمتعلقة بمشروع قاعة المؤتمرات الجديدة (الوثيقة</w:t>
      </w:r>
      <w:r>
        <w:rPr>
          <w:rFonts w:hint="eastAsia"/>
          <w:rtl/>
        </w:rPr>
        <w:t> </w:t>
      </w:r>
      <w:r w:rsidR="002A5F39">
        <w:t xml:space="preserve"> A/54/4</w:t>
      </w:r>
      <w:r w:rsidR="002A5F39" w:rsidRPr="002A5F39">
        <w:rPr>
          <w:rtl/>
        </w:rPr>
        <w:t xml:space="preserve">بما في </w:t>
      </w:r>
      <w:r w:rsidR="00945E08">
        <w:rPr>
          <w:rFonts w:hint="cs"/>
          <w:rtl/>
        </w:rPr>
        <w:t>فيها</w:t>
      </w:r>
      <w:r w:rsidR="002A5F39">
        <w:rPr>
          <w:rFonts w:hint="cs"/>
          <w:rtl/>
        </w:rPr>
        <w:t xml:space="preserve"> الوثيقة </w:t>
      </w:r>
      <w:r w:rsidRPr="002A5F39">
        <w:t>WO/PBC/22/3</w:t>
      </w:r>
      <w:r>
        <w:rPr>
          <w:rFonts w:hint="cs"/>
          <w:rtl/>
        </w:rPr>
        <w:t xml:space="preserve">)، </w:t>
      </w:r>
      <w:r w:rsidR="00B5154A">
        <w:rPr>
          <w:rFonts w:hint="cs"/>
          <w:rtl/>
        </w:rPr>
        <w:t>اُغلقت ثماني</w:t>
      </w:r>
      <w:r w:rsidR="00C04B86">
        <w:rPr>
          <w:rFonts w:hint="cs"/>
          <w:rtl/>
        </w:rPr>
        <w:t xml:space="preserve"> توصيات منذ ذلك التاريخ، ولم تبق سوى توصيتين قيد المعالجة.</w:t>
      </w:r>
    </w:p>
    <w:p w:rsidR="00C04B86" w:rsidRPr="00C04B86" w:rsidRDefault="00C04B86" w:rsidP="00C04B86">
      <w:pPr>
        <w:pStyle w:val="NormalParaAR"/>
        <w:keepNext/>
        <w:rPr>
          <w:b/>
          <w:bCs/>
          <w:sz w:val="40"/>
          <w:szCs w:val="40"/>
          <w:rtl/>
        </w:rPr>
      </w:pPr>
      <w:r w:rsidRPr="00C04B86">
        <w:rPr>
          <w:rFonts w:hint="cs"/>
          <w:b/>
          <w:bCs/>
          <w:sz w:val="40"/>
          <w:szCs w:val="40"/>
          <w:rtl/>
        </w:rPr>
        <w:t xml:space="preserve">ميزانية </w:t>
      </w:r>
      <w:proofErr w:type="gramStart"/>
      <w:r w:rsidRPr="00C04B86">
        <w:rPr>
          <w:rFonts w:hint="cs"/>
          <w:b/>
          <w:bCs/>
          <w:sz w:val="40"/>
          <w:szCs w:val="40"/>
          <w:rtl/>
        </w:rPr>
        <w:t>المشروعين</w:t>
      </w:r>
      <w:proofErr w:type="gramEnd"/>
      <w:r w:rsidRPr="00C04B86">
        <w:rPr>
          <w:rFonts w:hint="cs"/>
          <w:b/>
          <w:bCs/>
          <w:sz w:val="40"/>
          <w:szCs w:val="40"/>
          <w:rtl/>
        </w:rPr>
        <w:t xml:space="preserve"> ووضعهما المالي</w:t>
      </w:r>
    </w:p>
    <w:p w:rsidR="00C04B86" w:rsidRPr="00AD64C3" w:rsidRDefault="00AD64C3" w:rsidP="00AD64C3">
      <w:pPr>
        <w:pStyle w:val="NumberedParaAR"/>
        <w:keepNext/>
        <w:numPr>
          <w:ilvl w:val="0"/>
          <w:numId w:val="0"/>
        </w:numPr>
        <w:rPr>
          <w:i/>
          <w:iCs/>
          <w:rtl/>
        </w:rPr>
      </w:pPr>
      <w:proofErr w:type="gramStart"/>
      <w:r w:rsidRPr="00AD64C3">
        <w:rPr>
          <w:rFonts w:hint="cs"/>
          <w:i/>
          <w:iCs/>
          <w:rtl/>
        </w:rPr>
        <w:t>مشروع</w:t>
      </w:r>
      <w:proofErr w:type="gramEnd"/>
      <w:r w:rsidRPr="00AD64C3">
        <w:rPr>
          <w:rFonts w:hint="cs"/>
          <w:i/>
          <w:iCs/>
          <w:rtl/>
        </w:rPr>
        <w:t xml:space="preserve"> البناء الجديد</w:t>
      </w:r>
    </w:p>
    <w:p w:rsidR="00AD64C3" w:rsidRDefault="009F2161" w:rsidP="001D6548">
      <w:pPr>
        <w:pStyle w:val="NumberedParaAR"/>
      </w:pPr>
      <w:proofErr w:type="gramStart"/>
      <w:r>
        <w:rPr>
          <w:rFonts w:hint="cs"/>
          <w:rtl/>
        </w:rPr>
        <w:t>تم</w:t>
      </w:r>
      <w:proofErr w:type="gramEnd"/>
      <w:r>
        <w:rPr>
          <w:rFonts w:hint="cs"/>
          <w:rtl/>
        </w:rPr>
        <w:t xml:space="preserve"> تمويل كل أعمال الإصلاح والاستبدال المُضطلع بها في المبنى الجديد (الفقرتان الفرعيتان </w:t>
      </w:r>
      <w:r w:rsidR="002A5F39">
        <w:rPr>
          <w:rFonts w:hint="cs"/>
          <w:rtl/>
        </w:rPr>
        <w:t>4</w:t>
      </w:r>
      <w:r>
        <w:rPr>
          <w:rFonts w:hint="cs"/>
          <w:rtl/>
        </w:rPr>
        <w:t>(أ) و</w:t>
      </w:r>
      <w:r w:rsidR="002A5F39">
        <w:rPr>
          <w:rFonts w:hint="cs"/>
          <w:rtl/>
        </w:rPr>
        <w:t>4</w:t>
      </w:r>
      <w:r>
        <w:rPr>
          <w:rFonts w:hint="cs"/>
          <w:rtl/>
        </w:rPr>
        <w:t xml:space="preserve">(ج) أعلاه) </w:t>
      </w:r>
      <w:r w:rsidRPr="00B5154A">
        <w:rPr>
          <w:rFonts w:hint="cs"/>
          <w:rtl/>
        </w:rPr>
        <w:t xml:space="preserve">وتغطيتها بالكامل من الأموال المُحتفظ بها </w:t>
      </w:r>
      <w:r>
        <w:rPr>
          <w:rFonts w:hint="cs"/>
          <w:rtl/>
        </w:rPr>
        <w:t xml:space="preserve">من المقاول العام، كما أشير إليه في التقرير المرحلي السابق المقدم إلى </w:t>
      </w:r>
      <w:r w:rsidR="001D6548">
        <w:rPr>
          <w:rFonts w:hint="cs"/>
          <w:rtl/>
        </w:rPr>
        <w:t>الجمعيات</w:t>
      </w:r>
      <w:r>
        <w:rPr>
          <w:rFonts w:hint="cs"/>
          <w:rtl/>
        </w:rPr>
        <w:t xml:space="preserve">. </w:t>
      </w:r>
      <w:proofErr w:type="gramStart"/>
      <w:r w:rsidR="00B646A4">
        <w:rPr>
          <w:rFonts w:hint="cs"/>
          <w:rtl/>
        </w:rPr>
        <w:t>ومُوّلت</w:t>
      </w:r>
      <w:proofErr w:type="gramEnd"/>
      <w:r w:rsidR="00B646A4">
        <w:rPr>
          <w:rFonts w:hint="cs"/>
          <w:rtl/>
        </w:rPr>
        <w:t xml:space="preserve"> العناصر العالقة المذكورة في الفقرة </w:t>
      </w:r>
      <w:r w:rsidR="001D6548">
        <w:rPr>
          <w:rFonts w:hint="cs"/>
          <w:rtl/>
        </w:rPr>
        <w:t>4</w:t>
      </w:r>
      <w:r w:rsidR="00B646A4">
        <w:rPr>
          <w:rFonts w:hint="cs"/>
          <w:rtl/>
        </w:rPr>
        <w:t>(ب) أعلاه من المبلغ المساوية قيمته 000</w:t>
      </w:r>
      <w:r w:rsidR="00B646A4">
        <w:rPr>
          <w:rFonts w:hint="eastAsia"/>
          <w:rtl/>
        </w:rPr>
        <w:t> </w:t>
      </w:r>
      <w:r w:rsidR="00B646A4">
        <w:rPr>
          <w:rFonts w:hint="cs"/>
          <w:rtl/>
        </w:rPr>
        <w:t xml:space="preserve">400 فرنك سويسري والذي وافقت عليه </w:t>
      </w:r>
      <w:r w:rsidR="001D6548">
        <w:rPr>
          <w:rFonts w:hint="cs"/>
          <w:rtl/>
        </w:rPr>
        <w:t>ال</w:t>
      </w:r>
      <w:r w:rsidR="00B646A4">
        <w:rPr>
          <w:rFonts w:hint="cs"/>
          <w:rtl/>
        </w:rPr>
        <w:t>جمعيات في دورة عام 2014.</w:t>
      </w:r>
    </w:p>
    <w:p w:rsidR="00B646A4" w:rsidRPr="00B646A4" w:rsidRDefault="00B646A4" w:rsidP="00B646A4">
      <w:pPr>
        <w:pStyle w:val="NumberedParaAR"/>
        <w:keepNext/>
        <w:numPr>
          <w:ilvl w:val="0"/>
          <w:numId w:val="0"/>
        </w:numPr>
        <w:rPr>
          <w:i/>
          <w:iCs/>
          <w:rtl/>
        </w:rPr>
      </w:pPr>
      <w:proofErr w:type="gramStart"/>
      <w:r w:rsidRPr="00B646A4">
        <w:rPr>
          <w:rFonts w:hint="cs"/>
          <w:i/>
          <w:iCs/>
          <w:rtl/>
        </w:rPr>
        <w:lastRenderedPageBreak/>
        <w:t>مشروع</w:t>
      </w:r>
      <w:proofErr w:type="gramEnd"/>
      <w:r w:rsidRPr="00B646A4">
        <w:rPr>
          <w:rFonts w:hint="cs"/>
          <w:i/>
          <w:iCs/>
          <w:rtl/>
        </w:rPr>
        <w:t xml:space="preserve"> قاعة المؤتمرات الجديدة</w:t>
      </w:r>
    </w:p>
    <w:p w:rsidR="00B646A4" w:rsidRDefault="001C410A" w:rsidP="00E049D3">
      <w:pPr>
        <w:pStyle w:val="NumberedParaAR"/>
      </w:pPr>
      <w:r>
        <w:rPr>
          <w:rFonts w:hint="cs"/>
          <w:rtl/>
        </w:rPr>
        <w:t xml:space="preserve">يجدر التذكير بأن الميزانية الإجمالية التي وافقت عليها الجمعيات </w:t>
      </w:r>
      <w:proofErr w:type="gramStart"/>
      <w:r>
        <w:rPr>
          <w:rFonts w:hint="cs"/>
          <w:rtl/>
        </w:rPr>
        <w:t>حتى</w:t>
      </w:r>
      <w:proofErr w:type="gramEnd"/>
      <w:r>
        <w:rPr>
          <w:rFonts w:hint="cs"/>
          <w:rtl/>
        </w:rPr>
        <w:t xml:space="preserve"> عام 2014 بلغت 000</w:t>
      </w:r>
      <w:r>
        <w:rPr>
          <w:rFonts w:hint="eastAsia"/>
          <w:rtl/>
        </w:rPr>
        <w:t> </w:t>
      </w:r>
      <w:r>
        <w:rPr>
          <w:rFonts w:hint="cs"/>
          <w:rtl/>
        </w:rPr>
        <w:t>200</w:t>
      </w:r>
      <w:r>
        <w:rPr>
          <w:rFonts w:hint="eastAsia"/>
          <w:rtl/>
        </w:rPr>
        <w:t> </w:t>
      </w:r>
      <w:r>
        <w:rPr>
          <w:rFonts w:hint="cs"/>
          <w:rtl/>
        </w:rPr>
        <w:t xml:space="preserve">75 فرنك سويسري (وهي مؤلفة مما يلي: 4.2 مليون فرنك سويسري </w:t>
      </w:r>
      <w:proofErr w:type="gramStart"/>
      <w:r>
        <w:rPr>
          <w:rFonts w:hint="cs"/>
          <w:rtl/>
        </w:rPr>
        <w:t>في</w:t>
      </w:r>
      <w:proofErr w:type="gramEnd"/>
      <w:r>
        <w:rPr>
          <w:rFonts w:hint="cs"/>
          <w:rtl/>
        </w:rPr>
        <w:t xml:space="preserve"> عام 2008، و64</w:t>
      </w:r>
      <w:r w:rsidR="00967110">
        <w:rPr>
          <w:rFonts w:hint="eastAsia"/>
          <w:rtl/>
        </w:rPr>
        <w:t> </w:t>
      </w:r>
      <w:r>
        <w:rPr>
          <w:rFonts w:hint="cs"/>
          <w:rtl/>
        </w:rPr>
        <w:t>مليون فرنك سويسري في عام</w:t>
      </w:r>
      <w:r w:rsidR="00967110">
        <w:rPr>
          <w:rFonts w:hint="eastAsia"/>
          <w:rtl/>
        </w:rPr>
        <w:t> </w:t>
      </w:r>
      <w:r>
        <w:rPr>
          <w:rFonts w:hint="cs"/>
          <w:rtl/>
        </w:rPr>
        <w:t>2009، و4.5</w:t>
      </w:r>
      <w:r w:rsidR="00967110">
        <w:rPr>
          <w:rFonts w:hint="eastAsia"/>
          <w:rtl/>
        </w:rPr>
        <w:t> </w:t>
      </w:r>
      <w:r>
        <w:rPr>
          <w:rFonts w:hint="cs"/>
          <w:rtl/>
        </w:rPr>
        <w:t xml:space="preserve">مليون فرنك سويسري </w:t>
      </w:r>
      <w:proofErr w:type="gramStart"/>
      <w:r>
        <w:rPr>
          <w:rFonts w:hint="cs"/>
          <w:rtl/>
        </w:rPr>
        <w:t>في</w:t>
      </w:r>
      <w:proofErr w:type="gramEnd"/>
      <w:r>
        <w:rPr>
          <w:rFonts w:hint="cs"/>
          <w:rtl/>
        </w:rPr>
        <w:t xml:space="preserve"> عام</w:t>
      </w:r>
      <w:r w:rsidR="00E049D3">
        <w:rPr>
          <w:rFonts w:hint="eastAsia"/>
          <w:rtl/>
        </w:rPr>
        <w:t> </w:t>
      </w:r>
      <w:r>
        <w:rPr>
          <w:rFonts w:hint="cs"/>
          <w:rtl/>
        </w:rPr>
        <w:t>2011، و2.5</w:t>
      </w:r>
      <w:r w:rsidR="00E049D3">
        <w:rPr>
          <w:rFonts w:hint="eastAsia"/>
          <w:rtl/>
        </w:rPr>
        <w:t> </w:t>
      </w:r>
      <w:r>
        <w:rPr>
          <w:rFonts w:hint="cs"/>
          <w:rtl/>
        </w:rPr>
        <w:t xml:space="preserve">مليون فرنك سويسري </w:t>
      </w:r>
      <w:proofErr w:type="gramStart"/>
      <w:r>
        <w:rPr>
          <w:rFonts w:hint="cs"/>
          <w:rtl/>
        </w:rPr>
        <w:t>في</w:t>
      </w:r>
      <w:proofErr w:type="gramEnd"/>
      <w:r>
        <w:rPr>
          <w:rFonts w:hint="cs"/>
          <w:rtl/>
        </w:rPr>
        <w:t xml:space="preserve"> عام 2014). وتغطي الميزانية الإجمالية أعمال البناء والأتعاب المهنية </w:t>
      </w:r>
      <w:proofErr w:type="gramStart"/>
      <w:r>
        <w:rPr>
          <w:rFonts w:hint="cs"/>
          <w:rtl/>
        </w:rPr>
        <w:t>على</w:t>
      </w:r>
      <w:proofErr w:type="gramEnd"/>
      <w:r>
        <w:rPr>
          <w:rFonts w:hint="cs"/>
          <w:rtl/>
        </w:rPr>
        <w:t xml:space="preserve"> حد سواء.</w:t>
      </w:r>
    </w:p>
    <w:p w:rsidR="001C410A" w:rsidRDefault="001C410A" w:rsidP="0053045A">
      <w:pPr>
        <w:pStyle w:val="NumberedParaAR"/>
      </w:pPr>
      <w:r>
        <w:rPr>
          <w:rFonts w:hint="cs"/>
          <w:rtl/>
        </w:rPr>
        <w:t xml:space="preserve">ويوصف </w:t>
      </w:r>
      <w:proofErr w:type="gramStart"/>
      <w:r>
        <w:rPr>
          <w:rFonts w:hint="cs"/>
          <w:rtl/>
        </w:rPr>
        <w:t>وضع</w:t>
      </w:r>
      <w:proofErr w:type="gramEnd"/>
      <w:r>
        <w:rPr>
          <w:rFonts w:hint="cs"/>
          <w:rtl/>
        </w:rPr>
        <w:t xml:space="preserve"> </w:t>
      </w:r>
      <w:r w:rsidRPr="001C410A">
        <w:rPr>
          <w:rFonts w:hint="cs"/>
          <w:u w:val="single"/>
          <w:rtl/>
        </w:rPr>
        <w:t>أعمال البناء</w:t>
      </w:r>
      <w:r>
        <w:rPr>
          <w:rFonts w:hint="cs"/>
          <w:rtl/>
        </w:rPr>
        <w:t xml:space="preserve"> كما يلي.</w:t>
      </w:r>
      <w:r w:rsidR="002D4F09">
        <w:rPr>
          <w:rFonts w:hint="cs"/>
          <w:rtl/>
        </w:rPr>
        <w:t xml:space="preserve"> </w:t>
      </w:r>
      <w:r w:rsidR="00B5154A">
        <w:rPr>
          <w:rFonts w:hint="cs"/>
          <w:rtl/>
        </w:rPr>
        <w:t>شاركت في المشروع</w:t>
      </w:r>
      <w:r w:rsidR="002D4F09">
        <w:rPr>
          <w:rFonts w:hint="cs"/>
          <w:rtl/>
        </w:rPr>
        <w:t xml:space="preserve"> 82 شركة بناء وجهة توريد. </w:t>
      </w:r>
      <w:proofErr w:type="gramStart"/>
      <w:r w:rsidR="002D4F09">
        <w:rPr>
          <w:rFonts w:hint="cs"/>
          <w:rtl/>
        </w:rPr>
        <w:t>وخضعت</w:t>
      </w:r>
      <w:proofErr w:type="gramEnd"/>
      <w:r w:rsidR="002D4F09">
        <w:rPr>
          <w:rFonts w:hint="cs"/>
          <w:rtl/>
        </w:rPr>
        <w:t xml:space="preserve"> حسابات 78 من أصل 82 شركة بناء وجهة توريد لتثبيت كامل وحظيت بموافقة كل الأطراف. </w:t>
      </w:r>
      <w:proofErr w:type="gramStart"/>
      <w:r w:rsidR="002D4F09">
        <w:rPr>
          <w:rFonts w:hint="cs"/>
          <w:rtl/>
        </w:rPr>
        <w:t>و</w:t>
      </w:r>
      <w:r w:rsidR="00E049D3">
        <w:rPr>
          <w:rFonts w:hint="cs"/>
          <w:rtl/>
        </w:rPr>
        <w:t>تبيّن</w:t>
      </w:r>
      <w:proofErr w:type="gramEnd"/>
      <w:r w:rsidR="003A098B">
        <w:rPr>
          <w:rFonts w:hint="cs"/>
          <w:rtl/>
        </w:rPr>
        <w:t xml:space="preserve"> أن </w:t>
      </w:r>
      <w:r w:rsidR="002D4F09">
        <w:rPr>
          <w:rFonts w:hint="cs"/>
          <w:rtl/>
        </w:rPr>
        <w:t>من أصل 78</w:t>
      </w:r>
      <w:r w:rsidR="00E049D3">
        <w:rPr>
          <w:rFonts w:hint="eastAsia"/>
          <w:rtl/>
        </w:rPr>
        <w:t> </w:t>
      </w:r>
      <w:r w:rsidR="002D4F09">
        <w:rPr>
          <w:rFonts w:hint="cs"/>
          <w:rtl/>
        </w:rPr>
        <w:t>حسابا، يتوافق 72</w:t>
      </w:r>
      <w:r w:rsidR="002D4F09">
        <w:rPr>
          <w:rFonts w:hint="eastAsia"/>
          <w:rtl/>
        </w:rPr>
        <w:t> </w:t>
      </w:r>
      <w:r w:rsidR="002D4F09">
        <w:rPr>
          <w:rFonts w:hint="cs"/>
          <w:rtl/>
        </w:rPr>
        <w:t xml:space="preserve">حسابا مع التقديرات </w:t>
      </w:r>
      <w:r w:rsidR="001D6548">
        <w:rPr>
          <w:rFonts w:hint="cs"/>
          <w:rtl/>
        </w:rPr>
        <w:t>و</w:t>
      </w:r>
      <w:r w:rsidR="001F0B8C">
        <w:rPr>
          <w:rFonts w:hint="cs"/>
          <w:rtl/>
        </w:rPr>
        <w:t>استُخدمت كأساس للوثيقة التي قدمتها الأمانة إلى</w:t>
      </w:r>
      <w:r w:rsidR="00DD18B4">
        <w:rPr>
          <w:rFonts w:hint="cs"/>
          <w:rtl/>
        </w:rPr>
        <w:t xml:space="preserve"> الجمعيات</w:t>
      </w:r>
      <w:r w:rsidR="00DD18B4">
        <w:t xml:space="preserve"> </w:t>
      </w:r>
      <w:r w:rsidR="00DD18B4">
        <w:rPr>
          <w:rFonts w:hint="cs"/>
          <w:rtl/>
        </w:rPr>
        <w:t xml:space="preserve">(الوثيقة </w:t>
      </w:r>
      <w:r w:rsidR="00DD18B4">
        <w:t>A/54/11</w:t>
      </w:r>
      <w:r w:rsidR="00DD18B4">
        <w:rPr>
          <w:rFonts w:hint="cs"/>
          <w:rtl/>
        </w:rPr>
        <w:t xml:space="preserve"> بما في</w:t>
      </w:r>
      <w:r w:rsidR="00462B45">
        <w:rPr>
          <w:rFonts w:hint="cs"/>
          <w:rtl/>
        </w:rPr>
        <w:t>ها</w:t>
      </w:r>
      <w:r w:rsidR="00DD18B4">
        <w:rPr>
          <w:rFonts w:hint="cs"/>
          <w:rtl/>
        </w:rPr>
        <w:t xml:space="preserve"> الوثيقة</w:t>
      </w:r>
      <w:r w:rsidR="00462B45">
        <w:rPr>
          <w:rFonts w:hint="eastAsia"/>
          <w:rtl/>
        </w:rPr>
        <w:t> </w:t>
      </w:r>
      <w:r w:rsidR="00DD18B4">
        <w:t>(WO/PBC/22/14</w:t>
      </w:r>
      <w:r w:rsidR="001F0B8C">
        <w:rPr>
          <w:rFonts w:hint="cs"/>
          <w:rtl/>
        </w:rPr>
        <w:t xml:space="preserve">. ووُضعت التقديرات </w:t>
      </w:r>
      <w:r w:rsidR="004A6EF0">
        <w:rPr>
          <w:rFonts w:hint="cs"/>
          <w:rtl/>
        </w:rPr>
        <w:t xml:space="preserve">المسقطة </w:t>
      </w:r>
      <w:r w:rsidR="001F0B8C">
        <w:rPr>
          <w:rFonts w:hint="cs"/>
          <w:rtl/>
        </w:rPr>
        <w:t>بحسن نية استنادا إلى المعلومات المتاحة في ذلك الوقت. أما</w:t>
      </w:r>
      <w:r w:rsidR="004A6EF0">
        <w:rPr>
          <w:rFonts w:hint="eastAsia"/>
          <w:rtl/>
        </w:rPr>
        <w:t> </w:t>
      </w:r>
      <w:r w:rsidR="001F0B8C">
        <w:rPr>
          <w:rFonts w:hint="cs"/>
          <w:rtl/>
        </w:rPr>
        <w:t xml:space="preserve">الحسابات العشر المتبقية </w:t>
      </w:r>
      <w:r w:rsidR="004A6EF0">
        <w:rPr>
          <w:rFonts w:hint="cs"/>
          <w:rtl/>
        </w:rPr>
        <w:t>ف</w:t>
      </w:r>
      <w:r w:rsidR="00DD18B4">
        <w:rPr>
          <w:rFonts w:hint="cs"/>
          <w:rtl/>
        </w:rPr>
        <w:t>تُظهر زيادات أعلى من</w:t>
      </w:r>
      <w:r w:rsidR="0053045A">
        <w:rPr>
          <w:rFonts w:hint="cs"/>
          <w:rtl/>
        </w:rPr>
        <w:t xml:space="preserve"> المتوقع في</w:t>
      </w:r>
      <w:r w:rsidR="00DD18B4">
        <w:rPr>
          <w:rFonts w:hint="cs"/>
          <w:rtl/>
        </w:rPr>
        <w:t xml:space="preserve"> التقديرات </w:t>
      </w:r>
      <w:r w:rsidR="004A6EF0">
        <w:rPr>
          <w:rFonts w:hint="cs"/>
          <w:rtl/>
        </w:rPr>
        <w:t>و</w:t>
      </w:r>
      <w:r w:rsidR="001F0B8C">
        <w:rPr>
          <w:rFonts w:hint="cs"/>
          <w:rtl/>
        </w:rPr>
        <w:t xml:space="preserve">لا تزال </w:t>
      </w:r>
      <w:r w:rsidR="00DD18B4">
        <w:rPr>
          <w:rFonts w:hint="cs"/>
          <w:rtl/>
        </w:rPr>
        <w:t xml:space="preserve">ثلاث حسابات </w:t>
      </w:r>
      <w:r w:rsidR="004A6EF0">
        <w:rPr>
          <w:rFonts w:hint="cs"/>
          <w:rtl/>
        </w:rPr>
        <w:t>منها قيد الإغلاق، علما بأن هامش الثقة في المبالغ النهائية أصبح كبيرا جدا.</w:t>
      </w:r>
    </w:p>
    <w:p w:rsidR="001F0B8C" w:rsidRDefault="00E93955" w:rsidP="00430C64">
      <w:pPr>
        <w:pStyle w:val="NumberedParaAR"/>
      </w:pPr>
      <w:r>
        <w:rPr>
          <w:rFonts w:hint="cs"/>
          <w:rtl/>
        </w:rPr>
        <w:t xml:space="preserve">ويوصف </w:t>
      </w:r>
      <w:proofErr w:type="gramStart"/>
      <w:r>
        <w:rPr>
          <w:rFonts w:hint="cs"/>
          <w:rtl/>
        </w:rPr>
        <w:t>وضع</w:t>
      </w:r>
      <w:proofErr w:type="gramEnd"/>
      <w:r>
        <w:rPr>
          <w:rFonts w:hint="cs"/>
          <w:rtl/>
        </w:rPr>
        <w:t xml:space="preserve"> </w:t>
      </w:r>
      <w:r w:rsidRPr="00E93955">
        <w:rPr>
          <w:rFonts w:hint="cs"/>
          <w:u w:val="single"/>
          <w:rtl/>
        </w:rPr>
        <w:t>الأتعاب المهنية</w:t>
      </w:r>
      <w:r>
        <w:rPr>
          <w:rFonts w:hint="cs"/>
          <w:rtl/>
        </w:rPr>
        <w:t xml:space="preserve"> كما يلي. </w:t>
      </w:r>
      <w:r w:rsidR="0053045A">
        <w:rPr>
          <w:rFonts w:hint="cs"/>
          <w:rtl/>
        </w:rPr>
        <w:t>شاركت</w:t>
      </w:r>
      <w:r w:rsidR="003A098B">
        <w:rPr>
          <w:rFonts w:hint="cs"/>
          <w:rtl/>
        </w:rPr>
        <w:t xml:space="preserve"> 26 شركة من الشركات المهنية المتخصصة (</w:t>
      </w:r>
      <w:proofErr w:type="gramStart"/>
      <w:r w:rsidR="003A098B">
        <w:rPr>
          <w:rFonts w:hint="cs"/>
          <w:rtl/>
        </w:rPr>
        <w:t>مهندسون</w:t>
      </w:r>
      <w:proofErr w:type="gramEnd"/>
      <w:r w:rsidR="003A098B">
        <w:rPr>
          <w:rFonts w:hint="cs"/>
          <w:rtl/>
        </w:rPr>
        <w:t xml:space="preserve"> </w:t>
      </w:r>
      <w:r w:rsidR="00A112C2">
        <w:rPr>
          <w:rFonts w:hint="cs"/>
          <w:rtl/>
        </w:rPr>
        <w:t>والهيئة القيادية</w:t>
      </w:r>
      <w:r w:rsidR="003A098B">
        <w:rPr>
          <w:rFonts w:hint="cs"/>
          <w:rtl/>
        </w:rPr>
        <w:t xml:space="preserve"> ومهندسون معماريون وخبراء في مجالات مختلفة). </w:t>
      </w:r>
      <w:proofErr w:type="gramStart"/>
      <w:r w:rsidR="003A098B">
        <w:rPr>
          <w:rFonts w:hint="cs"/>
          <w:rtl/>
        </w:rPr>
        <w:t>وخضعت</w:t>
      </w:r>
      <w:proofErr w:type="gramEnd"/>
      <w:r w:rsidR="003A098B">
        <w:rPr>
          <w:rFonts w:hint="cs"/>
          <w:rtl/>
        </w:rPr>
        <w:t xml:space="preserve"> حسابات 20 من أصل 26 شركة لتثبيت كامل وحظيت بموافقة كل الأطراف وتبيّن أنها تتوافق </w:t>
      </w:r>
      <w:r w:rsidR="00E049D3">
        <w:rPr>
          <w:rFonts w:hint="cs"/>
          <w:rtl/>
        </w:rPr>
        <w:t xml:space="preserve">مع </w:t>
      </w:r>
      <w:r w:rsidR="003A098B">
        <w:rPr>
          <w:rFonts w:hint="cs"/>
          <w:rtl/>
        </w:rPr>
        <w:t xml:space="preserve">تقديرات عام 2014 </w:t>
      </w:r>
      <w:r w:rsidR="00D2544D">
        <w:rPr>
          <w:rFonts w:hint="cs"/>
          <w:rtl/>
        </w:rPr>
        <w:t xml:space="preserve">التي </w:t>
      </w:r>
      <w:r w:rsidR="003A098B">
        <w:rPr>
          <w:rFonts w:hint="cs"/>
          <w:rtl/>
        </w:rPr>
        <w:t>استُخدمت كأساس للوثيقة التي قدمتها الأمانة إلى ال</w:t>
      </w:r>
      <w:r w:rsidR="00B31282">
        <w:rPr>
          <w:rFonts w:hint="cs"/>
          <w:rtl/>
        </w:rPr>
        <w:t xml:space="preserve">جمعيات (الوثيقة </w:t>
      </w:r>
      <w:r w:rsidR="00B31282">
        <w:t>A/54/11</w:t>
      </w:r>
      <w:r w:rsidR="00430C64">
        <w:rPr>
          <w:rFonts w:hint="cs"/>
          <w:rtl/>
        </w:rPr>
        <w:t xml:space="preserve"> بما </w:t>
      </w:r>
      <w:r w:rsidR="004A6EF0">
        <w:rPr>
          <w:rFonts w:hint="cs"/>
          <w:rtl/>
        </w:rPr>
        <w:t>فيها</w:t>
      </w:r>
      <w:r w:rsidR="00B31282">
        <w:rPr>
          <w:rFonts w:hint="cs"/>
          <w:rtl/>
        </w:rPr>
        <w:t xml:space="preserve"> الوثيقة </w:t>
      </w:r>
      <w:r w:rsidR="00B31282">
        <w:t>(WO/PBC/22/14</w:t>
      </w:r>
      <w:r w:rsidR="003A098B">
        <w:rPr>
          <w:rFonts w:hint="cs"/>
          <w:rtl/>
        </w:rPr>
        <w:t>. ووُضعت التقديرات</w:t>
      </w:r>
      <w:r w:rsidR="0053045A">
        <w:rPr>
          <w:rFonts w:hint="cs"/>
          <w:rtl/>
        </w:rPr>
        <w:t xml:space="preserve"> المسقطة</w:t>
      </w:r>
      <w:r w:rsidR="003A098B">
        <w:rPr>
          <w:rFonts w:hint="cs"/>
          <w:rtl/>
        </w:rPr>
        <w:t xml:space="preserve"> بحسن نية استنادا إلى المعلومات المتاحة في ذلك الوقت.</w:t>
      </w:r>
      <w:r w:rsidR="00B31282">
        <w:rPr>
          <w:rFonts w:hint="cs"/>
          <w:rtl/>
        </w:rPr>
        <w:t xml:space="preserve"> </w:t>
      </w:r>
      <w:r w:rsidR="0053045A">
        <w:rPr>
          <w:rFonts w:hint="cs"/>
          <w:rtl/>
        </w:rPr>
        <w:t>ولا تزال</w:t>
      </w:r>
      <w:r w:rsidR="00B31282">
        <w:rPr>
          <w:rFonts w:hint="cs"/>
          <w:rtl/>
        </w:rPr>
        <w:t xml:space="preserve"> ستة </w:t>
      </w:r>
      <w:r w:rsidR="00D2544D">
        <w:rPr>
          <w:rFonts w:hint="cs"/>
          <w:rtl/>
        </w:rPr>
        <w:t xml:space="preserve">حسابات </w:t>
      </w:r>
      <w:r w:rsidR="00B31282">
        <w:rPr>
          <w:rFonts w:hint="cs"/>
          <w:rtl/>
        </w:rPr>
        <w:t xml:space="preserve">قيد التثبيت </w:t>
      </w:r>
      <w:proofErr w:type="gramStart"/>
      <w:r w:rsidR="00B31282">
        <w:rPr>
          <w:rFonts w:hint="cs"/>
          <w:rtl/>
        </w:rPr>
        <w:t>والمناقشة</w:t>
      </w:r>
      <w:proofErr w:type="gramEnd"/>
      <w:r w:rsidR="00B31282">
        <w:rPr>
          <w:rFonts w:hint="cs"/>
          <w:rtl/>
        </w:rPr>
        <w:t>.</w:t>
      </w:r>
      <w:r w:rsidR="00D2544D">
        <w:rPr>
          <w:rFonts w:hint="cs"/>
          <w:rtl/>
        </w:rPr>
        <w:t xml:space="preserve"> </w:t>
      </w:r>
      <w:r w:rsidR="00B31282">
        <w:rPr>
          <w:rFonts w:hint="cs"/>
          <w:rtl/>
        </w:rPr>
        <w:t>و</w:t>
      </w:r>
      <w:r w:rsidR="00D2544D">
        <w:rPr>
          <w:rFonts w:hint="cs"/>
          <w:rtl/>
        </w:rPr>
        <w:t>تُظهر ثلاثة حسابات</w:t>
      </w:r>
      <w:r w:rsidR="00430C64">
        <w:rPr>
          <w:rFonts w:hint="cs"/>
          <w:rtl/>
        </w:rPr>
        <w:t xml:space="preserve"> منها</w:t>
      </w:r>
      <w:r w:rsidR="00D2544D">
        <w:rPr>
          <w:rFonts w:hint="cs"/>
          <w:rtl/>
        </w:rPr>
        <w:t xml:space="preserve"> زيادات أعلى </w:t>
      </w:r>
      <w:r w:rsidR="0053045A">
        <w:rPr>
          <w:rFonts w:hint="cs"/>
          <w:rtl/>
        </w:rPr>
        <w:t>من المتوقع</w:t>
      </w:r>
      <w:r w:rsidR="00D2544D">
        <w:rPr>
          <w:rFonts w:hint="cs"/>
          <w:rtl/>
        </w:rPr>
        <w:t xml:space="preserve"> في التقديرات</w:t>
      </w:r>
      <w:r w:rsidR="00430C64">
        <w:rPr>
          <w:rFonts w:hint="cs"/>
          <w:rtl/>
        </w:rPr>
        <w:t>،</w:t>
      </w:r>
      <w:r w:rsidR="00430C64" w:rsidRPr="00430C64">
        <w:rPr>
          <w:rtl/>
        </w:rPr>
        <w:t xml:space="preserve"> علما بأن هامش الثقة في المبالغ النهائية أصبح كبيرا جدا.</w:t>
      </w:r>
      <w:r w:rsidR="00430C64">
        <w:rPr>
          <w:rFonts w:hint="cs"/>
          <w:rtl/>
        </w:rPr>
        <w:t xml:space="preserve"> وأما الحسابات الثلاثة الأخيرة (قسط التأمين النهائي ورسوم تسجيل العقار والأتعاب) فلا تُظهر زيادات أعلى من الإسقاطات على أن المبالغ النهائية لن تتبلور إلا بعد الانتهاء من تنفيذ المشروع بالكامل.</w:t>
      </w:r>
    </w:p>
    <w:p w:rsidR="00D2544D" w:rsidRDefault="00A27BC0" w:rsidP="00BC316C">
      <w:pPr>
        <w:pStyle w:val="NumberedParaAR"/>
      </w:pPr>
      <w:r>
        <w:rPr>
          <w:rFonts w:hint="cs"/>
          <w:rtl/>
        </w:rPr>
        <w:t>وفيما يخص</w:t>
      </w:r>
      <w:r w:rsidR="008A0D2A">
        <w:rPr>
          <w:rFonts w:hint="cs"/>
          <w:rtl/>
        </w:rPr>
        <w:t xml:space="preserve"> </w:t>
      </w:r>
      <w:r w:rsidR="00FA2902" w:rsidRPr="00A27BC0">
        <w:rPr>
          <w:rFonts w:hint="cs"/>
          <w:u w:val="single"/>
          <w:rtl/>
        </w:rPr>
        <w:t xml:space="preserve">زيادة </w:t>
      </w:r>
      <w:r w:rsidRPr="00A27BC0">
        <w:rPr>
          <w:rFonts w:hint="cs"/>
          <w:u w:val="single"/>
          <w:rtl/>
        </w:rPr>
        <w:t>ال</w:t>
      </w:r>
      <w:r w:rsidR="00FA2902" w:rsidRPr="00A27BC0">
        <w:rPr>
          <w:rFonts w:hint="cs"/>
          <w:u w:val="single"/>
          <w:rtl/>
        </w:rPr>
        <w:t xml:space="preserve">تكلفة </w:t>
      </w:r>
      <w:r w:rsidRPr="00A27BC0">
        <w:rPr>
          <w:rFonts w:hint="cs"/>
          <w:u w:val="single"/>
          <w:rtl/>
        </w:rPr>
        <w:t xml:space="preserve">بما يتجاوز </w:t>
      </w:r>
      <w:r w:rsidR="008A0D2A" w:rsidRPr="00A27BC0">
        <w:rPr>
          <w:rFonts w:hint="cs"/>
          <w:u w:val="single"/>
          <w:rtl/>
        </w:rPr>
        <w:t>تقديرات الأمانة</w:t>
      </w:r>
      <w:r w:rsidRPr="00A27BC0">
        <w:rPr>
          <w:rFonts w:hint="cs"/>
          <w:u w:val="single"/>
          <w:rtl/>
        </w:rPr>
        <w:t xml:space="preserve"> المسقطة</w:t>
      </w:r>
      <w:r w:rsidR="008A0D2A" w:rsidRPr="00A27BC0">
        <w:rPr>
          <w:rFonts w:hint="cs"/>
          <w:u w:val="single"/>
          <w:rtl/>
        </w:rPr>
        <w:t xml:space="preserve"> في عام 2014</w:t>
      </w:r>
      <w:r w:rsidR="008A0D2A">
        <w:rPr>
          <w:rFonts w:hint="cs"/>
          <w:rtl/>
        </w:rPr>
        <w:t xml:space="preserve">، </w:t>
      </w:r>
      <w:r w:rsidRPr="00A27BC0">
        <w:rPr>
          <w:rFonts w:hint="cs"/>
          <w:rtl/>
        </w:rPr>
        <w:t>بال</w:t>
      </w:r>
      <w:r>
        <w:rPr>
          <w:rFonts w:hint="cs"/>
          <w:rtl/>
        </w:rPr>
        <w:t>نسبة لأعمال البناء والأتعاب المهنية،</w:t>
      </w:r>
      <w:r w:rsidR="008A0D2A" w:rsidRPr="00A27BC0">
        <w:rPr>
          <w:rFonts w:hint="cs"/>
          <w:rtl/>
        </w:rPr>
        <w:t xml:space="preserve"> </w:t>
      </w:r>
      <w:r>
        <w:rPr>
          <w:rFonts w:hint="cs"/>
          <w:rtl/>
        </w:rPr>
        <w:t xml:space="preserve">تذكّر الأمانة بما أبلغت به </w:t>
      </w:r>
      <w:r w:rsidR="008A0D2A">
        <w:rPr>
          <w:rFonts w:hint="cs"/>
          <w:rtl/>
        </w:rPr>
        <w:t>اللجنة والجمعيات</w:t>
      </w:r>
      <w:r w:rsidR="008A0D2A">
        <w:t xml:space="preserve"> </w:t>
      </w:r>
      <w:r w:rsidR="00FA2902">
        <w:rPr>
          <w:rFonts w:hint="cs"/>
          <w:rtl/>
        </w:rPr>
        <w:t xml:space="preserve">سابقا، </w:t>
      </w:r>
      <w:r>
        <w:rPr>
          <w:rFonts w:hint="cs"/>
          <w:rtl/>
        </w:rPr>
        <w:t xml:space="preserve">وهي </w:t>
      </w:r>
      <w:r w:rsidR="00FA2902">
        <w:rPr>
          <w:rFonts w:hint="cs"/>
          <w:rtl/>
        </w:rPr>
        <w:t xml:space="preserve">الأسباب الرئيسية لهذا الوضع: "1" </w:t>
      </w:r>
      <w:r w:rsidR="0043117F">
        <w:rPr>
          <w:rFonts w:hint="cs"/>
          <w:rtl/>
        </w:rPr>
        <w:t xml:space="preserve">زيادة </w:t>
      </w:r>
      <w:r w:rsidR="00FA2902">
        <w:rPr>
          <w:rFonts w:hint="cs"/>
          <w:rtl/>
        </w:rPr>
        <w:t>الكميات الفعلية النهائية المستخدمة (</w:t>
      </w:r>
      <w:r w:rsidR="0043117F">
        <w:rPr>
          <w:rFonts w:hint="cs"/>
          <w:rtl/>
        </w:rPr>
        <w:t>ضمن</w:t>
      </w:r>
      <w:r w:rsidR="00FA2902">
        <w:rPr>
          <w:rFonts w:hint="cs"/>
          <w:rtl/>
        </w:rPr>
        <w:t xml:space="preserve"> عدد من العقود المستندة إلى </w:t>
      </w:r>
      <w:r w:rsidR="0043117F">
        <w:rPr>
          <w:rFonts w:hint="cs"/>
          <w:rtl/>
        </w:rPr>
        <w:t>استقصاء الكمية) بكثير على ما حسبه المتخصصون في الأصل لأغراض المناقصات الأولية؛ "2" والتأخيرات الإضافية المُسجلة في مرحلة البناء والناجمة عن أسباب مختلفة، لا</w:t>
      </w:r>
      <w:r w:rsidR="0043117F">
        <w:rPr>
          <w:rFonts w:hint="eastAsia"/>
          <w:rtl/>
        </w:rPr>
        <w:t> </w:t>
      </w:r>
      <w:r w:rsidR="0043117F">
        <w:rPr>
          <w:rFonts w:hint="cs"/>
          <w:rtl/>
        </w:rPr>
        <w:t xml:space="preserve">سيما نقص التنسيق الشامل بين المتخصصين المهنيين ونقص قدرة بعض الشركات على الاستجابة؛ "3" وعدم توقّع معظم شركات البناء وجهات التوريد الاضطرار إلى البقاء في موقع العمل بعد ربيع </w:t>
      </w:r>
      <w:r w:rsidR="00EC4E61">
        <w:rPr>
          <w:rFonts w:hint="cs"/>
          <w:rtl/>
        </w:rPr>
        <w:t>عام 2014، باتخاذها التزامات مهنية أخرى ومواجهتها بعد ذلك لصعوبات في الاستجابة بطريقة مرنة ومنسقة ومناسبة التوقيت للطلبات الموجهة لها، وتسبّبها بالتالي في تأخيرات إضافية في جدول العمل.</w:t>
      </w:r>
      <w:r w:rsidR="008A0D2A">
        <w:rPr>
          <w:rFonts w:hint="cs"/>
          <w:rtl/>
        </w:rPr>
        <w:t xml:space="preserve"> </w:t>
      </w:r>
      <w:proofErr w:type="gramStart"/>
      <w:r w:rsidR="00BC316C">
        <w:rPr>
          <w:rFonts w:hint="cs"/>
          <w:rtl/>
        </w:rPr>
        <w:t>وقد</w:t>
      </w:r>
      <w:proofErr w:type="gramEnd"/>
      <w:r w:rsidR="00BC316C">
        <w:rPr>
          <w:rFonts w:hint="cs"/>
          <w:rtl/>
        </w:rPr>
        <w:t xml:space="preserve"> خضعت فواتير المقاولين النهائية للتثبيت كما تقتضيه الالتزامات التعاقدية المستمدة من مهام كل أخصائي مهني وبالاستناد عامةً إلى المعايير السويسرية للمهندسين والمعماريين (مهندس مدني، إدارة ورشات، عمارة وقيادة) قبل تثبيتها من إدارة المشروع. </w:t>
      </w:r>
      <w:proofErr w:type="gramStart"/>
      <w:r w:rsidR="00BC316C">
        <w:rPr>
          <w:rFonts w:hint="cs"/>
          <w:rtl/>
        </w:rPr>
        <w:t>وبفضل</w:t>
      </w:r>
      <w:proofErr w:type="gramEnd"/>
      <w:r w:rsidR="00BC316C">
        <w:rPr>
          <w:rFonts w:hint="cs"/>
          <w:rtl/>
        </w:rPr>
        <w:t xml:space="preserve"> هذا الإجراء أمكن التثبت من </w:t>
      </w:r>
      <w:r w:rsidR="00410F8E">
        <w:rPr>
          <w:rFonts w:hint="cs"/>
          <w:rtl/>
        </w:rPr>
        <w:t>الكميات وغيرها من المتغيرات بالإضافة إلى نطاق التعديلات على المشروع وطبيعتها والتكاليف الناجمة عنها.</w:t>
      </w:r>
    </w:p>
    <w:p w:rsidR="00042E2B" w:rsidRDefault="00FF30B7" w:rsidP="00FF30B7">
      <w:pPr>
        <w:pStyle w:val="NumberedParaAR"/>
      </w:pPr>
      <w:r>
        <w:rPr>
          <w:rFonts w:hint="cs"/>
          <w:rtl/>
        </w:rPr>
        <w:t>وفي تاريخ هذه الوثيقة، يسر الأمانة أن تبلغ عن وضع المحادثات الجارية مع الشركات بشأن حساباتها النهائية</w:t>
      </w:r>
      <w:r w:rsidR="00EC4E61">
        <w:rPr>
          <w:rFonts w:hint="cs"/>
          <w:rtl/>
        </w:rPr>
        <w:t xml:space="preserve"> </w:t>
      </w:r>
      <w:r>
        <w:rPr>
          <w:rFonts w:hint="cs"/>
          <w:rtl/>
        </w:rPr>
        <w:t>وعن حصتها من المسؤولية في بعض الحالات عن التسبب في زيادة تكاليف البناء بما يتجاوز إسقاطات الأمانة في عام 2014. وامتهت المحادثات مع 102 من أصل 108 جهة بينما بلغت المحادثات مراحلها الأخيرة مع ست جهات من أصل 108 (أي</w:t>
      </w:r>
      <w:r>
        <w:rPr>
          <w:rFonts w:hint="eastAsia"/>
          <w:rtl/>
        </w:rPr>
        <w:t> </w:t>
      </w:r>
      <w:r>
        <w:rPr>
          <w:rFonts w:hint="cs"/>
          <w:rtl/>
        </w:rPr>
        <w:t xml:space="preserve">ثلاث شركات وثلاث مكاتب استشارية متخصصة) وقد بذلت الأمانة ولا تزال تبذل </w:t>
      </w:r>
      <w:r w:rsidR="00EC4E61">
        <w:rPr>
          <w:rFonts w:hint="cs"/>
          <w:rtl/>
        </w:rPr>
        <w:t xml:space="preserve">كل ما في وسعها للحفاظ على المصالح العليا للمنظمة </w:t>
      </w:r>
      <w:r w:rsidR="001527A5">
        <w:rPr>
          <w:rFonts w:hint="cs"/>
          <w:rtl/>
        </w:rPr>
        <w:t xml:space="preserve">ولتتمكّن من الوفاء بالمبالغ المستحقة الدفع لما تبقى من الشركات والشركات المهنية المتخصصة. وفي هذا </w:t>
      </w:r>
      <w:r w:rsidR="001527A5">
        <w:rPr>
          <w:rFonts w:hint="cs"/>
          <w:rtl/>
        </w:rPr>
        <w:lastRenderedPageBreak/>
        <w:t xml:space="preserve">الصدد، </w:t>
      </w:r>
      <w:r w:rsidR="008A0D2A">
        <w:rPr>
          <w:rFonts w:hint="cs"/>
          <w:rtl/>
        </w:rPr>
        <w:t>راعت و</w:t>
      </w:r>
      <w:r w:rsidR="001527A5">
        <w:rPr>
          <w:rFonts w:hint="cs"/>
          <w:rtl/>
        </w:rPr>
        <w:t>ستراعي الأمانة لزوم عدم الإخلال ب</w:t>
      </w:r>
      <w:r w:rsidR="008A0D2A">
        <w:rPr>
          <w:rFonts w:hint="cs"/>
          <w:rtl/>
        </w:rPr>
        <w:t xml:space="preserve">مراحل </w:t>
      </w:r>
      <w:r w:rsidR="001527A5">
        <w:rPr>
          <w:rFonts w:hint="cs"/>
          <w:rtl/>
        </w:rPr>
        <w:t>المناقشات الجارية</w:t>
      </w:r>
      <w:r w:rsidR="008A0D2A">
        <w:rPr>
          <w:rFonts w:hint="cs"/>
          <w:rtl/>
        </w:rPr>
        <w:t xml:space="preserve"> الأخيرة</w:t>
      </w:r>
      <w:r w:rsidR="001527A5">
        <w:rPr>
          <w:rFonts w:hint="cs"/>
          <w:rtl/>
        </w:rPr>
        <w:t xml:space="preserve"> مع </w:t>
      </w:r>
      <w:r w:rsidR="008A0D2A">
        <w:rPr>
          <w:rFonts w:hint="cs"/>
          <w:rtl/>
        </w:rPr>
        <w:t>ال</w:t>
      </w:r>
      <w:r w:rsidR="001527A5">
        <w:rPr>
          <w:rFonts w:hint="cs"/>
          <w:rtl/>
        </w:rPr>
        <w:t>أطراف</w:t>
      </w:r>
      <w:r w:rsidR="008A0D2A">
        <w:rPr>
          <w:rFonts w:hint="cs"/>
          <w:rtl/>
        </w:rPr>
        <w:t xml:space="preserve"> القليلة المتبقية</w:t>
      </w:r>
      <w:r w:rsidR="001527A5">
        <w:rPr>
          <w:rFonts w:hint="cs"/>
          <w:rtl/>
        </w:rPr>
        <w:t xml:space="preserve"> بشأن حساباتها الختامية ومسؤولية كل منها</w:t>
      </w:r>
      <w:r w:rsidR="008A0D2A">
        <w:rPr>
          <w:rFonts w:hint="cs"/>
          <w:rtl/>
        </w:rPr>
        <w:t>.</w:t>
      </w:r>
      <w:r w:rsidR="001527A5">
        <w:rPr>
          <w:rFonts w:hint="cs"/>
          <w:rtl/>
        </w:rPr>
        <w:t xml:space="preserve"> و</w:t>
      </w:r>
      <w:r w:rsidR="008A0D2A">
        <w:rPr>
          <w:rFonts w:hint="cs"/>
          <w:rtl/>
        </w:rPr>
        <w:t xml:space="preserve">تحرص الأمنة بشكل خاص على </w:t>
      </w:r>
      <w:r w:rsidR="001527A5">
        <w:rPr>
          <w:rFonts w:hint="cs"/>
          <w:rtl/>
        </w:rPr>
        <w:t>عدم تضييع فرص إقفال معقول وودي للحسابات مع الأطراف المعنية، والسعي في الوقت ذاته إلى تلافي اللجوء إلى التحكيم من أجل تسوية القضايا العالقة.</w:t>
      </w:r>
    </w:p>
    <w:p w:rsidR="00DA7B3C" w:rsidRPr="00042E2B" w:rsidRDefault="00FF30B7" w:rsidP="00CD38D0">
      <w:pPr>
        <w:pStyle w:val="NumberedParaAR"/>
      </w:pPr>
      <w:r>
        <w:rPr>
          <w:rFonts w:hint="cs"/>
          <w:rtl/>
        </w:rPr>
        <w:t>وعليه، بإمكان الأمانة أن تعلن أمام الجمعيات</w:t>
      </w:r>
      <w:r w:rsidR="009664D2">
        <w:rPr>
          <w:rFonts w:hint="cs"/>
          <w:rtl/>
        </w:rPr>
        <w:t xml:space="preserve"> أن من غير المتوقع أن </w:t>
      </w:r>
      <w:r w:rsidR="00CD38D0">
        <w:rPr>
          <w:rFonts w:hint="cs"/>
          <w:rtl/>
        </w:rPr>
        <w:t xml:space="preserve">يزيد المبلغ الإضافي الضروري لإغلاق كل الحسابات مع جميع الشركات والمكاتب ولسداد جميع الفواتير (المتفق عليها مع المقاولين والمكاتب وتلك الجاري تثبيتها والاتفاق عليها) على 3.5 مليون فرنك سويسري بالإضافة </w:t>
      </w:r>
      <w:proofErr w:type="gramStart"/>
      <w:r w:rsidR="00CD38D0">
        <w:rPr>
          <w:rFonts w:hint="cs"/>
          <w:rtl/>
        </w:rPr>
        <w:t>إلى</w:t>
      </w:r>
      <w:proofErr w:type="gramEnd"/>
      <w:r w:rsidR="00CD38D0">
        <w:rPr>
          <w:rFonts w:hint="cs"/>
          <w:rtl/>
        </w:rPr>
        <w:t xml:space="preserve"> 75.2 </w:t>
      </w:r>
      <w:proofErr w:type="gramStart"/>
      <w:r w:rsidR="00CD38D0">
        <w:rPr>
          <w:rFonts w:hint="cs"/>
          <w:rtl/>
        </w:rPr>
        <w:t>مليون</w:t>
      </w:r>
      <w:proofErr w:type="gramEnd"/>
      <w:r w:rsidR="00CD38D0">
        <w:rPr>
          <w:rFonts w:hint="cs"/>
          <w:rtl/>
        </w:rPr>
        <w:t xml:space="preserve"> فرنك سويسري وهي قيمة ميزانية المشروع الموافق عليها أصلا، علما بأن من غير الممكن تأكيد الرقم النهائي لمجمل تكلفة المشروع للأسباب المذكورة أعلاه.</w:t>
      </w:r>
    </w:p>
    <w:p w:rsidR="00BF5BAB" w:rsidRPr="00FF30B7" w:rsidRDefault="00BF5BAB" w:rsidP="00FF30B7">
      <w:pPr>
        <w:pStyle w:val="NormalParaAR"/>
        <w:keepNext/>
        <w:rPr>
          <w:b/>
          <w:bCs/>
          <w:sz w:val="40"/>
          <w:szCs w:val="40"/>
          <w:rtl/>
        </w:rPr>
      </w:pPr>
      <w:proofErr w:type="gramStart"/>
      <w:r w:rsidRPr="00FF30B7">
        <w:rPr>
          <w:rFonts w:hint="cs"/>
          <w:b/>
          <w:bCs/>
          <w:sz w:val="40"/>
          <w:szCs w:val="40"/>
          <w:rtl/>
        </w:rPr>
        <w:t>تقرير</w:t>
      </w:r>
      <w:proofErr w:type="gramEnd"/>
      <w:r w:rsidRPr="00FF30B7">
        <w:rPr>
          <w:rFonts w:hint="cs"/>
          <w:b/>
          <w:bCs/>
          <w:sz w:val="40"/>
          <w:szCs w:val="40"/>
          <w:rtl/>
        </w:rPr>
        <w:t xml:space="preserve"> </w:t>
      </w:r>
      <w:r w:rsidR="00CD38D0">
        <w:rPr>
          <w:rFonts w:hint="cs"/>
          <w:b/>
          <w:bCs/>
          <w:sz w:val="40"/>
          <w:szCs w:val="40"/>
          <w:rtl/>
        </w:rPr>
        <w:t>عن العبر المستخلصة</w:t>
      </w:r>
    </w:p>
    <w:p w:rsidR="00BF5BAB" w:rsidRPr="00FF30B7" w:rsidRDefault="00CD38D0" w:rsidP="00CD38D0">
      <w:pPr>
        <w:pStyle w:val="NumberedParaAR"/>
      </w:pPr>
      <w:proofErr w:type="gramStart"/>
      <w:r>
        <w:rPr>
          <w:rFonts w:hint="cs"/>
          <w:rtl/>
        </w:rPr>
        <w:t>وتُعلم</w:t>
      </w:r>
      <w:proofErr w:type="gramEnd"/>
      <w:r>
        <w:rPr>
          <w:rFonts w:hint="cs"/>
          <w:rtl/>
        </w:rPr>
        <w:t xml:space="preserve"> الأمانة الجمعيات بأنها ستعد </w:t>
      </w:r>
      <w:r w:rsidRPr="00CD38D0">
        <w:rPr>
          <w:rtl/>
        </w:rPr>
        <w:t>تقرير عن العبر المستخلصة</w:t>
      </w:r>
      <w:r>
        <w:rPr>
          <w:rFonts w:hint="cs"/>
          <w:rtl/>
        </w:rPr>
        <w:t xml:space="preserve"> بشأن المشروعين وتعتزم رفعه إلى الجمعيات عن طريق </w:t>
      </w:r>
      <w:r w:rsidR="00E12F67">
        <w:rPr>
          <w:rFonts w:hint="cs"/>
          <w:rtl/>
        </w:rPr>
        <w:t>لجنة البرنامج والميزانية في دورتي اللجنة والجمعيات عام 2016.</w:t>
      </w:r>
    </w:p>
    <w:p w:rsidR="00BF5BAB" w:rsidRDefault="00BF5BAB" w:rsidP="00FF30B7">
      <w:pPr>
        <w:pStyle w:val="NormalParaAR"/>
        <w:keepNext/>
        <w:rPr>
          <w:b/>
          <w:bCs/>
          <w:sz w:val="40"/>
          <w:szCs w:val="40"/>
          <w:rtl/>
        </w:rPr>
      </w:pPr>
      <w:r w:rsidRPr="00BF5BAB">
        <w:rPr>
          <w:rFonts w:hint="cs"/>
          <w:b/>
          <w:bCs/>
          <w:sz w:val="40"/>
          <w:szCs w:val="40"/>
          <w:rtl/>
        </w:rPr>
        <w:t>الخاتمة</w:t>
      </w:r>
    </w:p>
    <w:p w:rsidR="00BF5BAB" w:rsidRPr="00BF5BAB" w:rsidRDefault="00BF5BAB" w:rsidP="009859B7">
      <w:pPr>
        <w:pStyle w:val="NumberedParaAR"/>
        <w:rPr>
          <w:rtl/>
        </w:rPr>
      </w:pPr>
      <w:r>
        <w:rPr>
          <w:rFonts w:hint="cs"/>
          <w:rtl/>
        </w:rPr>
        <w:t xml:space="preserve">فيما يلي </w:t>
      </w:r>
      <w:proofErr w:type="gramStart"/>
      <w:r>
        <w:rPr>
          <w:rFonts w:hint="cs"/>
          <w:rtl/>
        </w:rPr>
        <w:t>فقرة</w:t>
      </w:r>
      <w:proofErr w:type="gramEnd"/>
      <w:r>
        <w:rPr>
          <w:rFonts w:hint="cs"/>
          <w:rtl/>
        </w:rPr>
        <w:t xml:space="preserve"> القرار المقترحة.</w:t>
      </w:r>
    </w:p>
    <w:p w:rsidR="00BF5BAB" w:rsidRDefault="00BF5BAB" w:rsidP="00E12F67">
      <w:pPr>
        <w:pStyle w:val="DecisionParaAR"/>
        <w:numPr>
          <w:ilvl w:val="0"/>
          <w:numId w:val="0"/>
        </w:numPr>
        <w:spacing w:after="120"/>
        <w:ind w:left="6236" w:hanging="702"/>
        <w:rPr>
          <w:rtl/>
          <w:lang w:bidi="ar-EG"/>
        </w:rPr>
      </w:pPr>
      <w:r>
        <w:rPr>
          <w:rFonts w:hint="cs"/>
          <w:rtl/>
        </w:rPr>
        <w:t>18</w:t>
      </w:r>
      <w:r w:rsidRPr="00E12F67">
        <w:rPr>
          <w:rFonts w:hint="cs"/>
          <w:rtl/>
        </w:rPr>
        <w:t>.</w:t>
      </w:r>
      <w:r w:rsidR="00E12F67">
        <w:rPr>
          <w:rFonts w:hint="cs"/>
          <w:rtl/>
        </w:rPr>
        <w:tab/>
        <w:t>إن جمعيات الدول الأعضاء في الويبو والاتحادات التي تديرها الويبو</w:t>
      </w:r>
      <w:r w:rsidR="00E12F67">
        <w:rPr>
          <w:rFonts w:hint="cs"/>
          <w:rtl/>
          <w:lang w:bidi="ar-EG"/>
        </w:rPr>
        <w:t>، كل في ما يعنيه</w:t>
      </w:r>
      <w:r w:rsidR="008D0941">
        <w:rPr>
          <w:rFonts w:hint="cs"/>
          <w:rtl/>
          <w:lang w:bidi="ar-EG"/>
        </w:rPr>
        <w:t>،</w:t>
      </w:r>
    </w:p>
    <w:p w:rsidR="00DA7B3C" w:rsidRDefault="00DA7B3C" w:rsidP="008D0941">
      <w:pPr>
        <w:pStyle w:val="DecisionParaAR"/>
        <w:numPr>
          <w:ilvl w:val="0"/>
          <w:numId w:val="0"/>
        </w:numPr>
        <w:spacing w:after="120"/>
        <w:ind w:left="6236"/>
        <w:rPr>
          <w:rtl/>
        </w:rPr>
      </w:pPr>
      <w:r>
        <w:rPr>
          <w:rFonts w:hint="cs"/>
          <w:rtl/>
        </w:rPr>
        <w:t>(أ)</w:t>
      </w:r>
      <w:r>
        <w:rPr>
          <w:rtl/>
        </w:rPr>
        <w:tab/>
      </w:r>
      <w:proofErr w:type="gramStart"/>
      <w:r>
        <w:rPr>
          <w:rFonts w:hint="cs"/>
          <w:rtl/>
        </w:rPr>
        <w:t>أحاطت</w:t>
      </w:r>
      <w:proofErr w:type="gramEnd"/>
      <w:r>
        <w:rPr>
          <w:rFonts w:hint="cs"/>
          <w:rtl/>
        </w:rPr>
        <w:t xml:space="preserve"> علما بمضمون التقرير المرحلي عن مشروع البناء الجديد ومشروع قاعة المؤتمرات الجديدة (الوثيقة</w:t>
      </w:r>
      <w:r w:rsidR="00FC5F8E">
        <w:rPr>
          <w:rFonts w:hint="eastAsia"/>
          <w:rtl/>
        </w:rPr>
        <w:t> </w:t>
      </w:r>
      <w:r w:rsidR="00BF5BAB">
        <w:t>A/55/11</w:t>
      </w:r>
      <w:r>
        <w:rPr>
          <w:rFonts w:hint="cs"/>
          <w:rtl/>
        </w:rPr>
        <w:t xml:space="preserve">)، بما في ذلك </w:t>
      </w:r>
      <w:r w:rsidR="008D0941">
        <w:rPr>
          <w:rFonts w:hint="cs"/>
          <w:rtl/>
        </w:rPr>
        <w:t xml:space="preserve">وجود </w:t>
      </w:r>
      <w:r>
        <w:rPr>
          <w:rFonts w:hint="cs"/>
          <w:rtl/>
        </w:rPr>
        <w:t>منا</w:t>
      </w:r>
      <w:r w:rsidR="00502AA3">
        <w:rPr>
          <w:rFonts w:hint="cs"/>
          <w:rtl/>
        </w:rPr>
        <w:t>قشات جارية مع</w:t>
      </w:r>
      <w:r>
        <w:rPr>
          <w:rFonts w:hint="cs"/>
          <w:rtl/>
        </w:rPr>
        <w:t xml:space="preserve"> الشركات</w:t>
      </w:r>
      <w:r w:rsidR="00BF5BAB">
        <w:rPr>
          <w:rFonts w:hint="cs"/>
          <w:rtl/>
        </w:rPr>
        <w:t xml:space="preserve"> الثلاث</w:t>
      </w:r>
      <w:r>
        <w:rPr>
          <w:rFonts w:hint="cs"/>
          <w:rtl/>
        </w:rPr>
        <w:t xml:space="preserve"> </w:t>
      </w:r>
      <w:r w:rsidR="008D0941">
        <w:rPr>
          <w:rFonts w:hint="cs"/>
          <w:rtl/>
        </w:rPr>
        <w:t>والمكاتب</w:t>
      </w:r>
      <w:r>
        <w:rPr>
          <w:rFonts w:hint="cs"/>
          <w:rtl/>
        </w:rPr>
        <w:t xml:space="preserve"> المهنية المتخصصة ال</w:t>
      </w:r>
      <w:r w:rsidR="00BF5BAB">
        <w:rPr>
          <w:rFonts w:hint="cs"/>
          <w:rtl/>
        </w:rPr>
        <w:t>ثلاث</w:t>
      </w:r>
      <w:r>
        <w:rPr>
          <w:rFonts w:hint="cs"/>
          <w:rtl/>
        </w:rPr>
        <w:t xml:space="preserve"> المتبقية بشأن حساباتها الختامية؛</w:t>
      </w:r>
    </w:p>
    <w:p w:rsidR="00DA7B3C" w:rsidRDefault="00DA7B3C" w:rsidP="00670871">
      <w:pPr>
        <w:pStyle w:val="DecisionParaAR"/>
        <w:numPr>
          <w:ilvl w:val="0"/>
          <w:numId w:val="0"/>
        </w:numPr>
        <w:spacing w:after="120"/>
        <w:ind w:left="6236"/>
        <w:rPr>
          <w:rtl/>
        </w:rPr>
      </w:pPr>
      <w:r>
        <w:rPr>
          <w:rFonts w:hint="cs"/>
          <w:rtl/>
        </w:rPr>
        <w:t>(ب)</w:t>
      </w:r>
      <w:r>
        <w:rPr>
          <w:rtl/>
        </w:rPr>
        <w:tab/>
      </w:r>
      <w:r w:rsidR="008D0941">
        <w:rPr>
          <w:rFonts w:hint="cs"/>
          <w:rtl/>
        </w:rPr>
        <w:t>و</w:t>
      </w:r>
      <w:r w:rsidR="00BF5BAB">
        <w:rPr>
          <w:rFonts w:hint="cs"/>
          <w:rtl/>
        </w:rPr>
        <w:t xml:space="preserve">أحاطت </w:t>
      </w:r>
      <w:proofErr w:type="gramStart"/>
      <w:r w:rsidR="00BF5BAB">
        <w:rPr>
          <w:rFonts w:hint="cs"/>
          <w:rtl/>
        </w:rPr>
        <w:t>علما</w:t>
      </w:r>
      <w:proofErr w:type="gramEnd"/>
      <w:r w:rsidR="00BF5BAB">
        <w:rPr>
          <w:rFonts w:hint="cs"/>
          <w:rtl/>
        </w:rPr>
        <w:t xml:space="preserve"> بأن الأمانة</w:t>
      </w:r>
      <w:r w:rsidR="00502AA3">
        <w:rPr>
          <w:rFonts w:hint="cs"/>
          <w:rtl/>
        </w:rPr>
        <w:t>:</w:t>
      </w:r>
    </w:p>
    <w:p w:rsidR="008D0941" w:rsidRDefault="00502AA3" w:rsidP="008D0941">
      <w:pPr>
        <w:pStyle w:val="DecisionParaAR"/>
        <w:numPr>
          <w:ilvl w:val="0"/>
          <w:numId w:val="0"/>
        </w:numPr>
        <w:spacing w:after="120"/>
        <w:ind w:left="6803"/>
        <w:rPr>
          <w:rtl/>
        </w:rPr>
      </w:pPr>
      <w:r>
        <w:rPr>
          <w:rFonts w:hint="cs"/>
          <w:rtl/>
        </w:rPr>
        <w:t>"1"</w:t>
      </w:r>
      <w:r>
        <w:rPr>
          <w:rtl/>
        </w:rPr>
        <w:tab/>
      </w:r>
      <w:proofErr w:type="gramStart"/>
      <w:r w:rsidR="009859B7">
        <w:rPr>
          <w:rFonts w:hint="cs"/>
          <w:rtl/>
        </w:rPr>
        <w:t>بذلت</w:t>
      </w:r>
      <w:proofErr w:type="gramEnd"/>
      <w:r w:rsidR="009859B7">
        <w:rPr>
          <w:rFonts w:hint="cs"/>
          <w:rtl/>
        </w:rPr>
        <w:t xml:space="preserve"> أفضل مساعيها ل</w:t>
      </w:r>
      <w:r>
        <w:rPr>
          <w:rFonts w:hint="cs"/>
          <w:rtl/>
        </w:rPr>
        <w:t xml:space="preserve">لحد، بأكبر قدر ممكن، من التمويل الإضافي </w:t>
      </w:r>
      <w:r w:rsidR="00FC5F8E">
        <w:rPr>
          <w:rFonts w:hint="cs"/>
          <w:rtl/>
        </w:rPr>
        <w:t>الذي قد يلزم</w:t>
      </w:r>
      <w:r>
        <w:rPr>
          <w:rFonts w:hint="cs"/>
          <w:rtl/>
        </w:rPr>
        <w:t xml:space="preserve"> تخصيصه لاختتام وإقفال كل الحسابات المرتبطة ب</w:t>
      </w:r>
      <w:r w:rsidR="009859B7">
        <w:rPr>
          <w:rFonts w:hint="cs"/>
          <w:rtl/>
        </w:rPr>
        <w:t xml:space="preserve">مشروع </w:t>
      </w:r>
      <w:r>
        <w:rPr>
          <w:rFonts w:hint="cs"/>
          <w:rtl/>
        </w:rPr>
        <w:t>قاعة</w:t>
      </w:r>
      <w:bookmarkStart w:id="2" w:name="_GoBack"/>
      <w:bookmarkEnd w:id="2"/>
      <w:r>
        <w:rPr>
          <w:rFonts w:hint="cs"/>
          <w:rtl/>
        </w:rPr>
        <w:t xml:space="preserve"> المؤتمرات الجديدة؛</w:t>
      </w:r>
    </w:p>
    <w:p w:rsidR="008D0941" w:rsidRDefault="008D0941">
      <w:pPr>
        <w:rPr>
          <w:rFonts w:ascii="Arabic Typesetting" w:hAnsi="Arabic Typesetting" w:cs="Arabic Typesetting"/>
          <w:i/>
          <w:iCs/>
          <w:sz w:val="36"/>
          <w:szCs w:val="36"/>
          <w:rtl/>
        </w:rPr>
      </w:pPr>
      <w:r>
        <w:rPr>
          <w:rtl/>
        </w:rPr>
        <w:br w:type="page"/>
      </w:r>
    </w:p>
    <w:p w:rsidR="00502AA3" w:rsidRDefault="008D0941" w:rsidP="008D0941">
      <w:pPr>
        <w:pStyle w:val="DecisionParaAR"/>
        <w:keepNext/>
        <w:numPr>
          <w:ilvl w:val="0"/>
          <w:numId w:val="0"/>
        </w:numPr>
        <w:spacing w:after="120"/>
        <w:ind w:left="6803"/>
        <w:rPr>
          <w:rtl/>
        </w:rPr>
      </w:pPr>
      <w:r>
        <w:rPr>
          <w:rFonts w:hint="cs"/>
          <w:rtl/>
        </w:rPr>
        <w:lastRenderedPageBreak/>
        <w:t>"2"</w:t>
      </w:r>
      <w:r>
        <w:rPr>
          <w:rFonts w:hint="cs"/>
          <w:rtl/>
        </w:rPr>
        <w:tab/>
        <w:t>و</w:t>
      </w:r>
      <w:r w:rsidR="009859B7">
        <w:rPr>
          <w:rFonts w:hint="cs"/>
          <w:rtl/>
        </w:rPr>
        <w:t>أقفلت</w:t>
      </w:r>
      <w:r w:rsidR="009859B7" w:rsidRPr="009859B7">
        <w:rPr>
          <w:rFonts w:hint="cs"/>
          <w:i w:val="0"/>
          <w:iCs w:val="0"/>
          <w:rtl/>
        </w:rPr>
        <w:t xml:space="preserve"> </w:t>
      </w:r>
      <w:r w:rsidR="009859B7">
        <w:rPr>
          <w:rFonts w:hint="cs"/>
          <w:rtl/>
        </w:rPr>
        <w:t xml:space="preserve">جميع الحسابات </w:t>
      </w:r>
      <w:r w:rsidR="009859B7" w:rsidRPr="009859B7">
        <w:rPr>
          <w:rFonts w:hint="cs"/>
          <w:rtl/>
        </w:rPr>
        <w:t xml:space="preserve">(102 من أصل 108) </w:t>
      </w:r>
      <w:r w:rsidR="009859B7">
        <w:rPr>
          <w:rFonts w:hint="cs"/>
          <w:rtl/>
        </w:rPr>
        <w:t xml:space="preserve">المرتبطة بمشروع قاعة المؤتمرات الجديدة قبل انعقاد جمعيات </w:t>
      </w:r>
      <w:r>
        <w:rPr>
          <w:rFonts w:hint="cs"/>
          <w:rtl/>
        </w:rPr>
        <w:t xml:space="preserve">في </w:t>
      </w:r>
      <w:r w:rsidR="009859B7">
        <w:rPr>
          <w:rFonts w:hint="cs"/>
          <w:rtl/>
        </w:rPr>
        <w:t>عام</w:t>
      </w:r>
      <w:r>
        <w:rPr>
          <w:rFonts w:hint="eastAsia"/>
          <w:rtl/>
        </w:rPr>
        <w:t> </w:t>
      </w:r>
      <w:r w:rsidR="009859B7">
        <w:rPr>
          <w:rFonts w:hint="cs"/>
          <w:rtl/>
        </w:rPr>
        <w:t>2015</w:t>
      </w:r>
      <w:proofErr w:type="gramStart"/>
      <w:r w:rsidR="009859B7">
        <w:rPr>
          <w:rFonts w:hint="cs"/>
          <w:rtl/>
        </w:rPr>
        <w:t>؛</w:t>
      </w:r>
      <w:r>
        <w:rPr>
          <w:rFonts w:hint="cs"/>
          <w:rtl/>
        </w:rPr>
        <w:t>وستبذل</w:t>
      </w:r>
      <w:proofErr w:type="gramEnd"/>
      <w:r w:rsidR="009859B7">
        <w:t xml:space="preserve"> </w:t>
      </w:r>
      <w:r>
        <w:rPr>
          <w:rFonts w:hint="cs"/>
          <w:rtl/>
        </w:rPr>
        <w:t>كل جهد ممكن لإقفال الحسابات الستة المتبقية في أقرب وقت ممكن بعد</w:t>
      </w:r>
      <w:r>
        <w:rPr>
          <w:rFonts w:hint="eastAsia"/>
          <w:rtl/>
        </w:rPr>
        <w:t> </w:t>
      </w:r>
      <w:r>
        <w:rPr>
          <w:rFonts w:hint="cs"/>
          <w:rtl/>
        </w:rPr>
        <w:t>الجمعيات.</w:t>
      </w:r>
    </w:p>
    <w:p w:rsidR="00502AA3" w:rsidRPr="006A0373" w:rsidRDefault="00502AA3" w:rsidP="007005E5">
      <w:pPr>
        <w:pStyle w:val="DecisionParaAR"/>
        <w:numPr>
          <w:ilvl w:val="0"/>
          <w:numId w:val="0"/>
        </w:numPr>
        <w:spacing w:after="120"/>
        <w:ind w:left="6236"/>
        <w:rPr>
          <w:rtl/>
        </w:rPr>
      </w:pPr>
      <w:r w:rsidRPr="006A0373">
        <w:rPr>
          <w:rFonts w:hint="cs"/>
          <w:rtl/>
        </w:rPr>
        <w:t>(ج)</w:t>
      </w:r>
      <w:r w:rsidRPr="006A0373">
        <w:rPr>
          <w:rtl/>
        </w:rPr>
        <w:tab/>
      </w:r>
      <w:r w:rsidR="00EF06A6" w:rsidRPr="006A0373">
        <w:rPr>
          <w:rFonts w:hint="cs"/>
          <w:rtl/>
        </w:rPr>
        <w:t>ووافقت</w:t>
      </w:r>
      <w:r w:rsidR="00EF06A6" w:rsidRPr="006A0373">
        <w:rPr>
          <w:rtl/>
        </w:rPr>
        <w:t xml:space="preserve"> استثنائيا</w:t>
      </w:r>
      <w:r w:rsidR="00EF06A6" w:rsidRPr="006A0373">
        <w:rPr>
          <w:rFonts w:hint="cs"/>
          <w:rtl/>
        </w:rPr>
        <w:t xml:space="preserve"> </w:t>
      </w:r>
      <w:r w:rsidR="00EF06A6" w:rsidRPr="006A0373">
        <w:rPr>
          <w:rtl/>
        </w:rPr>
        <w:t>على تغطية أية مصروفات إضافية محتملة تتعلق باختتام وإقفال الحسابات المرتبطة ب</w:t>
      </w:r>
      <w:r w:rsidR="00EF06A6" w:rsidRPr="006A0373">
        <w:rPr>
          <w:rFonts w:hint="cs"/>
          <w:rtl/>
        </w:rPr>
        <w:t xml:space="preserve">مشروع </w:t>
      </w:r>
      <w:r w:rsidR="00EF06A6" w:rsidRPr="006A0373">
        <w:rPr>
          <w:rtl/>
        </w:rPr>
        <w:t xml:space="preserve">قاعة المؤتمرات الجديدة وتزيد على الميزانية المعتمدة لقاعة المؤتمرات المذكورة </w:t>
      </w:r>
      <w:r w:rsidR="006A0373">
        <w:rPr>
          <w:rFonts w:hint="cs"/>
          <w:rtl/>
        </w:rPr>
        <w:t>بقيمة </w:t>
      </w:r>
      <w:r w:rsidR="00EF06A6" w:rsidRPr="006A0373">
        <w:rPr>
          <w:rtl/>
        </w:rPr>
        <w:t xml:space="preserve">75.2 </w:t>
      </w:r>
      <w:proofErr w:type="gramStart"/>
      <w:r w:rsidR="00EF06A6" w:rsidRPr="006A0373">
        <w:rPr>
          <w:rtl/>
        </w:rPr>
        <w:t>مليون</w:t>
      </w:r>
      <w:proofErr w:type="gramEnd"/>
      <w:r w:rsidR="00EF06A6" w:rsidRPr="006A0373">
        <w:rPr>
          <w:rtl/>
        </w:rPr>
        <w:t xml:space="preserve"> فرنك سويسري، من الميزانية الإجمالية الواردة في البرنامج والميزانية المعتمدة للثنائية 2014/15</w:t>
      </w:r>
      <w:r w:rsidR="007005E5">
        <w:rPr>
          <w:rFonts w:hint="cs"/>
          <w:rtl/>
        </w:rPr>
        <w:t>،</w:t>
      </w:r>
      <w:r w:rsidR="00EF06A6" w:rsidRPr="006A0373">
        <w:rPr>
          <w:rFonts w:hint="cs"/>
          <w:rtl/>
        </w:rPr>
        <w:t xml:space="preserve"> </w:t>
      </w:r>
      <w:r w:rsidR="007005E5">
        <w:rPr>
          <w:rFonts w:hint="cs"/>
          <w:rtl/>
        </w:rPr>
        <w:t>ب</w:t>
      </w:r>
      <w:r w:rsidR="00EF06A6" w:rsidRPr="006A0373">
        <w:rPr>
          <w:rFonts w:hint="cs"/>
          <w:rtl/>
        </w:rPr>
        <w:t>مبلغ لا يفوق 3.5</w:t>
      </w:r>
      <w:r w:rsidR="00EF06A6" w:rsidRPr="006A0373">
        <w:rPr>
          <w:rtl/>
        </w:rPr>
        <w:t xml:space="preserve"> </w:t>
      </w:r>
      <w:proofErr w:type="gramStart"/>
      <w:r w:rsidR="00EF06A6" w:rsidRPr="006A0373">
        <w:rPr>
          <w:rtl/>
        </w:rPr>
        <w:t>مليون</w:t>
      </w:r>
      <w:proofErr w:type="gramEnd"/>
      <w:r w:rsidR="00EF06A6" w:rsidRPr="006A0373">
        <w:rPr>
          <w:rtl/>
        </w:rPr>
        <w:t xml:space="preserve"> فرنك سويسري.</w:t>
      </w:r>
    </w:p>
    <w:p w:rsidR="006A0373" w:rsidRDefault="006A0373" w:rsidP="008C6957">
      <w:pPr>
        <w:pStyle w:val="EndofDocumentAR"/>
        <w:rPr>
          <w:rtl/>
        </w:rPr>
      </w:pPr>
    </w:p>
    <w:p w:rsidR="008C6957" w:rsidRDefault="008C6957" w:rsidP="008C6957">
      <w:pPr>
        <w:pStyle w:val="EndofDocumentAR"/>
        <w:rPr>
          <w:rtl/>
        </w:rPr>
      </w:pPr>
      <w:r>
        <w:rPr>
          <w:rFonts w:hint="cs"/>
          <w:rtl/>
        </w:rPr>
        <w:t>[</w:t>
      </w:r>
      <w:proofErr w:type="gramStart"/>
      <w:r>
        <w:rPr>
          <w:rFonts w:hint="cs"/>
          <w:rtl/>
        </w:rPr>
        <w:t>نهاية</w:t>
      </w:r>
      <w:proofErr w:type="gramEnd"/>
      <w:r>
        <w:rPr>
          <w:rFonts w:hint="cs"/>
          <w:rtl/>
        </w:rPr>
        <w:t xml:space="preserve"> الوثيقة]</w:t>
      </w:r>
    </w:p>
    <w:sectPr w:rsidR="008C695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C53" w:rsidRDefault="00746C53">
      <w:r>
        <w:separator/>
      </w:r>
    </w:p>
  </w:endnote>
  <w:endnote w:type="continuationSeparator" w:id="0">
    <w:p w:rsidR="00746C53" w:rsidRDefault="0074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C53" w:rsidRDefault="00746C53" w:rsidP="009622BF">
      <w:pPr>
        <w:bidi/>
      </w:pPr>
      <w:bookmarkStart w:id="0" w:name="OLE_LINK1"/>
      <w:bookmarkStart w:id="1" w:name="OLE_LINK2"/>
      <w:r>
        <w:separator/>
      </w:r>
      <w:bookmarkEnd w:id="0"/>
      <w:bookmarkEnd w:id="1"/>
    </w:p>
  </w:footnote>
  <w:footnote w:type="continuationSeparator" w:id="0">
    <w:p w:rsidR="00746C53" w:rsidRDefault="00746C5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52E6B" w:rsidP="00A9449A">
    <w:r>
      <w:t>A/55/11</w:t>
    </w:r>
  </w:p>
  <w:p w:rsidR="002F77FC" w:rsidRDefault="002F77FC" w:rsidP="00D61541">
    <w:r>
      <w:fldChar w:fldCharType="begin"/>
    </w:r>
    <w:r>
      <w:instrText xml:space="preserve"> PAGE  \* MERGEFORMAT </w:instrText>
    </w:r>
    <w:r>
      <w:fldChar w:fldCharType="separate"/>
    </w:r>
    <w:r w:rsidR="000B417E">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C5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6634"/>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E2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2E6B"/>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41B2"/>
    <w:rsid w:val="00075745"/>
    <w:rsid w:val="00075A04"/>
    <w:rsid w:val="00075D39"/>
    <w:rsid w:val="000760C3"/>
    <w:rsid w:val="000763A4"/>
    <w:rsid w:val="00076901"/>
    <w:rsid w:val="0008237C"/>
    <w:rsid w:val="000833C3"/>
    <w:rsid w:val="00083A44"/>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17E"/>
    <w:rsid w:val="000B42E7"/>
    <w:rsid w:val="000B652A"/>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C35"/>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27A5"/>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046"/>
    <w:rsid w:val="001A4A9C"/>
    <w:rsid w:val="001A6B88"/>
    <w:rsid w:val="001A6C33"/>
    <w:rsid w:val="001A6E68"/>
    <w:rsid w:val="001B3131"/>
    <w:rsid w:val="001B4B2F"/>
    <w:rsid w:val="001B7C00"/>
    <w:rsid w:val="001C09D2"/>
    <w:rsid w:val="001C1620"/>
    <w:rsid w:val="001C18B2"/>
    <w:rsid w:val="001C1994"/>
    <w:rsid w:val="001C2933"/>
    <w:rsid w:val="001C410A"/>
    <w:rsid w:val="001C5EEE"/>
    <w:rsid w:val="001C6A73"/>
    <w:rsid w:val="001C73C2"/>
    <w:rsid w:val="001D0474"/>
    <w:rsid w:val="001D141D"/>
    <w:rsid w:val="001D1EBD"/>
    <w:rsid w:val="001D2184"/>
    <w:rsid w:val="001D24F3"/>
    <w:rsid w:val="001D2678"/>
    <w:rsid w:val="001D2DC4"/>
    <w:rsid w:val="001D6548"/>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B8C"/>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5F39"/>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4F09"/>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1E7C"/>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098B"/>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8F3"/>
    <w:rsid w:val="003E1A49"/>
    <w:rsid w:val="003E2D01"/>
    <w:rsid w:val="003E330E"/>
    <w:rsid w:val="003E3AE3"/>
    <w:rsid w:val="003E47C9"/>
    <w:rsid w:val="003E5733"/>
    <w:rsid w:val="003E5E27"/>
    <w:rsid w:val="003E6FD2"/>
    <w:rsid w:val="003E788F"/>
    <w:rsid w:val="003E7A97"/>
    <w:rsid w:val="003E7D3A"/>
    <w:rsid w:val="003F0950"/>
    <w:rsid w:val="003F09C9"/>
    <w:rsid w:val="003F4B4B"/>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0F8E"/>
    <w:rsid w:val="00412057"/>
    <w:rsid w:val="004126C1"/>
    <w:rsid w:val="00413BA5"/>
    <w:rsid w:val="004142B7"/>
    <w:rsid w:val="00414FD0"/>
    <w:rsid w:val="00417E93"/>
    <w:rsid w:val="00422A2A"/>
    <w:rsid w:val="00424BB4"/>
    <w:rsid w:val="004258CD"/>
    <w:rsid w:val="004261D2"/>
    <w:rsid w:val="004303D1"/>
    <w:rsid w:val="00430C64"/>
    <w:rsid w:val="0043117F"/>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2B45"/>
    <w:rsid w:val="004647BB"/>
    <w:rsid w:val="0046482B"/>
    <w:rsid w:val="004648E0"/>
    <w:rsid w:val="004704D3"/>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A6EF0"/>
    <w:rsid w:val="004A7668"/>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2AA3"/>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045A"/>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5A07"/>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4F3"/>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0871"/>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373"/>
    <w:rsid w:val="006A1E9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0BBB"/>
    <w:rsid w:val="006D6E46"/>
    <w:rsid w:val="006D7FA8"/>
    <w:rsid w:val="006E4601"/>
    <w:rsid w:val="006E5B86"/>
    <w:rsid w:val="006E63FF"/>
    <w:rsid w:val="006E652D"/>
    <w:rsid w:val="006E7572"/>
    <w:rsid w:val="006F2F22"/>
    <w:rsid w:val="006F434A"/>
    <w:rsid w:val="006F6195"/>
    <w:rsid w:val="006F7974"/>
    <w:rsid w:val="007005E5"/>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2804"/>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C53"/>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96B"/>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0D2A"/>
    <w:rsid w:val="008A1594"/>
    <w:rsid w:val="008A1757"/>
    <w:rsid w:val="008A1CE6"/>
    <w:rsid w:val="008A1F25"/>
    <w:rsid w:val="008A47FB"/>
    <w:rsid w:val="008A5234"/>
    <w:rsid w:val="008A5397"/>
    <w:rsid w:val="008A6861"/>
    <w:rsid w:val="008A7522"/>
    <w:rsid w:val="008A7B55"/>
    <w:rsid w:val="008A7F3E"/>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6957"/>
    <w:rsid w:val="008C7736"/>
    <w:rsid w:val="008D0941"/>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5E08"/>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4D2"/>
    <w:rsid w:val="009666E7"/>
    <w:rsid w:val="00967110"/>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59B7"/>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161"/>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12C2"/>
    <w:rsid w:val="00A11D8B"/>
    <w:rsid w:val="00A13947"/>
    <w:rsid w:val="00A13E2B"/>
    <w:rsid w:val="00A1562A"/>
    <w:rsid w:val="00A15901"/>
    <w:rsid w:val="00A1618E"/>
    <w:rsid w:val="00A161A1"/>
    <w:rsid w:val="00A20562"/>
    <w:rsid w:val="00A20F75"/>
    <w:rsid w:val="00A212B1"/>
    <w:rsid w:val="00A26FFF"/>
    <w:rsid w:val="00A27BC0"/>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449A"/>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4C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1282"/>
    <w:rsid w:val="00B3398B"/>
    <w:rsid w:val="00B33B1E"/>
    <w:rsid w:val="00B362D9"/>
    <w:rsid w:val="00B36B99"/>
    <w:rsid w:val="00B36D20"/>
    <w:rsid w:val="00B36F67"/>
    <w:rsid w:val="00B40633"/>
    <w:rsid w:val="00B44049"/>
    <w:rsid w:val="00B44318"/>
    <w:rsid w:val="00B44C4B"/>
    <w:rsid w:val="00B477CB"/>
    <w:rsid w:val="00B508A7"/>
    <w:rsid w:val="00B5154A"/>
    <w:rsid w:val="00B52081"/>
    <w:rsid w:val="00B52695"/>
    <w:rsid w:val="00B545AF"/>
    <w:rsid w:val="00B55B09"/>
    <w:rsid w:val="00B56711"/>
    <w:rsid w:val="00B57EF2"/>
    <w:rsid w:val="00B604F3"/>
    <w:rsid w:val="00B6101C"/>
    <w:rsid w:val="00B615ED"/>
    <w:rsid w:val="00B63A9D"/>
    <w:rsid w:val="00B646A4"/>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4A9C"/>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16C"/>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5BAB"/>
    <w:rsid w:val="00C01804"/>
    <w:rsid w:val="00C026BC"/>
    <w:rsid w:val="00C02AD4"/>
    <w:rsid w:val="00C03869"/>
    <w:rsid w:val="00C04B86"/>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56C"/>
    <w:rsid w:val="00CA2A98"/>
    <w:rsid w:val="00CA2BAE"/>
    <w:rsid w:val="00CA34BA"/>
    <w:rsid w:val="00CA4503"/>
    <w:rsid w:val="00CA5A66"/>
    <w:rsid w:val="00CA651B"/>
    <w:rsid w:val="00CA796A"/>
    <w:rsid w:val="00CB2575"/>
    <w:rsid w:val="00CB3677"/>
    <w:rsid w:val="00CB368F"/>
    <w:rsid w:val="00CB4C42"/>
    <w:rsid w:val="00CB4DFA"/>
    <w:rsid w:val="00CB71A7"/>
    <w:rsid w:val="00CB79E4"/>
    <w:rsid w:val="00CB7BD7"/>
    <w:rsid w:val="00CC4CB6"/>
    <w:rsid w:val="00CC4DB0"/>
    <w:rsid w:val="00CC5038"/>
    <w:rsid w:val="00CC5326"/>
    <w:rsid w:val="00CC7426"/>
    <w:rsid w:val="00CC7910"/>
    <w:rsid w:val="00CD0C20"/>
    <w:rsid w:val="00CD297A"/>
    <w:rsid w:val="00CD38D0"/>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44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67931"/>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A7B3C"/>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7CE"/>
    <w:rsid w:val="00DD0839"/>
    <w:rsid w:val="00DD18B4"/>
    <w:rsid w:val="00DD26D0"/>
    <w:rsid w:val="00DD47D5"/>
    <w:rsid w:val="00DD6729"/>
    <w:rsid w:val="00DD7960"/>
    <w:rsid w:val="00DD7B0D"/>
    <w:rsid w:val="00DE1F29"/>
    <w:rsid w:val="00DE3FEB"/>
    <w:rsid w:val="00DE4905"/>
    <w:rsid w:val="00DE510C"/>
    <w:rsid w:val="00DE6DD6"/>
    <w:rsid w:val="00DE7822"/>
    <w:rsid w:val="00DF081A"/>
    <w:rsid w:val="00DF265D"/>
    <w:rsid w:val="00DF2EB0"/>
    <w:rsid w:val="00DF31C1"/>
    <w:rsid w:val="00DF427A"/>
    <w:rsid w:val="00DF45C5"/>
    <w:rsid w:val="00DF5A8C"/>
    <w:rsid w:val="00DF71D8"/>
    <w:rsid w:val="00E00CCA"/>
    <w:rsid w:val="00E01623"/>
    <w:rsid w:val="00E03FE3"/>
    <w:rsid w:val="00E049D3"/>
    <w:rsid w:val="00E06951"/>
    <w:rsid w:val="00E10C94"/>
    <w:rsid w:val="00E10EC4"/>
    <w:rsid w:val="00E118D7"/>
    <w:rsid w:val="00E12F6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3955"/>
    <w:rsid w:val="00E94468"/>
    <w:rsid w:val="00E94A0E"/>
    <w:rsid w:val="00E96226"/>
    <w:rsid w:val="00E96DDE"/>
    <w:rsid w:val="00EA04AE"/>
    <w:rsid w:val="00EA062F"/>
    <w:rsid w:val="00EA17A9"/>
    <w:rsid w:val="00EA311B"/>
    <w:rsid w:val="00EA36CA"/>
    <w:rsid w:val="00EA3D9C"/>
    <w:rsid w:val="00EA43C0"/>
    <w:rsid w:val="00EA4CB0"/>
    <w:rsid w:val="00EA566F"/>
    <w:rsid w:val="00EB1149"/>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4E61"/>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06A6"/>
    <w:rsid w:val="00EF13C5"/>
    <w:rsid w:val="00EF16D8"/>
    <w:rsid w:val="00EF1A15"/>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129"/>
    <w:rsid w:val="00FA169B"/>
    <w:rsid w:val="00FA2902"/>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5F8E"/>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0B7"/>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F5977-81CF-4F0E-9FD5-DBEFB4B94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WO_PBC_24_AR.dotx</Template>
  <TotalTime>137</TotalTime>
  <Pages>5</Pages>
  <Words>1456</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WO/PBC/24/13 (Arabic)</vt:lpstr>
    </vt:vector>
  </TitlesOfParts>
  <Company>World Intellectual Property Organization</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WO/PBC/24/13 (Arabic)</dc:title>
  <dc:creator>من إعداد الأمانة</dc:creator>
  <cp:lastModifiedBy>YOUSSEF Randa</cp:lastModifiedBy>
  <cp:revision>24</cp:revision>
  <cp:lastPrinted>2015-10-04T13:13:00Z</cp:lastPrinted>
  <dcterms:created xsi:type="dcterms:W3CDTF">2015-10-04T07:53:00Z</dcterms:created>
  <dcterms:modified xsi:type="dcterms:W3CDTF">2015-10-04T13:13:00Z</dcterms:modified>
</cp:coreProperties>
</file>