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C76865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</w:t>
            </w:r>
            <w:r w:rsidR="008C50F7">
              <w:t>4</w:t>
            </w:r>
            <w:r w:rsidR="0078268A">
              <w:t>/INF/5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8268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8268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8268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8268A">
              <w:rPr>
                <w:rFonts w:hint="cs"/>
                <w:rtl/>
              </w:rPr>
              <w:t>24</w:t>
            </w:r>
            <w:r w:rsidRPr="00B6101C">
              <w:rPr>
                <w:rFonts w:hint="cs"/>
                <w:rtl/>
              </w:rPr>
              <w:t xml:space="preserve"> </w:t>
            </w:r>
            <w:r w:rsidR="0078268A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C76865">
              <w:rPr>
                <w:rFonts w:hint="cs"/>
                <w:rtl/>
              </w:rPr>
              <w:t>4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8C50F7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8C50F7">
        <w:rPr>
          <w:rFonts w:hint="cs"/>
          <w:rtl/>
        </w:rPr>
        <w:t>الرابعة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8C50F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22 إلى 30 سبتمبر </w:t>
      </w:r>
      <w:r w:rsidR="00C76865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8268A" w:rsidP="00FB7EC9">
      <w:pPr>
        <w:pStyle w:val="DocumentTitleAR"/>
        <w:bidi/>
        <w:rPr>
          <w:rtl/>
        </w:rPr>
      </w:pPr>
      <w:r w:rsidRPr="0078268A">
        <w:rPr>
          <w:rtl/>
        </w:rPr>
        <w:t xml:space="preserve">استراتيجية </w:t>
      </w:r>
      <w:r>
        <w:rPr>
          <w:rFonts w:hint="cs"/>
          <w:rtl/>
        </w:rPr>
        <w:t>المنظمة العالمية للملكية الفكرية (</w:t>
      </w:r>
      <w:r w:rsidRPr="0078268A">
        <w:rPr>
          <w:rtl/>
        </w:rPr>
        <w:t>الويبو</w:t>
      </w:r>
      <w:r>
        <w:rPr>
          <w:rFonts w:hint="cs"/>
          <w:rtl/>
        </w:rPr>
        <w:t>)</w:t>
      </w:r>
      <w:r>
        <w:rPr>
          <w:rtl/>
        </w:rPr>
        <w:t xml:space="preserve"> </w:t>
      </w:r>
      <w:r w:rsidR="000D0735">
        <w:rPr>
          <w:rFonts w:hint="cs"/>
          <w:rtl/>
        </w:rPr>
        <w:t>ل</w:t>
      </w:r>
      <w:r w:rsidRPr="0078268A">
        <w:rPr>
          <w:rtl/>
        </w:rPr>
        <w:t>تكنولوجيا المعلومات والاتصالات</w:t>
      </w:r>
    </w:p>
    <w:p w:rsidR="00D61541" w:rsidRPr="00D61541" w:rsidRDefault="0078268A" w:rsidP="00931859">
      <w:pPr>
        <w:pStyle w:val="PreparedbyAR"/>
        <w:bidi/>
        <w:rPr>
          <w:rFonts w:hint="cs"/>
          <w:rtl/>
        </w:rPr>
      </w:pPr>
      <w:r>
        <w:rPr>
          <w:rFonts w:hint="cs"/>
          <w:rtl/>
        </w:rPr>
        <w:t xml:space="preserve">وثيقة إعلامية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8C50F7" w:rsidRDefault="000F6189" w:rsidP="000F6189">
      <w:pPr>
        <w:pStyle w:val="NumberedParaAR"/>
        <w:rPr>
          <w:rFonts w:hint="cs"/>
        </w:rPr>
      </w:pPr>
      <w:r>
        <w:rPr>
          <w:rFonts w:hint="cs"/>
          <w:rtl/>
        </w:rPr>
        <w:t xml:space="preserve">تحتوي هذه الوثيقة على </w:t>
      </w:r>
      <w:r w:rsidRPr="000F6189">
        <w:rPr>
          <w:rtl/>
        </w:rPr>
        <w:t>استراتيجية المنظمة العالمية ل</w:t>
      </w:r>
      <w:r w:rsidR="000D0735">
        <w:rPr>
          <w:rtl/>
        </w:rPr>
        <w:t xml:space="preserve">لملكية الفكرية (الويبو) </w:t>
      </w:r>
      <w:r w:rsidR="000D0735">
        <w:rPr>
          <w:rFonts w:hint="cs"/>
          <w:rtl/>
        </w:rPr>
        <w:t>ل</w:t>
      </w:r>
      <w:r w:rsidRPr="000F6189">
        <w:rPr>
          <w:rtl/>
        </w:rPr>
        <w:t>تكنولوجيا المعلومات والاتصالات</w:t>
      </w:r>
      <w:r>
        <w:rPr>
          <w:rFonts w:hint="cs"/>
          <w:rtl/>
        </w:rPr>
        <w:t>.</w:t>
      </w:r>
    </w:p>
    <w:p w:rsidR="000F6189" w:rsidRDefault="000F6189" w:rsidP="00543029">
      <w:pPr>
        <w:pStyle w:val="NumberedParaAR"/>
        <w:rPr>
          <w:rFonts w:hint="cs"/>
        </w:rPr>
      </w:pPr>
      <w:r>
        <w:rPr>
          <w:rFonts w:hint="cs"/>
          <w:rtl/>
        </w:rPr>
        <w:t xml:space="preserve">وبعد </w:t>
      </w:r>
      <w:r w:rsidR="00543029">
        <w:rPr>
          <w:rFonts w:hint="cs"/>
          <w:rtl/>
        </w:rPr>
        <w:t>عملية تداول وتناقش لمدة</w:t>
      </w:r>
      <w:r>
        <w:rPr>
          <w:rFonts w:hint="cs"/>
          <w:rtl/>
        </w:rPr>
        <w:t xml:space="preserve"> سنة، وافق مجلس الويبو لتكنولوجيا المعلومات والاتصالات، في دورته الحادية عشرة المعقودة في 15 نوفمبر 2013، على استراتيجية تكنولوجيا المعلومات والاتصالات المرفقة بهذه الوثيقة.</w:t>
      </w:r>
    </w:p>
    <w:p w:rsidR="000F6189" w:rsidRDefault="000F6189" w:rsidP="000F6189">
      <w:pPr>
        <w:pStyle w:val="NumberedParaAR"/>
        <w:rPr>
          <w:rFonts w:hint="cs"/>
        </w:rPr>
      </w:pPr>
      <w:r>
        <w:rPr>
          <w:rFonts w:hint="cs"/>
          <w:rtl/>
        </w:rPr>
        <w:t xml:space="preserve">ووُزّعت استراتيجية تكنولوجيا المعلومات والاتصالات على لجنة الويبو الاستشارية المستقلة للرقابة في اختتام دورتها الحادية والثلاثين </w:t>
      </w:r>
      <w:r w:rsidR="000D0735">
        <w:rPr>
          <w:rFonts w:hint="cs"/>
          <w:rtl/>
        </w:rPr>
        <w:t>في نوفمبر 2013. وعُرضت الاستراتيجية ونوقشت لاحقا خلال الدورة الثانية والثلاثين للجنة المذكورة، التي عُقدت في الفترة من 17 إلى 21 مارس 2014.</w:t>
      </w:r>
    </w:p>
    <w:p w:rsidR="000D0735" w:rsidRDefault="00021899" w:rsidP="00687AE0">
      <w:pPr>
        <w:pStyle w:val="NumberedParaAR"/>
        <w:spacing w:after="480"/>
        <w:rPr>
          <w:rFonts w:hint="cs"/>
        </w:rPr>
      </w:pPr>
      <w:proofErr w:type="spellStart"/>
      <w:r>
        <w:rPr>
          <w:rFonts w:hint="cs"/>
          <w:rtl/>
        </w:rPr>
        <w:t>وأتيحت</w:t>
      </w:r>
      <w:proofErr w:type="spellEnd"/>
      <w:r w:rsidR="000D0735">
        <w:rPr>
          <w:rFonts w:hint="cs"/>
          <w:rtl/>
        </w:rPr>
        <w:t xml:space="preserve"> استراتيجية تكنولوجيا المعلومات والاتصالات على موقع الويبو الإلكتروني العام في 10 ديسمبر 2013.</w:t>
      </w:r>
    </w:p>
    <w:p w:rsidR="000D0735" w:rsidRPr="007F38D1" w:rsidRDefault="000D0735" w:rsidP="000D0735">
      <w:pPr>
        <w:pStyle w:val="EndofDocumentAR"/>
      </w:pPr>
      <w:r>
        <w:rPr>
          <w:rFonts w:hint="cs"/>
          <w:rtl/>
        </w:rPr>
        <w:t xml:space="preserve">[تلي ذلك </w:t>
      </w:r>
      <w:r w:rsidR="00FC6EFC">
        <w:rPr>
          <w:rFonts w:hint="cs"/>
          <w:rtl/>
        </w:rPr>
        <w:t xml:space="preserve">استراتيجية الويبو لتكنولوجيا المعلومات </w:t>
      </w:r>
      <w:bookmarkStart w:id="2" w:name="_GoBack"/>
      <w:bookmarkEnd w:id="2"/>
      <w:r w:rsidR="00FC6EFC">
        <w:rPr>
          <w:rFonts w:hint="cs"/>
          <w:rtl/>
        </w:rPr>
        <w:t>والاتصالات]</w:t>
      </w:r>
    </w:p>
    <w:sectPr w:rsidR="000D0735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8A" w:rsidRDefault="0078268A">
      <w:r>
        <w:separator/>
      </w:r>
    </w:p>
  </w:endnote>
  <w:endnote w:type="continuationSeparator" w:id="0">
    <w:p w:rsidR="0078268A" w:rsidRDefault="0078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8A" w:rsidRDefault="0078268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8268A" w:rsidRDefault="0078268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C76865">
    <w:r>
      <w:t>A/5</w:t>
    </w:r>
    <w:r w:rsidR="008C50F7">
      <w:t>4</w:t>
    </w:r>
    <w:r>
      <w:t>/--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0F6189">
      <w:rPr>
        <w:noProof/>
      </w:rPr>
      <w:t>2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8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1899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735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189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299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029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87AE0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68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6EFC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A_54_AR.dotx</Template>
  <TotalTime>32</TotalTime>
  <Pages>1</Pages>
  <Words>144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A/54/INF/5 (Arabic)</vt:lpstr>
    </vt:vector>
  </TitlesOfParts>
  <Company>World Intellectual Property Organization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A/54/INF/5 (Arabic)</dc:title>
  <dc:creator>وثيقة إعلامية من إعداد الأمانة</dc:creator>
  <cp:lastModifiedBy>MERZOUK Fawzi</cp:lastModifiedBy>
  <cp:revision>8</cp:revision>
  <cp:lastPrinted>2014-06-26T13:50:00Z</cp:lastPrinted>
  <dcterms:created xsi:type="dcterms:W3CDTF">2014-06-26T13:09:00Z</dcterms:created>
  <dcterms:modified xsi:type="dcterms:W3CDTF">2014-06-26T13:50:00Z</dcterms:modified>
</cp:coreProperties>
</file>