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C76865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>
              <w:t>5</w:t>
            </w:r>
            <w:r w:rsidR="008C50F7">
              <w:t>4</w:t>
            </w:r>
            <w:r w:rsidR="00D95A85">
              <w:t>/INF/2 PROV</w:t>
            </w:r>
            <w:r w:rsidR="00224561">
              <w:t>.</w:t>
            </w:r>
            <w:r w:rsidR="00E37B69">
              <w:t xml:space="preserve"> 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B7EC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D95A85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95A85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D95A85">
              <w:rPr>
                <w:rFonts w:hint="cs"/>
                <w:rtl/>
              </w:rPr>
              <w:t>2</w:t>
            </w:r>
            <w:r w:rsidR="00D95A85">
              <w:t>2</w:t>
            </w:r>
            <w:r w:rsidR="00D95A85" w:rsidRPr="00B6101C">
              <w:rPr>
                <w:rFonts w:hint="cs"/>
                <w:rtl/>
              </w:rPr>
              <w:t xml:space="preserve"> </w:t>
            </w:r>
            <w:proofErr w:type="gramStart"/>
            <w:r w:rsidR="00D95A85">
              <w:rPr>
                <w:rFonts w:hint="cs"/>
                <w:rtl/>
              </w:rPr>
              <w:t>سبتمبر</w:t>
            </w:r>
            <w:proofErr w:type="gramEnd"/>
            <w:r w:rsidR="00D95A85"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C76865">
              <w:rPr>
                <w:rFonts w:hint="cs"/>
                <w:rtl/>
              </w:rPr>
              <w:t>4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8C50F7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8C50F7">
        <w:rPr>
          <w:rFonts w:hint="cs"/>
          <w:rtl/>
        </w:rPr>
        <w:t>الرابعة</w:t>
      </w:r>
      <w:r w:rsidR="00C76865"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والخمسون</w:t>
      </w:r>
      <w:proofErr w:type="gramEnd"/>
    </w:p>
    <w:p w:rsidR="001E12A4" w:rsidRPr="00D61541" w:rsidRDefault="001E12A4" w:rsidP="008C50F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="008C50F7">
        <w:rPr>
          <w:rFonts w:hint="cs"/>
          <w:rtl/>
        </w:rPr>
        <w:t>من</w:t>
      </w:r>
      <w:proofErr w:type="gramEnd"/>
      <w:r w:rsidR="008C50F7">
        <w:rPr>
          <w:rFonts w:hint="cs"/>
          <w:rtl/>
        </w:rPr>
        <w:t xml:space="preserve"> 22 إلى 30 سبتمبر </w:t>
      </w:r>
      <w:r w:rsidR="00C76865">
        <w:rPr>
          <w:rFonts w:hint="cs"/>
          <w:rtl/>
        </w:rPr>
        <w:t>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C2711" w:rsidRPr="008B2CC1" w:rsidRDefault="003C2711" w:rsidP="003C2711">
      <w:pPr>
        <w:pStyle w:val="DocumentTitleAR"/>
        <w:bidi/>
      </w:pPr>
    </w:p>
    <w:p w:rsidR="003C2711" w:rsidRPr="003C2711" w:rsidRDefault="003C2711" w:rsidP="003C2711">
      <w:pPr>
        <w:pStyle w:val="DocumentTitleAR"/>
        <w:bidi/>
        <w:rPr>
          <w:caps/>
          <w:sz w:val="24"/>
        </w:rPr>
      </w:pPr>
      <w:bookmarkStart w:id="2" w:name="TitleOfDoc"/>
      <w:bookmarkEnd w:id="2"/>
      <w:proofErr w:type="gramStart"/>
      <w:r>
        <w:rPr>
          <w:caps/>
          <w:sz w:val="24"/>
          <w:szCs w:val="24"/>
          <w:rtl/>
        </w:rPr>
        <w:t>قائمة</w:t>
      </w:r>
      <w:proofErr w:type="gramEnd"/>
      <w:r>
        <w:rPr>
          <w:caps/>
          <w:sz w:val="24"/>
        </w:rPr>
        <w:t xml:space="preserve"> </w:t>
      </w:r>
      <w:r>
        <w:rPr>
          <w:caps/>
          <w:sz w:val="24"/>
          <w:szCs w:val="24"/>
          <w:rtl/>
        </w:rPr>
        <w:t>بالوثائق</w:t>
      </w:r>
      <w:r>
        <w:rPr>
          <w:caps/>
          <w:sz w:val="24"/>
        </w:rPr>
        <w:t xml:space="preserve"> </w:t>
      </w:r>
      <w:r w:rsidRPr="003C2711">
        <w:rPr>
          <w:rtl/>
        </w:rPr>
        <w:t>التحضيرية</w:t>
      </w:r>
    </w:p>
    <w:p w:rsidR="003C2711" w:rsidRPr="003C2711" w:rsidRDefault="003C2711" w:rsidP="003C2711">
      <w:pPr>
        <w:pStyle w:val="PreparedbyAR"/>
        <w:bidi/>
      </w:pPr>
      <w:bookmarkStart w:id="3" w:name="Prepared"/>
      <w:bookmarkEnd w:id="3"/>
      <w:proofErr w:type="gramStart"/>
      <w:r w:rsidRPr="003C2711">
        <w:rPr>
          <w:rtl/>
        </w:rPr>
        <w:t>من</w:t>
      </w:r>
      <w:proofErr w:type="gramEnd"/>
      <w:r>
        <w:t xml:space="preserve"> </w:t>
      </w:r>
      <w:r w:rsidRPr="003C2711">
        <w:rPr>
          <w:rtl/>
        </w:rPr>
        <w:t>إعداد</w:t>
      </w:r>
      <w:r>
        <w:t xml:space="preserve"> </w:t>
      </w:r>
      <w:r w:rsidRPr="003C2711">
        <w:rPr>
          <w:rtl/>
        </w:rPr>
        <w:t>الأمانة</w:t>
      </w:r>
    </w:p>
    <w:p w:rsidR="003C2711" w:rsidRDefault="003C2711" w:rsidP="003C2711">
      <w:pPr>
        <w:bidi/>
      </w:pPr>
    </w:p>
    <w:p w:rsidR="003C2711" w:rsidRDefault="003C2711" w:rsidP="003C2711">
      <w:pPr>
        <w:bidi/>
      </w:pPr>
    </w:p>
    <w:p w:rsidR="003C2711" w:rsidRDefault="003C2711" w:rsidP="003C2711">
      <w:pPr>
        <w:bidi/>
      </w:pPr>
    </w:p>
    <w:p w:rsidR="003C2711" w:rsidRDefault="003C2711" w:rsidP="003C2711">
      <w:pPr>
        <w:bidi/>
      </w:pPr>
    </w:p>
    <w:p w:rsidR="003C2711" w:rsidRDefault="003C2711" w:rsidP="003C2711">
      <w:pPr>
        <w:bidi/>
      </w:pPr>
    </w:p>
    <w:tbl>
      <w:tblPr>
        <w:bidiVisual/>
        <w:tblW w:w="9639" w:type="dxa"/>
        <w:jc w:val="right"/>
        <w:tblLayout w:type="fixed"/>
        <w:tblLook w:val="0000" w:firstRow="0" w:lastRow="0" w:firstColumn="0" w:lastColumn="0" w:noHBand="0" w:noVBand="0"/>
      </w:tblPr>
      <w:tblGrid>
        <w:gridCol w:w="2727"/>
        <w:gridCol w:w="2835"/>
        <w:gridCol w:w="4077"/>
      </w:tblGrid>
      <w:tr w:rsidR="003C2711" w:rsidRPr="00343194" w:rsidTr="00E5782C">
        <w:trPr>
          <w:trHeight w:val="733"/>
          <w:tblHeader/>
          <w:jc w:val="right"/>
        </w:trPr>
        <w:tc>
          <w:tcPr>
            <w:tcW w:w="2727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3C2711" w:rsidRPr="00343194" w:rsidRDefault="003C2711" w:rsidP="000258BA">
            <w:pPr>
              <w:pStyle w:val="NormalParaAR"/>
            </w:pPr>
            <w:proofErr w:type="gramStart"/>
            <w:r w:rsidRPr="00343194">
              <w:rPr>
                <w:rtl/>
              </w:rPr>
              <w:t>رمز</w:t>
            </w:r>
            <w:proofErr w:type="gramEnd"/>
            <w:r w:rsidRPr="00343194">
              <w:rPr>
                <w:rtl/>
              </w:rPr>
              <w:t xml:space="preserve"> الوثيقة ورقمها التسلسلي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3C2711" w:rsidRPr="00343194" w:rsidRDefault="003C2711" w:rsidP="000258BA">
            <w:pPr>
              <w:pStyle w:val="NormalParaAR"/>
              <w:jc w:val="center"/>
            </w:pPr>
            <w:proofErr w:type="gramStart"/>
            <w:r w:rsidRPr="00343194">
              <w:rPr>
                <w:rtl/>
              </w:rPr>
              <w:t>لغات</w:t>
            </w:r>
            <w:proofErr w:type="gramEnd"/>
            <w:r w:rsidRPr="00343194">
              <w:rPr>
                <w:rtl/>
              </w:rPr>
              <w:t xml:space="preserve"> الوثيقة</w:t>
            </w:r>
            <w:bookmarkStart w:id="4" w:name="_Ref19962755"/>
            <w:r w:rsidRPr="00343194">
              <w:rPr>
                <w:vertAlign w:val="superscript"/>
              </w:rPr>
              <w:footnoteReference w:id="1"/>
            </w:r>
            <w:bookmarkEnd w:id="4"/>
          </w:p>
        </w:tc>
        <w:tc>
          <w:tcPr>
            <w:tcW w:w="4077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3C2711" w:rsidRPr="00343194" w:rsidRDefault="003C2711" w:rsidP="000258BA">
            <w:pPr>
              <w:pStyle w:val="NormalParaAR"/>
            </w:pPr>
            <w:proofErr w:type="gramStart"/>
            <w:r w:rsidRPr="00343194">
              <w:rPr>
                <w:rtl/>
              </w:rPr>
              <w:t>موضوع</w:t>
            </w:r>
            <w:proofErr w:type="gramEnd"/>
            <w:r w:rsidRPr="00343194">
              <w:rPr>
                <w:rtl/>
              </w:rPr>
              <w:t xml:space="preserve"> الوثيقة</w:t>
            </w:r>
          </w:p>
        </w:tc>
      </w:tr>
      <w:tr w:rsidR="003C2711" w:rsidRPr="00343194" w:rsidTr="00E5782C">
        <w:trPr>
          <w:jc w:val="right"/>
        </w:trPr>
        <w:tc>
          <w:tcPr>
            <w:tcW w:w="2727" w:type="dxa"/>
          </w:tcPr>
          <w:p w:rsidR="003C2711" w:rsidRPr="00343194" w:rsidRDefault="003C2711" w:rsidP="00224561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>A/54/INF/1 Rev.</w:t>
            </w:r>
          </w:p>
        </w:tc>
        <w:tc>
          <w:tcPr>
            <w:tcW w:w="2835" w:type="dxa"/>
          </w:tcPr>
          <w:p w:rsidR="003C2711" w:rsidRPr="00343194" w:rsidRDefault="003C2711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3C2711" w:rsidRPr="00343194" w:rsidRDefault="00343194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lang w:val="es-ES"/>
              </w:rPr>
            </w:pPr>
            <w:proofErr w:type="gramStart"/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معلومات</w:t>
            </w:r>
            <w:proofErr w:type="gramEnd"/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عامة</w:t>
            </w:r>
            <w:r w:rsidR="003C2711"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</w:p>
        </w:tc>
      </w:tr>
      <w:tr w:rsidR="003C2711" w:rsidRPr="00343194" w:rsidTr="00E5782C">
        <w:trPr>
          <w:jc w:val="right"/>
        </w:trPr>
        <w:tc>
          <w:tcPr>
            <w:tcW w:w="2727" w:type="dxa"/>
          </w:tcPr>
          <w:p w:rsidR="003C2711" w:rsidRPr="00343194" w:rsidRDefault="003C2711" w:rsidP="00224561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  <w:lang w:val="es-ES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A/54/INF/2 Prov. 1</w:t>
            </w:r>
          </w:p>
        </w:tc>
        <w:tc>
          <w:tcPr>
            <w:tcW w:w="2835" w:type="dxa"/>
          </w:tcPr>
          <w:p w:rsidR="003C2711" w:rsidRPr="00343194" w:rsidRDefault="003C2711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3C2711" w:rsidRPr="00E5782C" w:rsidRDefault="003C2711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قائمة</w:t>
            </w:r>
            <w:proofErr w:type="gramEnd"/>
            <w:r w:rsidRPr="00E5782C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بالوثائق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التحضيرية</w:t>
            </w:r>
          </w:p>
        </w:tc>
      </w:tr>
      <w:tr w:rsidR="003C2711" w:rsidRPr="00343194" w:rsidTr="00E5782C">
        <w:trPr>
          <w:jc w:val="right"/>
        </w:trPr>
        <w:tc>
          <w:tcPr>
            <w:tcW w:w="2727" w:type="dxa"/>
          </w:tcPr>
          <w:p w:rsidR="003C2711" w:rsidRPr="00343194" w:rsidRDefault="003C2711" w:rsidP="00224561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A/54/INF/3 Prov.1</w:t>
            </w:r>
          </w:p>
        </w:tc>
        <w:tc>
          <w:tcPr>
            <w:tcW w:w="2835" w:type="dxa"/>
          </w:tcPr>
          <w:p w:rsidR="003C2711" w:rsidRPr="00343194" w:rsidRDefault="00865A19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865A19"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إ، ف</w:t>
            </w:r>
          </w:p>
        </w:tc>
        <w:tc>
          <w:tcPr>
            <w:tcW w:w="4077" w:type="dxa"/>
          </w:tcPr>
          <w:p w:rsidR="003C2711" w:rsidRPr="00E5782C" w:rsidRDefault="003C2711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قائمة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مؤقتة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أولى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بالمشاركين</w:t>
            </w:r>
          </w:p>
        </w:tc>
      </w:tr>
      <w:tr w:rsidR="003C2711" w:rsidRPr="00343194" w:rsidTr="00E5782C">
        <w:trPr>
          <w:jc w:val="right"/>
        </w:trPr>
        <w:tc>
          <w:tcPr>
            <w:tcW w:w="2727" w:type="dxa"/>
          </w:tcPr>
          <w:p w:rsidR="003C2711" w:rsidRPr="00343194" w:rsidRDefault="003C2711" w:rsidP="00E37B69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A/54/1 Prov.</w:t>
            </w:r>
            <w:r w:rsidR="00E37B6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4</w:t>
            </w:r>
            <w:bookmarkStart w:id="5" w:name="_GoBack"/>
            <w:bookmarkEnd w:id="5"/>
          </w:p>
        </w:tc>
        <w:tc>
          <w:tcPr>
            <w:tcW w:w="2835" w:type="dxa"/>
          </w:tcPr>
          <w:p w:rsidR="003C2711" w:rsidRPr="00343194" w:rsidRDefault="003C2711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3C2711" w:rsidRPr="00E5782C" w:rsidRDefault="003C2711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مشروع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جدول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الأعمال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الموحد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proofErr w:type="gramStart"/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والمفصّل</w:t>
            </w:r>
            <w:proofErr w:type="gramEnd"/>
          </w:p>
        </w:tc>
      </w:tr>
      <w:tr w:rsidR="003C2711" w:rsidRPr="00343194" w:rsidTr="00E5782C">
        <w:trPr>
          <w:jc w:val="right"/>
        </w:trPr>
        <w:tc>
          <w:tcPr>
            <w:tcW w:w="2727" w:type="dxa"/>
          </w:tcPr>
          <w:p w:rsidR="003C2711" w:rsidRPr="00343194" w:rsidRDefault="003C2711" w:rsidP="00224561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A/54/2</w:t>
            </w:r>
          </w:p>
        </w:tc>
        <w:tc>
          <w:tcPr>
            <w:tcW w:w="2835" w:type="dxa"/>
          </w:tcPr>
          <w:p w:rsidR="003C2711" w:rsidRPr="00343194" w:rsidRDefault="003C2711" w:rsidP="000258BA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3C2711" w:rsidRPr="00E5782C" w:rsidRDefault="003C2711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قبول</w:t>
            </w:r>
            <w:proofErr w:type="gramEnd"/>
            <w:r w:rsidRPr="00E5782C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المراقبين</w:t>
            </w:r>
          </w:p>
        </w:tc>
      </w:tr>
      <w:tr w:rsidR="003C2711" w:rsidRPr="00343194" w:rsidTr="00E5782C">
        <w:trPr>
          <w:jc w:val="right"/>
        </w:trPr>
        <w:tc>
          <w:tcPr>
            <w:tcW w:w="2727" w:type="dxa"/>
          </w:tcPr>
          <w:p w:rsidR="003C2711" w:rsidRPr="00343194" w:rsidRDefault="003C2711" w:rsidP="00224561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A/54/3 Rev.</w:t>
            </w:r>
          </w:p>
        </w:tc>
        <w:tc>
          <w:tcPr>
            <w:tcW w:w="2835" w:type="dxa"/>
          </w:tcPr>
          <w:p w:rsidR="003C2711" w:rsidRPr="00343194" w:rsidRDefault="003C2711" w:rsidP="000258BA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3C2711" w:rsidRPr="00E5782C" w:rsidRDefault="003C2711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مشروعات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جداول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أعمال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دورات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2015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العادية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للجمعية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العامة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للويبو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ومؤتمر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الويبو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وجمعية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اتحاد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باريس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وجمعية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اتحاد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برن</w:t>
            </w:r>
          </w:p>
        </w:tc>
      </w:tr>
      <w:tr w:rsidR="003C2711" w:rsidRPr="00343194" w:rsidTr="00E5782C">
        <w:trPr>
          <w:jc w:val="right"/>
        </w:trPr>
        <w:tc>
          <w:tcPr>
            <w:tcW w:w="2727" w:type="dxa"/>
          </w:tcPr>
          <w:p w:rsidR="003C2711" w:rsidRPr="00343194" w:rsidRDefault="003C2711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lastRenderedPageBreak/>
              <w:t>A/54/4</w:t>
            </w:r>
          </w:p>
        </w:tc>
        <w:tc>
          <w:tcPr>
            <w:tcW w:w="2835" w:type="dxa"/>
          </w:tcPr>
          <w:p w:rsidR="003C2711" w:rsidRPr="00343194" w:rsidRDefault="003C2711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3C2711" w:rsidRPr="00E5782C" w:rsidRDefault="003C2711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</w:t>
            </w:r>
            <w:proofErr w:type="gramEnd"/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مراجع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الحسابات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الخارجي</w:t>
            </w:r>
          </w:p>
        </w:tc>
      </w:tr>
      <w:tr w:rsidR="00865A19" w:rsidRPr="00343194" w:rsidTr="00E5782C">
        <w:trPr>
          <w:jc w:val="right"/>
        </w:trPr>
        <w:tc>
          <w:tcPr>
            <w:tcW w:w="2727" w:type="dxa"/>
          </w:tcPr>
          <w:p w:rsidR="00865A19" w:rsidRPr="00343194" w:rsidRDefault="00865A19" w:rsidP="00224561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A/54/5</w:t>
            </w:r>
          </w:p>
        </w:tc>
        <w:tc>
          <w:tcPr>
            <w:tcW w:w="2835" w:type="dxa"/>
          </w:tcPr>
          <w:p w:rsidR="00865A19" w:rsidRPr="00343194" w:rsidRDefault="00865A19" w:rsidP="000258BA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736EE" w:rsidRPr="00343194" w:rsidRDefault="00503516" w:rsidP="000258BA">
            <w:pPr>
              <w:keepNext/>
              <w:keepLines/>
              <w:bidi/>
              <w:spacing w:after="240" w:line="360" w:lineRule="exact"/>
              <w:ind w:hanging="1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قائمة القرارات التي اتخذتها لجنة البرنامج والميزانية </w:t>
            </w:r>
            <w:proofErr w:type="gramStart"/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>في</w:t>
            </w:r>
            <w:proofErr w:type="gramEnd"/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دورتها الثانية والعشرين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>(1 إلى 5 سبتمبر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 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>2014)</w:t>
            </w:r>
          </w:p>
        </w:tc>
      </w:tr>
      <w:tr w:rsidR="00865A19" w:rsidRPr="00343194" w:rsidTr="00E5782C">
        <w:trPr>
          <w:jc w:val="right"/>
        </w:trPr>
        <w:tc>
          <w:tcPr>
            <w:tcW w:w="2727" w:type="dxa"/>
          </w:tcPr>
          <w:p w:rsidR="00865A19" w:rsidRPr="00343194" w:rsidRDefault="00865A19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A/54/6 Rev.</w:t>
            </w:r>
          </w:p>
        </w:tc>
        <w:tc>
          <w:tcPr>
            <w:tcW w:w="2835" w:type="dxa"/>
          </w:tcPr>
          <w:p w:rsidR="00865A19" w:rsidRPr="00343194" w:rsidRDefault="00865A19" w:rsidP="000258BA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865A19" w:rsidRPr="00343194" w:rsidRDefault="00865A19" w:rsidP="00FC2799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تقرير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أداء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البرنامج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C66A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للثنائية</w:t>
            </w:r>
            <w:r w:rsidR="00537D6D" w:rsidRPr="00EC66A2"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 xml:space="preserve"> </w:t>
            </w:r>
            <w:r w:rsidRPr="00EC66A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 2012/13</w:t>
            </w:r>
          </w:p>
        </w:tc>
      </w:tr>
      <w:tr w:rsidR="00865A19" w:rsidRPr="00343194" w:rsidTr="00E5782C">
        <w:trPr>
          <w:jc w:val="right"/>
        </w:trPr>
        <w:tc>
          <w:tcPr>
            <w:tcW w:w="2727" w:type="dxa"/>
          </w:tcPr>
          <w:p w:rsidR="00865A19" w:rsidRPr="00343194" w:rsidRDefault="00865A19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A/54/7</w:t>
            </w:r>
          </w:p>
        </w:tc>
        <w:tc>
          <w:tcPr>
            <w:tcW w:w="2835" w:type="dxa"/>
          </w:tcPr>
          <w:p w:rsidR="00865A19" w:rsidRPr="00343194" w:rsidRDefault="00865A19" w:rsidP="000258BA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865A19" w:rsidRPr="00343194" w:rsidRDefault="00865A19" w:rsidP="00FC2799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إطار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المساءلة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في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الويبو</w:t>
            </w:r>
          </w:p>
        </w:tc>
      </w:tr>
      <w:tr w:rsidR="00865A19" w:rsidRPr="00343194" w:rsidTr="00E5782C">
        <w:trPr>
          <w:jc w:val="right"/>
        </w:trPr>
        <w:tc>
          <w:tcPr>
            <w:tcW w:w="2727" w:type="dxa"/>
          </w:tcPr>
          <w:p w:rsidR="00865A19" w:rsidRPr="00343194" w:rsidRDefault="00865A19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A/54/8</w:t>
            </w:r>
          </w:p>
        </w:tc>
        <w:tc>
          <w:tcPr>
            <w:tcW w:w="2835" w:type="dxa"/>
          </w:tcPr>
          <w:p w:rsidR="00865A19" w:rsidRPr="00343194" w:rsidRDefault="00865A19" w:rsidP="000258BA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865A19" w:rsidRPr="00343194" w:rsidRDefault="00865A19" w:rsidP="00FC2799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الإدارة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EC66A2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المالية</w:t>
            </w:r>
            <w:r w:rsidRPr="00EC66A2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proofErr w:type="gramStart"/>
            <w:r w:rsidRPr="00EC66A2">
              <w:rPr>
                <w:rFonts w:ascii="Arabic Typesetting" w:hAnsi="Arabic Typesetting" w:cs="Arabic Typesetting"/>
                <w:sz w:val="36"/>
                <w:szCs w:val="36"/>
                <w:rtl/>
              </w:rPr>
              <w:t>للثنائية</w:t>
            </w:r>
            <w:r w:rsidR="00537D6D" w:rsidRPr="00EC66A2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EC66A2">
              <w:rPr>
                <w:rFonts w:ascii="Arabic Typesetting" w:hAnsi="Arabic Typesetting" w:cs="Arabic Typesetting"/>
                <w:sz w:val="36"/>
                <w:szCs w:val="36"/>
              </w:rPr>
              <w:t xml:space="preserve"> 2012/13</w:t>
            </w:r>
            <w:proofErr w:type="gramEnd"/>
          </w:p>
        </w:tc>
      </w:tr>
      <w:tr w:rsidR="00865A19" w:rsidRPr="00343194" w:rsidTr="00E5782C">
        <w:trPr>
          <w:jc w:val="right"/>
        </w:trPr>
        <w:tc>
          <w:tcPr>
            <w:tcW w:w="2727" w:type="dxa"/>
          </w:tcPr>
          <w:p w:rsidR="00865A19" w:rsidRPr="00343194" w:rsidRDefault="00865A19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A/54/9</w:t>
            </w:r>
          </w:p>
        </w:tc>
        <w:tc>
          <w:tcPr>
            <w:tcW w:w="2835" w:type="dxa"/>
          </w:tcPr>
          <w:p w:rsidR="00865A19" w:rsidRPr="00343194" w:rsidRDefault="00865A19" w:rsidP="000258BA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865A19" w:rsidRPr="00343194" w:rsidRDefault="00865A19" w:rsidP="000258B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865A1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وضع</w:t>
            </w:r>
            <w:r w:rsidRPr="00865A1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65A1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تسديد</w:t>
            </w:r>
            <w:r w:rsidRPr="00865A1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65A1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الاشتراكات</w:t>
            </w:r>
            <w:r w:rsidRPr="00865A1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65A1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في</w:t>
            </w:r>
            <w:r w:rsidRPr="00865A1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1 </w:t>
            </w:r>
            <w:r w:rsidRPr="00865A1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سبتمبر</w:t>
            </w:r>
            <w:r w:rsidRPr="00865A1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2014</w:t>
            </w:r>
          </w:p>
        </w:tc>
      </w:tr>
      <w:tr w:rsidR="00865A19" w:rsidRPr="00343194" w:rsidTr="00E5782C">
        <w:trPr>
          <w:jc w:val="right"/>
        </w:trPr>
        <w:tc>
          <w:tcPr>
            <w:tcW w:w="2727" w:type="dxa"/>
          </w:tcPr>
          <w:p w:rsidR="00865A19" w:rsidRPr="00343194" w:rsidRDefault="00865A19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A/54/10</w:t>
            </w:r>
          </w:p>
        </w:tc>
        <w:tc>
          <w:tcPr>
            <w:tcW w:w="2835" w:type="dxa"/>
          </w:tcPr>
          <w:p w:rsidR="00865A19" w:rsidRPr="00343194" w:rsidRDefault="00865A19" w:rsidP="000258BA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865A19" w:rsidRPr="00343194" w:rsidRDefault="00865A19" w:rsidP="00FC2799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التقرير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المالي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السنوي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والبيانات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المالية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السنوية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C66A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لعام</w:t>
            </w:r>
            <w:r w:rsidRPr="00EC66A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proofErr w:type="gramStart"/>
            <w:r w:rsidRPr="00EC66A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2013</w:t>
            </w:r>
            <w:r w:rsidR="00537D6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="00537D6D"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 xml:space="preserve"> </w:t>
            </w:r>
            <w:proofErr w:type="gramEnd"/>
          </w:p>
        </w:tc>
      </w:tr>
      <w:tr w:rsidR="00865A19" w:rsidRPr="00343194" w:rsidTr="00E5782C">
        <w:trPr>
          <w:jc w:val="right"/>
        </w:trPr>
        <w:tc>
          <w:tcPr>
            <w:tcW w:w="2727" w:type="dxa"/>
          </w:tcPr>
          <w:p w:rsidR="00865A19" w:rsidRPr="00343194" w:rsidRDefault="00865A19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A/54/11</w:t>
            </w:r>
          </w:p>
        </w:tc>
        <w:tc>
          <w:tcPr>
            <w:tcW w:w="2835" w:type="dxa"/>
          </w:tcPr>
          <w:p w:rsidR="00865A19" w:rsidRPr="00343194" w:rsidRDefault="00865A19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865A19" w:rsidRPr="00343194" w:rsidRDefault="00865A19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مرحلي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عن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مشروع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البناء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الجديد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proofErr w:type="gramStart"/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ومشروع</w:t>
            </w:r>
            <w:proofErr w:type="gramEnd"/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قاعة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المؤتمرات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الجديدة</w:t>
            </w:r>
          </w:p>
        </w:tc>
      </w:tr>
      <w:tr w:rsidR="00865A19" w:rsidRPr="00343194" w:rsidTr="00E5782C">
        <w:trPr>
          <w:jc w:val="right"/>
        </w:trPr>
        <w:tc>
          <w:tcPr>
            <w:tcW w:w="2727" w:type="dxa"/>
          </w:tcPr>
          <w:p w:rsidR="00865A19" w:rsidRPr="00343194" w:rsidRDefault="00865A19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A/54/12</w:t>
            </w:r>
          </w:p>
        </w:tc>
        <w:tc>
          <w:tcPr>
            <w:tcW w:w="2835" w:type="dxa"/>
          </w:tcPr>
          <w:p w:rsidR="00865A19" w:rsidRPr="00343194" w:rsidRDefault="00865A19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865A19" w:rsidRPr="00343194" w:rsidRDefault="00865A19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proofErr w:type="gramStart"/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المكاتب</w:t>
            </w:r>
            <w:proofErr w:type="gramEnd"/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الخارجية</w:t>
            </w:r>
          </w:p>
        </w:tc>
      </w:tr>
      <w:tr w:rsidR="00865A19" w:rsidRPr="00343194" w:rsidTr="00E5782C">
        <w:trPr>
          <w:jc w:val="right"/>
        </w:trPr>
        <w:tc>
          <w:tcPr>
            <w:tcW w:w="2727" w:type="dxa"/>
          </w:tcPr>
          <w:p w:rsidR="00865A19" w:rsidRPr="00343194" w:rsidRDefault="00865A19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865A19" w:rsidRPr="00343194" w:rsidRDefault="00865A19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4077" w:type="dxa"/>
          </w:tcPr>
          <w:p w:rsidR="00865A19" w:rsidRPr="00343194" w:rsidRDefault="00865A19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865A19" w:rsidRPr="00343194" w:rsidTr="00E5782C">
        <w:trPr>
          <w:jc w:val="right"/>
        </w:trPr>
        <w:tc>
          <w:tcPr>
            <w:tcW w:w="2727" w:type="dxa"/>
          </w:tcPr>
          <w:p w:rsidR="00865A19" w:rsidRPr="00343194" w:rsidRDefault="00865A19" w:rsidP="00224561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WO/GA/46/1</w:t>
            </w:r>
          </w:p>
        </w:tc>
        <w:tc>
          <w:tcPr>
            <w:tcW w:w="2835" w:type="dxa"/>
          </w:tcPr>
          <w:p w:rsidR="00865A19" w:rsidRPr="00343194" w:rsidRDefault="00865A19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865A19" w:rsidRPr="00343194" w:rsidRDefault="00865A19" w:rsidP="000258BA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لجنة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الويبو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الاستشارية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المستقلة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للرقابة</w:t>
            </w:r>
          </w:p>
        </w:tc>
      </w:tr>
      <w:tr w:rsidR="00865A19" w:rsidRPr="00343194" w:rsidTr="00E5782C">
        <w:trPr>
          <w:jc w:val="right"/>
        </w:trPr>
        <w:tc>
          <w:tcPr>
            <w:tcW w:w="2727" w:type="dxa"/>
          </w:tcPr>
          <w:p w:rsidR="00865A19" w:rsidRPr="00343194" w:rsidRDefault="00865A19" w:rsidP="00224561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WO/GA/46/2</w:t>
            </w:r>
          </w:p>
        </w:tc>
        <w:tc>
          <w:tcPr>
            <w:tcW w:w="2835" w:type="dxa"/>
          </w:tcPr>
          <w:p w:rsidR="00865A19" w:rsidRPr="00343194" w:rsidRDefault="00865A19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865A19" w:rsidRPr="00343194" w:rsidRDefault="00865A19" w:rsidP="000258BA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bCs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السنوي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الموجز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لمدير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شعبة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التدقيق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الداخلي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proofErr w:type="gramStart"/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والرقابة</w:t>
            </w:r>
            <w:proofErr w:type="gramEnd"/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الإدارية</w:t>
            </w:r>
          </w:p>
        </w:tc>
      </w:tr>
      <w:tr w:rsidR="00865A19" w:rsidRPr="00343194" w:rsidTr="00E5782C">
        <w:trPr>
          <w:jc w:val="right"/>
        </w:trPr>
        <w:tc>
          <w:tcPr>
            <w:tcW w:w="2727" w:type="dxa"/>
          </w:tcPr>
          <w:p w:rsidR="00865A19" w:rsidRPr="00343194" w:rsidRDefault="00865A19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WO/GA/46/</w:t>
            </w:r>
            <w:r w:rsidR="0029131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3</w:t>
            </w:r>
          </w:p>
        </w:tc>
        <w:tc>
          <w:tcPr>
            <w:tcW w:w="2835" w:type="dxa"/>
          </w:tcPr>
          <w:p w:rsidR="00865A19" w:rsidRPr="00343194" w:rsidRDefault="00865A19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865A19" w:rsidRPr="00343194" w:rsidRDefault="00865A19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bCs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اللجنة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المعنية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بالتنمية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proofErr w:type="gramStart"/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والملكية</w:t>
            </w:r>
            <w:proofErr w:type="gramEnd"/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الفكرية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واستعراض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تنفيذ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توصيات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جدول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أعمال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التنمية</w:t>
            </w:r>
          </w:p>
        </w:tc>
      </w:tr>
      <w:tr w:rsidR="00865A19" w:rsidRPr="00343194" w:rsidTr="00E5782C">
        <w:trPr>
          <w:jc w:val="right"/>
        </w:trPr>
        <w:tc>
          <w:tcPr>
            <w:tcW w:w="2727" w:type="dxa"/>
          </w:tcPr>
          <w:p w:rsidR="00865A19" w:rsidRPr="00343194" w:rsidRDefault="00865A19" w:rsidP="00224561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WO/GA/46/</w:t>
            </w:r>
            <w:r w:rsidR="00E46220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4</w:t>
            </w:r>
          </w:p>
        </w:tc>
        <w:tc>
          <w:tcPr>
            <w:tcW w:w="2835" w:type="dxa"/>
          </w:tcPr>
          <w:p w:rsidR="00865A19" w:rsidRPr="00343194" w:rsidRDefault="00865A19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865A19" w:rsidRPr="00343194" w:rsidRDefault="00865A19" w:rsidP="000258BA">
            <w:pPr>
              <w:pStyle w:val="Footer"/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وصف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لمساهمة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مختلف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هيئات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الويبو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في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تنفيذ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ما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يعنيها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من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توصيات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جدول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أعمال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التنمية</w:t>
            </w:r>
          </w:p>
        </w:tc>
      </w:tr>
      <w:tr w:rsidR="00865A19" w:rsidRPr="00343194" w:rsidTr="00E5782C">
        <w:trPr>
          <w:jc w:val="right"/>
        </w:trPr>
        <w:tc>
          <w:tcPr>
            <w:tcW w:w="2727" w:type="dxa"/>
          </w:tcPr>
          <w:p w:rsidR="00865A19" w:rsidRPr="00343194" w:rsidRDefault="00865A19" w:rsidP="00224561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WO/GA/46/</w:t>
            </w:r>
            <w:r w:rsidR="00E46220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5</w:t>
            </w:r>
          </w:p>
        </w:tc>
        <w:tc>
          <w:tcPr>
            <w:tcW w:w="2835" w:type="dxa"/>
          </w:tcPr>
          <w:p w:rsidR="00865A19" w:rsidRPr="00343194" w:rsidRDefault="00865A19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865A19" w:rsidRPr="00343194" w:rsidRDefault="00865A19" w:rsidP="000258BA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proofErr w:type="gramStart"/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عن</w:t>
            </w:r>
            <w:proofErr w:type="gramEnd"/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عمل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اللجنة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الدائمة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المعنية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بحق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المؤلف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والحقوق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المجاورة</w:t>
            </w:r>
          </w:p>
        </w:tc>
      </w:tr>
      <w:tr w:rsidR="00865A19" w:rsidRPr="00343194" w:rsidTr="00E5782C">
        <w:trPr>
          <w:jc w:val="right"/>
        </w:trPr>
        <w:tc>
          <w:tcPr>
            <w:tcW w:w="2727" w:type="dxa"/>
          </w:tcPr>
          <w:p w:rsidR="00865A19" w:rsidRPr="00343194" w:rsidRDefault="00865A19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WO/GA/46/6</w:t>
            </w:r>
          </w:p>
        </w:tc>
        <w:tc>
          <w:tcPr>
            <w:tcW w:w="2835" w:type="dxa"/>
          </w:tcPr>
          <w:p w:rsidR="00865A19" w:rsidRPr="00343194" w:rsidRDefault="00865A19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865A19" w:rsidRPr="00343194" w:rsidRDefault="00E46220" w:rsidP="000258B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E46220">
              <w:rPr>
                <w:rFonts w:ascii="Arabic Typesetting" w:hAnsi="Arabic Typesetting" w:cs="Arabic Typesetting"/>
                <w:sz w:val="36"/>
                <w:szCs w:val="36"/>
                <w:rtl/>
              </w:rPr>
              <w:t>مسائل تتعلق باللجنة الحكومية الدولية المعنية بالملكية الفكرية والموارد الوراثية والمعارف التقليدية والفولكلور</w:t>
            </w:r>
          </w:p>
        </w:tc>
      </w:tr>
      <w:tr w:rsidR="00865A19" w:rsidRPr="00343194" w:rsidTr="00E5782C">
        <w:trPr>
          <w:jc w:val="right"/>
        </w:trPr>
        <w:tc>
          <w:tcPr>
            <w:tcW w:w="2727" w:type="dxa"/>
          </w:tcPr>
          <w:p w:rsidR="00865A19" w:rsidRPr="00343194" w:rsidRDefault="00865A19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lang w:val="es-ES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lastRenderedPageBreak/>
              <w:t>WO/PBC/46/7 Rev.</w:t>
            </w:r>
          </w:p>
        </w:tc>
        <w:tc>
          <w:tcPr>
            <w:tcW w:w="2835" w:type="dxa"/>
          </w:tcPr>
          <w:p w:rsidR="00865A19" w:rsidRPr="00343194" w:rsidRDefault="00865A19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865A19" w:rsidRPr="00343194" w:rsidRDefault="00865A19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تقارير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عن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لجان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الويبو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الأخرى</w:t>
            </w:r>
          </w:p>
        </w:tc>
      </w:tr>
      <w:tr w:rsidR="00E46220" w:rsidRPr="00343194" w:rsidTr="00E5782C">
        <w:trPr>
          <w:jc w:val="right"/>
        </w:trPr>
        <w:tc>
          <w:tcPr>
            <w:tcW w:w="2727" w:type="dxa"/>
          </w:tcPr>
          <w:p w:rsidR="00E46220" w:rsidRPr="00343194" w:rsidRDefault="00E46220" w:rsidP="00224561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WO/GA/46/8</w:t>
            </w:r>
          </w:p>
        </w:tc>
        <w:tc>
          <w:tcPr>
            <w:tcW w:w="2835" w:type="dxa"/>
          </w:tcPr>
          <w:p w:rsidR="00E46220" w:rsidRPr="00343194" w:rsidRDefault="00E46220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E46220" w:rsidRPr="00343194" w:rsidRDefault="00E46220" w:rsidP="000258BA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مركز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الويبو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للتحكيم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والوساطة،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بالإضافة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إلى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أسماء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الحقول</w:t>
            </w:r>
          </w:p>
        </w:tc>
      </w:tr>
      <w:tr w:rsidR="00E46220" w:rsidRPr="00343194" w:rsidTr="00E5782C">
        <w:trPr>
          <w:jc w:val="right"/>
        </w:trPr>
        <w:tc>
          <w:tcPr>
            <w:tcW w:w="2727" w:type="dxa"/>
          </w:tcPr>
          <w:p w:rsidR="00E46220" w:rsidRPr="00343194" w:rsidRDefault="00E46220" w:rsidP="00224561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WO/GA/46/9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‏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.</w:t>
            </w:r>
          </w:p>
        </w:tc>
        <w:tc>
          <w:tcPr>
            <w:tcW w:w="2835" w:type="dxa"/>
          </w:tcPr>
          <w:p w:rsidR="00E46220" w:rsidRPr="00343194" w:rsidRDefault="00E46220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E46220" w:rsidRPr="00343194" w:rsidRDefault="00E46220" w:rsidP="000258BA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مسائل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تتعلق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بالدعوة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إلى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عقد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مؤتمر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دبلوماسي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لاعتماد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معاهدة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بشأن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قانون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التصاميم</w:t>
            </w:r>
          </w:p>
        </w:tc>
      </w:tr>
      <w:tr w:rsidR="00E46220" w:rsidRPr="00343194" w:rsidTr="00E5782C">
        <w:trPr>
          <w:jc w:val="right"/>
        </w:trPr>
        <w:tc>
          <w:tcPr>
            <w:tcW w:w="2727" w:type="dxa"/>
          </w:tcPr>
          <w:p w:rsidR="00E46220" w:rsidRPr="00343194" w:rsidRDefault="00E46220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E46220" w:rsidRPr="00343194" w:rsidRDefault="00E46220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4077" w:type="dxa"/>
          </w:tcPr>
          <w:p w:rsidR="00E46220" w:rsidRPr="00343194" w:rsidRDefault="00E46220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E46220" w:rsidRPr="00343194" w:rsidTr="00E5782C">
        <w:trPr>
          <w:jc w:val="right"/>
        </w:trPr>
        <w:tc>
          <w:tcPr>
            <w:tcW w:w="2727" w:type="dxa"/>
          </w:tcPr>
          <w:p w:rsidR="00E46220" w:rsidRPr="00343194" w:rsidRDefault="00E46220" w:rsidP="00224561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WO/GA/46/10</w:t>
            </w:r>
          </w:p>
        </w:tc>
        <w:tc>
          <w:tcPr>
            <w:tcW w:w="2835" w:type="dxa"/>
          </w:tcPr>
          <w:p w:rsidR="00E46220" w:rsidRPr="00343194" w:rsidRDefault="00E46220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E46220" w:rsidRPr="00343194" w:rsidRDefault="00E46220" w:rsidP="00FC2799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قرار</w:t>
            </w:r>
            <w:proofErr w:type="gramEnd"/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بشأن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المسائل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المتعلقة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باللجنة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المعنية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بالتنمية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والملكية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الفكرية</w:t>
            </w:r>
          </w:p>
        </w:tc>
      </w:tr>
      <w:tr w:rsidR="00E46220" w:rsidRPr="00343194" w:rsidTr="00E5782C">
        <w:trPr>
          <w:jc w:val="right"/>
        </w:trPr>
        <w:tc>
          <w:tcPr>
            <w:tcW w:w="2727" w:type="dxa"/>
          </w:tcPr>
          <w:p w:rsidR="00E46220" w:rsidRPr="00343194" w:rsidRDefault="00E46220" w:rsidP="00224561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WO/GA/46/11</w:t>
            </w:r>
          </w:p>
        </w:tc>
        <w:tc>
          <w:tcPr>
            <w:tcW w:w="2835" w:type="dxa"/>
          </w:tcPr>
          <w:p w:rsidR="00E46220" w:rsidRPr="00343194" w:rsidRDefault="00E46220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E46220" w:rsidRPr="00343194" w:rsidRDefault="00503516" w:rsidP="000258BA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التعديلات المقترح إدخالها على النظام المالي </w:t>
            </w:r>
            <w:proofErr w:type="gramStart"/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>ولائحته</w:t>
            </w:r>
            <w:proofErr w:type="gramEnd"/>
          </w:p>
        </w:tc>
      </w:tr>
      <w:tr w:rsidR="00E46220" w:rsidRPr="00343194" w:rsidTr="00E5782C">
        <w:trPr>
          <w:jc w:val="right"/>
        </w:trPr>
        <w:tc>
          <w:tcPr>
            <w:tcW w:w="2727" w:type="dxa"/>
          </w:tcPr>
          <w:p w:rsidR="00E46220" w:rsidRPr="00343194" w:rsidRDefault="00E46220" w:rsidP="00224561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E46220" w:rsidRPr="00343194" w:rsidRDefault="00E46220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4077" w:type="dxa"/>
          </w:tcPr>
          <w:p w:rsidR="00E46220" w:rsidRPr="00343194" w:rsidRDefault="00E46220" w:rsidP="000258BA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E46220" w:rsidRPr="00343194" w:rsidTr="00E5782C">
        <w:trPr>
          <w:jc w:val="right"/>
        </w:trPr>
        <w:tc>
          <w:tcPr>
            <w:tcW w:w="2727" w:type="dxa"/>
          </w:tcPr>
          <w:p w:rsidR="00E46220" w:rsidRPr="00343194" w:rsidRDefault="00E46220" w:rsidP="00224561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 PCT/A/46</w:t>
            </w:r>
            <w:r w:rsidR="00B02D2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/1</w:t>
            </w:r>
          </w:p>
        </w:tc>
        <w:tc>
          <w:tcPr>
            <w:tcW w:w="2835" w:type="dxa"/>
          </w:tcPr>
          <w:p w:rsidR="00E46220" w:rsidRPr="00343194" w:rsidRDefault="00E46220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E46220" w:rsidRPr="00343194" w:rsidRDefault="00E46220" w:rsidP="000258BA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الفريق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العامل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لنظام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البراءات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الدولي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: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تقرير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الدورة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="00B02D2D" w:rsidRPr="00B02D2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السابعة</w:t>
            </w:r>
          </w:p>
        </w:tc>
      </w:tr>
      <w:tr w:rsidR="00E46220" w:rsidRPr="00343194" w:rsidTr="00E5782C">
        <w:trPr>
          <w:jc w:val="right"/>
        </w:trPr>
        <w:tc>
          <w:tcPr>
            <w:tcW w:w="2727" w:type="dxa"/>
          </w:tcPr>
          <w:p w:rsidR="00E46220" w:rsidRPr="00343194" w:rsidRDefault="00E46220" w:rsidP="00224561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 PCT/A/46</w:t>
            </w:r>
            <w:r w:rsidR="00B02D2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/2</w:t>
            </w:r>
          </w:p>
        </w:tc>
        <w:tc>
          <w:tcPr>
            <w:tcW w:w="2835" w:type="dxa"/>
          </w:tcPr>
          <w:p w:rsidR="00E46220" w:rsidRPr="00343194" w:rsidRDefault="00E46220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E46220" w:rsidRPr="00343194" w:rsidRDefault="00E46220" w:rsidP="000258BA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عمل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الإدارات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الدولية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proofErr w:type="gramStart"/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المتعلق</w:t>
            </w:r>
            <w:proofErr w:type="gramEnd"/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بالجودة</w:t>
            </w:r>
          </w:p>
        </w:tc>
      </w:tr>
      <w:tr w:rsidR="00E46220" w:rsidRPr="00343194" w:rsidTr="00E5782C">
        <w:trPr>
          <w:jc w:val="right"/>
        </w:trPr>
        <w:tc>
          <w:tcPr>
            <w:tcW w:w="2727" w:type="dxa"/>
          </w:tcPr>
          <w:p w:rsidR="00E46220" w:rsidRPr="00343194" w:rsidRDefault="00E46220" w:rsidP="00224561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 PCT/A/46</w:t>
            </w:r>
            <w:r w:rsidR="00B02D2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/3</w:t>
            </w:r>
          </w:p>
        </w:tc>
        <w:tc>
          <w:tcPr>
            <w:tcW w:w="2835" w:type="dxa"/>
          </w:tcPr>
          <w:p w:rsidR="00E46220" w:rsidRPr="00343194" w:rsidRDefault="00E46220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E46220" w:rsidRPr="00343194" w:rsidRDefault="00E46220" w:rsidP="000258BA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التعديلات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المقترحة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للائحة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التنفيذية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لمعاهدة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التعاون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بشأن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البراءات</w:t>
            </w:r>
          </w:p>
        </w:tc>
      </w:tr>
      <w:tr w:rsidR="00E46220" w:rsidRPr="00343194" w:rsidTr="00E5782C">
        <w:trPr>
          <w:jc w:val="right"/>
        </w:trPr>
        <w:tc>
          <w:tcPr>
            <w:tcW w:w="2727" w:type="dxa"/>
          </w:tcPr>
          <w:p w:rsidR="00E46220" w:rsidRPr="00343194" w:rsidRDefault="00E46220" w:rsidP="00224561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 PCT/A/46</w:t>
            </w:r>
            <w:r w:rsidR="00B02D2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/4</w:t>
            </w:r>
          </w:p>
        </w:tc>
        <w:tc>
          <w:tcPr>
            <w:tcW w:w="2835" w:type="dxa"/>
          </w:tcPr>
          <w:p w:rsidR="00E46220" w:rsidRPr="00343194" w:rsidRDefault="00E46220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E46220" w:rsidRPr="00343194" w:rsidRDefault="00E46220" w:rsidP="000258BA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إجراءات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تعيين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إدارات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البحث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الدولي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والفحص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التمهيدي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الدولي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في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إطار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معاهدة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التعاون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بشأن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البراءات</w:t>
            </w:r>
          </w:p>
        </w:tc>
      </w:tr>
      <w:tr w:rsidR="00E46220" w:rsidRPr="00343194" w:rsidTr="00E5782C">
        <w:trPr>
          <w:jc w:val="right"/>
        </w:trPr>
        <w:tc>
          <w:tcPr>
            <w:tcW w:w="2727" w:type="dxa"/>
          </w:tcPr>
          <w:p w:rsidR="00E46220" w:rsidRPr="00343194" w:rsidRDefault="00E46220" w:rsidP="00224561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 PCT/A/46</w:t>
            </w:r>
            <w:r w:rsidR="00B02D2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/5</w:t>
            </w:r>
          </w:p>
        </w:tc>
        <w:tc>
          <w:tcPr>
            <w:tcW w:w="2835" w:type="dxa"/>
          </w:tcPr>
          <w:p w:rsidR="00E46220" w:rsidRPr="00343194" w:rsidRDefault="00E46220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B02D2D" w:rsidRDefault="00E46220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تعيين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مكتب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proofErr w:type="gramStart"/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سنغافورة</w:t>
            </w:r>
            <w:proofErr w:type="gramEnd"/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للملكية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الفكرية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كإدارة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للبحث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الدولي</w:t>
            </w:r>
          </w:p>
          <w:p w:rsidR="00E46220" w:rsidRPr="00343194" w:rsidRDefault="00B02D2D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02D2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والفحص </w:t>
            </w:r>
            <w:r w:rsidR="00E46220"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التمهيدي</w:t>
            </w:r>
            <w:r w:rsidR="00E46220"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="00E46220"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الدولي</w:t>
            </w:r>
            <w:r w:rsidR="00E46220"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="00E46220"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في</w:t>
            </w:r>
            <w:r w:rsidR="00E46220"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="00E46220"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إطار</w:t>
            </w:r>
            <w:r w:rsidR="00E46220"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="00E46220"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معاهدة</w:t>
            </w:r>
            <w:r w:rsidR="00E46220"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="00E46220"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التعاون</w:t>
            </w:r>
            <w:r w:rsidR="00E46220"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="00E46220"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بشأن</w:t>
            </w:r>
            <w:r w:rsidR="00E46220"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="00E46220"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البراءات</w:t>
            </w:r>
            <w:r w:rsidR="00E46220" w:rsidRPr="00343194">
              <w:rPr>
                <w:rFonts w:ascii="Arabic Typesetting" w:hAnsi="Arabic Typesetting" w:cs="Arabic Typesetting"/>
                <w:sz w:val="36"/>
                <w:szCs w:val="36"/>
              </w:rPr>
              <w:t> </w:t>
            </w:r>
          </w:p>
        </w:tc>
      </w:tr>
      <w:tr w:rsidR="00E46220" w:rsidRPr="00343194" w:rsidTr="00E5782C">
        <w:trPr>
          <w:jc w:val="right"/>
        </w:trPr>
        <w:tc>
          <w:tcPr>
            <w:tcW w:w="2727" w:type="dxa"/>
          </w:tcPr>
          <w:p w:rsidR="00E46220" w:rsidRPr="00343194" w:rsidRDefault="00E46220" w:rsidP="00224561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E46220" w:rsidRPr="00343194" w:rsidRDefault="00E46220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4077" w:type="dxa"/>
          </w:tcPr>
          <w:p w:rsidR="00E46220" w:rsidRPr="00343194" w:rsidRDefault="00E46220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E46220" w:rsidRPr="00343194" w:rsidTr="00E5782C">
        <w:trPr>
          <w:jc w:val="right"/>
        </w:trPr>
        <w:tc>
          <w:tcPr>
            <w:tcW w:w="2727" w:type="dxa"/>
          </w:tcPr>
          <w:p w:rsidR="00E46220" w:rsidRPr="00343194" w:rsidRDefault="00E46220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MM/A/48/1</w:t>
            </w:r>
          </w:p>
        </w:tc>
        <w:tc>
          <w:tcPr>
            <w:tcW w:w="2835" w:type="dxa"/>
          </w:tcPr>
          <w:p w:rsidR="00E46220" w:rsidRPr="00343194" w:rsidRDefault="00E46220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E46220" w:rsidRPr="00343194" w:rsidRDefault="00B02D2D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02D2D">
              <w:rPr>
                <w:rFonts w:ascii="Arabic Typesetting" w:hAnsi="Arabic Typesetting" w:cs="Arabic Typesetting"/>
                <w:sz w:val="36"/>
                <w:szCs w:val="36"/>
                <w:rtl/>
              </w:rPr>
              <w:t>برنامج تحديث تكنولوجيا المعلومات (نظام مدريد للتسجيل الدولي): تقرير مرحلي</w:t>
            </w:r>
          </w:p>
        </w:tc>
      </w:tr>
      <w:tr w:rsidR="00E46220" w:rsidRPr="00343194" w:rsidTr="00E5782C">
        <w:trPr>
          <w:jc w:val="right"/>
        </w:trPr>
        <w:tc>
          <w:tcPr>
            <w:tcW w:w="2727" w:type="dxa"/>
          </w:tcPr>
          <w:p w:rsidR="00E46220" w:rsidRPr="00343194" w:rsidRDefault="00E46220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MM/A/48/2 Rev.</w:t>
            </w:r>
          </w:p>
        </w:tc>
        <w:tc>
          <w:tcPr>
            <w:tcW w:w="2835" w:type="dxa"/>
          </w:tcPr>
          <w:p w:rsidR="00E46220" w:rsidRPr="00343194" w:rsidRDefault="00E46220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E46220" w:rsidRPr="00343194" w:rsidRDefault="00B02D2D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02D2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قاعدة بيانات نظام مدريد بشأن السلع والخدمات:  </w:t>
            </w:r>
            <w:r w:rsidRPr="00B02D2D">
              <w:rPr>
                <w:rFonts w:ascii="Arabic Typesetting" w:hAnsi="Arabic Typesetting" w:cs="Arabic Typesetting"/>
                <w:sz w:val="36"/>
                <w:szCs w:val="36"/>
                <w:rtl/>
              </w:rPr>
              <w:lastRenderedPageBreak/>
              <w:t>تقرير مرحلي</w:t>
            </w:r>
          </w:p>
        </w:tc>
      </w:tr>
      <w:tr w:rsidR="00E46220" w:rsidRPr="00343194" w:rsidTr="00E5782C">
        <w:trPr>
          <w:jc w:val="right"/>
        </w:trPr>
        <w:tc>
          <w:tcPr>
            <w:tcW w:w="2727" w:type="dxa"/>
          </w:tcPr>
          <w:p w:rsidR="00E46220" w:rsidRPr="00343194" w:rsidRDefault="00E46220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lastRenderedPageBreak/>
              <w:t>MM/A/48/3</w:t>
            </w:r>
          </w:p>
        </w:tc>
        <w:tc>
          <w:tcPr>
            <w:tcW w:w="2835" w:type="dxa"/>
          </w:tcPr>
          <w:p w:rsidR="00E46220" w:rsidRPr="00343194" w:rsidRDefault="00E46220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E46220" w:rsidRPr="00343194" w:rsidRDefault="00E46220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التعديلات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المقترح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إدخالها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على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اللائحة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التنفيذية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المشتركة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بين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اتفاق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وبروتوكول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مدريد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بشأن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التسجيل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الدولي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للعلامات</w:t>
            </w:r>
          </w:p>
        </w:tc>
      </w:tr>
      <w:tr w:rsidR="00E46220" w:rsidRPr="00343194" w:rsidTr="00E5782C">
        <w:trPr>
          <w:jc w:val="right"/>
        </w:trPr>
        <w:tc>
          <w:tcPr>
            <w:tcW w:w="2727" w:type="dxa"/>
          </w:tcPr>
          <w:p w:rsidR="00E46220" w:rsidRPr="00343194" w:rsidRDefault="00E46220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E46220" w:rsidRPr="00343194" w:rsidRDefault="00E46220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4077" w:type="dxa"/>
          </w:tcPr>
          <w:p w:rsidR="00E46220" w:rsidRPr="00343194" w:rsidRDefault="00E46220" w:rsidP="000258BA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B02D2D" w:rsidRPr="00343194" w:rsidTr="00E5782C">
        <w:trPr>
          <w:jc w:val="right"/>
        </w:trPr>
        <w:tc>
          <w:tcPr>
            <w:tcW w:w="2727" w:type="dxa"/>
          </w:tcPr>
          <w:p w:rsidR="00B02D2D" w:rsidRPr="00343194" w:rsidRDefault="00B02D2D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lang w:val="es-ES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H/A/34/1</w:t>
            </w:r>
          </w:p>
        </w:tc>
        <w:tc>
          <w:tcPr>
            <w:tcW w:w="2835" w:type="dxa"/>
          </w:tcPr>
          <w:p w:rsidR="00B02D2D" w:rsidRPr="00343194" w:rsidRDefault="00B02D2D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B02D2D" w:rsidRPr="00343194" w:rsidRDefault="00B02D2D" w:rsidP="000258BA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02D2D">
              <w:rPr>
                <w:rFonts w:ascii="Arabic Typesetting" w:hAnsi="Arabic Typesetting" w:cs="Arabic Typesetting"/>
                <w:sz w:val="36"/>
                <w:szCs w:val="36"/>
                <w:rtl/>
              </w:rPr>
              <w:t>برنامج تحديث تكنولوجيا المعلومات (نظام لاهاي للتسجيل الدولي): تقرير مرحلي</w:t>
            </w:r>
          </w:p>
        </w:tc>
      </w:tr>
      <w:tr w:rsidR="00B02D2D" w:rsidRPr="00343194" w:rsidTr="00E5782C">
        <w:trPr>
          <w:jc w:val="right"/>
        </w:trPr>
        <w:tc>
          <w:tcPr>
            <w:tcW w:w="2727" w:type="dxa"/>
          </w:tcPr>
          <w:p w:rsidR="00B02D2D" w:rsidRPr="00343194" w:rsidRDefault="00B02D2D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lang w:val="es-ES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H/A/34/2</w:t>
            </w:r>
          </w:p>
        </w:tc>
        <w:tc>
          <w:tcPr>
            <w:tcW w:w="2835" w:type="dxa"/>
          </w:tcPr>
          <w:p w:rsidR="00B02D2D" w:rsidRPr="00343194" w:rsidRDefault="00B02D2D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B02D2D" w:rsidRPr="00343194" w:rsidRDefault="00F34DBF" w:rsidP="000258BA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F34DBF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مسائل متعلقة بالتطوير القانوني لنظام لاهاي</w:t>
            </w:r>
          </w:p>
        </w:tc>
      </w:tr>
      <w:tr w:rsidR="00B02D2D" w:rsidRPr="00343194" w:rsidTr="00E5782C">
        <w:trPr>
          <w:jc w:val="right"/>
        </w:trPr>
        <w:tc>
          <w:tcPr>
            <w:tcW w:w="2727" w:type="dxa"/>
          </w:tcPr>
          <w:p w:rsidR="00B02D2D" w:rsidRPr="00343194" w:rsidRDefault="00B02D2D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B02D2D" w:rsidRPr="00343194" w:rsidRDefault="00B02D2D" w:rsidP="000258BA">
            <w:pPr>
              <w:bidi/>
              <w:spacing w:after="240" w:line="360" w:lineRule="exact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4077" w:type="dxa"/>
          </w:tcPr>
          <w:p w:rsidR="00B02D2D" w:rsidRPr="00343194" w:rsidRDefault="00B02D2D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B02D2D" w:rsidRPr="00343194" w:rsidTr="00E5782C">
        <w:trPr>
          <w:jc w:val="right"/>
        </w:trPr>
        <w:tc>
          <w:tcPr>
            <w:tcW w:w="2727" w:type="dxa"/>
          </w:tcPr>
          <w:p w:rsidR="00B02D2D" w:rsidRPr="00343194" w:rsidRDefault="00B02D2D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LI/A/31/1</w:t>
            </w:r>
          </w:p>
        </w:tc>
        <w:tc>
          <w:tcPr>
            <w:tcW w:w="2835" w:type="dxa"/>
          </w:tcPr>
          <w:p w:rsidR="00B02D2D" w:rsidRPr="00343194" w:rsidRDefault="00B02D2D" w:rsidP="000258BA">
            <w:pPr>
              <w:bidi/>
              <w:spacing w:after="240" w:line="360" w:lineRule="exact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B02D2D" w:rsidRPr="00343194" w:rsidRDefault="00B02D2D" w:rsidP="00FC2799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استعراض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نظام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لشبونة</w:t>
            </w:r>
          </w:p>
        </w:tc>
      </w:tr>
      <w:tr w:rsidR="00B02D2D" w:rsidRPr="00343194" w:rsidTr="00E5782C">
        <w:trPr>
          <w:jc w:val="right"/>
        </w:trPr>
        <w:tc>
          <w:tcPr>
            <w:tcW w:w="2727" w:type="dxa"/>
          </w:tcPr>
          <w:p w:rsidR="00B02D2D" w:rsidRPr="00343194" w:rsidRDefault="00F34DBF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LI/A/31/2</w:t>
            </w:r>
          </w:p>
        </w:tc>
        <w:tc>
          <w:tcPr>
            <w:tcW w:w="2835" w:type="dxa"/>
          </w:tcPr>
          <w:p w:rsidR="00B02D2D" w:rsidRPr="00343194" w:rsidRDefault="00B02D2D" w:rsidP="000258BA">
            <w:pPr>
              <w:bidi/>
              <w:spacing w:after="240" w:line="360" w:lineRule="exact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B02D2D" w:rsidRPr="00343194" w:rsidRDefault="00B02D2D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اقتراح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بشأن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تحديث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D95A85">
              <w:rPr>
                <w:rFonts w:ascii="Arabic Typesetting" w:hAnsi="Arabic Typesetting" w:cs="Arabic Typesetting"/>
                <w:sz w:val="36"/>
                <w:szCs w:val="36"/>
                <w:rtl/>
              </w:rPr>
              <w:t>جدول</w:t>
            </w:r>
            <w:r w:rsidRPr="00D95A85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D95A85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الرسوم</w:t>
            </w:r>
            <w:r w:rsidRPr="00D95A85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D95A85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المنصوص</w:t>
            </w:r>
            <w:r w:rsidRPr="00D95A85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D95A85">
              <w:rPr>
                <w:rFonts w:ascii="Arabic Typesetting" w:hAnsi="Arabic Typesetting" w:cs="Arabic Typesetting"/>
                <w:sz w:val="36"/>
                <w:szCs w:val="36"/>
                <w:rtl/>
              </w:rPr>
              <w:t>عليه</w:t>
            </w:r>
            <w:r w:rsidRPr="00D95A85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D95A85">
              <w:rPr>
                <w:rFonts w:ascii="Arabic Typesetting" w:hAnsi="Arabic Typesetting" w:cs="Arabic Typesetting"/>
                <w:sz w:val="36"/>
                <w:szCs w:val="36"/>
                <w:rtl/>
              </w:rPr>
              <w:t>في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المادة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 23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من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اللائحة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التنفيذية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لاتفاق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لشبونة</w:t>
            </w:r>
          </w:p>
        </w:tc>
      </w:tr>
      <w:tr w:rsidR="00B02D2D" w:rsidRPr="00343194" w:rsidTr="00E5782C">
        <w:trPr>
          <w:jc w:val="right"/>
        </w:trPr>
        <w:tc>
          <w:tcPr>
            <w:tcW w:w="2727" w:type="dxa"/>
          </w:tcPr>
          <w:p w:rsidR="00B02D2D" w:rsidRPr="00343194" w:rsidRDefault="00B02D2D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B02D2D" w:rsidRPr="00343194" w:rsidRDefault="00B02D2D" w:rsidP="000258BA">
            <w:pPr>
              <w:pStyle w:val="TitleofDoc"/>
              <w:bidi/>
              <w:spacing w:before="0"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4077" w:type="dxa"/>
          </w:tcPr>
          <w:p w:rsidR="00B02D2D" w:rsidRPr="00343194" w:rsidRDefault="00B02D2D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B02D2D" w:rsidRPr="00343194" w:rsidTr="00E5782C">
        <w:trPr>
          <w:jc w:val="right"/>
        </w:trPr>
        <w:tc>
          <w:tcPr>
            <w:tcW w:w="2727" w:type="dxa"/>
          </w:tcPr>
          <w:p w:rsidR="00B02D2D" w:rsidRPr="00343194" w:rsidRDefault="00B02D2D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WO/CC/70/1</w:t>
            </w:r>
          </w:p>
        </w:tc>
        <w:tc>
          <w:tcPr>
            <w:tcW w:w="2835" w:type="dxa"/>
          </w:tcPr>
          <w:p w:rsidR="00B02D2D" w:rsidRPr="00343194" w:rsidRDefault="00B02D2D" w:rsidP="000258BA">
            <w:pPr>
              <w:pStyle w:val="TitleofDoc"/>
              <w:tabs>
                <w:tab w:val="center" w:pos="738"/>
                <w:tab w:val="left" w:pos="1425"/>
              </w:tabs>
              <w:bidi/>
              <w:spacing w:before="0" w:after="240" w:line="360" w:lineRule="exact"/>
              <w:rPr>
                <w:rFonts w:ascii="Arabic Typesetting" w:hAnsi="Arabic Typesetting" w:cs="Arabic Typesetting"/>
                <w:caps w:val="0"/>
                <w:color w:val="000000"/>
                <w:sz w:val="36"/>
                <w:szCs w:val="36"/>
                <w:lang w:val="es-ES"/>
              </w:rPr>
            </w:pPr>
            <w:r w:rsidRPr="00343194">
              <w:rPr>
                <w:rFonts w:ascii="Arabic Typesetting" w:hAnsi="Arabic Typesetting" w:cs="Arabic Typesetting"/>
                <w:caps w:val="0"/>
                <w:color w:val="000000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4077" w:type="dxa"/>
          </w:tcPr>
          <w:p w:rsidR="00B02D2D" w:rsidRPr="00343194" w:rsidRDefault="00B02D2D" w:rsidP="000258B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bCs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  <w:t>التقرير</w:t>
            </w:r>
            <w:r w:rsidRPr="00343194">
              <w:rPr>
                <w:rFonts w:ascii="Arabic Typesetting" w:hAnsi="Arabic Typesetting" w:cs="Arabic Typesetting"/>
                <w:bCs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  <w:t>السنوي</w:t>
            </w:r>
            <w:r w:rsidRPr="00343194">
              <w:rPr>
                <w:rFonts w:ascii="Arabic Typesetting" w:hAnsi="Arabic Typesetting" w:cs="Arabic Typesetting"/>
                <w:bCs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  <w:t>عن</w:t>
            </w:r>
            <w:r w:rsidRPr="00343194">
              <w:rPr>
                <w:rFonts w:ascii="Arabic Typesetting" w:hAnsi="Arabic Typesetting" w:cs="Arabic Typesetting"/>
                <w:bCs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  <w:t>الموارد</w:t>
            </w:r>
            <w:r w:rsidRPr="00343194">
              <w:rPr>
                <w:rFonts w:ascii="Arabic Typesetting" w:hAnsi="Arabic Typesetting" w:cs="Arabic Typesetting"/>
                <w:bCs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  <w:t>البشرية</w:t>
            </w:r>
          </w:p>
        </w:tc>
      </w:tr>
      <w:tr w:rsidR="00B02D2D" w:rsidRPr="00343194" w:rsidTr="00E5782C">
        <w:trPr>
          <w:jc w:val="right"/>
        </w:trPr>
        <w:tc>
          <w:tcPr>
            <w:tcW w:w="2727" w:type="dxa"/>
          </w:tcPr>
          <w:p w:rsidR="00B02D2D" w:rsidRPr="00343194" w:rsidRDefault="00B02D2D" w:rsidP="00224561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WO/CC/70/2</w:t>
            </w:r>
          </w:p>
        </w:tc>
        <w:tc>
          <w:tcPr>
            <w:tcW w:w="2835" w:type="dxa"/>
          </w:tcPr>
          <w:p w:rsidR="00B02D2D" w:rsidRPr="00343194" w:rsidRDefault="00B02D2D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B02D2D" w:rsidRPr="00343194" w:rsidRDefault="00B02D2D" w:rsidP="000258BA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تعيين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نواب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المدير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العام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proofErr w:type="gramStart"/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ومساعديه</w:t>
            </w:r>
            <w:proofErr w:type="gramEnd"/>
          </w:p>
          <w:p w:rsidR="00B02D2D" w:rsidRPr="00343194" w:rsidRDefault="00B02D2D" w:rsidP="000258BA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</w:tr>
      <w:tr w:rsidR="00B02D2D" w:rsidRPr="00343194" w:rsidTr="00E5782C">
        <w:trPr>
          <w:jc w:val="right"/>
        </w:trPr>
        <w:tc>
          <w:tcPr>
            <w:tcW w:w="2727" w:type="dxa"/>
          </w:tcPr>
          <w:p w:rsidR="00B02D2D" w:rsidRPr="00343194" w:rsidRDefault="00B02D2D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WO/CC/70/3</w:t>
            </w:r>
          </w:p>
        </w:tc>
        <w:tc>
          <w:tcPr>
            <w:tcW w:w="2835" w:type="dxa"/>
          </w:tcPr>
          <w:p w:rsidR="00B02D2D" w:rsidRPr="00343194" w:rsidRDefault="00B02D2D" w:rsidP="000258BA">
            <w:pPr>
              <w:bidi/>
              <w:spacing w:after="240" w:line="360" w:lineRule="exact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B02D2D" w:rsidRPr="00343194" w:rsidRDefault="00B02D2D" w:rsidP="00FC2799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proofErr w:type="gramStart"/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>نظام</w:t>
            </w:r>
            <w:proofErr w:type="gramEnd"/>
            <w:r w:rsidRPr="00503516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الموظفين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>ولائحته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</w:rPr>
              <w:t xml:space="preserve">: 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>تعديلات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>على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>نظام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الموظفين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>للموافقة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>عليها؛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والإخطار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>بتعديلات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>على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>لائحة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50351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الموظفين</w:t>
            </w:r>
          </w:p>
        </w:tc>
      </w:tr>
      <w:tr w:rsidR="00B02D2D" w:rsidRPr="00343194" w:rsidTr="00E5782C">
        <w:trPr>
          <w:jc w:val="right"/>
        </w:trPr>
        <w:tc>
          <w:tcPr>
            <w:tcW w:w="2727" w:type="dxa"/>
          </w:tcPr>
          <w:p w:rsidR="00B02D2D" w:rsidRPr="00343194" w:rsidRDefault="00B02D2D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WO/CC/70/4</w:t>
            </w:r>
          </w:p>
        </w:tc>
        <w:tc>
          <w:tcPr>
            <w:tcW w:w="2835" w:type="dxa"/>
          </w:tcPr>
          <w:p w:rsidR="00B02D2D" w:rsidRPr="00343194" w:rsidRDefault="00B02D2D" w:rsidP="000258BA">
            <w:pPr>
              <w:bidi/>
              <w:spacing w:after="240" w:line="360" w:lineRule="exact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B02D2D" w:rsidRPr="00343194" w:rsidRDefault="00B02D2D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اقتراح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الولايات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المتحدة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الأمريكية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الداعي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إلى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إدراج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بند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إضافي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في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جدول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الأعمال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بعنوان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aps/>
                <w:sz w:val="36"/>
                <w:szCs w:val="36"/>
              </w:rPr>
              <w:t>"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إسداء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لجنة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الويبو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للتنسيق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المشورة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إلى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جمعية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اتحاد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لشبونة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بخصوص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عقد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مؤتمر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دبلوماسي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لاعتماد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اتفاق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لشبونة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المراجع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بشأن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تسميات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المنشأ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والبيانات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EC66A2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الجغرافية</w:t>
            </w:r>
            <w:r w:rsidRPr="00EC66A2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EC66A2">
              <w:rPr>
                <w:rFonts w:ascii="Arabic Typesetting" w:hAnsi="Arabic Typesetting" w:cs="Arabic Typesetting"/>
                <w:sz w:val="36"/>
                <w:szCs w:val="36"/>
                <w:rtl/>
              </w:rPr>
              <w:t>في</w:t>
            </w:r>
            <w:r w:rsidRPr="00EC66A2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EC66A2">
              <w:rPr>
                <w:rFonts w:ascii="Arabic Typesetting" w:hAnsi="Arabic Typesetting" w:cs="Arabic Typesetting"/>
                <w:sz w:val="36"/>
                <w:szCs w:val="36"/>
                <w:rtl/>
              </w:rPr>
              <w:t>عام</w:t>
            </w:r>
            <w:r w:rsidR="00537D6D" w:rsidRPr="00EC66A2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="00537D6D" w:rsidRPr="00EC66A2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="00F34DBF" w:rsidRPr="00EC66A2">
              <w:rPr>
                <w:rFonts w:ascii="Arabic Typesetting" w:hAnsi="Arabic Typesetting" w:cs="Arabic Typesetting"/>
                <w:sz w:val="36"/>
                <w:szCs w:val="36"/>
              </w:rPr>
              <w:t xml:space="preserve">  </w:t>
            </w:r>
            <w:r w:rsidRPr="00EC66A2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="00F34DBF" w:rsidRPr="00EC66A2">
              <w:rPr>
                <w:rFonts w:ascii="Arabic Typesetting" w:hAnsi="Arabic Typesetting" w:cs="Arabic Typesetting"/>
                <w:sz w:val="36"/>
                <w:szCs w:val="36"/>
              </w:rPr>
              <w:t>"</w:t>
            </w:r>
            <w:r w:rsidRPr="00EC66A2">
              <w:rPr>
                <w:rFonts w:ascii="Arabic Typesetting" w:hAnsi="Arabic Typesetting" w:cs="Arabic Typesetting"/>
                <w:sz w:val="36"/>
                <w:szCs w:val="36"/>
              </w:rPr>
              <w:t>2015</w:t>
            </w:r>
            <w:r w:rsidR="00537D6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 </w:t>
            </w:r>
          </w:p>
        </w:tc>
      </w:tr>
      <w:tr w:rsidR="00B02D2D" w:rsidRPr="00343194" w:rsidTr="00E5782C">
        <w:trPr>
          <w:jc w:val="right"/>
        </w:trPr>
        <w:tc>
          <w:tcPr>
            <w:tcW w:w="2727" w:type="dxa"/>
          </w:tcPr>
          <w:p w:rsidR="00B02D2D" w:rsidRPr="00343194" w:rsidRDefault="00B02D2D" w:rsidP="000258BA">
            <w:pPr>
              <w:bidi/>
              <w:spacing w:after="240" w:line="360" w:lineRule="exact"/>
              <w:ind w:left="318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B02D2D" w:rsidRPr="00343194" w:rsidRDefault="00B02D2D" w:rsidP="000258BA">
            <w:pPr>
              <w:bidi/>
              <w:spacing w:after="240" w:line="360" w:lineRule="exact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4077" w:type="dxa"/>
          </w:tcPr>
          <w:p w:rsidR="00B02D2D" w:rsidRPr="00343194" w:rsidRDefault="00B02D2D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</w:tbl>
    <w:p w:rsidR="00F34DBF" w:rsidRPr="00EA5B1E" w:rsidRDefault="003C2711" w:rsidP="003A7100">
      <w:pPr>
        <w:pStyle w:val="EndofDocumentAR"/>
        <w:bidi w:val="0"/>
        <w:ind w:left="2977"/>
      </w:pPr>
      <w:r w:rsidRPr="00EA5B1E">
        <w:rPr>
          <w:rtl/>
        </w:rPr>
        <w:t>‏</w:t>
      </w:r>
      <w:r w:rsidR="00F34DBF" w:rsidRPr="00EA5B1E">
        <w:rPr>
          <w:rtl/>
        </w:rPr>
        <w:t>[</w:t>
      </w:r>
      <w:proofErr w:type="gramStart"/>
      <w:r w:rsidR="00F34DBF" w:rsidRPr="00EA5B1E">
        <w:rPr>
          <w:rtl/>
        </w:rPr>
        <w:t>نهاية</w:t>
      </w:r>
      <w:proofErr w:type="gramEnd"/>
      <w:r w:rsidR="00F34DBF" w:rsidRPr="00EA5B1E">
        <w:rPr>
          <w:rtl/>
        </w:rPr>
        <w:t xml:space="preserve"> الوثيقة]</w:t>
      </w:r>
    </w:p>
    <w:sectPr w:rsidR="00F34DBF" w:rsidRPr="00EA5B1E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11" w:rsidRDefault="003C2711">
      <w:r>
        <w:separator/>
      </w:r>
    </w:p>
  </w:endnote>
  <w:endnote w:type="continuationSeparator" w:id="0">
    <w:p w:rsidR="003C2711" w:rsidRDefault="003C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11" w:rsidRDefault="003C271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C2711" w:rsidRDefault="003C2711" w:rsidP="009622BF">
      <w:pPr>
        <w:bidi/>
      </w:pPr>
      <w:r>
        <w:separator/>
      </w:r>
    </w:p>
  </w:footnote>
  <w:footnote w:id="1">
    <w:p w:rsidR="003C2711" w:rsidRPr="009F364A" w:rsidRDefault="003C2711" w:rsidP="003C2711">
      <w:pPr>
        <w:pStyle w:val="Footer"/>
        <w:tabs>
          <w:tab w:val="clear" w:pos="4320"/>
          <w:tab w:val="clear" w:pos="8640"/>
        </w:tabs>
        <w:bidi/>
        <w:rPr>
          <w:rFonts w:ascii="Arabic Typesetting" w:hAnsi="Arabic Typesetting" w:cs="Arabic Typesetting"/>
          <w:sz w:val="28"/>
          <w:szCs w:val="28"/>
        </w:rPr>
      </w:pPr>
      <w:r w:rsidRPr="009F364A">
        <w:rPr>
          <w:rStyle w:val="FootnoteReference"/>
        </w:rPr>
        <w:footnoteRef/>
      </w:r>
      <w:r w:rsidRPr="009F364A">
        <w:rPr>
          <w:rFonts w:ascii="Arabic Typesetting" w:hAnsi="Arabic Typesetting" w:cs="Arabic Typesetting"/>
          <w:sz w:val="28"/>
          <w:szCs w:val="28"/>
        </w:rPr>
        <w:tab/>
      </w:r>
      <w:r w:rsidRPr="009F364A">
        <w:rPr>
          <w:rFonts w:ascii="Arabic Typesetting" w:hAnsi="Arabic Typesetting" w:cs="Arabic Typesetting"/>
          <w:sz w:val="28"/>
          <w:szCs w:val="28"/>
          <w:rtl/>
        </w:rPr>
        <w:t>ع: عربي، ث: ثنائي (إنكليزي وفرنسي)، ص: صيني، إ: إنكليزي، ف: فرنسي، ر: روسي، س: إسباني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711" w:rsidRDefault="00D95A85" w:rsidP="00C76865">
    <w:r>
      <w:t>A/54/INF/2 Prov.</w:t>
    </w:r>
    <w:r w:rsidR="004A7D40">
      <w:t>1</w:t>
    </w:r>
  </w:p>
  <w:p w:rsidR="003C2711" w:rsidRDefault="003C2711" w:rsidP="00D61541">
    <w:r>
      <w:fldChar w:fldCharType="begin"/>
    </w:r>
    <w:r>
      <w:instrText xml:space="preserve"> PAGE  \* MERGEFORMAT </w:instrText>
    </w:r>
    <w:r>
      <w:fldChar w:fldCharType="separate"/>
    </w:r>
    <w:r w:rsidR="006E62C5">
      <w:rPr>
        <w:noProof/>
      </w:rPr>
      <w:t>4</w:t>
    </w:r>
    <w:r>
      <w:fldChar w:fldCharType="end"/>
    </w:r>
  </w:p>
  <w:p w:rsidR="003C2711" w:rsidRDefault="003C271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1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20"/>
  </w:num>
  <w:num w:numId="5">
    <w:abstractNumId w:val="8"/>
  </w:num>
  <w:num w:numId="6">
    <w:abstractNumId w:val="21"/>
  </w:num>
  <w:num w:numId="7">
    <w:abstractNumId w:val="15"/>
  </w:num>
  <w:num w:numId="8">
    <w:abstractNumId w:val="19"/>
  </w:num>
  <w:num w:numId="9">
    <w:abstractNumId w:val="18"/>
  </w:num>
  <w:num w:numId="10">
    <w:abstractNumId w:val="22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11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BA"/>
    <w:rsid w:val="000258DB"/>
    <w:rsid w:val="000259E5"/>
    <w:rsid w:val="00031B2C"/>
    <w:rsid w:val="00033D2C"/>
    <w:rsid w:val="00035CE8"/>
    <w:rsid w:val="00036041"/>
    <w:rsid w:val="000378D0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36EE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4561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131E"/>
    <w:rsid w:val="00292B14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194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100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2711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A7D40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516"/>
    <w:rsid w:val="00503AE1"/>
    <w:rsid w:val="00503CA6"/>
    <w:rsid w:val="00503FAE"/>
    <w:rsid w:val="00504DC1"/>
    <w:rsid w:val="00505332"/>
    <w:rsid w:val="00505A57"/>
    <w:rsid w:val="00505D37"/>
    <w:rsid w:val="005078F9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14D3"/>
    <w:rsid w:val="00534AF0"/>
    <w:rsid w:val="00535060"/>
    <w:rsid w:val="00535738"/>
    <w:rsid w:val="00537D6D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2C5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9D5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5A19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2D2D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5A85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37B69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220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5782C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A5B1E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6A2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0FA"/>
    <w:rsid w:val="00F24D27"/>
    <w:rsid w:val="00F2520C"/>
    <w:rsid w:val="00F2526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4DBF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2799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3C2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2711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3C2711"/>
    <w:pPr>
      <w:ind w:left="5534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3C2711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3C2711"/>
    <w:rPr>
      <w:rFonts w:ascii="Arial" w:eastAsia="SimSun" w:hAnsi="Arial" w:cs="Arial"/>
      <w:sz w:val="22"/>
      <w:lang w:eastAsia="zh-CN"/>
    </w:rPr>
  </w:style>
  <w:style w:type="paragraph" w:customStyle="1" w:styleId="ONUME">
    <w:name w:val="ONUM E"/>
    <w:basedOn w:val="BodyText"/>
    <w:rsid w:val="003C2711"/>
    <w:pPr>
      <w:numPr>
        <w:numId w:val="22"/>
      </w:numPr>
    </w:pPr>
  </w:style>
  <w:style w:type="paragraph" w:customStyle="1" w:styleId="ONUMFS">
    <w:name w:val="ONUM FS"/>
    <w:basedOn w:val="BodyText"/>
    <w:rsid w:val="003C2711"/>
    <w:pPr>
      <w:numPr>
        <w:numId w:val="23"/>
      </w:numPr>
    </w:pPr>
  </w:style>
  <w:style w:type="paragraph" w:customStyle="1" w:styleId="TitleofDoc">
    <w:name w:val="Title of Doc"/>
    <w:basedOn w:val="Normal"/>
    <w:rsid w:val="003C2711"/>
    <w:pPr>
      <w:spacing w:before="1200"/>
      <w:jc w:val="center"/>
    </w:pPr>
    <w:rPr>
      <w:rFonts w:ascii="Times New Roman" w:hAnsi="Times New Roman" w:cs="Times New Roman"/>
      <w:caps/>
      <w:sz w:val="24"/>
    </w:rPr>
  </w:style>
  <w:style w:type="character" w:customStyle="1" w:styleId="FooterChar">
    <w:name w:val="Footer Char"/>
    <w:basedOn w:val="DefaultParagraphFont"/>
    <w:link w:val="Footer"/>
    <w:semiHidden/>
    <w:rsid w:val="003C2711"/>
    <w:rPr>
      <w:rFonts w:ascii="Arial" w:hAnsi="Arial" w:cs="Arial"/>
      <w:sz w:val="22"/>
    </w:rPr>
  </w:style>
  <w:style w:type="paragraph" w:customStyle="1" w:styleId="CharCharCharChar">
    <w:name w:val="Char Char Char Char"/>
    <w:basedOn w:val="Normal"/>
    <w:rsid w:val="003C2711"/>
    <w:pPr>
      <w:spacing w:after="160" w:line="240" w:lineRule="exact"/>
    </w:pPr>
    <w:rPr>
      <w:rFonts w:ascii="Verdana" w:hAnsi="Verdana" w:cs="Times New Roman"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3C2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2711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3C2711"/>
    <w:pPr>
      <w:ind w:left="5534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3C2711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3C2711"/>
    <w:rPr>
      <w:rFonts w:ascii="Arial" w:eastAsia="SimSun" w:hAnsi="Arial" w:cs="Arial"/>
      <w:sz w:val="22"/>
      <w:lang w:eastAsia="zh-CN"/>
    </w:rPr>
  </w:style>
  <w:style w:type="paragraph" w:customStyle="1" w:styleId="ONUME">
    <w:name w:val="ONUM E"/>
    <w:basedOn w:val="BodyText"/>
    <w:rsid w:val="003C2711"/>
    <w:pPr>
      <w:numPr>
        <w:numId w:val="22"/>
      </w:numPr>
    </w:pPr>
  </w:style>
  <w:style w:type="paragraph" w:customStyle="1" w:styleId="ONUMFS">
    <w:name w:val="ONUM FS"/>
    <w:basedOn w:val="BodyText"/>
    <w:rsid w:val="003C2711"/>
    <w:pPr>
      <w:numPr>
        <w:numId w:val="23"/>
      </w:numPr>
    </w:pPr>
  </w:style>
  <w:style w:type="paragraph" w:customStyle="1" w:styleId="TitleofDoc">
    <w:name w:val="Title of Doc"/>
    <w:basedOn w:val="Normal"/>
    <w:rsid w:val="003C2711"/>
    <w:pPr>
      <w:spacing w:before="1200"/>
      <w:jc w:val="center"/>
    </w:pPr>
    <w:rPr>
      <w:rFonts w:ascii="Times New Roman" w:hAnsi="Times New Roman" w:cs="Times New Roman"/>
      <w:caps/>
      <w:sz w:val="24"/>
    </w:rPr>
  </w:style>
  <w:style w:type="character" w:customStyle="1" w:styleId="FooterChar">
    <w:name w:val="Footer Char"/>
    <w:basedOn w:val="DefaultParagraphFont"/>
    <w:link w:val="Footer"/>
    <w:semiHidden/>
    <w:rsid w:val="003C2711"/>
    <w:rPr>
      <w:rFonts w:ascii="Arial" w:hAnsi="Arial" w:cs="Arial"/>
      <w:sz w:val="22"/>
    </w:rPr>
  </w:style>
  <w:style w:type="paragraph" w:customStyle="1" w:styleId="CharCharCharChar">
    <w:name w:val="Char Char Char Char"/>
    <w:basedOn w:val="Normal"/>
    <w:rsid w:val="003C2711"/>
    <w:pPr>
      <w:spacing w:after="160" w:line="240" w:lineRule="exact"/>
    </w:pPr>
    <w:rPr>
      <w:rFonts w:ascii="Verdana" w:hAnsi="Verdana" w:cs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AFC73-22CE-42DF-8A8D-A03E1B5D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A_54_AR.dotx</Template>
  <TotalTime>3</TotalTime>
  <Pages>4</Pages>
  <Words>730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A/53/-- (Arabic)</vt:lpstr>
    </vt:vector>
  </TitlesOfParts>
  <Company>World Intellectual Property Organization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A/53/-- (Arabic)</dc:title>
  <dc:creator>MOUJAES Michelle</dc:creator>
  <cp:lastModifiedBy>YOUSSEF Randa</cp:lastModifiedBy>
  <cp:revision>5</cp:revision>
  <cp:lastPrinted>2014-09-19T15:27:00Z</cp:lastPrinted>
  <dcterms:created xsi:type="dcterms:W3CDTF">2014-09-19T15:25:00Z</dcterms:created>
  <dcterms:modified xsi:type="dcterms:W3CDTF">2014-09-19T15:28:00Z</dcterms:modified>
</cp:coreProperties>
</file>