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979D3" w:rsidP="00A979D3">
            <w:pPr>
              <w:pStyle w:val="DocumentCodeAR"/>
              <w:bidi/>
              <w:rPr>
                <w:rtl/>
              </w:rPr>
            </w:pPr>
            <w:r>
              <w:t>H</w:t>
            </w:r>
            <w:r w:rsidR="004D0A41">
              <w:t>/</w:t>
            </w:r>
            <w:r w:rsidR="007D24E7">
              <w:t>A</w:t>
            </w:r>
            <w:r w:rsidR="00100F97">
              <w:t>/</w:t>
            </w:r>
            <w:r>
              <w:t>32</w:t>
            </w:r>
            <w:r w:rsidR="004D0A41">
              <w:t>/</w:t>
            </w:r>
            <w:r>
              <w:t>3</w:t>
            </w:r>
            <w:r w:rsidR="004D0A41">
              <w:t xml:space="preserve"> PROV.</w:t>
            </w:r>
          </w:p>
        </w:tc>
      </w:tr>
      <w:tr w:rsidR="001667B6" w:rsidTr="00BF164F">
        <w:tc>
          <w:tcPr>
            <w:tcW w:w="9571" w:type="dxa"/>
            <w:gridSpan w:val="3"/>
          </w:tcPr>
          <w:p w:rsidR="001667B6" w:rsidRPr="004D0A41" w:rsidRDefault="004D0A41" w:rsidP="00FB7EC9">
            <w:pPr>
              <w:pStyle w:val="DocumentLanguageAR"/>
              <w:bidi/>
              <w:rPr>
                <w:rtl/>
                <w:lang w:val="fr-CH"/>
              </w:rPr>
            </w:pPr>
            <w:r>
              <w:rPr>
                <w:rFonts w:hint="cs"/>
                <w:rtl/>
              </w:rPr>
              <w:t>الأصل: بالإنكليزية</w:t>
            </w:r>
          </w:p>
        </w:tc>
      </w:tr>
      <w:tr w:rsidR="001667B6" w:rsidTr="00BF164F">
        <w:tc>
          <w:tcPr>
            <w:tcW w:w="9571" w:type="dxa"/>
            <w:gridSpan w:val="3"/>
          </w:tcPr>
          <w:p w:rsidR="001667B6" w:rsidRPr="00B6101C" w:rsidRDefault="00B6101C" w:rsidP="004D0A41">
            <w:pPr>
              <w:pStyle w:val="DocumentDateAR"/>
              <w:bidi/>
              <w:rPr>
                <w:rtl/>
              </w:rPr>
            </w:pPr>
            <w:r w:rsidRPr="00B6101C">
              <w:rPr>
                <w:rFonts w:hint="cs"/>
                <w:rtl/>
              </w:rPr>
              <w:t xml:space="preserve">التاريخ: </w:t>
            </w:r>
            <w:r w:rsidR="004D0A41">
              <w:rPr>
                <w:rFonts w:hint="cs"/>
                <w:rtl/>
              </w:rPr>
              <w:t>2 أكتوبر</w:t>
            </w:r>
            <w:r w:rsidRPr="00B6101C">
              <w:rPr>
                <w:rFonts w:hint="cs"/>
                <w:rtl/>
              </w:rPr>
              <w:t xml:space="preserve"> </w:t>
            </w:r>
            <w:r w:rsidR="00190B6D">
              <w:rPr>
                <w:rFonts w:hint="cs"/>
                <w:rtl/>
              </w:rPr>
              <w:t>201</w:t>
            </w:r>
            <w:r w:rsidR="00783D11">
              <w:rPr>
                <w:rFonts w:hint="cs"/>
                <w:rtl/>
              </w:rPr>
              <w:t>3</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8C5471" w:rsidRDefault="00A979D3" w:rsidP="00A979D3">
      <w:pPr>
        <w:pStyle w:val="MeetingTitleAR"/>
        <w:bidi/>
        <w:rPr>
          <w:lang w:val="fr-CH"/>
        </w:rPr>
      </w:pPr>
      <w:r w:rsidRPr="00A979D3">
        <w:rPr>
          <w:rtl/>
          <w:lang w:val="fr-CH"/>
        </w:rPr>
        <w:t xml:space="preserve">الاتحاد الخاص للإيداع الدولي </w:t>
      </w:r>
      <w:r>
        <w:rPr>
          <w:rFonts w:hint="cs"/>
          <w:rtl/>
          <w:lang w:val="fr-CH"/>
        </w:rPr>
        <w:t>ل</w:t>
      </w:r>
      <w:r w:rsidR="006A72D4">
        <w:rPr>
          <w:rFonts w:hint="cs"/>
          <w:rtl/>
          <w:lang w:val="fr-CH"/>
        </w:rPr>
        <w:t>ل</w:t>
      </w:r>
      <w:r>
        <w:rPr>
          <w:rFonts w:hint="cs"/>
          <w:rtl/>
          <w:lang w:val="fr-CH"/>
        </w:rPr>
        <w:t>تصاميم</w:t>
      </w:r>
      <w:r w:rsidRPr="00A979D3">
        <w:rPr>
          <w:rtl/>
          <w:lang w:val="fr-CH"/>
        </w:rPr>
        <w:t xml:space="preserve"> الصناعية </w:t>
      </w:r>
    </w:p>
    <w:p w:rsidR="001E12A4" w:rsidRDefault="00A979D3" w:rsidP="008C5471">
      <w:pPr>
        <w:pStyle w:val="MeetingTitleAR"/>
        <w:bidi/>
        <w:rPr>
          <w:rtl/>
          <w:lang w:val="fr-CH"/>
        </w:rPr>
      </w:pPr>
      <w:r w:rsidRPr="00A979D3">
        <w:rPr>
          <w:rtl/>
          <w:lang w:val="fr-CH"/>
        </w:rPr>
        <w:t>(اتحاد لاهاي)</w:t>
      </w:r>
    </w:p>
    <w:p w:rsidR="001E12A4" w:rsidRDefault="001E12A4" w:rsidP="006317EF">
      <w:pPr>
        <w:pStyle w:val="NormalParaAR"/>
        <w:rPr>
          <w:rtl/>
        </w:rPr>
      </w:pPr>
    </w:p>
    <w:p w:rsidR="007D24E7" w:rsidRDefault="007D24E7" w:rsidP="006317EF">
      <w:pPr>
        <w:pStyle w:val="MeetingTitleAR"/>
        <w:bidi/>
        <w:rPr>
          <w:rtl/>
          <w:lang w:val="fr-CH"/>
        </w:rPr>
      </w:pPr>
      <w:r w:rsidRPr="007D24E7">
        <w:rPr>
          <w:rFonts w:hint="cs"/>
          <w:rtl/>
          <w:lang w:val="fr-CH"/>
        </w:rPr>
        <w:t>الجمعية</w:t>
      </w:r>
    </w:p>
    <w:p w:rsidR="007D24E7" w:rsidRPr="006317EF" w:rsidRDefault="007D24E7" w:rsidP="006317EF">
      <w:pPr>
        <w:pStyle w:val="NormalParaAR"/>
        <w:rPr>
          <w:rtl/>
          <w:lang w:val="fr-CH"/>
        </w:rPr>
      </w:pPr>
    </w:p>
    <w:p w:rsidR="001E12A4" w:rsidRPr="00D61541" w:rsidRDefault="004D0A41" w:rsidP="00A979D3">
      <w:pPr>
        <w:pStyle w:val="MeetingSessionAR"/>
        <w:bidi/>
        <w:rPr>
          <w:rtl/>
        </w:rPr>
      </w:pPr>
      <w:r>
        <w:rPr>
          <w:rFonts w:hint="cs"/>
          <w:rtl/>
        </w:rPr>
        <w:t xml:space="preserve">الدورة </w:t>
      </w:r>
      <w:r w:rsidR="00A979D3">
        <w:rPr>
          <w:rFonts w:hint="cs"/>
          <w:rtl/>
        </w:rPr>
        <w:t>الثانية والثلاثون</w:t>
      </w:r>
      <w:r>
        <w:rPr>
          <w:rFonts w:hint="cs"/>
          <w:rtl/>
        </w:rPr>
        <w:t xml:space="preserve"> (الدورة العادية </w:t>
      </w:r>
      <w:r w:rsidR="00A979D3">
        <w:rPr>
          <w:rFonts w:hint="cs"/>
          <w:rtl/>
        </w:rPr>
        <w:t>التاسعة عشرة</w:t>
      </w:r>
      <w:r>
        <w:rPr>
          <w:rFonts w:hint="cs"/>
          <w:rtl/>
        </w:rPr>
        <w:t>)</w:t>
      </w:r>
    </w:p>
    <w:p w:rsidR="001E12A4" w:rsidRPr="00D61541" w:rsidRDefault="001E12A4" w:rsidP="001E12A4">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D0A41" w:rsidP="00FB7EC9">
      <w:pPr>
        <w:pStyle w:val="DocumentTitleAR"/>
        <w:bidi/>
        <w:rPr>
          <w:rtl/>
        </w:rPr>
      </w:pPr>
      <w:r>
        <w:rPr>
          <w:rFonts w:hint="cs"/>
          <w:rtl/>
        </w:rPr>
        <w:t>مشروع التقرير</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4D0A41">
        <w:rPr>
          <w:rFonts w:hint="cs"/>
          <w:rtl/>
        </w:rPr>
        <w:t xml:space="preserve"> الأمانة</w:t>
      </w:r>
    </w:p>
    <w:p w:rsidR="00D61541" w:rsidRPr="004D0A41" w:rsidRDefault="006317EF" w:rsidP="007D24E7">
      <w:pPr>
        <w:pStyle w:val="NumberedParaAR"/>
      </w:pPr>
      <w:r>
        <w:rPr>
          <w:rFonts w:hint="cs"/>
          <w:rtl/>
          <w:lang w:val="fr-CH"/>
        </w:rPr>
        <w:t>تناولت الجمعية</w:t>
      </w:r>
      <w:r w:rsidR="004D0A41">
        <w:rPr>
          <w:rFonts w:hint="cs"/>
          <w:rtl/>
        </w:rPr>
        <w:t xml:space="preserve"> البنود التالية</w:t>
      </w:r>
      <w:r w:rsidR="00A93F23">
        <w:rPr>
          <w:rFonts w:hint="cs"/>
          <w:rtl/>
        </w:rPr>
        <w:t xml:space="preserve"> التي تعنيها</w:t>
      </w:r>
      <w:r w:rsidR="004D0A41">
        <w:rPr>
          <w:rFonts w:hint="cs"/>
          <w:rtl/>
        </w:rPr>
        <w:t xml:space="preserve"> من جدول الأعمال الموحّد (الوثيقة </w:t>
      </w:r>
      <w:r w:rsidR="004D0A41">
        <w:t>A/51/1 Prov.</w:t>
      </w:r>
      <w:r w:rsidR="0001263E">
        <w:t>3</w:t>
      </w:r>
      <w:r w:rsidR="004D0A41">
        <w:rPr>
          <w:rFonts w:hint="cs"/>
          <w:rtl/>
          <w:lang w:val="fr-CH"/>
        </w:rPr>
        <w:t xml:space="preserve">): 1 و2 و3 و4 و5 و6 و8 و11 و12 و13 و14 و15 و16 و19 و20 و21 و22 و23 </w:t>
      </w:r>
      <w:r w:rsidR="00A979D3">
        <w:rPr>
          <w:rFonts w:hint="cs"/>
          <w:rtl/>
          <w:lang w:val="fr-CH"/>
        </w:rPr>
        <w:t xml:space="preserve">و39 </w:t>
      </w:r>
      <w:r w:rsidR="004D0A41">
        <w:rPr>
          <w:rFonts w:hint="cs"/>
          <w:rtl/>
          <w:lang w:val="fr-CH"/>
        </w:rPr>
        <w:t>و47 و48.</w:t>
      </w:r>
    </w:p>
    <w:p w:rsidR="004D0A41" w:rsidRPr="00A979D3" w:rsidRDefault="004D0A41" w:rsidP="004D0A41">
      <w:pPr>
        <w:pStyle w:val="NumberedParaAR"/>
      </w:pPr>
      <w:r>
        <w:rPr>
          <w:rFonts w:hint="cs"/>
          <w:rtl/>
        </w:rPr>
        <w:t>وترد التقارير الخاصة بالبنود المذكورة</w:t>
      </w:r>
      <w:r w:rsidR="00B9416E">
        <w:rPr>
          <w:rFonts w:hint="cs"/>
          <w:rtl/>
          <w:lang w:val="fr-CH"/>
        </w:rPr>
        <w:t>، فيما عدا البند 39،</w:t>
      </w:r>
      <w:r>
        <w:rPr>
          <w:rFonts w:hint="cs"/>
          <w:rtl/>
        </w:rPr>
        <w:t xml:space="preserve"> في مشروع التقرير العام (الوثيقة </w:t>
      </w:r>
      <w:r>
        <w:t>A/51/20 Prov.</w:t>
      </w:r>
      <w:r>
        <w:rPr>
          <w:rFonts w:hint="cs"/>
          <w:rtl/>
          <w:lang w:val="fr-CH"/>
        </w:rPr>
        <w:t>).</w:t>
      </w:r>
    </w:p>
    <w:p w:rsidR="00A979D3" w:rsidRPr="004D0A41" w:rsidRDefault="00A979D3" w:rsidP="004D0A41">
      <w:pPr>
        <w:pStyle w:val="NumberedParaAR"/>
      </w:pPr>
      <w:r>
        <w:rPr>
          <w:rFonts w:hint="cs"/>
          <w:rtl/>
          <w:lang w:val="fr-CH"/>
        </w:rPr>
        <w:t>ويرد التقرير الخاص بالبند 39 في هذه الوثيقة.</w:t>
      </w:r>
    </w:p>
    <w:p w:rsidR="001667B6" w:rsidRPr="00AE1959" w:rsidRDefault="004D0A41" w:rsidP="00A979D3">
      <w:pPr>
        <w:pStyle w:val="NumberedParaAR"/>
      </w:pPr>
      <w:r>
        <w:rPr>
          <w:rFonts w:hint="cs"/>
          <w:rtl/>
        </w:rPr>
        <w:t>وانتخب</w:t>
      </w:r>
      <w:r w:rsidR="00A979D3">
        <w:rPr>
          <w:rFonts w:hint="cs"/>
          <w:rtl/>
        </w:rPr>
        <w:t>ت السيدة</w:t>
      </w:r>
      <w:r>
        <w:rPr>
          <w:rFonts w:hint="cs"/>
          <w:rtl/>
        </w:rPr>
        <w:t xml:space="preserve"> </w:t>
      </w:r>
      <w:r w:rsidR="00A979D3" w:rsidRPr="00A979D3">
        <w:rPr>
          <w:rtl/>
        </w:rPr>
        <w:t>سارناي غانبايار (منغوليا)</w:t>
      </w:r>
      <w:r w:rsidR="00A979D3" w:rsidRPr="00A979D3">
        <w:rPr>
          <w:rFonts w:hint="cs"/>
          <w:rtl/>
        </w:rPr>
        <w:t xml:space="preserve"> </w:t>
      </w:r>
      <w:r w:rsidR="00A979D3">
        <w:rPr>
          <w:rFonts w:hint="cs"/>
          <w:rtl/>
        </w:rPr>
        <w:t>رئيسة</w:t>
      </w:r>
      <w:r>
        <w:rPr>
          <w:rFonts w:hint="cs"/>
          <w:rtl/>
        </w:rPr>
        <w:t xml:space="preserve"> </w:t>
      </w:r>
      <w:r w:rsidR="005D15F5">
        <w:rPr>
          <w:rFonts w:hint="cs"/>
          <w:rtl/>
        </w:rPr>
        <w:t>للجمعية</w:t>
      </w:r>
      <w:r w:rsidR="00A979D3">
        <w:rPr>
          <w:rFonts w:hint="cs"/>
          <w:rtl/>
        </w:rPr>
        <w:t>؛ وانتخبت السيدة كنداسي وستباي</w:t>
      </w:r>
      <w:r>
        <w:rPr>
          <w:rFonts w:hint="cs"/>
          <w:rtl/>
        </w:rPr>
        <w:t xml:space="preserve"> (</w:t>
      </w:r>
      <w:r w:rsidR="00A979D3">
        <w:rPr>
          <w:rFonts w:hint="cs"/>
          <w:rtl/>
        </w:rPr>
        <w:t>بليز</w:t>
      </w:r>
      <w:r>
        <w:rPr>
          <w:rFonts w:hint="cs"/>
          <w:rtl/>
        </w:rPr>
        <w:t xml:space="preserve">) </w:t>
      </w:r>
      <w:r w:rsidR="00A979D3">
        <w:rPr>
          <w:rFonts w:hint="cs"/>
          <w:rtl/>
        </w:rPr>
        <w:t>نائبة</w:t>
      </w:r>
      <w:r>
        <w:rPr>
          <w:rFonts w:hint="cs"/>
          <w:rtl/>
          <w:lang w:val="fr-CH"/>
        </w:rPr>
        <w:t xml:space="preserve"> للرئيس</w:t>
      </w:r>
      <w:r w:rsidR="00A979D3">
        <w:rPr>
          <w:rFonts w:hint="cs"/>
          <w:rtl/>
          <w:lang w:val="fr-CH"/>
        </w:rPr>
        <w:t>ة</w:t>
      </w:r>
      <w:r>
        <w:rPr>
          <w:rFonts w:hint="cs"/>
          <w:rtl/>
          <w:lang w:val="fr-CH"/>
        </w:rPr>
        <w:t>.</w:t>
      </w:r>
    </w:p>
    <w:p w:rsidR="00A979D3" w:rsidRDefault="00A979D3">
      <w:pPr>
        <w:rPr>
          <w:rFonts w:ascii="Arabic Typesetting" w:hAnsi="Arabic Typesetting" w:cs="Arabic Typesetting"/>
          <w:sz w:val="36"/>
          <w:szCs w:val="36"/>
          <w:rtl/>
        </w:rPr>
      </w:pPr>
      <w:r>
        <w:rPr>
          <w:rtl/>
        </w:rPr>
        <w:br w:type="page"/>
      </w:r>
    </w:p>
    <w:p w:rsidR="00AE1959" w:rsidRPr="00A979D3" w:rsidRDefault="00A979D3" w:rsidP="00A979D3">
      <w:pPr>
        <w:pStyle w:val="NormalParaAR"/>
        <w:spacing w:before="480" w:after="0"/>
        <w:rPr>
          <w:sz w:val="40"/>
          <w:szCs w:val="40"/>
          <w:rtl/>
        </w:rPr>
      </w:pPr>
      <w:r w:rsidRPr="00A979D3">
        <w:rPr>
          <w:rFonts w:hint="cs"/>
          <w:sz w:val="40"/>
          <w:szCs w:val="40"/>
          <w:rtl/>
        </w:rPr>
        <w:lastRenderedPageBreak/>
        <w:t>البند 39 من جدول الأعمال الموحد</w:t>
      </w:r>
    </w:p>
    <w:p w:rsidR="00A979D3" w:rsidRPr="00A979D3" w:rsidRDefault="00A979D3" w:rsidP="00A979D3">
      <w:pPr>
        <w:pStyle w:val="NormalParaAR"/>
        <w:rPr>
          <w:sz w:val="40"/>
          <w:szCs w:val="40"/>
          <w:rtl/>
        </w:rPr>
      </w:pPr>
      <w:r w:rsidRPr="00A979D3">
        <w:rPr>
          <w:rFonts w:hint="cs"/>
          <w:sz w:val="40"/>
          <w:szCs w:val="40"/>
          <w:rtl/>
        </w:rPr>
        <w:t>نظام لاهاي</w:t>
      </w:r>
    </w:p>
    <w:p w:rsidR="00291B3A" w:rsidRDefault="00291B3A" w:rsidP="00EC6FDF">
      <w:pPr>
        <w:pStyle w:val="NumberedParaAR"/>
      </w:pPr>
      <w:r w:rsidRPr="00EE6DE0">
        <w:rPr>
          <w:rFonts w:hint="cs"/>
          <w:rtl/>
        </w:rPr>
        <w:t xml:space="preserve">استندت المناقشات إلى </w:t>
      </w:r>
      <w:r>
        <w:rPr>
          <w:rtl/>
        </w:rPr>
        <w:t>الوثيق</w:t>
      </w:r>
      <w:r>
        <w:rPr>
          <w:rFonts w:hint="cs"/>
          <w:rtl/>
        </w:rPr>
        <w:t>تين </w:t>
      </w:r>
      <w:r w:rsidRPr="00EC6FDF">
        <w:t>H/A/32/1</w:t>
      </w:r>
      <w:r>
        <w:rPr>
          <w:rFonts w:hint="cs"/>
          <w:rtl/>
        </w:rPr>
        <w:t xml:space="preserve"> و</w:t>
      </w:r>
      <w:r w:rsidRPr="00EC6FDF">
        <w:t xml:space="preserve"> H/A/32/2</w:t>
      </w:r>
      <w:r>
        <w:rPr>
          <w:rFonts w:hint="cs"/>
          <w:rtl/>
        </w:rPr>
        <w:t>.</w:t>
      </w:r>
    </w:p>
    <w:p w:rsidR="00291B3A" w:rsidRDefault="00291B3A" w:rsidP="005E0C55">
      <w:pPr>
        <w:pStyle w:val="NumberedParaAR"/>
        <w:rPr>
          <w:rtl/>
        </w:rPr>
      </w:pPr>
      <w:r>
        <w:rPr>
          <w:rFonts w:hint="cs"/>
          <w:rtl/>
        </w:rPr>
        <w:t xml:space="preserve">وافتتحت الرئيسة الاجتماع ورحبت بجميع </w:t>
      </w:r>
      <w:r>
        <w:rPr>
          <w:rtl/>
        </w:rPr>
        <w:t>وفود اتحاد لاهاي</w:t>
      </w:r>
      <w:r>
        <w:rPr>
          <w:rFonts w:hint="cs"/>
          <w:rtl/>
        </w:rPr>
        <w:t xml:space="preserve"> ث</w:t>
      </w:r>
      <w:r>
        <w:rPr>
          <w:rtl/>
        </w:rPr>
        <w:t xml:space="preserve">م </w:t>
      </w:r>
      <w:r>
        <w:rPr>
          <w:rFonts w:hint="cs"/>
          <w:rtl/>
        </w:rPr>
        <w:t>أطلعتها على آخر ال</w:t>
      </w:r>
      <w:r>
        <w:rPr>
          <w:rtl/>
        </w:rPr>
        <w:t xml:space="preserve">تطورات </w:t>
      </w:r>
      <w:r>
        <w:rPr>
          <w:rFonts w:hint="cs"/>
          <w:rtl/>
        </w:rPr>
        <w:t xml:space="preserve">في </w:t>
      </w:r>
      <w:r>
        <w:rPr>
          <w:rtl/>
        </w:rPr>
        <w:t xml:space="preserve">نظام لاهاي، بما </w:t>
      </w:r>
      <w:r>
        <w:rPr>
          <w:rFonts w:hint="cs"/>
          <w:rtl/>
        </w:rPr>
        <w:t>في ذلك</w:t>
      </w:r>
      <w:r>
        <w:rPr>
          <w:rtl/>
        </w:rPr>
        <w:t xml:space="preserve"> إيداع بلجيكا </w:t>
      </w:r>
      <w:r>
        <w:rPr>
          <w:rFonts w:hint="cs"/>
          <w:rtl/>
        </w:rPr>
        <w:t>لوثيقة</w:t>
      </w:r>
      <w:r>
        <w:rPr>
          <w:rtl/>
        </w:rPr>
        <w:t xml:space="preserve"> التصديق على </w:t>
      </w:r>
      <w:r>
        <w:rPr>
          <w:rFonts w:hint="cs"/>
          <w:rtl/>
        </w:rPr>
        <w:t>وثيقة</w:t>
      </w:r>
      <w:r>
        <w:rPr>
          <w:rtl/>
        </w:rPr>
        <w:t xml:space="preserve"> 1999  </w:t>
      </w:r>
      <w:r>
        <w:rPr>
          <w:rFonts w:hint="cs"/>
          <w:rtl/>
        </w:rPr>
        <w:t>و</w:t>
      </w:r>
      <w:r>
        <w:rPr>
          <w:rtl/>
        </w:rPr>
        <w:t xml:space="preserve">لكسمبرغ </w:t>
      </w:r>
      <w:r>
        <w:rPr>
          <w:rFonts w:hint="cs"/>
          <w:rtl/>
        </w:rPr>
        <w:t>لو</w:t>
      </w:r>
      <w:r>
        <w:rPr>
          <w:rtl/>
        </w:rPr>
        <w:t xml:space="preserve">ثيقة الانضمام إلى </w:t>
      </w:r>
      <w:r>
        <w:rPr>
          <w:rFonts w:hint="cs"/>
          <w:rtl/>
        </w:rPr>
        <w:t>وثيقة</w:t>
      </w:r>
      <w:r>
        <w:rPr>
          <w:rtl/>
        </w:rPr>
        <w:t xml:space="preserve"> 1999 ال</w:t>
      </w:r>
      <w:r>
        <w:rPr>
          <w:rFonts w:hint="cs"/>
          <w:rtl/>
        </w:rPr>
        <w:t>ت</w:t>
      </w:r>
      <w:r>
        <w:rPr>
          <w:rtl/>
        </w:rPr>
        <w:t>ي س</w:t>
      </w:r>
      <w:r>
        <w:rPr>
          <w:rFonts w:hint="cs"/>
          <w:rtl/>
        </w:rPr>
        <w:t>ت</w:t>
      </w:r>
      <w:r>
        <w:rPr>
          <w:rtl/>
        </w:rPr>
        <w:t xml:space="preserve">دخل حيز </w:t>
      </w:r>
      <w:r>
        <w:rPr>
          <w:rFonts w:hint="cs"/>
          <w:rtl/>
        </w:rPr>
        <w:t>النفاذ</w:t>
      </w:r>
      <w:r>
        <w:rPr>
          <w:rtl/>
        </w:rPr>
        <w:t xml:space="preserve"> بالنسبة </w:t>
      </w:r>
      <w:r>
        <w:rPr>
          <w:rFonts w:hint="cs"/>
          <w:rtl/>
        </w:rPr>
        <w:t>ل</w:t>
      </w:r>
      <w:r>
        <w:rPr>
          <w:rtl/>
        </w:rPr>
        <w:t>بلجيكا ولكسمبر</w:t>
      </w:r>
      <w:r>
        <w:rPr>
          <w:rFonts w:hint="cs"/>
          <w:rtl/>
        </w:rPr>
        <w:t>غ</w:t>
      </w:r>
      <w:r>
        <w:rPr>
          <w:rtl/>
        </w:rPr>
        <w:t xml:space="preserve"> في وقت لاحق بعد استلام </w:t>
      </w:r>
      <w:r>
        <w:rPr>
          <w:rFonts w:hint="cs"/>
          <w:rtl/>
        </w:rPr>
        <w:t xml:space="preserve">وثيقة </w:t>
      </w:r>
      <w:r>
        <w:rPr>
          <w:rtl/>
        </w:rPr>
        <w:t>التصديق من هولندا. وعلاوة على ذلك، رحب</w:t>
      </w:r>
      <w:r>
        <w:rPr>
          <w:rFonts w:hint="cs"/>
          <w:rtl/>
        </w:rPr>
        <w:t>ت</w:t>
      </w:r>
      <w:r>
        <w:rPr>
          <w:rtl/>
        </w:rPr>
        <w:t xml:space="preserve"> الرئيس</w:t>
      </w:r>
      <w:r>
        <w:rPr>
          <w:rFonts w:hint="cs"/>
          <w:rtl/>
        </w:rPr>
        <w:t>ة بآخر حالة</w:t>
      </w:r>
      <w:r>
        <w:rPr>
          <w:rtl/>
        </w:rPr>
        <w:t xml:space="preserve"> انضمام </w:t>
      </w:r>
      <w:r>
        <w:rPr>
          <w:rFonts w:hint="cs"/>
          <w:rtl/>
        </w:rPr>
        <w:t>إ</w:t>
      </w:r>
      <w:r>
        <w:rPr>
          <w:rtl/>
        </w:rPr>
        <w:t xml:space="preserve">لى </w:t>
      </w:r>
      <w:r>
        <w:rPr>
          <w:rFonts w:hint="cs"/>
          <w:rtl/>
        </w:rPr>
        <w:t>وثيقة</w:t>
      </w:r>
      <w:r>
        <w:rPr>
          <w:rtl/>
        </w:rPr>
        <w:t xml:space="preserve"> 1999 من قبل بروني دار السلام، وال</w:t>
      </w:r>
      <w:r>
        <w:rPr>
          <w:rFonts w:hint="cs"/>
          <w:rtl/>
        </w:rPr>
        <w:t>ت</w:t>
      </w:r>
      <w:r>
        <w:rPr>
          <w:rtl/>
        </w:rPr>
        <w:t>ي س</w:t>
      </w:r>
      <w:r>
        <w:rPr>
          <w:rFonts w:hint="cs"/>
          <w:rtl/>
        </w:rPr>
        <w:t>ت</w:t>
      </w:r>
      <w:r>
        <w:rPr>
          <w:rtl/>
        </w:rPr>
        <w:t>دخل حيز النفاذ في 24 ديسمبر 2013.</w:t>
      </w:r>
    </w:p>
    <w:p w:rsidR="00291B3A" w:rsidRDefault="00291B3A" w:rsidP="00984E33">
      <w:pPr>
        <w:pStyle w:val="NumberedParaAR"/>
        <w:rPr>
          <w:rtl/>
        </w:rPr>
      </w:pPr>
      <w:r>
        <w:rPr>
          <w:rFonts w:hint="cs"/>
          <w:rtl/>
        </w:rPr>
        <w:t>وبطلب من ال</w:t>
      </w:r>
      <w:r>
        <w:rPr>
          <w:rtl/>
        </w:rPr>
        <w:t>رئيس</w:t>
      </w:r>
      <w:r>
        <w:rPr>
          <w:rFonts w:hint="cs"/>
          <w:rtl/>
        </w:rPr>
        <w:t>ة</w:t>
      </w:r>
      <w:r>
        <w:rPr>
          <w:rtl/>
        </w:rPr>
        <w:t xml:space="preserve">، أشارت الأمانة </w:t>
      </w:r>
      <w:r>
        <w:rPr>
          <w:rFonts w:hint="cs"/>
          <w:rtl/>
        </w:rPr>
        <w:t xml:space="preserve">مرة أخرى </w:t>
      </w:r>
      <w:r>
        <w:rPr>
          <w:rtl/>
        </w:rPr>
        <w:t xml:space="preserve">إلى </w:t>
      </w:r>
      <w:r>
        <w:rPr>
          <w:rFonts w:hint="cs"/>
          <w:rtl/>
        </w:rPr>
        <w:t xml:space="preserve">نية الانضمام إلى اتحاد لاهاي التي أعرب عنها عدد من </w:t>
      </w:r>
      <w:r>
        <w:rPr>
          <w:rtl/>
        </w:rPr>
        <w:t xml:space="preserve">الوفود خلال الجمعيات. </w:t>
      </w:r>
      <w:r>
        <w:rPr>
          <w:rFonts w:hint="cs"/>
          <w:rtl/>
        </w:rPr>
        <w:t xml:space="preserve">ومن أجل </w:t>
      </w:r>
      <w:r>
        <w:rPr>
          <w:rtl/>
        </w:rPr>
        <w:t xml:space="preserve">تعزيز التوسع الجغرافي لنظام لاهاي </w:t>
      </w:r>
      <w:r>
        <w:rPr>
          <w:rFonts w:hint="cs"/>
          <w:rtl/>
        </w:rPr>
        <w:t>واستدامة</w:t>
      </w:r>
      <w:r>
        <w:rPr>
          <w:rtl/>
        </w:rPr>
        <w:t xml:space="preserve"> النمو في</w:t>
      </w:r>
      <w:r>
        <w:rPr>
          <w:rFonts w:hint="cs"/>
          <w:rtl/>
        </w:rPr>
        <w:t xml:space="preserve"> طلبات الإيداع</w:t>
      </w:r>
      <w:r>
        <w:rPr>
          <w:rtl/>
        </w:rPr>
        <w:t xml:space="preserve"> من الضروري أن </w:t>
      </w:r>
      <w:r>
        <w:rPr>
          <w:rFonts w:hint="cs"/>
          <w:rtl/>
        </w:rPr>
        <w:t>يتطور</w:t>
      </w:r>
      <w:r>
        <w:rPr>
          <w:rtl/>
        </w:rPr>
        <w:t xml:space="preserve"> إطار تكنولوجيا المعلومات والإطار القانوني لنظام لاهاي بطريقة منسقة ومتكاملة. </w:t>
      </w:r>
      <w:r>
        <w:rPr>
          <w:rFonts w:hint="cs"/>
          <w:rtl/>
        </w:rPr>
        <w:t xml:space="preserve">وترمي </w:t>
      </w:r>
      <w:r>
        <w:rPr>
          <w:rtl/>
        </w:rPr>
        <w:t>الوثيقت</w:t>
      </w:r>
      <w:r>
        <w:rPr>
          <w:rFonts w:hint="cs"/>
          <w:rtl/>
        </w:rPr>
        <w:t>ان</w:t>
      </w:r>
      <w:r>
        <w:rPr>
          <w:rtl/>
        </w:rPr>
        <w:t xml:space="preserve"> المقد</w:t>
      </w:r>
      <w:r>
        <w:rPr>
          <w:rFonts w:hint="cs"/>
          <w:rtl/>
        </w:rPr>
        <w:t xml:space="preserve">متان </w:t>
      </w:r>
      <w:r>
        <w:rPr>
          <w:rtl/>
        </w:rPr>
        <w:t>إلى الجمعية إلى تحقيق هذا الهدف.</w:t>
      </w:r>
    </w:p>
    <w:p w:rsidR="00291B3A" w:rsidRPr="00984E33" w:rsidRDefault="00291B3A" w:rsidP="00291B3A">
      <w:pPr>
        <w:pStyle w:val="NumberedParaAR"/>
        <w:keepNext/>
        <w:numPr>
          <w:ilvl w:val="0"/>
          <w:numId w:val="0"/>
        </w:numPr>
        <w:spacing w:before="360"/>
        <w:rPr>
          <w:u w:val="single"/>
          <w:rtl/>
        </w:rPr>
      </w:pPr>
      <w:r w:rsidRPr="00984E33">
        <w:rPr>
          <w:u w:val="single"/>
          <w:rtl/>
        </w:rPr>
        <w:t>برنامج تحديث تكنولوجيا المعلومات (نظام لاهاي للتسجيل الدولي): تقرير مرحلي</w:t>
      </w:r>
    </w:p>
    <w:p w:rsidR="00291B3A" w:rsidRDefault="00291B3A" w:rsidP="005E0C55">
      <w:pPr>
        <w:pStyle w:val="NumberedParaAR"/>
        <w:rPr>
          <w:rtl/>
        </w:rPr>
      </w:pPr>
      <w:r>
        <w:rPr>
          <w:rtl/>
        </w:rPr>
        <w:t xml:space="preserve">استندت المناقشات إلى الوثيقة </w:t>
      </w:r>
      <w:r>
        <w:t>H/A/32/1</w:t>
      </w:r>
      <w:r>
        <w:rPr>
          <w:rtl/>
        </w:rPr>
        <w:t xml:space="preserve"> .</w:t>
      </w:r>
    </w:p>
    <w:p w:rsidR="00291B3A" w:rsidRDefault="00291B3A" w:rsidP="00FF3E1C">
      <w:pPr>
        <w:pStyle w:val="NumberedParaAR"/>
      </w:pPr>
      <w:r>
        <w:rPr>
          <w:rtl/>
        </w:rPr>
        <w:t xml:space="preserve">والغرض من هذه الوثيقة هو بيان التقدم المحرز في برنامج تحديث تكنولوجيا المعلومات منذ </w:t>
      </w:r>
      <w:r>
        <w:rPr>
          <w:rFonts w:hint="cs"/>
          <w:rtl/>
        </w:rPr>
        <w:t>ال</w:t>
      </w:r>
      <w:r>
        <w:rPr>
          <w:rtl/>
        </w:rPr>
        <w:t>جمعية</w:t>
      </w:r>
      <w:r>
        <w:rPr>
          <w:rFonts w:hint="cs"/>
          <w:rtl/>
        </w:rPr>
        <w:t xml:space="preserve"> الماضية ل</w:t>
      </w:r>
      <w:r>
        <w:rPr>
          <w:rtl/>
        </w:rPr>
        <w:t>اتحاد</w:t>
      </w:r>
      <w:r>
        <w:rPr>
          <w:rFonts w:hint="cs"/>
          <w:rtl/>
        </w:rPr>
        <w:t> </w:t>
      </w:r>
      <w:r>
        <w:rPr>
          <w:rtl/>
        </w:rPr>
        <w:t>لاهاي</w:t>
      </w:r>
      <w:r>
        <w:rPr>
          <w:rFonts w:hint="cs"/>
          <w:rtl/>
        </w:rPr>
        <w:t>.</w:t>
      </w:r>
    </w:p>
    <w:p w:rsidR="00291B3A" w:rsidRDefault="00291B3A" w:rsidP="00747B99">
      <w:pPr>
        <w:pStyle w:val="NumberedParaAR"/>
      </w:pPr>
      <w:r>
        <w:rPr>
          <w:rFonts w:hint="cs"/>
          <w:rtl/>
        </w:rPr>
        <w:t>وأفادت الوثيقة أن</w:t>
      </w:r>
      <w:r>
        <w:rPr>
          <w:rtl/>
        </w:rPr>
        <w:t xml:space="preserve"> المرحلة الأولى</w:t>
      </w:r>
      <w:r>
        <w:rPr>
          <w:rFonts w:hint="cs"/>
          <w:rtl/>
        </w:rPr>
        <w:t xml:space="preserve"> استُكملت، </w:t>
      </w:r>
      <w:r>
        <w:rPr>
          <w:rtl/>
        </w:rPr>
        <w:t xml:space="preserve">وأنه فيما يتعلق </w:t>
      </w:r>
      <w:r>
        <w:rPr>
          <w:rFonts w:hint="cs"/>
          <w:rtl/>
        </w:rPr>
        <w:t>ب</w:t>
      </w:r>
      <w:r>
        <w:rPr>
          <w:rtl/>
        </w:rPr>
        <w:t xml:space="preserve">نظام لاهاي، </w:t>
      </w:r>
      <w:r>
        <w:rPr>
          <w:rFonts w:hint="cs"/>
          <w:rtl/>
        </w:rPr>
        <w:t xml:space="preserve">استُحدثت </w:t>
      </w:r>
      <w:r>
        <w:rPr>
          <w:rtl/>
        </w:rPr>
        <w:t xml:space="preserve">أداة </w:t>
      </w:r>
      <w:r>
        <w:rPr>
          <w:rFonts w:hint="cs"/>
          <w:rtl/>
        </w:rPr>
        <w:t>معدلة ل</w:t>
      </w:r>
      <w:r>
        <w:rPr>
          <w:rtl/>
        </w:rPr>
        <w:t xml:space="preserve">لإيداع الإلكتروني. </w:t>
      </w:r>
      <w:r>
        <w:rPr>
          <w:rFonts w:hint="cs"/>
          <w:rtl/>
        </w:rPr>
        <w:t>وجاء</w:t>
      </w:r>
      <w:r>
        <w:rPr>
          <w:rtl/>
        </w:rPr>
        <w:t xml:space="preserve"> أيضا </w:t>
      </w:r>
      <w:r>
        <w:rPr>
          <w:rFonts w:hint="cs"/>
          <w:rtl/>
        </w:rPr>
        <w:t xml:space="preserve">في </w:t>
      </w:r>
      <w:r>
        <w:rPr>
          <w:rtl/>
        </w:rPr>
        <w:t xml:space="preserve">الوثيقة أن </w:t>
      </w:r>
      <w:r>
        <w:rPr>
          <w:rFonts w:hint="cs"/>
          <w:rtl/>
        </w:rPr>
        <w:t>إعداد</w:t>
      </w:r>
      <w:r>
        <w:rPr>
          <w:rtl/>
        </w:rPr>
        <w:t xml:space="preserve"> المرحلة الثانية </w:t>
      </w:r>
      <w:r>
        <w:rPr>
          <w:rFonts w:hint="cs"/>
          <w:rtl/>
        </w:rPr>
        <w:t>ي</w:t>
      </w:r>
      <w:r>
        <w:rPr>
          <w:rtl/>
        </w:rPr>
        <w:t>سير بشكل جيد وأن</w:t>
      </w:r>
      <w:r>
        <w:rPr>
          <w:rFonts w:hint="cs"/>
          <w:rtl/>
        </w:rPr>
        <w:t>ه من المقرر العمل</w:t>
      </w:r>
      <w:r>
        <w:rPr>
          <w:rtl/>
        </w:rPr>
        <w:t xml:space="preserve"> </w:t>
      </w:r>
      <w:r>
        <w:rPr>
          <w:rFonts w:hint="cs"/>
          <w:rtl/>
        </w:rPr>
        <w:t>ب</w:t>
      </w:r>
      <w:r>
        <w:rPr>
          <w:rtl/>
        </w:rPr>
        <w:t xml:space="preserve">النظام الجديد </w:t>
      </w:r>
      <w:r>
        <w:rPr>
          <w:rFonts w:hint="cs"/>
          <w:rtl/>
        </w:rPr>
        <w:t>في ا</w:t>
      </w:r>
      <w:r>
        <w:rPr>
          <w:rtl/>
        </w:rPr>
        <w:t xml:space="preserve">لربع الثالث من عام 2014. واقترحت الوثيقة أيضا </w:t>
      </w:r>
      <w:r>
        <w:rPr>
          <w:rFonts w:hint="cs"/>
          <w:rtl/>
        </w:rPr>
        <w:t>إعداد</w:t>
      </w:r>
      <w:r>
        <w:rPr>
          <w:rtl/>
        </w:rPr>
        <w:t xml:space="preserve"> المرحلة الثالثة </w:t>
      </w:r>
      <w:r>
        <w:rPr>
          <w:rFonts w:hint="cs"/>
          <w:rtl/>
        </w:rPr>
        <w:t>ل</w:t>
      </w:r>
      <w:r>
        <w:rPr>
          <w:rtl/>
        </w:rPr>
        <w:t>لمشروع</w:t>
      </w:r>
      <w:r>
        <w:rPr>
          <w:rFonts w:hint="cs"/>
          <w:rtl/>
        </w:rPr>
        <w:t xml:space="preserve"> من أجل </w:t>
      </w:r>
      <w:r>
        <w:rPr>
          <w:rtl/>
        </w:rPr>
        <w:t xml:space="preserve">معالجة أي </w:t>
      </w:r>
      <w:r>
        <w:rPr>
          <w:rFonts w:hint="cs"/>
          <w:rtl/>
        </w:rPr>
        <w:t>مشاكل،</w:t>
      </w:r>
      <w:r>
        <w:rPr>
          <w:rtl/>
        </w:rPr>
        <w:t xml:space="preserve"> </w:t>
      </w:r>
      <w:r>
        <w:rPr>
          <w:rFonts w:hint="cs"/>
          <w:rtl/>
        </w:rPr>
        <w:t>من حيث سهولة الاستخدام أو من حيث التشغيل،</w:t>
      </w:r>
      <w:r>
        <w:rPr>
          <w:rtl/>
        </w:rPr>
        <w:t xml:space="preserve"> التي قد تنشأ </w:t>
      </w:r>
      <w:r>
        <w:rPr>
          <w:rFonts w:hint="cs"/>
          <w:rtl/>
        </w:rPr>
        <w:t>بعد استخدام النظام ا</w:t>
      </w:r>
      <w:r>
        <w:rPr>
          <w:rtl/>
        </w:rPr>
        <w:t xml:space="preserve">لعام المقبل. وستقدم تفاصيل عن أنشطة المرحلة الثالثة </w:t>
      </w:r>
      <w:r>
        <w:rPr>
          <w:rFonts w:hint="cs"/>
          <w:rtl/>
        </w:rPr>
        <w:t>إلى ال</w:t>
      </w:r>
      <w:r>
        <w:rPr>
          <w:rtl/>
        </w:rPr>
        <w:t xml:space="preserve">جمعية المقبلة </w:t>
      </w:r>
      <w:r>
        <w:rPr>
          <w:rFonts w:hint="cs"/>
          <w:rtl/>
        </w:rPr>
        <w:t>ل</w:t>
      </w:r>
      <w:r>
        <w:rPr>
          <w:rtl/>
        </w:rPr>
        <w:t>اتحاد لاهاي</w:t>
      </w:r>
      <w:r>
        <w:rPr>
          <w:rFonts w:hint="cs"/>
          <w:rtl/>
        </w:rPr>
        <w:t xml:space="preserve"> </w:t>
      </w:r>
      <w:r>
        <w:rPr>
          <w:rtl/>
        </w:rPr>
        <w:t>و</w:t>
      </w:r>
      <w:r>
        <w:rPr>
          <w:rFonts w:hint="cs"/>
          <w:rtl/>
        </w:rPr>
        <w:t xml:space="preserve">ينبغي أن تنفذ </w:t>
      </w:r>
      <w:r>
        <w:rPr>
          <w:rtl/>
        </w:rPr>
        <w:t xml:space="preserve">ضمن </w:t>
      </w:r>
      <w:r>
        <w:rPr>
          <w:rFonts w:hint="cs"/>
          <w:rtl/>
        </w:rPr>
        <w:t>ال</w:t>
      </w:r>
      <w:r>
        <w:rPr>
          <w:rtl/>
        </w:rPr>
        <w:t>ميزانية الأصلي</w:t>
      </w:r>
      <w:r>
        <w:rPr>
          <w:rFonts w:hint="cs"/>
          <w:rtl/>
        </w:rPr>
        <w:t>ة</w:t>
      </w:r>
      <w:r>
        <w:rPr>
          <w:rtl/>
        </w:rPr>
        <w:t xml:space="preserve"> </w:t>
      </w:r>
      <w:r>
        <w:rPr>
          <w:rFonts w:hint="cs"/>
          <w:rtl/>
        </w:rPr>
        <w:t>ل</w:t>
      </w:r>
      <w:r>
        <w:rPr>
          <w:rtl/>
        </w:rPr>
        <w:t>لمشروع</w:t>
      </w:r>
      <w:r>
        <w:rPr>
          <w:rFonts w:hint="cs"/>
          <w:rtl/>
        </w:rPr>
        <w:t>.</w:t>
      </w:r>
    </w:p>
    <w:p w:rsidR="00291B3A" w:rsidRDefault="00291B3A" w:rsidP="00C4073E">
      <w:pPr>
        <w:pStyle w:val="NumberedParaAR"/>
        <w:rPr>
          <w:rtl/>
        </w:rPr>
      </w:pPr>
      <w:r>
        <w:rPr>
          <w:rFonts w:hint="cs"/>
          <w:rtl/>
        </w:rPr>
        <w:t>ولم يأخذ أي وفد الكلمة.</w:t>
      </w:r>
    </w:p>
    <w:p w:rsidR="00291B3A" w:rsidRDefault="00291B3A" w:rsidP="006F5DF3">
      <w:pPr>
        <w:pStyle w:val="NumberedParaAR"/>
        <w:keepNext/>
        <w:ind w:left="566"/>
      </w:pPr>
      <w:r>
        <w:rPr>
          <w:rFonts w:hint="cs"/>
          <w:rtl/>
        </w:rPr>
        <w:t>إن الجمعية:</w:t>
      </w:r>
    </w:p>
    <w:p w:rsidR="00291B3A" w:rsidRDefault="00291B3A" w:rsidP="006D46C0">
      <w:pPr>
        <w:pStyle w:val="NumberedParaAR"/>
        <w:numPr>
          <w:ilvl w:val="0"/>
          <w:numId w:val="0"/>
        </w:numPr>
        <w:ind w:left="1133"/>
      </w:pPr>
      <w:r>
        <w:rPr>
          <w:rFonts w:hint="cs"/>
          <w:rtl/>
        </w:rPr>
        <w:t>"1"</w:t>
      </w:r>
      <w:r>
        <w:rPr>
          <w:rFonts w:hint="cs"/>
          <w:rtl/>
        </w:rPr>
        <w:tab/>
        <w:t>أحاطت</w:t>
      </w:r>
      <w:r>
        <w:rPr>
          <w:rtl/>
        </w:rPr>
        <w:t xml:space="preserve"> علما بحالة تنفيذ أنشطة المرحلة الأولى من البرنامج المتعلقة باتحاد لاهاي تحديدا على النحو الموصوف في الوثيقة</w:t>
      </w:r>
      <w:r>
        <w:rPr>
          <w:rFonts w:hint="cs"/>
          <w:rtl/>
        </w:rPr>
        <w:t xml:space="preserve"> </w:t>
      </w:r>
      <w:r w:rsidRPr="006D46C0">
        <w:t>H/A/32/1</w:t>
      </w:r>
      <w:r>
        <w:rPr>
          <w:rtl/>
        </w:rPr>
        <w:t>؛</w:t>
      </w:r>
    </w:p>
    <w:p w:rsidR="00291B3A" w:rsidRDefault="00291B3A" w:rsidP="006D46C0">
      <w:pPr>
        <w:pStyle w:val="NumberedParaAR"/>
        <w:numPr>
          <w:ilvl w:val="0"/>
          <w:numId w:val="0"/>
        </w:numPr>
        <w:ind w:left="1133"/>
      </w:pPr>
      <w:r>
        <w:rPr>
          <w:rtl/>
        </w:rPr>
        <w:t>"2"</w:t>
      </w:r>
      <w:r>
        <w:rPr>
          <w:rtl/>
        </w:rPr>
        <w:tab/>
      </w:r>
      <w:r>
        <w:rPr>
          <w:rFonts w:hint="cs"/>
          <w:rtl/>
        </w:rPr>
        <w:t>وأحاطت</w:t>
      </w:r>
      <w:r>
        <w:rPr>
          <w:rtl/>
        </w:rPr>
        <w:t xml:space="preserve"> علما بالتقدم المحرز في المرحلة الثانية من البرنامج؛</w:t>
      </w:r>
    </w:p>
    <w:p w:rsidR="00291B3A" w:rsidRDefault="00291B3A" w:rsidP="006D46C0">
      <w:pPr>
        <w:pStyle w:val="NumberedParaAR"/>
        <w:numPr>
          <w:ilvl w:val="0"/>
          <w:numId w:val="0"/>
        </w:numPr>
        <w:ind w:left="1133"/>
        <w:rPr>
          <w:rtl/>
        </w:rPr>
      </w:pPr>
      <w:r>
        <w:rPr>
          <w:rtl/>
        </w:rPr>
        <w:t>"3"</w:t>
      </w:r>
      <w:r>
        <w:rPr>
          <w:rtl/>
        </w:rPr>
        <w:tab/>
      </w:r>
      <w:r>
        <w:rPr>
          <w:rFonts w:hint="cs"/>
          <w:rtl/>
        </w:rPr>
        <w:t>وأحاطت</w:t>
      </w:r>
      <w:r>
        <w:rPr>
          <w:rtl/>
        </w:rPr>
        <w:t xml:space="preserve"> علما بأنّ التقرير المرحلي المقبل سيشمل وصفا مفصّلا لأنشطة المرحلة الثالثة</w:t>
      </w:r>
      <w:r>
        <w:rPr>
          <w:rFonts w:hint="cs"/>
          <w:rtl/>
        </w:rPr>
        <w:t>.</w:t>
      </w:r>
    </w:p>
    <w:p w:rsidR="00291B3A" w:rsidRPr="00291B3A" w:rsidRDefault="00291B3A" w:rsidP="00291B3A">
      <w:pPr>
        <w:pStyle w:val="NumberedParaAR"/>
        <w:keepNext/>
        <w:numPr>
          <w:ilvl w:val="0"/>
          <w:numId w:val="0"/>
        </w:numPr>
        <w:spacing w:before="360"/>
        <w:rPr>
          <w:u w:val="single"/>
          <w:rtl/>
        </w:rPr>
      </w:pPr>
      <w:r w:rsidRPr="00291B3A">
        <w:rPr>
          <w:rFonts w:hint="cs"/>
          <w:u w:val="single"/>
          <w:rtl/>
        </w:rPr>
        <w:lastRenderedPageBreak/>
        <w:t>المسائل المتعلقة بالتطور القانوني لنظام لاهاي</w:t>
      </w:r>
    </w:p>
    <w:p w:rsidR="00291B3A" w:rsidRDefault="00291B3A" w:rsidP="00291B3A">
      <w:pPr>
        <w:pStyle w:val="NumberedParaAR"/>
        <w:keepNext/>
      </w:pPr>
      <w:r>
        <w:rPr>
          <w:rFonts w:hint="cs"/>
          <w:rtl/>
        </w:rPr>
        <w:t xml:space="preserve">استندت المناقشات إلى الوثيقة </w:t>
      </w:r>
      <w:r>
        <w:t>H/A/32/2</w:t>
      </w:r>
      <w:r>
        <w:rPr>
          <w:rFonts w:hint="cs"/>
          <w:rtl/>
        </w:rPr>
        <w:t>.</w:t>
      </w:r>
    </w:p>
    <w:p w:rsidR="00291B3A" w:rsidRDefault="00291B3A" w:rsidP="00BE5168">
      <w:pPr>
        <w:pStyle w:val="NumberedParaAR"/>
      </w:pPr>
      <w:r>
        <w:rPr>
          <w:rFonts w:hint="cs"/>
          <w:rtl/>
        </w:rPr>
        <w:t>احتوت الوثيقة على اقتراحات تعديل اللائحة التنفيذية المشتركة لوثيقة 1999 ووثيقة 1960 لاتفاق لاهاي وكذا اقتراحات تعديل التعليمات الإدارية لتطبيق اتفاق لاهاي. وشرحت الأمانة قائلة إنه منذ يناير 2008، كان من الممكن إيداع الطلبات الدولية من خلال الواجهة الإلكترونية المتاحة على الموقع الإلكتروني للمنظمة. وفي 3 يونيو 2013، أطلقت واجهة مختلفة تحتوي على خاصيات جديدة لتسهيل إيداع الطلبات الدولية على موقع الويبو الإلكتروني. فضلاً عن ذلك، عقد المكتب الدولي النية على إدخال المزيد من أدوات تكنولوجيا المعلومات وتحديداً أداة لاهاي لإدارة المحافظ ستسمح بإيداع الطلبات لتعديل تسجيل دولي. وستغطي أداة لاهاي</w:t>
      </w:r>
      <w:r w:rsidRPr="00BE5168">
        <w:rPr>
          <w:rFonts w:hint="cs"/>
          <w:rtl/>
        </w:rPr>
        <w:t xml:space="preserve"> </w:t>
      </w:r>
      <w:r>
        <w:rPr>
          <w:rFonts w:hint="cs"/>
          <w:rtl/>
        </w:rPr>
        <w:t>لإدارة المحافظ مختلف مراحل التسجيل الدولي من الإيداع وحتى انتهاء مدة التسجيل.</w:t>
      </w:r>
    </w:p>
    <w:p w:rsidR="00291B3A" w:rsidRDefault="00291B3A" w:rsidP="00027942">
      <w:pPr>
        <w:pStyle w:val="NumberedParaAR"/>
      </w:pPr>
      <w:r>
        <w:rPr>
          <w:rFonts w:hint="cs"/>
          <w:rtl/>
        </w:rPr>
        <w:t xml:space="preserve">وخلال الدورة الثانية </w:t>
      </w:r>
      <w:r w:rsidRPr="00F458C2">
        <w:rPr>
          <w:rtl/>
        </w:rPr>
        <w:t>للفريق العامل المعني بالتطوير القانوني لنظام لاهاي للتسجيل الدولي للرسوم والنماذج الصناعية في الفترة من 5 إلى 7 نوفمبر 2012</w:t>
      </w:r>
      <w:r>
        <w:rPr>
          <w:rFonts w:hint="cs"/>
          <w:rtl/>
        </w:rPr>
        <w:t>، توصل الاجتماع إلى اتفاق بالحاجة إلى تطويع الإطار القانوني لنظام لاهاي ليتماشى والتطورات في مجال تكنولوجيا المعلومات. وشرحت الأمانة أن الفصل الثاني من الوثيقة قد احتوى على اقتراحات بتعديل اللائحة التنفيذية المشتركة والتعليمات الإدارية التي تغطي هذا الموضوع. كما احتوت الوثيقة على اقتراحات بشأن تعديلات أخرى على اللائحة التنفيذية المشتركة فيما يتعلق بتأجيل النشر وتحديثات قائمة المعلومات الوجيهة بخصوص التسجيلات الدولية، نشرت في جريدة التصاميم الدولية وهي متاحة إلكترونياً على الموقع الإلكتروني للويبو. فضلاً عن ذلك، احتوى الفصل الثالث من الوثيقة على اقتراح بتعديل القاعدة 8 من اللائحة التنفيذية المشتركة وبعض التعديلات الطفيفة الناتجة عن هذا التعديل على القاعدة 7(4). وتأخذ القاعدة (8) كما هي الآن بعين الاعتبار شروط بعض القوانين الوطنية وبموجبها ينبغي تقديم الطلب باسم المبدع. واستمدت هذه القواعد كما هي حالياً من الاقتراح الأساسي لللائحة بموجب القانون الجديد لاتفاق لاهاي، الذي كان قد اتفق عليه في المؤتمر الدبلوماسي في سنة 1999. ومنذ وقت هذا المؤتمر وحتى يومنا هذا، تغيرت بعض الظروف التي كانت في الماضي محورية للنقاش وإن كان ينبغي للقاعدة (8) أن تستمر في تحقيق الهدف المرجو منها. وعليه، كان من الضروي إدخال بعض التعديلات على القاعدة 7(4). وأخيراً، صححت الأمانة الأخطاء الإملائية في علامات الترقيم في القاعدة 8(3) والقاعدة 16(4) في النسخة الإنكليزية فقط وكذا في القاعدة 26(1)"9" في النسخة الفرنسية حيث كان يتعين وضع كلمة "</w:t>
      </w:r>
      <w:proofErr w:type="spellStart"/>
      <w:r>
        <w:t>inscrites</w:t>
      </w:r>
      <w:proofErr w:type="spellEnd"/>
      <w:r>
        <w:rPr>
          <w:rFonts w:hint="cs"/>
          <w:rtl/>
        </w:rPr>
        <w:t>" أو "مدرجة" في صيغة المذكر.</w:t>
      </w:r>
    </w:p>
    <w:p w:rsidR="00291B3A" w:rsidRDefault="00404A16" w:rsidP="00A979F3">
      <w:pPr>
        <w:pStyle w:val="NumberedParaAR"/>
      </w:pPr>
      <w:r>
        <w:rPr>
          <w:rFonts w:hint="cs"/>
          <w:rtl/>
        </w:rPr>
        <w:t>وأعرب وف</w:t>
      </w:r>
      <w:r w:rsidR="00291B3A">
        <w:rPr>
          <w:rFonts w:hint="cs"/>
          <w:rtl/>
        </w:rPr>
        <w:t>د جمهورية كوريا عن تقديره لمشروع تحديث تكنولوجيا المعلومات لإدارة نظام لاهاي وأعرب عن دعمه لمراجعة اللائحة التنفيذية المشتركة. وأوضح أن بلده بصدد التحضير للانضمام إلى وثيقة عام 1999 وأنه قام، في هذا الصدد، بإدخال تعديل على قانونه الوطني هذا العام. وأعلن عن إمكانية أن تودع جمهورية كوريا صك الانضمام بعد استكمال العمل التحضيري.</w:t>
      </w:r>
    </w:p>
    <w:p w:rsidR="00291B3A" w:rsidRDefault="00291B3A" w:rsidP="006F5DF3">
      <w:pPr>
        <w:pStyle w:val="NumberedParaAR"/>
        <w:keepNext/>
        <w:ind w:left="566"/>
      </w:pPr>
      <w:r>
        <w:rPr>
          <w:rFonts w:hint="cs"/>
          <w:rtl/>
        </w:rPr>
        <w:t>إن الجمعية، رهن التصويبات المطبعية التي أشارت إليها الأمانة:</w:t>
      </w:r>
    </w:p>
    <w:p w:rsidR="00291B3A" w:rsidRDefault="00291B3A" w:rsidP="00A979F3">
      <w:pPr>
        <w:pStyle w:val="NumberedParaAR"/>
        <w:numPr>
          <w:ilvl w:val="0"/>
          <w:numId w:val="0"/>
        </w:numPr>
        <w:ind w:left="1133"/>
        <w:rPr>
          <w:rtl/>
        </w:rPr>
      </w:pPr>
      <w:r>
        <w:rPr>
          <w:rFonts w:hint="cs"/>
          <w:rtl/>
        </w:rPr>
        <w:t>"1"</w:t>
      </w:r>
      <w:r>
        <w:rPr>
          <w:rtl/>
        </w:rPr>
        <w:tab/>
      </w:r>
      <w:r>
        <w:rPr>
          <w:rFonts w:hint="cs"/>
          <w:rtl/>
        </w:rPr>
        <w:t>اعتمدت التعديلات المقترح إدخالها على اللائحة التنفيذية المشتركة فيما يخص القاعدة</w:t>
      </w:r>
      <w:r>
        <w:rPr>
          <w:rFonts w:hint="eastAsia"/>
          <w:rtl/>
        </w:rPr>
        <w:t> </w:t>
      </w:r>
      <w:r>
        <w:rPr>
          <w:rFonts w:hint="cs"/>
          <w:rtl/>
        </w:rPr>
        <w:t>1(1)"6"، بالصيغة الواردة في المرفق الثاني من الوثيقة</w:t>
      </w:r>
      <w:r>
        <w:rPr>
          <w:rFonts w:hint="eastAsia"/>
          <w:rtl/>
        </w:rPr>
        <w:t> </w:t>
      </w:r>
      <w:r w:rsidRPr="004669FD">
        <w:t>H/A/32/2</w:t>
      </w:r>
      <w:r>
        <w:rPr>
          <w:rFonts w:hint="cs"/>
          <w:rtl/>
        </w:rPr>
        <w:t>، على أن يكون تاريخ بدء النفاذ 1 يناير 2014؛</w:t>
      </w:r>
    </w:p>
    <w:p w:rsidR="00291B3A" w:rsidRDefault="00291B3A" w:rsidP="00291B3A">
      <w:pPr>
        <w:pStyle w:val="NumberedParaAR"/>
        <w:numPr>
          <w:ilvl w:val="0"/>
          <w:numId w:val="0"/>
        </w:numPr>
        <w:ind w:left="1133"/>
        <w:rPr>
          <w:rtl/>
        </w:rPr>
      </w:pPr>
      <w:r>
        <w:rPr>
          <w:rFonts w:hint="cs"/>
          <w:rtl/>
        </w:rPr>
        <w:t>"2"</w:t>
      </w:r>
      <w:r>
        <w:rPr>
          <w:rtl/>
        </w:rPr>
        <w:tab/>
      </w:r>
      <w:r>
        <w:rPr>
          <w:rFonts w:hint="cs"/>
          <w:rtl/>
        </w:rPr>
        <w:t>وأحاطت علما باقتراح تعديل البند 202 من التعليمات الإدارية وإضافة البند 205 إلى التعليمات الإدارية، بالصيغة الواردة في المرفق الرابع من الوثيقة</w:t>
      </w:r>
      <w:r>
        <w:rPr>
          <w:rFonts w:hint="eastAsia"/>
          <w:rtl/>
        </w:rPr>
        <w:t> </w:t>
      </w:r>
      <w:r w:rsidRPr="004669FD">
        <w:t>H/A/32/2</w:t>
      </w:r>
      <w:r>
        <w:rPr>
          <w:rFonts w:hint="cs"/>
          <w:rtl/>
        </w:rPr>
        <w:t>، على أن يكون تاريخ بدء النفاذ</w:t>
      </w:r>
      <w:r>
        <w:rPr>
          <w:rFonts w:hint="eastAsia"/>
          <w:rtl/>
        </w:rPr>
        <w:t> </w:t>
      </w:r>
      <w:r>
        <w:rPr>
          <w:rFonts w:hint="cs"/>
          <w:rtl/>
        </w:rPr>
        <w:t>1</w:t>
      </w:r>
      <w:r>
        <w:rPr>
          <w:rFonts w:hint="eastAsia"/>
          <w:rtl/>
        </w:rPr>
        <w:t> </w:t>
      </w:r>
      <w:r>
        <w:rPr>
          <w:rFonts w:hint="cs"/>
          <w:rtl/>
        </w:rPr>
        <w:t>يناير</w:t>
      </w:r>
      <w:r>
        <w:rPr>
          <w:rFonts w:hint="eastAsia"/>
        </w:rPr>
        <w:t> </w:t>
      </w:r>
      <w:r>
        <w:rPr>
          <w:rFonts w:hint="cs"/>
          <w:rtl/>
        </w:rPr>
        <w:t>2014؛</w:t>
      </w:r>
    </w:p>
    <w:p w:rsidR="00291B3A" w:rsidRDefault="00291B3A" w:rsidP="00A979F3">
      <w:pPr>
        <w:pStyle w:val="NumberedParaAR"/>
        <w:numPr>
          <w:ilvl w:val="0"/>
          <w:numId w:val="0"/>
        </w:numPr>
        <w:ind w:left="1133"/>
        <w:rPr>
          <w:rtl/>
        </w:rPr>
      </w:pPr>
      <w:r>
        <w:rPr>
          <w:rFonts w:hint="cs"/>
          <w:rtl/>
        </w:rPr>
        <w:lastRenderedPageBreak/>
        <w:t>"3"</w:t>
      </w:r>
      <w:r>
        <w:rPr>
          <w:rtl/>
        </w:rPr>
        <w:tab/>
      </w:r>
      <w:r>
        <w:rPr>
          <w:rFonts w:hint="cs"/>
          <w:rtl/>
        </w:rPr>
        <w:t xml:space="preserve">واعتمدت </w:t>
      </w:r>
      <w:r w:rsidRPr="00FE3331">
        <w:rPr>
          <w:rtl/>
        </w:rPr>
        <w:t xml:space="preserve">التعديلات </w:t>
      </w:r>
      <w:r>
        <w:rPr>
          <w:rFonts w:hint="cs"/>
          <w:rtl/>
        </w:rPr>
        <w:t>المقترح إدخالها</w:t>
      </w:r>
      <w:r w:rsidRPr="00FE3331">
        <w:rPr>
          <w:rtl/>
        </w:rPr>
        <w:t xml:space="preserve"> على اللائحة التنفيذية المشتركة فيما يخص الفقرات من (3) إلى (5) من القاعدة 16، بالصيغة الواردة في المرفق الثاني من </w:t>
      </w:r>
      <w:r>
        <w:rPr>
          <w:rFonts w:hint="cs"/>
          <w:rtl/>
        </w:rPr>
        <w:t>الوثيقة</w:t>
      </w:r>
      <w:r>
        <w:rPr>
          <w:rFonts w:hint="eastAsia"/>
          <w:rtl/>
        </w:rPr>
        <w:t> </w:t>
      </w:r>
      <w:r w:rsidRPr="004669FD">
        <w:t>H/A/32/2</w:t>
      </w:r>
      <w:r w:rsidRPr="00FE3331">
        <w:rPr>
          <w:rtl/>
        </w:rPr>
        <w:t>، على أن يكون تاريخ بدء النفاذ 1</w:t>
      </w:r>
      <w:r>
        <w:rPr>
          <w:rFonts w:hint="cs"/>
          <w:rtl/>
        </w:rPr>
        <w:t> </w:t>
      </w:r>
      <w:r w:rsidRPr="00FE3331">
        <w:rPr>
          <w:rtl/>
        </w:rPr>
        <w:t>يناير</w:t>
      </w:r>
      <w:r>
        <w:rPr>
          <w:rFonts w:hint="cs"/>
          <w:rtl/>
        </w:rPr>
        <w:t> </w:t>
      </w:r>
      <w:r>
        <w:rPr>
          <w:rtl/>
        </w:rPr>
        <w:t>2014</w:t>
      </w:r>
      <w:r>
        <w:rPr>
          <w:rFonts w:hint="cs"/>
          <w:rtl/>
        </w:rPr>
        <w:t>؛</w:t>
      </w:r>
    </w:p>
    <w:p w:rsidR="00291B3A" w:rsidRDefault="00291B3A" w:rsidP="00A979F3">
      <w:pPr>
        <w:pStyle w:val="NumberedParaAR"/>
        <w:numPr>
          <w:ilvl w:val="0"/>
          <w:numId w:val="0"/>
        </w:numPr>
        <w:ind w:left="1133"/>
        <w:rPr>
          <w:rtl/>
        </w:rPr>
      </w:pPr>
      <w:r>
        <w:rPr>
          <w:rFonts w:hint="cs"/>
          <w:rtl/>
        </w:rPr>
        <w:t>"4"</w:t>
      </w:r>
      <w:r>
        <w:rPr>
          <w:rtl/>
        </w:rPr>
        <w:tab/>
      </w:r>
      <w:r>
        <w:rPr>
          <w:rFonts w:hint="cs"/>
          <w:rtl/>
        </w:rPr>
        <w:t xml:space="preserve">واعتمدت </w:t>
      </w:r>
      <w:r w:rsidRPr="00FE3331">
        <w:rPr>
          <w:rtl/>
        </w:rPr>
        <w:t xml:space="preserve">التعديلات </w:t>
      </w:r>
      <w:r>
        <w:rPr>
          <w:rFonts w:hint="cs"/>
          <w:rtl/>
        </w:rPr>
        <w:t>المقترح إدخالها</w:t>
      </w:r>
      <w:r w:rsidRPr="00FE3331">
        <w:rPr>
          <w:rtl/>
        </w:rPr>
        <w:t xml:space="preserve"> على اللائحة التنفيذية المشتركة فيما يخص القاعدة 26(1)، بالصيغة الواردة في المرفق الثاني من </w:t>
      </w:r>
      <w:r>
        <w:rPr>
          <w:rFonts w:hint="cs"/>
          <w:rtl/>
        </w:rPr>
        <w:t>الوثيقة</w:t>
      </w:r>
      <w:r>
        <w:rPr>
          <w:rFonts w:hint="eastAsia"/>
          <w:rtl/>
        </w:rPr>
        <w:t> </w:t>
      </w:r>
      <w:r w:rsidRPr="004669FD">
        <w:t>H/A/32/2</w:t>
      </w:r>
      <w:r w:rsidRPr="00FE3331">
        <w:rPr>
          <w:rtl/>
        </w:rPr>
        <w:t>، على أن يكو</w:t>
      </w:r>
      <w:r>
        <w:rPr>
          <w:rtl/>
        </w:rPr>
        <w:t>ن تاريخ بدء النفاذ 1 يناير 2014</w:t>
      </w:r>
      <w:r>
        <w:rPr>
          <w:rFonts w:hint="cs"/>
          <w:rtl/>
        </w:rPr>
        <w:t>؛</w:t>
      </w:r>
    </w:p>
    <w:p w:rsidR="00291B3A" w:rsidRDefault="00291B3A" w:rsidP="0057476A">
      <w:pPr>
        <w:pStyle w:val="NumberedParaAR"/>
        <w:numPr>
          <w:ilvl w:val="0"/>
          <w:numId w:val="0"/>
        </w:numPr>
        <w:ind w:left="1133"/>
        <w:rPr>
          <w:rtl/>
        </w:rPr>
      </w:pPr>
      <w:r>
        <w:rPr>
          <w:rFonts w:hint="cs"/>
          <w:rtl/>
        </w:rPr>
        <w:t>"5"</w:t>
      </w:r>
      <w:r>
        <w:rPr>
          <w:rtl/>
        </w:rPr>
        <w:tab/>
      </w:r>
      <w:r>
        <w:rPr>
          <w:rFonts w:hint="cs"/>
          <w:rtl/>
        </w:rPr>
        <w:t xml:space="preserve">واعتمدت </w:t>
      </w:r>
      <w:r w:rsidRPr="00A979F3">
        <w:rPr>
          <w:rtl/>
        </w:rPr>
        <w:t>التعديلات المقترح إدخالها على القاعدة 8 وما يترتب على ذلك من تعديلات على القاعدة</w:t>
      </w:r>
      <w:r>
        <w:rPr>
          <w:rFonts w:hint="cs"/>
          <w:rtl/>
        </w:rPr>
        <w:t> </w:t>
      </w:r>
      <w:r w:rsidRPr="00A979F3">
        <w:rPr>
          <w:rtl/>
        </w:rPr>
        <w:t xml:space="preserve">7(4)(ج)، بالصيغة الواردة في المرفق الثاني من </w:t>
      </w:r>
      <w:r>
        <w:rPr>
          <w:rFonts w:hint="cs"/>
          <w:rtl/>
        </w:rPr>
        <w:t>الوثيقة</w:t>
      </w:r>
      <w:r>
        <w:rPr>
          <w:rFonts w:hint="eastAsia"/>
          <w:rtl/>
        </w:rPr>
        <w:t> </w:t>
      </w:r>
      <w:r w:rsidRPr="004669FD">
        <w:t>H/A/32/2</w:t>
      </w:r>
      <w:r w:rsidRPr="00A979F3">
        <w:rPr>
          <w:rtl/>
        </w:rPr>
        <w:t>، على أن يكون تاريخ بدء النفاذ</w:t>
      </w:r>
      <w:r>
        <w:t> </w:t>
      </w:r>
      <w:r w:rsidRPr="00A979F3">
        <w:rPr>
          <w:rtl/>
        </w:rPr>
        <w:t>1</w:t>
      </w:r>
      <w:r>
        <w:rPr>
          <w:rFonts w:hint="cs"/>
          <w:rtl/>
        </w:rPr>
        <w:t> </w:t>
      </w:r>
      <w:r w:rsidRPr="00A979F3">
        <w:rPr>
          <w:rtl/>
        </w:rPr>
        <w:t>يناير</w:t>
      </w:r>
      <w:r>
        <w:rPr>
          <w:rFonts w:hint="cs"/>
          <w:rtl/>
        </w:rPr>
        <w:t> </w:t>
      </w:r>
      <w:r w:rsidRPr="00A979F3">
        <w:rPr>
          <w:rtl/>
        </w:rPr>
        <w:t>2014.</w:t>
      </w:r>
    </w:p>
    <w:p w:rsidR="00291B3A" w:rsidRDefault="00291B3A" w:rsidP="00A979F3">
      <w:pPr>
        <w:pStyle w:val="EndofDocumentAR"/>
        <w:spacing w:before="240"/>
        <w:rPr>
          <w:rtl/>
        </w:rPr>
      </w:pPr>
    </w:p>
    <w:p w:rsidR="00291B3A" w:rsidRPr="007F38D1" w:rsidRDefault="00291B3A" w:rsidP="00A979F3">
      <w:pPr>
        <w:pStyle w:val="EndofDocumentAR"/>
        <w:spacing w:before="240"/>
      </w:pPr>
      <w:r>
        <w:rPr>
          <w:rFonts w:hint="cs"/>
          <w:rtl/>
        </w:rPr>
        <w:t>[نهاية الوثيقة]</w:t>
      </w:r>
    </w:p>
    <w:sectPr w:rsidR="00291B3A"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A41" w:rsidRDefault="004D0A41">
      <w:r>
        <w:separator/>
      </w:r>
    </w:p>
  </w:endnote>
  <w:endnote w:type="continuationSeparator" w:id="0">
    <w:p w:rsidR="004D0A41" w:rsidRDefault="004D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A41" w:rsidRDefault="004D0A41" w:rsidP="009622BF">
      <w:pPr>
        <w:bidi/>
      </w:pPr>
      <w:bookmarkStart w:id="0" w:name="OLE_LINK1"/>
      <w:bookmarkStart w:id="1" w:name="OLE_LINK2"/>
      <w:r>
        <w:separator/>
      </w:r>
      <w:bookmarkEnd w:id="0"/>
      <w:bookmarkEnd w:id="1"/>
    </w:p>
  </w:footnote>
  <w:footnote w:type="continuationSeparator" w:id="0">
    <w:p w:rsidR="004D0A41" w:rsidRDefault="004D0A4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41" w:rsidRDefault="00A979D3" w:rsidP="00A979D3">
    <w:r>
      <w:t>H</w:t>
    </w:r>
    <w:r w:rsidR="00F62866">
      <w:t>/</w:t>
    </w:r>
    <w:r w:rsidR="007D24E7">
      <w:t>A</w:t>
    </w:r>
    <w:r w:rsidR="00F62866">
      <w:t>/</w:t>
    </w:r>
    <w:r>
      <w:t>32</w:t>
    </w:r>
    <w:r w:rsidR="00F62866">
      <w:t>/</w:t>
    </w:r>
    <w:r>
      <w:t>3</w:t>
    </w:r>
    <w:r w:rsidR="00F62866">
      <w:t xml:space="preserve"> Prov.</w:t>
    </w:r>
  </w:p>
  <w:p w:rsidR="004D0A41" w:rsidRDefault="004D0A41" w:rsidP="00D61541">
    <w:r>
      <w:fldChar w:fldCharType="begin"/>
    </w:r>
    <w:r>
      <w:instrText xml:space="preserve"> PAGE  \* MERGEFORMAT </w:instrText>
    </w:r>
    <w:r>
      <w:fldChar w:fldCharType="separate"/>
    </w:r>
    <w:r w:rsidR="0054356C">
      <w:rPr>
        <w:noProof/>
      </w:rPr>
      <w:t>4</w:t>
    </w:r>
    <w:r>
      <w:fldChar w:fldCharType="end"/>
    </w:r>
  </w:p>
  <w:p w:rsidR="004D0A41" w:rsidRDefault="004D0A41"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C"/>
    <w:rsid w:val="00002CBE"/>
    <w:rsid w:val="00003232"/>
    <w:rsid w:val="000033DA"/>
    <w:rsid w:val="0000579F"/>
    <w:rsid w:val="000074D1"/>
    <w:rsid w:val="000076BD"/>
    <w:rsid w:val="00010481"/>
    <w:rsid w:val="00010671"/>
    <w:rsid w:val="000114E2"/>
    <w:rsid w:val="0001263E"/>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0AC"/>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1B3A"/>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A16"/>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A41"/>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795"/>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56C"/>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15F5"/>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7EF"/>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2D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5DF3"/>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24E7"/>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5471"/>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7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3F23"/>
    <w:rsid w:val="00A9614E"/>
    <w:rsid w:val="00A963B5"/>
    <w:rsid w:val="00A96FA8"/>
    <w:rsid w:val="00A97665"/>
    <w:rsid w:val="00A979D3"/>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1959"/>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16E"/>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866"/>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H/A/32/3 PROV. (Arabic)</vt:lpstr>
    </vt:vector>
  </TitlesOfParts>
  <Company>World Intellectual Property Organization</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H/A/32/3 PROV. (Arabic)</dc:title>
  <dc:subject>مشروع التقرير</dc:subject>
  <dc:creator>من إعداد الأمانة</dc:creator>
  <cp:lastModifiedBy>MARIN-CUDRAZ DAVI Nicoletta</cp:lastModifiedBy>
  <cp:revision>19</cp:revision>
  <cp:lastPrinted>2013-10-01T07:28:00Z</cp:lastPrinted>
  <dcterms:created xsi:type="dcterms:W3CDTF">2013-09-25T15:51:00Z</dcterms:created>
  <dcterms:modified xsi:type="dcterms:W3CDTF">2013-10-01T07:28:00Z</dcterms:modified>
</cp:coreProperties>
</file>