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9A4222">
            <w:pPr>
              <w:pStyle w:val="DocumentCodeAR"/>
              <w:bidi/>
              <w:rPr>
                <w:rtl/>
              </w:rPr>
            </w:pPr>
            <w:r>
              <w:t>A</w:t>
            </w:r>
            <w:r w:rsidR="00100F97">
              <w:t>/</w:t>
            </w:r>
            <w:r>
              <w:t>5</w:t>
            </w:r>
            <w:r w:rsidR="009A4222">
              <w:t>2</w:t>
            </w:r>
            <w:r w:rsidR="00AF7F5C">
              <w:t>/4</w:t>
            </w:r>
          </w:p>
        </w:tc>
      </w:tr>
      <w:tr w:rsidR="001667B6" w:rsidTr="00BF164F">
        <w:tc>
          <w:tcPr>
            <w:tcW w:w="9571" w:type="dxa"/>
            <w:gridSpan w:val="3"/>
          </w:tcPr>
          <w:p w:rsidR="001667B6" w:rsidRPr="00B6101C" w:rsidRDefault="00B6101C" w:rsidP="00AF7F5C">
            <w:pPr>
              <w:pStyle w:val="DocumentLanguageAR"/>
              <w:bidi/>
              <w:rPr>
                <w:rtl/>
              </w:rPr>
            </w:pPr>
            <w:r w:rsidRPr="00B6101C">
              <w:rPr>
                <w:rFonts w:hint="cs"/>
                <w:rtl/>
              </w:rPr>
              <w:t xml:space="preserve">الأصل: </w:t>
            </w:r>
            <w:r w:rsidR="00AF7F5C">
              <w:rPr>
                <w:rFonts w:hint="cs"/>
                <w:rtl/>
              </w:rPr>
              <w:t>بالإنكليزية</w:t>
            </w:r>
          </w:p>
        </w:tc>
      </w:tr>
      <w:tr w:rsidR="001667B6" w:rsidTr="00BF164F">
        <w:tc>
          <w:tcPr>
            <w:tcW w:w="9571" w:type="dxa"/>
            <w:gridSpan w:val="3"/>
          </w:tcPr>
          <w:p w:rsidR="001667B6" w:rsidRPr="00B6101C" w:rsidRDefault="00B6101C" w:rsidP="009C702B">
            <w:pPr>
              <w:pStyle w:val="DocumentDateAR"/>
              <w:bidi/>
              <w:rPr>
                <w:rtl/>
              </w:rPr>
            </w:pPr>
            <w:r w:rsidRPr="00B6101C">
              <w:rPr>
                <w:rFonts w:hint="cs"/>
                <w:rtl/>
              </w:rPr>
              <w:t xml:space="preserve">التاريخ: </w:t>
            </w:r>
            <w:r w:rsidR="009C702B">
              <w:rPr>
                <w:lang w:val="fr-CH"/>
              </w:rPr>
              <w:t>6</w:t>
            </w:r>
            <w:bookmarkStart w:id="2" w:name="_GoBack"/>
            <w:bookmarkEnd w:id="2"/>
            <w:r w:rsidRPr="00B6101C">
              <w:rPr>
                <w:rFonts w:hint="cs"/>
                <w:rtl/>
              </w:rPr>
              <w:t xml:space="preserve"> </w:t>
            </w:r>
            <w:r w:rsidR="00AF7F5C">
              <w:rPr>
                <w:rFonts w:hint="cs"/>
                <w:rtl/>
              </w:rPr>
              <w:t>ديسمبر</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9A4222">
      <w:pPr>
        <w:pStyle w:val="MeetingSessionAR"/>
        <w:bidi/>
        <w:rPr>
          <w:rtl/>
        </w:rPr>
      </w:pPr>
      <w:r w:rsidRPr="00D61541">
        <w:rPr>
          <w:rFonts w:hint="cs"/>
          <w:rtl/>
        </w:rPr>
        <w:t xml:space="preserve">سلسلة الاجتماعات </w:t>
      </w:r>
      <w:r w:rsidR="009A4222">
        <w:rPr>
          <w:rFonts w:hint="cs"/>
          <w:rtl/>
        </w:rPr>
        <w:t xml:space="preserve">الثانية </w:t>
      </w:r>
      <w:r>
        <w:rPr>
          <w:rFonts w:hint="cs"/>
          <w:rtl/>
        </w:rPr>
        <w:t>والخمسون</w:t>
      </w:r>
    </w:p>
    <w:p w:rsidR="001E12A4" w:rsidRPr="00D61541" w:rsidRDefault="001E12A4" w:rsidP="009A4222">
      <w:pPr>
        <w:pStyle w:val="MeetingDatesAR"/>
        <w:bidi/>
        <w:rPr>
          <w:rtl/>
        </w:rPr>
      </w:pPr>
      <w:r w:rsidRPr="00D61541">
        <w:rPr>
          <w:rFonts w:hint="cs"/>
          <w:rtl/>
        </w:rPr>
        <w:t xml:space="preserve">جنيف، من </w:t>
      </w:r>
      <w:r w:rsidR="009A4222">
        <w:rPr>
          <w:rFonts w:hint="cs"/>
          <w:rtl/>
        </w:rPr>
        <w:t xml:space="preserve">10 </w:t>
      </w:r>
      <w:r>
        <w:rPr>
          <w:rFonts w:hint="cs"/>
          <w:rtl/>
        </w:rPr>
        <w:t xml:space="preserve">إلى </w:t>
      </w:r>
      <w:r w:rsidR="009A4222">
        <w:rPr>
          <w:rFonts w:hint="cs"/>
          <w:rtl/>
        </w:rPr>
        <w:t>12</w:t>
      </w:r>
      <w:r w:rsidRPr="00D61541">
        <w:rPr>
          <w:rFonts w:hint="cs"/>
          <w:rtl/>
        </w:rPr>
        <w:t xml:space="preserve"> </w:t>
      </w:r>
      <w:r w:rsidR="009A4222">
        <w:rPr>
          <w:rFonts w:hint="cs"/>
          <w:rtl/>
        </w:rPr>
        <w:t xml:space="preserve">ديسمبر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F7F5C" w:rsidP="00FB7EC9">
      <w:pPr>
        <w:pStyle w:val="DocumentTitleAR"/>
        <w:bidi/>
        <w:rPr>
          <w:rtl/>
        </w:rPr>
      </w:pPr>
      <w:r>
        <w:rPr>
          <w:rFonts w:hint="cs"/>
          <w:rtl/>
        </w:rPr>
        <w:t>اقتراح رئيسة الجمعية العامة بشأن البرنامج والميزانية للثنائية 2014/15</w:t>
      </w:r>
    </w:p>
    <w:p w:rsidR="00D61541" w:rsidRPr="00D61541" w:rsidRDefault="00897AF2" w:rsidP="00931859">
      <w:pPr>
        <w:pStyle w:val="PreparedbyAR"/>
        <w:bidi/>
        <w:rPr>
          <w:rtl/>
        </w:rPr>
      </w:pPr>
      <w:r>
        <w:rPr>
          <w:rFonts w:hint="cs"/>
          <w:rtl/>
        </w:rPr>
        <w:t>مقدم من</w:t>
      </w:r>
      <w:r w:rsidR="00AF7F5C">
        <w:rPr>
          <w:rFonts w:hint="cs"/>
          <w:rtl/>
        </w:rPr>
        <w:t xml:space="preserve"> رئيسة الجمعية العامة</w:t>
      </w:r>
    </w:p>
    <w:p w:rsidR="00287F9D" w:rsidRPr="00287F9D" w:rsidRDefault="00287F9D" w:rsidP="00287F9D">
      <w:pPr>
        <w:pStyle w:val="NormalParaAR"/>
      </w:pPr>
      <w:r w:rsidRPr="00287F9D">
        <w:rPr>
          <w:rFonts w:hint="cs"/>
          <w:rtl/>
        </w:rPr>
        <w:t>1.</w:t>
      </w:r>
      <w:r w:rsidRPr="00287F9D">
        <w:rPr>
          <w:rFonts w:hint="cs"/>
          <w:rtl/>
        </w:rPr>
        <w:tab/>
        <w:t>إن جمعيات الدول الأعضاء في الويبو والهيئات التي تديرها الويبو، كل فيما يعنيه،</w:t>
      </w:r>
    </w:p>
    <w:p w:rsidR="00287F9D" w:rsidRPr="004D2DCC" w:rsidRDefault="00287F9D" w:rsidP="00287F9D">
      <w:pPr>
        <w:pStyle w:val="NormalParaAR"/>
        <w:ind w:left="566"/>
        <w:rPr>
          <w:i/>
          <w:iCs/>
          <w:rtl/>
        </w:rPr>
      </w:pPr>
      <w:r w:rsidRPr="004D2DCC">
        <w:rPr>
          <w:rFonts w:hint="cs"/>
          <w:i/>
          <w:iCs/>
          <w:rtl/>
        </w:rPr>
        <w:t>(أ)</w:t>
      </w:r>
      <w:r w:rsidRPr="004D2DCC">
        <w:rPr>
          <w:i/>
          <w:iCs/>
          <w:rtl/>
        </w:rPr>
        <w:tab/>
      </w:r>
      <w:r w:rsidRPr="004D2DCC">
        <w:rPr>
          <w:rFonts w:hint="cs"/>
          <w:i/>
          <w:iCs/>
          <w:rtl/>
        </w:rPr>
        <w:t xml:space="preserve">توافق على اقتراح البرنامج والميزانية للثنائية 2014/15، كما جاء في الوثيقة </w:t>
      </w:r>
      <w:r w:rsidRPr="004D2DCC">
        <w:rPr>
          <w:i/>
          <w:iCs/>
        </w:rPr>
        <w:t>A/51/7 REV</w:t>
      </w:r>
      <w:r w:rsidRPr="004D2DCC">
        <w:rPr>
          <w:rFonts w:hint="cs"/>
          <w:i/>
          <w:iCs/>
          <w:rtl/>
        </w:rPr>
        <w:t xml:space="preserve"> رهن إدخال التغييرات التالية المتفق عليها فيما يخص ما يلي:</w:t>
      </w:r>
    </w:p>
    <w:p w:rsidR="00287F9D" w:rsidRPr="00455349" w:rsidRDefault="00287F9D" w:rsidP="00BD3C27">
      <w:pPr>
        <w:pStyle w:val="NormalParaAR"/>
        <w:ind w:left="1701" w:hanging="567"/>
        <w:rPr>
          <w:i/>
          <w:iCs/>
          <w:rtl/>
        </w:rPr>
      </w:pPr>
      <w:r w:rsidRPr="00455349">
        <w:rPr>
          <w:rFonts w:hint="cs"/>
          <w:i/>
          <w:iCs/>
          <w:rtl/>
        </w:rPr>
        <w:t>"1"</w:t>
      </w:r>
      <w:r w:rsidRPr="00455349">
        <w:rPr>
          <w:i/>
          <w:iCs/>
          <w:rtl/>
        </w:rPr>
        <w:tab/>
      </w:r>
      <w:r w:rsidRPr="00455349">
        <w:rPr>
          <w:rFonts w:hint="cs"/>
          <w:i/>
          <w:iCs/>
          <w:rtl/>
        </w:rPr>
        <w:t xml:space="preserve">صياغة </w:t>
      </w:r>
      <w:r w:rsidR="00BD3C27">
        <w:rPr>
          <w:rFonts w:hint="cs"/>
          <w:i/>
          <w:iCs/>
          <w:rtl/>
        </w:rPr>
        <w:t>الأهداف</w:t>
      </w:r>
      <w:r w:rsidRPr="00455349">
        <w:rPr>
          <w:rFonts w:hint="cs"/>
          <w:i/>
          <w:iCs/>
          <w:rtl/>
        </w:rPr>
        <w:t xml:space="preserve"> في إطار نتائج البرنامج 2، على النحو الوارد في المرفق الأول؛</w:t>
      </w:r>
    </w:p>
    <w:p w:rsidR="00287F9D" w:rsidRPr="00455349" w:rsidRDefault="00287F9D" w:rsidP="00BD3C27">
      <w:pPr>
        <w:pStyle w:val="NormalParaAR"/>
        <w:ind w:left="1701" w:hanging="567"/>
        <w:rPr>
          <w:i/>
          <w:iCs/>
          <w:rtl/>
        </w:rPr>
      </w:pPr>
      <w:r w:rsidRPr="00455349">
        <w:rPr>
          <w:rFonts w:hint="cs"/>
          <w:i/>
          <w:iCs/>
          <w:rtl/>
        </w:rPr>
        <w:t>"2"</w:t>
      </w:r>
      <w:r w:rsidRPr="00455349">
        <w:rPr>
          <w:i/>
          <w:iCs/>
          <w:rtl/>
        </w:rPr>
        <w:tab/>
      </w:r>
      <w:r w:rsidRPr="00455349">
        <w:rPr>
          <w:rFonts w:hint="cs"/>
          <w:i/>
          <w:iCs/>
          <w:rtl/>
        </w:rPr>
        <w:t xml:space="preserve">صياغة </w:t>
      </w:r>
      <w:r w:rsidR="00BD3C27">
        <w:rPr>
          <w:rFonts w:hint="cs"/>
          <w:i/>
          <w:iCs/>
          <w:rtl/>
        </w:rPr>
        <w:t>الأهداف</w:t>
      </w:r>
      <w:r w:rsidRPr="00455349">
        <w:rPr>
          <w:rFonts w:hint="cs"/>
          <w:i/>
          <w:iCs/>
          <w:rtl/>
        </w:rPr>
        <w:t xml:space="preserve"> في إطار نتائج البرنامج 4، على النحو الوارد في المرفق الثاني؛</w:t>
      </w:r>
    </w:p>
    <w:p w:rsidR="00287F9D" w:rsidRPr="00455349" w:rsidRDefault="004D2DCC" w:rsidP="004D2DCC">
      <w:pPr>
        <w:pStyle w:val="NormalParaAR"/>
        <w:ind w:left="1701" w:hanging="567"/>
        <w:rPr>
          <w:i/>
          <w:iCs/>
          <w:rtl/>
        </w:rPr>
      </w:pPr>
      <w:r>
        <w:rPr>
          <w:rFonts w:hint="cs"/>
          <w:i/>
          <w:iCs/>
          <w:rtl/>
        </w:rPr>
        <w:t>"3"</w:t>
      </w:r>
      <w:r>
        <w:rPr>
          <w:rFonts w:hint="cs"/>
          <w:i/>
          <w:iCs/>
          <w:rtl/>
        </w:rPr>
        <w:tab/>
        <w:t>حذف الفقرة 21.20</w:t>
      </w:r>
      <w:r w:rsidR="00287F9D" w:rsidRPr="00455349">
        <w:rPr>
          <w:rFonts w:hint="cs"/>
          <w:i/>
          <w:iCs/>
          <w:rtl/>
        </w:rPr>
        <w:t xml:space="preserve"> في البرنامج 20؛</w:t>
      </w:r>
    </w:p>
    <w:p w:rsidR="00287F9D" w:rsidRPr="00455349" w:rsidRDefault="00287F9D" w:rsidP="00455349">
      <w:pPr>
        <w:pStyle w:val="NormalParaAR"/>
        <w:ind w:left="1701" w:hanging="567"/>
        <w:rPr>
          <w:i/>
          <w:iCs/>
          <w:rtl/>
        </w:rPr>
      </w:pPr>
      <w:r w:rsidRPr="00455349">
        <w:rPr>
          <w:rFonts w:hint="cs"/>
          <w:i/>
          <w:iCs/>
          <w:rtl/>
        </w:rPr>
        <w:t>"4"</w:t>
      </w:r>
      <w:r w:rsidRPr="00455349">
        <w:rPr>
          <w:i/>
          <w:iCs/>
          <w:rtl/>
        </w:rPr>
        <w:tab/>
      </w:r>
      <w:r w:rsidRPr="00455349">
        <w:rPr>
          <w:rFonts w:hint="cs"/>
          <w:i/>
          <w:iCs/>
          <w:rtl/>
        </w:rPr>
        <w:t xml:space="preserve">نقل ما مجموعه 1,5 مليون فرنك سويسري من خلاف الموار البشرية للبرنامج 20 </w:t>
      </w:r>
      <w:r w:rsidR="00606E41" w:rsidRPr="00455349">
        <w:rPr>
          <w:rFonts w:hint="cs"/>
          <w:i/>
          <w:iCs/>
          <w:rtl/>
        </w:rPr>
        <w:t>إلى المبالغ غير المخصصّة في انتظار اتخاذ قرار في هذا الشأن.</w:t>
      </w:r>
    </w:p>
    <w:p w:rsidR="00287F9D" w:rsidRPr="00287F9D" w:rsidRDefault="00455349" w:rsidP="00455349">
      <w:pPr>
        <w:pStyle w:val="NormalParaAR"/>
        <w:ind w:left="566"/>
        <w:rPr>
          <w:rtl/>
        </w:rPr>
      </w:pPr>
      <w:r>
        <w:rPr>
          <w:rFonts w:hint="cs"/>
          <w:rtl/>
        </w:rPr>
        <w:t>(ب)</w:t>
      </w:r>
      <w:r w:rsidR="00287F9D" w:rsidRPr="00287F9D">
        <w:rPr>
          <w:rtl/>
        </w:rPr>
        <w:tab/>
      </w:r>
      <w:r w:rsidR="00287F9D" w:rsidRPr="00287F9D">
        <w:rPr>
          <w:rFonts w:hint="cs"/>
          <w:rtl/>
        </w:rPr>
        <w:t>وتحيط علما بالتعليقات التي أدلت بها الدول الأعضاء بشأن التماس مزيد من المعلومات عن برنامج الملكية الفكرية والتحديات العالمية (البرنامج 18) وطلبت من البرنامج إبلاغ الدول الأعضاء</w:t>
      </w:r>
      <w:r w:rsidRPr="00455349">
        <w:rPr>
          <w:rFonts w:hint="cs"/>
          <w:rtl/>
        </w:rPr>
        <w:t xml:space="preserve"> </w:t>
      </w:r>
      <w:r w:rsidRPr="00287F9D">
        <w:rPr>
          <w:rFonts w:hint="cs"/>
          <w:rtl/>
        </w:rPr>
        <w:t xml:space="preserve">في الدورة العشرين </w:t>
      </w:r>
      <w:r w:rsidRPr="00455349">
        <w:rPr>
          <w:rtl/>
        </w:rPr>
        <w:t>للجنة الدائمة المعنية بقانون البراءات</w:t>
      </w:r>
      <w:r w:rsidRPr="00455349">
        <w:rPr>
          <w:rFonts w:hint="cs"/>
          <w:rtl/>
        </w:rPr>
        <w:t xml:space="preserve"> </w:t>
      </w:r>
      <w:r w:rsidRPr="00287F9D">
        <w:rPr>
          <w:rFonts w:hint="cs"/>
          <w:rtl/>
        </w:rPr>
        <w:t>عن الجوانب المتعلقة بالبراءات من أنشطته</w:t>
      </w:r>
      <w:r w:rsidR="00287F9D" w:rsidRPr="00287F9D">
        <w:rPr>
          <w:rFonts w:hint="cs"/>
          <w:rtl/>
        </w:rPr>
        <w:t xml:space="preserve">، </w:t>
      </w:r>
      <w:r w:rsidRPr="00287F9D">
        <w:rPr>
          <w:rFonts w:hint="cs"/>
          <w:rtl/>
        </w:rPr>
        <w:t xml:space="preserve">وإبلاغ الدول الأعضاء </w:t>
      </w:r>
      <w:r w:rsidR="00287F9D" w:rsidRPr="00287F9D">
        <w:rPr>
          <w:rFonts w:hint="cs"/>
          <w:rtl/>
        </w:rPr>
        <w:t xml:space="preserve">في الدورة </w:t>
      </w:r>
      <w:r>
        <w:rPr>
          <w:rFonts w:hint="cs"/>
          <w:rtl/>
        </w:rPr>
        <w:t>الثالثة</w:t>
      </w:r>
      <w:r w:rsidR="00287F9D" w:rsidRPr="00287F9D">
        <w:rPr>
          <w:rFonts w:hint="cs"/>
          <w:rtl/>
        </w:rPr>
        <w:t xml:space="preserve"> عشرة للجنة ال</w:t>
      </w:r>
      <w:r>
        <w:rPr>
          <w:rFonts w:hint="cs"/>
          <w:rtl/>
        </w:rPr>
        <w:t>معنية بالتنمية والملكية الفكرية</w:t>
      </w:r>
      <w:r w:rsidR="00287F9D" w:rsidRPr="00287F9D">
        <w:rPr>
          <w:rFonts w:hint="cs"/>
          <w:rtl/>
        </w:rPr>
        <w:t xml:space="preserve"> عن الجوانب المتعلقة بالتنمية من أنشطته</w:t>
      </w:r>
      <w:r>
        <w:rPr>
          <w:rFonts w:hint="cs"/>
          <w:rtl/>
        </w:rPr>
        <w:t>.</w:t>
      </w:r>
    </w:p>
    <w:p w:rsidR="00287F9D" w:rsidRPr="00287F9D" w:rsidRDefault="004D2DCC" w:rsidP="004D2DCC">
      <w:pPr>
        <w:pStyle w:val="EndofDocumentAR"/>
      </w:pPr>
      <w:r>
        <w:rPr>
          <w:rFonts w:hint="cs"/>
          <w:rtl/>
        </w:rPr>
        <w:t>[ي</w:t>
      </w:r>
      <w:r w:rsidR="00287F9D" w:rsidRPr="00287F9D">
        <w:rPr>
          <w:rFonts w:hint="cs"/>
          <w:rtl/>
        </w:rPr>
        <w:t>لي ذلك المرفقا</w:t>
      </w:r>
      <w:r>
        <w:rPr>
          <w:rFonts w:hint="cs"/>
          <w:rtl/>
        </w:rPr>
        <w:t>ن</w:t>
      </w:r>
      <w:r w:rsidR="00287F9D" w:rsidRPr="00287F9D">
        <w:rPr>
          <w:rFonts w:hint="cs"/>
          <w:rtl/>
        </w:rPr>
        <w:t>]</w:t>
      </w:r>
    </w:p>
    <w:p w:rsidR="004D2DCC" w:rsidRDefault="004D2DCC">
      <w:pPr>
        <w:rPr>
          <w:rFonts w:ascii="Arabic Typesetting" w:hAnsi="Arabic Typesetting" w:cs="Arabic Typesetting"/>
          <w:sz w:val="36"/>
          <w:szCs w:val="36"/>
          <w:rtl/>
        </w:rPr>
      </w:pPr>
      <w:r>
        <w:rPr>
          <w:rtl/>
        </w:rPr>
        <w:br w:type="page"/>
      </w:r>
    </w:p>
    <w:p w:rsidR="00455349" w:rsidRDefault="00455349" w:rsidP="00455349">
      <w:pPr>
        <w:pStyle w:val="StyleHeading3ComplexItalic"/>
        <w:tabs>
          <w:tab w:val="clear" w:pos="1985"/>
          <w:tab w:val="left" w:pos="1331"/>
        </w:tabs>
        <w:bidi/>
        <w:adjustRightInd w:val="0"/>
        <w:snapToGrid w:val="0"/>
        <w:spacing w:after="240" w:line="360" w:lineRule="exact"/>
        <w:jc w:val="center"/>
        <w:rPr>
          <w:rFonts w:ascii="Arabic Typesetting" w:hAnsi="Arabic Typesetting" w:cs="Arabic Typesetting"/>
          <w:bCs/>
          <w:iCs w:val="0"/>
          <w:noProof/>
          <w:snapToGrid/>
          <w:sz w:val="42"/>
          <w:szCs w:val="42"/>
          <w:rtl/>
          <w:lang w:bidi="ar-EG"/>
        </w:rPr>
      </w:pPr>
      <w:bookmarkStart w:id="3" w:name="_Toc364355358"/>
      <w:r>
        <w:rPr>
          <w:rFonts w:ascii="Arabic Typesetting" w:hAnsi="Arabic Typesetting" w:cs="Arabic Typesetting" w:hint="cs"/>
          <w:bCs/>
          <w:iCs w:val="0"/>
          <w:noProof/>
          <w:snapToGrid/>
          <w:sz w:val="42"/>
          <w:szCs w:val="42"/>
          <w:rtl/>
          <w:lang w:bidi="ar-EG"/>
        </w:rPr>
        <w:lastRenderedPageBreak/>
        <w:t>المرفق الأول</w:t>
      </w:r>
    </w:p>
    <w:p w:rsidR="00AF7F5C" w:rsidRPr="00D918B2" w:rsidRDefault="00AF7F5C" w:rsidP="00455349">
      <w:pPr>
        <w:pStyle w:val="StyleHeading3ComplexItalic"/>
        <w:tabs>
          <w:tab w:val="clear" w:pos="1985"/>
          <w:tab w:val="left" w:pos="1331"/>
        </w:tabs>
        <w:bidi/>
        <w:adjustRightInd w:val="0"/>
        <w:snapToGrid w:val="0"/>
        <w:spacing w:after="240" w:line="360" w:lineRule="exact"/>
        <w:rPr>
          <w:rFonts w:ascii="Arabic Typesetting" w:hAnsi="Arabic Typesetting" w:cs="Arabic Typesetting"/>
          <w:bCs/>
          <w:iCs w:val="0"/>
          <w:noProof/>
          <w:snapToGrid/>
          <w:sz w:val="42"/>
          <w:szCs w:val="42"/>
          <w:rtl/>
          <w:lang w:bidi="ar-EG"/>
        </w:rPr>
      </w:pPr>
      <w:r w:rsidRPr="00D918B2">
        <w:rPr>
          <w:rFonts w:ascii="Arabic Typesetting" w:hAnsi="Arabic Typesetting" w:cs="Arabic Typesetting"/>
          <w:bCs/>
          <w:iCs w:val="0"/>
          <w:noProof/>
          <w:snapToGrid/>
          <w:sz w:val="42"/>
          <w:szCs w:val="42"/>
          <w:rtl/>
          <w:lang w:bidi="ar-EG"/>
        </w:rPr>
        <w:t>البرنامج 2</w:t>
      </w:r>
      <w:r w:rsidRPr="00D918B2">
        <w:rPr>
          <w:rFonts w:ascii="Arabic Typesetting" w:hAnsi="Arabic Typesetting" w:cs="Arabic Typesetting"/>
          <w:bCs/>
          <w:iCs w:val="0"/>
          <w:noProof/>
          <w:snapToGrid/>
          <w:sz w:val="42"/>
          <w:szCs w:val="42"/>
          <w:rtl/>
          <w:lang w:bidi="ar-EG"/>
        </w:rPr>
        <w:tab/>
        <w:t>العلامات التجارية والتصاميم الصناعية والبيانات الجغرافية</w:t>
      </w:r>
      <w:bookmarkEnd w:id="3"/>
    </w:p>
    <w:p w:rsidR="00BE585D" w:rsidRPr="004D2DCC" w:rsidRDefault="00BE585D" w:rsidP="004D2DCC">
      <w:pPr>
        <w:pStyle w:val="NormalParaAR"/>
        <w:keepNext/>
        <w:ind w:left="-1"/>
        <w:rPr>
          <w:sz w:val="40"/>
          <w:szCs w:val="40"/>
          <w:rtl/>
          <w:lang w:bidi="ar-EG"/>
        </w:rPr>
      </w:pPr>
      <w:r w:rsidRPr="004D2DCC">
        <w:rPr>
          <w:sz w:val="40"/>
          <w:szCs w:val="40"/>
          <w:rtl/>
          <w:lang w:bidi="ar-EG"/>
        </w:rPr>
        <w:t>إطار النتائج</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2552"/>
        <w:gridCol w:w="1984"/>
        <w:gridCol w:w="2093"/>
      </w:tblGrid>
      <w:tr w:rsidR="00BE585D" w:rsidRPr="00217A4D" w:rsidTr="00F403A4">
        <w:trPr>
          <w:tblHeader/>
        </w:trPr>
        <w:tc>
          <w:tcPr>
            <w:tcW w:w="2941" w:type="dxa"/>
            <w:shd w:val="clear" w:color="auto" w:fill="CCFFFF"/>
          </w:tcPr>
          <w:p w:rsidR="00BE585D" w:rsidRPr="00217A4D" w:rsidRDefault="00BE585D" w:rsidP="00C4450B">
            <w:pPr>
              <w:pStyle w:val="NormalParaAR"/>
              <w:jc w:val="center"/>
              <w:rPr>
                <w:b/>
                <w:bCs/>
                <w:sz w:val="34"/>
                <w:szCs w:val="34"/>
                <w:rtl/>
              </w:rPr>
            </w:pPr>
            <w:r w:rsidRPr="00217A4D">
              <w:rPr>
                <w:b/>
                <w:bCs/>
                <w:sz w:val="34"/>
                <w:szCs w:val="34"/>
                <w:rtl/>
              </w:rPr>
              <w:t>النتائج المرتقبة</w:t>
            </w:r>
          </w:p>
        </w:tc>
        <w:tc>
          <w:tcPr>
            <w:tcW w:w="2552" w:type="dxa"/>
            <w:shd w:val="clear" w:color="auto" w:fill="CCFFFF"/>
          </w:tcPr>
          <w:p w:rsidR="00BE585D" w:rsidRPr="00217A4D" w:rsidRDefault="00BE585D" w:rsidP="00C4450B">
            <w:pPr>
              <w:pStyle w:val="NormalParaAR"/>
              <w:jc w:val="center"/>
              <w:rPr>
                <w:b/>
                <w:bCs/>
                <w:sz w:val="34"/>
                <w:szCs w:val="34"/>
                <w:rtl/>
              </w:rPr>
            </w:pPr>
            <w:r w:rsidRPr="00217A4D">
              <w:rPr>
                <w:b/>
                <w:bCs/>
                <w:sz w:val="34"/>
                <w:szCs w:val="34"/>
                <w:rtl/>
              </w:rPr>
              <w:t>مؤشرات الأداء</w:t>
            </w:r>
          </w:p>
        </w:tc>
        <w:tc>
          <w:tcPr>
            <w:tcW w:w="1984" w:type="dxa"/>
            <w:shd w:val="clear" w:color="auto" w:fill="CCFFFF"/>
          </w:tcPr>
          <w:p w:rsidR="00BE585D" w:rsidRPr="00217A4D" w:rsidRDefault="00BE585D" w:rsidP="00C4450B">
            <w:pPr>
              <w:pStyle w:val="NormalParaAR"/>
              <w:jc w:val="center"/>
              <w:rPr>
                <w:b/>
                <w:bCs/>
                <w:sz w:val="34"/>
                <w:szCs w:val="34"/>
                <w:rtl/>
              </w:rPr>
            </w:pPr>
            <w:r w:rsidRPr="00217A4D">
              <w:rPr>
                <w:b/>
                <w:bCs/>
                <w:sz w:val="34"/>
                <w:szCs w:val="34"/>
                <w:rtl/>
              </w:rPr>
              <w:t>أسس المقارنة</w:t>
            </w:r>
          </w:p>
        </w:tc>
        <w:tc>
          <w:tcPr>
            <w:tcW w:w="2093" w:type="dxa"/>
            <w:shd w:val="clear" w:color="auto" w:fill="CCFFFF"/>
          </w:tcPr>
          <w:p w:rsidR="00BE585D" w:rsidRPr="00217A4D" w:rsidRDefault="00BE585D" w:rsidP="00C4450B">
            <w:pPr>
              <w:pStyle w:val="NormalParaAR"/>
              <w:jc w:val="center"/>
              <w:rPr>
                <w:b/>
                <w:bCs/>
                <w:sz w:val="34"/>
                <w:szCs w:val="34"/>
                <w:rtl/>
              </w:rPr>
            </w:pPr>
            <w:r w:rsidRPr="00217A4D">
              <w:rPr>
                <w:b/>
                <w:bCs/>
                <w:sz w:val="34"/>
                <w:szCs w:val="34"/>
                <w:rtl/>
              </w:rPr>
              <w:t>الأهداف</w:t>
            </w:r>
          </w:p>
        </w:tc>
      </w:tr>
      <w:tr w:rsidR="00BE585D" w:rsidRPr="00217A4D" w:rsidTr="00F403A4">
        <w:tc>
          <w:tcPr>
            <w:tcW w:w="2941" w:type="dxa"/>
            <w:tcBorders>
              <w:bottom w:val="nil"/>
            </w:tcBorders>
          </w:tcPr>
          <w:p w:rsidR="00BE585D" w:rsidRPr="00217A4D" w:rsidRDefault="00BE585D" w:rsidP="00BE585D">
            <w:pPr>
              <w:pStyle w:val="NormalParaAR"/>
              <w:rPr>
                <w:sz w:val="34"/>
                <w:szCs w:val="34"/>
                <w:rtl/>
                <w:lang w:bidi="ar-EG"/>
              </w:rPr>
            </w:pPr>
            <w:r w:rsidRPr="00217A4D">
              <w:rPr>
                <w:rFonts w:hint="cs"/>
                <w:sz w:val="34"/>
                <w:szCs w:val="34"/>
                <w:rtl/>
                <w:lang w:bidi="ar-EG"/>
              </w:rPr>
              <w:t>ه 1.1</w:t>
            </w:r>
            <w:r w:rsidRPr="00217A4D">
              <w:rPr>
                <w:sz w:val="34"/>
                <w:szCs w:val="34"/>
                <w:rtl/>
              </w:rPr>
              <w:t xml:space="preserve"> تعاون معزز بين الدول الأعضاء في تطوير أطر معيارية دولية متوازنة للملكية الفكرية و</w:t>
            </w:r>
            <w:r w:rsidRPr="00217A4D">
              <w:rPr>
                <w:rFonts w:hint="cs"/>
                <w:sz w:val="34"/>
                <w:szCs w:val="34"/>
                <w:rtl/>
              </w:rPr>
              <w:t>الاتفاق</w:t>
            </w:r>
            <w:r w:rsidRPr="00217A4D">
              <w:rPr>
                <w:sz w:val="34"/>
                <w:szCs w:val="34"/>
                <w:rtl/>
              </w:rPr>
              <w:t xml:space="preserve"> </w:t>
            </w:r>
            <w:r w:rsidRPr="00217A4D">
              <w:rPr>
                <w:rFonts w:hint="cs"/>
                <w:sz w:val="34"/>
                <w:szCs w:val="34"/>
                <w:rtl/>
              </w:rPr>
              <w:t>على</w:t>
            </w:r>
            <w:r w:rsidRPr="00217A4D">
              <w:rPr>
                <w:sz w:val="34"/>
                <w:szCs w:val="34"/>
                <w:rtl/>
              </w:rPr>
              <w:t xml:space="preserve"> محاور محدّدة وعلى صكوك دولية بشأنها</w:t>
            </w:r>
          </w:p>
        </w:tc>
        <w:tc>
          <w:tcPr>
            <w:tcW w:w="2552" w:type="dxa"/>
            <w:tcBorders>
              <w:bottom w:val="nil"/>
            </w:tcBorders>
          </w:tcPr>
          <w:p w:rsidR="00BE585D" w:rsidRPr="00217A4D" w:rsidRDefault="00BE585D" w:rsidP="00BE585D">
            <w:pPr>
              <w:pStyle w:val="NormalParaAR"/>
              <w:rPr>
                <w:sz w:val="34"/>
                <w:szCs w:val="34"/>
                <w:rtl/>
                <w:lang w:bidi="ar-EG"/>
              </w:rPr>
            </w:pPr>
            <w:r w:rsidRPr="00217A4D">
              <w:rPr>
                <w:sz w:val="34"/>
                <w:szCs w:val="34"/>
                <w:rtl/>
                <w:lang w:bidi="ar-EG"/>
              </w:rPr>
              <w:t>الاتفاق بشأن إطار معياري لتسجيل التصاميم الصناعية وإجراءات الصيانة</w:t>
            </w:r>
          </w:p>
        </w:tc>
        <w:tc>
          <w:tcPr>
            <w:tcW w:w="1984" w:type="dxa"/>
            <w:tcBorders>
              <w:bottom w:val="nil"/>
            </w:tcBorders>
          </w:tcPr>
          <w:p w:rsidR="00BE585D" w:rsidRPr="00217A4D" w:rsidRDefault="00BE585D" w:rsidP="00BE585D">
            <w:pPr>
              <w:pStyle w:val="NormalParaAR"/>
              <w:rPr>
                <w:sz w:val="34"/>
                <w:szCs w:val="34"/>
                <w:rtl/>
                <w:lang w:bidi="ar-EG"/>
              </w:rPr>
            </w:pPr>
            <w:r w:rsidRPr="00217A4D">
              <w:rPr>
                <w:sz w:val="34"/>
                <w:szCs w:val="34"/>
                <w:rtl/>
                <w:lang w:bidi="ar-EG"/>
              </w:rPr>
              <w:t>لا يوجد إطار معياري لتسجيل التصاميم الصناعية وإجراءات الصيانة</w:t>
            </w:r>
          </w:p>
        </w:tc>
        <w:tc>
          <w:tcPr>
            <w:tcW w:w="2093" w:type="dxa"/>
            <w:tcBorders>
              <w:bottom w:val="nil"/>
            </w:tcBorders>
          </w:tcPr>
          <w:p w:rsidR="00BE585D" w:rsidRPr="00217A4D" w:rsidRDefault="00BE585D" w:rsidP="00BE585D">
            <w:pPr>
              <w:pStyle w:val="NormalParaAR"/>
              <w:rPr>
                <w:sz w:val="34"/>
                <w:szCs w:val="34"/>
                <w:rtl/>
              </w:rPr>
            </w:pPr>
            <w:r w:rsidRPr="00217A4D">
              <w:rPr>
                <w:sz w:val="34"/>
                <w:szCs w:val="34"/>
                <w:rtl/>
                <w:lang w:bidi="ar-EG"/>
              </w:rPr>
              <w:t>اعتماد معاهدة لقانون التصاميم من خلال مؤتمر دبلوماسي</w:t>
            </w:r>
            <w:r w:rsidR="003F3DB3" w:rsidRPr="00217A4D">
              <w:rPr>
                <w:sz w:val="34"/>
                <w:szCs w:val="34"/>
                <w:lang w:bidi="ar-EG"/>
              </w:rPr>
              <w:t xml:space="preserve"> </w:t>
            </w:r>
            <w:r w:rsidR="003F3DB3" w:rsidRPr="00217A4D">
              <w:rPr>
                <w:rFonts w:hint="cs"/>
                <w:sz w:val="34"/>
                <w:szCs w:val="34"/>
                <w:rtl/>
              </w:rPr>
              <w:t>محتمل</w:t>
            </w:r>
          </w:p>
        </w:tc>
      </w:tr>
      <w:tr w:rsidR="00BE585D" w:rsidRPr="00217A4D" w:rsidTr="00F403A4">
        <w:tc>
          <w:tcPr>
            <w:tcW w:w="2941" w:type="dxa"/>
            <w:tcBorders>
              <w:top w:val="nil"/>
              <w:bottom w:val="nil"/>
            </w:tcBorders>
          </w:tcPr>
          <w:p w:rsidR="00BE585D" w:rsidRPr="00217A4D" w:rsidRDefault="00BE585D" w:rsidP="00BE585D">
            <w:pPr>
              <w:pStyle w:val="NormalParaAR"/>
              <w:rPr>
                <w:sz w:val="34"/>
                <w:szCs w:val="34"/>
                <w:rtl/>
              </w:rPr>
            </w:pPr>
          </w:p>
        </w:tc>
        <w:tc>
          <w:tcPr>
            <w:tcW w:w="2552" w:type="dxa"/>
            <w:tcBorders>
              <w:top w:val="nil"/>
              <w:bottom w:val="nil"/>
            </w:tcBorders>
          </w:tcPr>
          <w:p w:rsidR="00BE585D" w:rsidRPr="00217A4D" w:rsidRDefault="00BE585D" w:rsidP="00BE585D">
            <w:pPr>
              <w:pStyle w:val="NormalParaAR"/>
              <w:rPr>
                <w:sz w:val="34"/>
                <w:szCs w:val="34"/>
                <w:rtl/>
                <w:lang w:bidi="ar-EG"/>
              </w:rPr>
            </w:pPr>
            <w:r w:rsidRPr="00217A4D">
              <w:rPr>
                <w:rFonts w:hint="cs"/>
                <w:sz w:val="34"/>
                <w:szCs w:val="34"/>
                <w:rtl/>
                <w:lang w:bidi="ar-EG"/>
              </w:rPr>
              <w:t>التقدم المحرز نحو الاتفاق على القضايا الراهنة المدرجة في جدول أعمال اللجنة الدائمة المعنية بقانون العلامات التجارية والتصاميم الصناعية والبيانات الجغرافية</w:t>
            </w:r>
          </w:p>
        </w:tc>
        <w:tc>
          <w:tcPr>
            <w:tcW w:w="1984" w:type="dxa"/>
            <w:tcBorders>
              <w:top w:val="nil"/>
              <w:bottom w:val="nil"/>
            </w:tcBorders>
          </w:tcPr>
          <w:p w:rsidR="00BE585D" w:rsidRPr="00217A4D" w:rsidRDefault="00BE585D" w:rsidP="00BE585D">
            <w:pPr>
              <w:pStyle w:val="NormalParaAR"/>
              <w:rPr>
                <w:sz w:val="34"/>
                <w:szCs w:val="34"/>
                <w:rtl/>
                <w:lang w:bidi="ar-EG"/>
              </w:rPr>
            </w:pPr>
            <w:r w:rsidRPr="00217A4D">
              <w:rPr>
                <w:rFonts w:hint="cs"/>
                <w:sz w:val="34"/>
                <w:szCs w:val="34"/>
                <w:rtl/>
                <w:lang w:bidi="ar-EG"/>
              </w:rPr>
              <w:t>مشروع وثيقة مرجعية بشأن حماية أسماء البلدان من تسجيلها واستخدامها كعلامات تجارية</w:t>
            </w:r>
          </w:p>
        </w:tc>
        <w:tc>
          <w:tcPr>
            <w:tcW w:w="2093" w:type="dxa"/>
            <w:tcBorders>
              <w:top w:val="nil"/>
              <w:bottom w:val="nil"/>
            </w:tcBorders>
          </w:tcPr>
          <w:p w:rsidR="00BE585D" w:rsidRPr="00217A4D" w:rsidRDefault="00BE585D" w:rsidP="00BE585D">
            <w:pPr>
              <w:pStyle w:val="NormalParaAR"/>
              <w:rPr>
                <w:sz w:val="34"/>
                <w:szCs w:val="34"/>
                <w:rtl/>
                <w:lang w:bidi="ar-EG"/>
              </w:rPr>
            </w:pPr>
            <w:r w:rsidRPr="00217A4D">
              <w:rPr>
                <w:rFonts w:hint="cs"/>
                <w:sz w:val="34"/>
                <w:szCs w:val="34"/>
                <w:rtl/>
                <w:lang w:bidi="ar-EG"/>
              </w:rPr>
              <w:t>الحصائل المتفق عليها للجنة الدائمة المعنية ب</w:t>
            </w:r>
            <w:r w:rsidRPr="00217A4D">
              <w:rPr>
                <w:sz w:val="34"/>
                <w:szCs w:val="34"/>
                <w:rtl/>
                <w:lang w:bidi="ar-EG"/>
              </w:rPr>
              <w:t>العلامات التجارية والتصاميم الصناعية والبيانات الجغرافية</w:t>
            </w:r>
          </w:p>
        </w:tc>
      </w:tr>
      <w:tr w:rsidR="00BE585D" w:rsidRPr="00217A4D" w:rsidTr="00F403A4">
        <w:tc>
          <w:tcPr>
            <w:tcW w:w="2941" w:type="dxa"/>
            <w:tcBorders>
              <w:top w:val="nil"/>
              <w:bottom w:val="nil"/>
            </w:tcBorders>
          </w:tcPr>
          <w:p w:rsidR="00BE585D" w:rsidRPr="00217A4D" w:rsidRDefault="00BE585D" w:rsidP="00BE585D">
            <w:pPr>
              <w:pStyle w:val="NormalParaAR"/>
              <w:rPr>
                <w:sz w:val="34"/>
                <w:szCs w:val="34"/>
                <w:rtl/>
                <w:lang w:bidi="ar-EG"/>
              </w:rPr>
            </w:pPr>
          </w:p>
        </w:tc>
        <w:tc>
          <w:tcPr>
            <w:tcW w:w="2552" w:type="dxa"/>
            <w:tcBorders>
              <w:top w:val="nil"/>
              <w:bottom w:val="nil"/>
            </w:tcBorders>
          </w:tcPr>
          <w:p w:rsidR="00BE585D" w:rsidRPr="00217A4D" w:rsidRDefault="00BE585D" w:rsidP="00BE585D">
            <w:pPr>
              <w:pStyle w:val="NormalParaAR"/>
              <w:rPr>
                <w:sz w:val="34"/>
                <w:szCs w:val="34"/>
                <w:rtl/>
                <w:lang w:bidi="ar-EG"/>
              </w:rPr>
            </w:pPr>
            <w:r w:rsidRPr="00217A4D">
              <w:rPr>
                <w:sz w:val="34"/>
                <w:szCs w:val="34"/>
                <w:rtl/>
                <w:lang w:bidi="ar-EG"/>
              </w:rPr>
              <w:t>عدد حالات التصديق/الانضمام إلى معاهدة سنغافورة</w:t>
            </w:r>
          </w:p>
        </w:tc>
        <w:tc>
          <w:tcPr>
            <w:tcW w:w="1984" w:type="dxa"/>
            <w:tcBorders>
              <w:top w:val="nil"/>
              <w:bottom w:val="nil"/>
            </w:tcBorders>
          </w:tcPr>
          <w:p w:rsidR="00BE585D" w:rsidRPr="00217A4D" w:rsidRDefault="00BE585D" w:rsidP="00BE585D">
            <w:pPr>
              <w:pStyle w:val="NormalParaAR"/>
              <w:rPr>
                <w:sz w:val="34"/>
                <w:szCs w:val="34"/>
                <w:rtl/>
                <w:lang w:bidi="ar-EG"/>
              </w:rPr>
            </w:pPr>
            <w:r w:rsidRPr="00217A4D">
              <w:rPr>
                <w:sz w:val="34"/>
                <w:szCs w:val="34"/>
                <w:rtl/>
                <w:lang w:bidi="ar-EG"/>
              </w:rPr>
              <w:t>29 طرفا متعاقدا (نهاية 2012)</w:t>
            </w:r>
          </w:p>
        </w:tc>
        <w:tc>
          <w:tcPr>
            <w:tcW w:w="2093" w:type="dxa"/>
            <w:tcBorders>
              <w:top w:val="nil"/>
              <w:bottom w:val="nil"/>
            </w:tcBorders>
          </w:tcPr>
          <w:p w:rsidR="00BE585D" w:rsidRPr="00217A4D" w:rsidRDefault="00BE585D" w:rsidP="00BE585D">
            <w:pPr>
              <w:pStyle w:val="NormalParaAR"/>
              <w:rPr>
                <w:sz w:val="34"/>
                <w:szCs w:val="34"/>
                <w:rtl/>
                <w:lang w:bidi="ar-EG"/>
              </w:rPr>
            </w:pPr>
            <w:r w:rsidRPr="00217A4D">
              <w:rPr>
                <w:sz w:val="34"/>
                <w:szCs w:val="34"/>
                <w:rtl/>
                <w:lang w:bidi="ar-EG"/>
              </w:rPr>
              <w:t>ثماني حالات جديدة للتصديق/الانضمام</w:t>
            </w:r>
          </w:p>
        </w:tc>
      </w:tr>
      <w:tr w:rsidR="00BE585D" w:rsidRPr="00217A4D" w:rsidTr="00F403A4">
        <w:tc>
          <w:tcPr>
            <w:tcW w:w="2941" w:type="dxa"/>
            <w:tcBorders>
              <w:top w:val="nil"/>
              <w:bottom w:val="nil"/>
            </w:tcBorders>
          </w:tcPr>
          <w:p w:rsidR="00BE585D" w:rsidRPr="00217A4D" w:rsidRDefault="00BE585D" w:rsidP="00BE585D">
            <w:pPr>
              <w:pStyle w:val="NormalParaAR"/>
              <w:rPr>
                <w:sz w:val="34"/>
                <w:szCs w:val="34"/>
                <w:rtl/>
                <w:lang w:bidi="ar-EG"/>
              </w:rPr>
            </w:pPr>
            <w:r w:rsidRPr="00217A4D">
              <w:rPr>
                <w:rFonts w:hint="cs"/>
                <w:sz w:val="34"/>
                <w:szCs w:val="34"/>
                <w:rtl/>
                <w:lang w:bidi="ar-EG"/>
              </w:rPr>
              <w:t>ه 2.1</w:t>
            </w:r>
            <w:r w:rsidRPr="00217A4D">
              <w:rPr>
                <w:sz w:val="34"/>
                <w:szCs w:val="34"/>
                <w:rtl/>
                <w:lang w:bidi="ar-EG"/>
              </w:rPr>
              <w:t xml:space="preserve"> أطر تشريعية وتنظيمية وسياسية مناسبة ومتوازنة للملكية الفكرية</w:t>
            </w:r>
          </w:p>
        </w:tc>
        <w:tc>
          <w:tcPr>
            <w:tcW w:w="2552" w:type="dxa"/>
            <w:tcBorders>
              <w:top w:val="nil"/>
              <w:bottom w:val="nil"/>
            </w:tcBorders>
          </w:tcPr>
          <w:p w:rsidR="00BE585D" w:rsidRPr="00217A4D" w:rsidRDefault="00BE585D" w:rsidP="00BE585D">
            <w:pPr>
              <w:pStyle w:val="NormalParaAR"/>
              <w:rPr>
                <w:sz w:val="34"/>
                <w:szCs w:val="34"/>
                <w:rtl/>
                <w:lang w:bidi="ar-EG"/>
              </w:rPr>
            </w:pPr>
            <w:r w:rsidRPr="00217A4D">
              <w:rPr>
                <w:sz w:val="34"/>
                <w:szCs w:val="34"/>
                <w:rtl/>
                <w:lang w:bidi="ar-EG"/>
              </w:rPr>
              <w:t>عدد الدول الأعضاء/المنظمات الإقليمية التي قدمت تعليقات إيجابية على المشورة التشريعية المقدمة في مجال العلامات التجارية والتصاميم الصناعية والبيانات الجغرافية، والنسبة المئوية لهذه الدول والمنظمات</w:t>
            </w:r>
          </w:p>
        </w:tc>
        <w:tc>
          <w:tcPr>
            <w:tcW w:w="1984" w:type="dxa"/>
            <w:tcBorders>
              <w:top w:val="nil"/>
              <w:bottom w:val="nil"/>
            </w:tcBorders>
          </w:tcPr>
          <w:p w:rsidR="00BE585D" w:rsidRPr="00217A4D" w:rsidRDefault="00BE585D" w:rsidP="00BE585D">
            <w:pPr>
              <w:pStyle w:val="NormalParaAR"/>
              <w:rPr>
                <w:sz w:val="34"/>
                <w:szCs w:val="34"/>
                <w:rtl/>
                <w:lang w:bidi="ar-EG"/>
              </w:rPr>
            </w:pPr>
            <w:r w:rsidRPr="00217A4D">
              <w:rPr>
                <w:sz w:val="34"/>
                <w:szCs w:val="34"/>
                <w:rtl/>
                <w:lang w:bidi="ar-EG"/>
              </w:rPr>
              <w:t>تلقت 11 دولة عضوا/منظمة إقليمية مشورة تشريعية، منها 3 قدمت تعليقات إيجابية على المشورة التشريعية المتلقاة في 2012</w:t>
            </w:r>
          </w:p>
        </w:tc>
        <w:tc>
          <w:tcPr>
            <w:tcW w:w="2093" w:type="dxa"/>
            <w:tcBorders>
              <w:top w:val="nil"/>
              <w:bottom w:val="nil"/>
            </w:tcBorders>
          </w:tcPr>
          <w:p w:rsidR="00BE585D" w:rsidRPr="00217A4D" w:rsidRDefault="00BE585D" w:rsidP="00BE585D">
            <w:pPr>
              <w:pStyle w:val="NormalParaAR"/>
              <w:rPr>
                <w:sz w:val="34"/>
                <w:szCs w:val="34"/>
                <w:rtl/>
                <w:lang w:bidi="ar-EG"/>
              </w:rPr>
            </w:pPr>
            <w:r w:rsidRPr="00217A4D">
              <w:rPr>
                <w:sz w:val="34"/>
                <w:szCs w:val="34"/>
                <w:rtl/>
                <w:lang w:bidi="ar-EG"/>
              </w:rPr>
              <w:t>تقديم المشورة التشريعية إلى 10 دول أعضاء/منظمات إقليمية</w:t>
            </w:r>
            <w:r w:rsidRPr="00217A4D">
              <w:rPr>
                <w:rFonts w:hint="cs"/>
                <w:sz w:val="34"/>
                <w:szCs w:val="34"/>
                <w:rtl/>
                <w:lang w:bidi="ar-EG"/>
              </w:rPr>
              <w:t>. وأبدت 90% ممّن ردّت على الاستقصاء رضاها عن المشورة المقدمة.</w:t>
            </w:r>
          </w:p>
        </w:tc>
      </w:tr>
      <w:tr w:rsidR="00BE585D" w:rsidRPr="00217A4D" w:rsidTr="00F403A4">
        <w:tc>
          <w:tcPr>
            <w:tcW w:w="2941" w:type="dxa"/>
            <w:tcBorders>
              <w:top w:val="nil"/>
              <w:bottom w:val="nil"/>
            </w:tcBorders>
          </w:tcPr>
          <w:p w:rsidR="00BE585D" w:rsidRPr="00217A4D" w:rsidRDefault="00BE585D" w:rsidP="00BE585D">
            <w:pPr>
              <w:pStyle w:val="NormalParaAR"/>
              <w:rPr>
                <w:sz w:val="34"/>
                <w:szCs w:val="34"/>
                <w:rtl/>
                <w:lang w:bidi="ar-EG"/>
              </w:rPr>
            </w:pPr>
            <w:r w:rsidRPr="00217A4D">
              <w:rPr>
                <w:rFonts w:hint="cs"/>
                <w:sz w:val="34"/>
                <w:szCs w:val="34"/>
                <w:rtl/>
                <w:lang w:bidi="ar-EG"/>
              </w:rPr>
              <w:t>ه 3.1</w:t>
            </w:r>
            <w:r w:rsidRPr="00217A4D">
              <w:rPr>
                <w:sz w:val="34"/>
                <w:szCs w:val="34"/>
                <w:rtl/>
                <w:lang w:bidi="ar-EG"/>
              </w:rPr>
              <w:t xml:space="preserve"> حماية متزايدة لشعارات الدول وأسماء المنظمات الحكومية الدولية وشعاراتها</w:t>
            </w:r>
          </w:p>
        </w:tc>
        <w:tc>
          <w:tcPr>
            <w:tcW w:w="2552" w:type="dxa"/>
            <w:tcBorders>
              <w:top w:val="nil"/>
              <w:bottom w:val="nil"/>
            </w:tcBorders>
          </w:tcPr>
          <w:p w:rsidR="00BE585D" w:rsidRPr="00217A4D" w:rsidRDefault="00BE585D" w:rsidP="00BE585D">
            <w:pPr>
              <w:pStyle w:val="NormalParaAR"/>
              <w:rPr>
                <w:sz w:val="34"/>
                <w:szCs w:val="34"/>
                <w:rtl/>
                <w:lang w:bidi="ar-EG"/>
              </w:rPr>
            </w:pPr>
            <w:r w:rsidRPr="00217A4D">
              <w:rPr>
                <w:sz w:val="34"/>
                <w:szCs w:val="34"/>
                <w:rtl/>
                <w:lang w:bidi="ar-EG"/>
              </w:rPr>
              <w:t>العدد المعالج من طلبات التبليغ بناء على المادة 6 (ثالثا)</w:t>
            </w:r>
          </w:p>
        </w:tc>
        <w:tc>
          <w:tcPr>
            <w:tcW w:w="1984" w:type="dxa"/>
            <w:tcBorders>
              <w:top w:val="nil"/>
              <w:bottom w:val="nil"/>
            </w:tcBorders>
          </w:tcPr>
          <w:p w:rsidR="00BE585D" w:rsidRPr="00217A4D" w:rsidRDefault="00BE585D" w:rsidP="00BE585D">
            <w:pPr>
              <w:pStyle w:val="NormalParaAR"/>
              <w:rPr>
                <w:sz w:val="34"/>
                <w:szCs w:val="34"/>
                <w:rtl/>
                <w:lang w:bidi="ar-EG"/>
              </w:rPr>
            </w:pPr>
            <w:r w:rsidRPr="00217A4D">
              <w:rPr>
                <w:sz w:val="34"/>
                <w:szCs w:val="34"/>
                <w:rtl/>
                <w:lang w:bidi="ar-EG"/>
              </w:rPr>
              <w:t>70 طلبا معالجا للتبليغ بناء على المادة 6 (ثالثا) في 2012</w:t>
            </w:r>
          </w:p>
        </w:tc>
        <w:tc>
          <w:tcPr>
            <w:tcW w:w="2093" w:type="dxa"/>
            <w:tcBorders>
              <w:top w:val="nil"/>
              <w:bottom w:val="nil"/>
            </w:tcBorders>
          </w:tcPr>
          <w:p w:rsidR="00BE585D" w:rsidRPr="00217A4D" w:rsidRDefault="00BE585D" w:rsidP="00BE585D">
            <w:pPr>
              <w:pStyle w:val="NormalParaAR"/>
              <w:rPr>
                <w:sz w:val="34"/>
                <w:szCs w:val="34"/>
                <w:rtl/>
                <w:lang w:bidi="ar-EG"/>
              </w:rPr>
            </w:pPr>
            <w:r w:rsidRPr="00217A4D">
              <w:rPr>
                <w:sz w:val="34"/>
                <w:szCs w:val="34"/>
                <w:rtl/>
                <w:lang w:bidi="ar-EG"/>
              </w:rPr>
              <w:t>140 طلبا معالجا للتبليغ بناء على المادة 6 (ثالثا)</w:t>
            </w:r>
          </w:p>
        </w:tc>
      </w:tr>
      <w:tr w:rsidR="00BE585D" w:rsidRPr="00217A4D" w:rsidTr="00217A4D">
        <w:trPr>
          <w:trHeight w:val="713"/>
        </w:trPr>
        <w:tc>
          <w:tcPr>
            <w:tcW w:w="2941" w:type="dxa"/>
            <w:tcBorders>
              <w:top w:val="nil"/>
            </w:tcBorders>
          </w:tcPr>
          <w:p w:rsidR="00BE585D" w:rsidRPr="00217A4D" w:rsidRDefault="00BE585D" w:rsidP="00BE585D">
            <w:pPr>
              <w:pStyle w:val="NormalParaAR"/>
              <w:rPr>
                <w:sz w:val="34"/>
                <w:szCs w:val="34"/>
                <w:rtl/>
                <w:lang w:bidi="ar-EG"/>
              </w:rPr>
            </w:pPr>
          </w:p>
        </w:tc>
        <w:tc>
          <w:tcPr>
            <w:tcW w:w="2552" w:type="dxa"/>
            <w:tcBorders>
              <w:top w:val="nil"/>
            </w:tcBorders>
          </w:tcPr>
          <w:p w:rsidR="00BE585D" w:rsidRPr="00217A4D" w:rsidRDefault="00BE585D" w:rsidP="00BE585D">
            <w:pPr>
              <w:pStyle w:val="NormalParaAR"/>
              <w:rPr>
                <w:sz w:val="34"/>
                <w:szCs w:val="34"/>
                <w:rtl/>
                <w:lang w:bidi="ar-EG"/>
              </w:rPr>
            </w:pPr>
            <w:r w:rsidRPr="00217A4D">
              <w:rPr>
                <w:sz w:val="34"/>
                <w:szCs w:val="34"/>
                <w:rtl/>
                <w:lang w:bidi="ar-EG"/>
              </w:rPr>
              <w:t>عدد العلامات المنشورة في قاعدة البيانات الخاصة بالمادة 6 (ثالثا)</w:t>
            </w:r>
          </w:p>
        </w:tc>
        <w:tc>
          <w:tcPr>
            <w:tcW w:w="1984" w:type="dxa"/>
            <w:tcBorders>
              <w:top w:val="nil"/>
            </w:tcBorders>
          </w:tcPr>
          <w:p w:rsidR="00BE585D" w:rsidRPr="00217A4D" w:rsidRDefault="00BE585D" w:rsidP="00BE585D">
            <w:pPr>
              <w:pStyle w:val="NormalParaAR"/>
              <w:rPr>
                <w:sz w:val="34"/>
                <w:szCs w:val="34"/>
                <w:rtl/>
                <w:lang w:bidi="ar-EG"/>
              </w:rPr>
            </w:pPr>
            <w:r w:rsidRPr="00217A4D">
              <w:rPr>
                <w:sz w:val="34"/>
                <w:szCs w:val="34"/>
                <w:rtl/>
                <w:lang w:bidi="ar-EG"/>
              </w:rPr>
              <w:t>75 علامة منشورة في قاعدة البيانات الخاصة بالمادة 6 (ثالثا) في 2012</w:t>
            </w:r>
          </w:p>
        </w:tc>
        <w:tc>
          <w:tcPr>
            <w:tcW w:w="2093" w:type="dxa"/>
            <w:tcBorders>
              <w:top w:val="nil"/>
            </w:tcBorders>
          </w:tcPr>
          <w:p w:rsidR="00BE585D" w:rsidRPr="00217A4D" w:rsidRDefault="00BE585D" w:rsidP="00BE585D">
            <w:pPr>
              <w:pStyle w:val="NormalParaAR"/>
              <w:rPr>
                <w:sz w:val="34"/>
                <w:szCs w:val="34"/>
                <w:rtl/>
                <w:lang w:bidi="ar-EG"/>
              </w:rPr>
            </w:pPr>
            <w:r w:rsidRPr="00217A4D">
              <w:rPr>
                <w:sz w:val="34"/>
                <w:szCs w:val="34"/>
                <w:rtl/>
                <w:lang w:bidi="ar-EG"/>
              </w:rPr>
              <w:t>150 علامة منشورة في قاعدة البيانات الخاصة بالمادة 6 (ثالثا)</w:t>
            </w:r>
          </w:p>
        </w:tc>
      </w:tr>
    </w:tbl>
    <w:p w:rsidR="00217A4D" w:rsidRDefault="00217A4D" w:rsidP="003F3DB3">
      <w:pPr>
        <w:pStyle w:val="StyleHeading3ComplexItalic"/>
        <w:tabs>
          <w:tab w:val="clear" w:pos="1985"/>
          <w:tab w:val="left" w:pos="1331"/>
        </w:tabs>
        <w:bidi/>
        <w:adjustRightInd w:val="0"/>
        <w:snapToGrid w:val="0"/>
        <w:spacing w:after="240" w:line="360" w:lineRule="exact"/>
        <w:jc w:val="center"/>
        <w:rPr>
          <w:rFonts w:ascii="Arabic Typesetting" w:hAnsi="Arabic Typesetting" w:cs="Arabic Typesetting"/>
          <w:bCs/>
          <w:iCs w:val="0"/>
          <w:noProof/>
          <w:snapToGrid/>
          <w:sz w:val="42"/>
          <w:szCs w:val="42"/>
          <w:rtl/>
          <w:lang w:bidi="ar-EG"/>
        </w:rPr>
        <w:sectPr w:rsidR="00217A4D" w:rsidSect="00EB7752">
          <w:headerReference w:type="default" r:id="rId9"/>
          <w:pgSz w:w="11907" w:h="16840" w:code="9"/>
          <w:pgMar w:top="567" w:right="1418" w:bottom="1418" w:left="1134" w:header="510" w:footer="1021" w:gutter="0"/>
          <w:cols w:space="720"/>
          <w:titlePg/>
          <w:docGrid w:linePitch="299"/>
        </w:sectPr>
      </w:pPr>
      <w:bookmarkStart w:id="4" w:name="_Toc364355360"/>
    </w:p>
    <w:p w:rsidR="00217A4D" w:rsidRDefault="00217A4D" w:rsidP="003F3DB3">
      <w:pPr>
        <w:pStyle w:val="StyleHeading3ComplexItalic"/>
        <w:tabs>
          <w:tab w:val="clear" w:pos="1985"/>
          <w:tab w:val="left" w:pos="1331"/>
        </w:tabs>
        <w:bidi/>
        <w:adjustRightInd w:val="0"/>
        <w:snapToGrid w:val="0"/>
        <w:spacing w:after="240" w:line="360" w:lineRule="exact"/>
        <w:jc w:val="center"/>
        <w:rPr>
          <w:rFonts w:ascii="Arabic Typesetting" w:hAnsi="Arabic Typesetting" w:cs="Arabic Typesetting"/>
          <w:bCs/>
          <w:iCs w:val="0"/>
          <w:noProof/>
          <w:snapToGrid/>
          <w:sz w:val="42"/>
          <w:szCs w:val="42"/>
          <w:rtl/>
          <w:lang w:bidi="ar-EG"/>
        </w:rPr>
      </w:pPr>
    </w:p>
    <w:p w:rsidR="003F3DB3" w:rsidRDefault="003F3DB3" w:rsidP="00217A4D">
      <w:pPr>
        <w:pStyle w:val="StyleHeading3ComplexItalic"/>
        <w:tabs>
          <w:tab w:val="clear" w:pos="1985"/>
          <w:tab w:val="left" w:pos="1331"/>
        </w:tabs>
        <w:bidi/>
        <w:adjustRightInd w:val="0"/>
        <w:snapToGrid w:val="0"/>
        <w:spacing w:after="240" w:line="360" w:lineRule="exact"/>
        <w:jc w:val="center"/>
        <w:rPr>
          <w:rFonts w:ascii="Arabic Typesetting" w:hAnsi="Arabic Typesetting" w:cs="Arabic Typesetting"/>
          <w:bCs/>
          <w:iCs w:val="0"/>
          <w:noProof/>
          <w:snapToGrid/>
          <w:sz w:val="42"/>
          <w:szCs w:val="42"/>
          <w:rtl/>
          <w:lang w:bidi="ar-EG"/>
        </w:rPr>
      </w:pPr>
      <w:r>
        <w:rPr>
          <w:rFonts w:ascii="Arabic Typesetting" w:hAnsi="Arabic Typesetting" w:cs="Arabic Typesetting" w:hint="cs"/>
          <w:bCs/>
          <w:iCs w:val="0"/>
          <w:noProof/>
          <w:snapToGrid/>
          <w:sz w:val="42"/>
          <w:szCs w:val="42"/>
          <w:rtl/>
          <w:lang w:bidi="ar-EG"/>
        </w:rPr>
        <w:t>المرفق الثاني</w:t>
      </w:r>
    </w:p>
    <w:p w:rsidR="00AF7F5C" w:rsidRPr="00D918B2" w:rsidRDefault="00AF7F5C" w:rsidP="003F3DB3">
      <w:pPr>
        <w:pStyle w:val="StyleHeading3ComplexItalic"/>
        <w:tabs>
          <w:tab w:val="clear" w:pos="1985"/>
          <w:tab w:val="left" w:pos="1331"/>
        </w:tabs>
        <w:bidi/>
        <w:adjustRightInd w:val="0"/>
        <w:snapToGrid w:val="0"/>
        <w:spacing w:after="240" w:line="360" w:lineRule="exact"/>
        <w:rPr>
          <w:rFonts w:ascii="Arabic Typesetting" w:hAnsi="Arabic Typesetting" w:cs="Arabic Typesetting"/>
          <w:bCs/>
          <w:iCs w:val="0"/>
          <w:noProof/>
          <w:snapToGrid/>
          <w:sz w:val="42"/>
          <w:szCs w:val="42"/>
          <w:rtl/>
          <w:lang w:bidi="ar-EG"/>
        </w:rPr>
      </w:pPr>
      <w:r w:rsidRPr="00D918B2">
        <w:rPr>
          <w:rFonts w:ascii="Arabic Typesetting" w:hAnsi="Arabic Typesetting" w:cs="Arabic Typesetting"/>
          <w:bCs/>
          <w:iCs w:val="0"/>
          <w:noProof/>
          <w:snapToGrid/>
          <w:sz w:val="42"/>
          <w:szCs w:val="42"/>
          <w:rtl/>
          <w:lang w:bidi="ar-EG"/>
        </w:rPr>
        <w:t xml:space="preserve">البرنامج </w:t>
      </w:r>
      <w:r w:rsidRPr="00D918B2">
        <w:rPr>
          <w:rFonts w:ascii="Arabic Typesetting" w:hAnsi="Arabic Typesetting" w:cs="Arabic Typesetting" w:hint="cs"/>
          <w:bCs/>
          <w:iCs w:val="0"/>
          <w:noProof/>
          <w:snapToGrid/>
          <w:sz w:val="42"/>
          <w:szCs w:val="42"/>
          <w:rtl/>
          <w:lang w:bidi="ar-EG"/>
        </w:rPr>
        <w:t>4</w:t>
      </w:r>
      <w:r w:rsidRPr="00D918B2">
        <w:rPr>
          <w:rFonts w:ascii="Arabic Typesetting" w:hAnsi="Arabic Typesetting" w:cs="Arabic Typesetting"/>
          <w:bCs/>
          <w:iCs w:val="0"/>
          <w:noProof/>
          <w:snapToGrid/>
          <w:sz w:val="42"/>
          <w:szCs w:val="42"/>
          <w:rtl/>
          <w:lang w:bidi="ar-EG"/>
        </w:rPr>
        <w:tab/>
      </w:r>
      <w:r w:rsidRPr="00D918B2">
        <w:rPr>
          <w:rFonts w:ascii="Arabic Typesetting" w:hAnsi="Arabic Typesetting" w:cs="Arabic Typesetting" w:hint="cs"/>
          <w:bCs/>
          <w:iCs w:val="0"/>
          <w:noProof/>
          <w:snapToGrid/>
          <w:sz w:val="42"/>
          <w:szCs w:val="42"/>
          <w:rtl/>
          <w:lang w:bidi="ar-EG"/>
        </w:rPr>
        <w:t>المعارف التقليدية وأشكال التعبير الثقافي التقليدي والموارد الوراثية</w:t>
      </w:r>
      <w:bookmarkEnd w:id="4"/>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3119"/>
        <w:gridCol w:w="1842"/>
        <w:gridCol w:w="1668"/>
      </w:tblGrid>
      <w:tr w:rsidR="00AF7F5C" w:rsidRPr="007F044F" w:rsidTr="00F403A4">
        <w:trPr>
          <w:tblHeader/>
        </w:trPr>
        <w:tc>
          <w:tcPr>
            <w:tcW w:w="2941" w:type="dxa"/>
            <w:shd w:val="clear" w:color="auto" w:fill="CCFFFF"/>
          </w:tcPr>
          <w:p w:rsidR="00AF7F5C" w:rsidRPr="007F044F" w:rsidRDefault="00AF7F5C" w:rsidP="00C4450B">
            <w:pPr>
              <w:pStyle w:val="NormalParaAR"/>
              <w:jc w:val="center"/>
              <w:rPr>
                <w:b/>
                <w:bCs/>
                <w:sz w:val="34"/>
                <w:szCs w:val="34"/>
                <w:rtl/>
              </w:rPr>
            </w:pPr>
            <w:r w:rsidRPr="007F044F">
              <w:rPr>
                <w:b/>
                <w:bCs/>
                <w:sz w:val="34"/>
                <w:szCs w:val="34"/>
                <w:rtl/>
              </w:rPr>
              <w:t>النتائج المرتقبة</w:t>
            </w:r>
          </w:p>
        </w:tc>
        <w:tc>
          <w:tcPr>
            <w:tcW w:w="3119" w:type="dxa"/>
            <w:shd w:val="clear" w:color="auto" w:fill="CCFFFF"/>
          </w:tcPr>
          <w:p w:rsidR="00AF7F5C" w:rsidRPr="007F044F" w:rsidRDefault="00AF7F5C" w:rsidP="00C4450B">
            <w:pPr>
              <w:pStyle w:val="NormalParaAR"/>
              <w:jc w:val="center"/>
              <w:rPr>
                <w:b/>
                <w:bCs/>
                <w:sz w:val="34"/>
                <w:szCs w:val="34"/>
                <w:rtl/>
              </w:rPr>
            </w:pPr>
            <w:r w:rsidRPr="007F044F">
              <w:rPr>
                <w:b/>
                <w:bCs/>
                <w:sz w:val="34"/>
                <w:szCs w:val="34"/>
                <w:rtl/>
              </w:rPr>
              <w:t>مؤشرات الأداء</w:t>
            </w:r>
          </w:p>
        </w:tc>
        <w:tc>
          <w:tcPr>
            <w:tcW w:w="1842" w:type="dxa"/>
            <w:shd w:val="clear" w:color="auto" w:fill="CCFFFF"/>
          </w:tcPr>
          <w:p w:rsidR="00AF7F5C" w:rsidRPr="007F044F" w:rsidRDefault="00AF7F5C" w:rsidP="00C4450B">
            <w:pPr>
              <w:pStyle w:val="NormalParaAR"/>
              <w:jc w:val="center"/>
              <w:rPr>
                <w:b/>
                <w:bCs/>
                <w:sz w:val="34"/>
                <w:szCs w:val="34"/>
                <w:rtl/>
              </w:rPr>
            </w:pPr>
            <w:r w:rsidRPr="007F044F">
              <w:rPr>
                <w:b/>
                <w:bCs/>
                <w:sz w:val="34"/>
                <w:szCs w:val="34"/>
                <w:rtl/>
              </w:rPr>
              <w:t>أسس المقارنة</w:t>
            </w:r>
          </w:p>
        </w:tc>
        <w:tc>
          <w:tcPr>
            <w:tcW w:w="1668" w:type="dxa"/>
            <w:shd w:val="clear" w:color="auto" w:fill="CCFFFF"/>
          </w:tcPr>
          <w:p w:rsidR="00AF7F5C" w:rsidRPr="007F044F" w:rsidRDefault="00AF7F5C" w:rsidP="00C4450B">
            <w:pPr>
              <w:pStyle w:val="NormalParaAR"/>
              <w:jc w:val="center"/>
              <w:rPr>
                <w:b/>
                <w:bCs/>
                <w:sz w:val="34"/>
                <w:szCs w:val="34"/>
                <w:rtl/>
              </w:rPr>
            </w:pPr>
            <w:r w:rsidRPr="007F044F">
              <w:rPr>
                <w:b/>
                <w:bCs/>
                <w:sz w:val="34"/>
                <w:szCs w:val="34"/>
                <w:rtl/>
              </w:rPr>
              <w:t>الأهداف</w:t>
            </w:r>
          </w:p>
        </w:tc>
      </w:tr>
      <w:tr w:rsidR="00AF7F5C" w:rsidRPr="007F044F" w:rsidTr="00F403A4">
        <w:tc>
          <w:tcPr>
            <w:tcW w:w="2941" w:type="dxa"/>
            <w:tcBorders>
              <w:bottom w:val="nil"/>
            </w:tcBorders>
          </w:tcPr>
          <w:p w:rsidR="00AF7F5C" w:rsidRPr="007F044F" w:rsidRDefault="00AF7F5C" w:rsidP="00AF7F5C">
            <w:pPr>
              <w:pStyle w:val="NormalParaAR"/>
              <w:rPr>
                <w:sz w:val="34"/>
                <w:szCs w:val="34"/>
                <w:rtl/>
                <w:lang w:bidi="ar-EG"/>
              </w:rPr>
            </w:pPr>
            <w:r w:rsidRPr="007F044F">
              <w:rPr>
                <w:rFonts w:hint="cs"/>
                <w:sz w:val="34"/>
                <w:szCs w:val="34"/>
                <w:rtl/>
                <w:lang w:bidi="ar-EG"/>
              </w:rPr>
              <w:t>ه 1.1</w:t>
            </w:r>
            <w:r w:rsidRPr="007F044F">
              <w:rPr>
                <w:sz w:val="34"/>
                <w:szCs w:val="34"/>
                <w:rtl/>
              </w:rPr>
              <w:t xml:space="preserve"> تعاون معزز بين الدول الأعضاء في تطوير أطر معيارية دولية متوازنة للملكية الفكرية و</w:t>
            </w:r>
            <w:r w:rsidRPr="007F044F">
              <w:rPr>
                <w:rFonts w:hint="cs"/>
                <w:sz w:val="34"/>
                <w:szCs w:val="34"/>
                <w:rtl/>
              </w:rPr>
              <w:t xml:space="preserve">الاتفاق على </w:t>
            </w:r>
            <w:r w:rsidRPr="007F044F">
              <w:rPr>
                <w:sz w:val="34"/>
                <w:szCs w:val="34"/>
                <w:rtl/>
              </w:rPr>
              <w:t>محاور محدّدة وعلى صكوك دولية بشأنها</w:t>
            </w:r>
          </w:p>
        </w:tc>
        <w:tc>
          <w:tcPr>
            <w:tcW w:w="3119" w:type="dxa"/>
            <w:tcBorders>
              <w:bottom w:val="nil"/>
            </w:tcBorders>
          </w:tcPr>
          <w:p w:rsidR="00AF7F5C" w:rsidRPr="007F044F" w:rsidRDefault="00AF7F5C" w:rsidP="00AF7F5C">
            <w:pPr>
              <w:pStyle w:val="NormalParaAR"/>
              <w:rPr>
                <w:sz w:val="34"/>
                <w:szCs w:val="34"/>
                <w:rtl/>
                <w:lang w:bidi="ar-EG"/>
              </w:rPr>
            </w:pPr>
            <w:r w:rsidRPr="007F044F">
              <w:rPr>
                <w:rFonts w:hint="cs"/>
                <w:sz w:val="34"/>
                <w:szCs w:val="34"/>
                <w:rtl/>
                <w:lang w:bidi="ar-EG"/>
              </w:rPr>
              <w:t>الاتفاق في مفاوضات اللجنة الحكومية الدولية على صك قانوني دولي أو أكثر بشأن المعارف التقليدية وأشكال التعبير الثقافي التقليدي والمعارف التقليدية</w:t>
            </w:r>
          </w:p>
        </w:tc>
        <w:tc>
          <w:tcPr>
            <w:tcW w:w="1842" w:type="dxa"/>
            <w:tcBorders>
              <w:bottom w:val="nil"/>
            </w:tcBorders>
          </w:tcPr>
          <w:p w:rsidR="00AF7F5C" w:rsidRPr="007F044F" w:rsidRDefault="00AF7F5C" w:rsidP="00AF7F5C">
            <w:pPr>
              <w:pStyle w:val="NormalParaAR"/>
              <w:rPr>
                <w:sz w:val="34"/>
                <w:szCs w:val="34"/>
                <w:rtl/>
                <w:lang w:bidi="ar-EG"/>
              </w:rPr>
            </w:pPr>
            <w:r w:rsidRPr="007F044F">
              <w:rPr>
                <w:rFonts w:hint="cs"/>
                <w:sz w:val="34"/>
                <w:szCs w:val="34"/>
                <w:rtl/>
                <w:lang w:bidi="ar-EG"/>
              </w:rPr>
              <w:t xml:space="preserve">مفاوضات جارية تحت ولاية </w:t>
            </w:r>
            <w:r w:rsidRPr="007F044F">
              <w:rPr>
                <w:sz w:val="34"/>
                <w:szCs w:val="34"/>
                <w:rtl/>
                <w:lang w:bidi="ar-EG"/>
              </w:rPr>
              <w:t>اللجنة الحكومية الدولية</w:t>
            </w:r>
            <w:r w:rsidRPr="007F044F">
              <w:rPr>
                <w:rFonts w:hint="cs"/>
                <w:sz w:val="34"/>
                <w:szCs w:val="34"/>
                <w:rtl/>
                <w:lang w:bidi="ar-EG"/>
              </w:rPr>
              <w:t xml:space="preserve"> للثنائية 2012/2013 وبرنامج العمل لعام 2013</w:t>
            </w:r>
          </w:p>
        </w:tc>
        <w:tc>
          <w:tcPr>
            <w:tcW w:w="1668" w:type="dxa"/>
            <w:tcBorders>
              <w:bottom w:val="nil"/>
            </w:tcBorders>
          </w:tcPr>
          <w:p w:rsidR="00AF7F5C" w:rsidRPr="007F044F" w:rsidRDefault="00AF7F5C" w:rsidP="00AF7F5C">
            <w:pPr>
              <w:pStyle w:val="NormalParaAR"/>
              <w:rPr>
                <w:sz w:val="34"/>
                <w:szCs w:val="34"/>
                <w:rtl/>
                <w:lang w:bidi="ar-EG"/>
              </w:rPr>
            </w:pPr>
            <w:r w:rsidRPr="007F044F">
              <w:rPr>
                <w:rFonts w:hint="cs"/>
                <w:sz w:val="34"/>
                <w:szCs w:val="34"/>
                <w:rtl/>
                <w:lang w:bidi="ar-EG"/>
              </w:rPr>
              <w:t>اعتماد صك قانوني دولي أو أكثر من قبل مؤتمر دبلوماسي</w:t>
            </w:r>
          </w:p>
        </w:tc>
      </w:tr>
      <w:tr w:rsidR="00AF7F5C" w:rsidRPr="007F044F" w:rsidTr="00F403A4">
        <w:tc>
          <w:tcPr>
            <w:tcW w:w="2941" w:type="dxa"/>
            <w:tcBorders>
              <w:top w:val="nil"/>
              <w:bottom w:val="single" w:sz="4" w:space="0" w:color="auto"/>
            </w:tcBorders>
          </w:tcPr>
          <w:p w:rsidR="00AF7F5C" w:rsidRPr="007F044F" w:rsidRDefault="00AF7F5C" w:rsidP="00AF7F5C">
            <w:pPr>
              <w:pStyle w:val="NormalParaAR"/>
              <w:rPr>
                <w:sz w:val="34"/>
                <w:szCs w:val="34"/>
                <w:rtl/>
                <w:lang w:bidi="ar-EG"/>
              </w:rPr>
            </w:pPr>
            <w:r w:rsidRPr="007F044F">
              <w:rPr>
                <w:rFonts w:hint="cs"/>
                <w:sz w:val="34"/>
                <w:szCs w:val="34"/>
                <w:rtl/>
                <w:lang w:bidi="ar-EG"/>
              </w:rPr>
              <w:t xml:space="preserve">ه 2.3 </w:t>
            </w:r>
            <w:r w:rsidRPr="007F044F">
              <w:rPr>
                <w:sz w:val="34"/>
                <w:szCs w:val="34"/>
                <w:rtl/>
                <w:lang w:bidi="ar-EG"/>
              </w:rPr>
              <w:t>كفاءات معززة للموارد البشرية القادرة على تناول طائفة واسعة من الطلبات من أجل الانتفاع الفعال بالملكية الفكرية لأغراض التنمية في البلدان النامية والبلدان الأقل نموا والبلدان المنتقلة إلى نظام الاقتصاد الحر</w:t>
            </w:r>
          </w:p>
        </w:tc>
        <w:tc>
          <w:tcPr>
            <w:tcW w:w="3119" w:type="dxa"/>
            <w:tcBorders>
              <w:top w:val="nil"/>
              <w:bottom w:val="single" w:sz="4" w:space="0" w:color="auto"/>
            </w:tcBorders>
          </w:tcPr>
          <w:p w:rsidR="00AF7F5C" w:rsidRPr="007F044F" w:rsidRDefault="00AF7F5C" w:rsidP="00AF7F5C">
            <w:pPr>
              <w:pStyle w:val="NormalParaAR"/>
              <w:rPr>
                <w:sz w:val="34"/>
                <w:szCs w:val="34"/>
                <w:rtl/>
                <w:lang w:bidi="ar-EG"/>
              </w:rPr>
            </w:pPr>
            <w:r w:rsidRPr="007F044F">
              <w:rPr>
                <w:rFonts w:hint="cs"/>
                <w:sz w:val="34"/>
                <w:szCs w:val="34"/>
                <w:rtl/>
                <w:lang w:bidi="ar-EG"/>
              </w:rPr>
              <w:t>نسبة المشاركين في أنشطة الويبو التي تسفر عن تقارير حول كفاءات معززة لفهم مبادئ وأنظمة وأدوات الملكية الفكرية والانتفاع بها من أجل حماية المعارف التقليدية وأشكال التعبير الثقافي التقليدي وإدارة</w:t>
            </w:r>
            <w:r w:rsidRPr="007F044F">
              <w:rPr>
                <w:sz w:val="34"/>
                <w:szCs w:val="34"/>
                <w:rtl/>
                <w:lang w:bidi="ar-EG"/>
              </w:rPr>
              <w:t xml:space="preserve"> العلاقة بين الملكية الفكرية والموارد الوراثية</w:t>
            </w:r>
          </w:p>
        </w:tc>
        <w:tc>
          <w:tcPr>
            <w:tcW w:w="1842" w:type="dxa"/>
            <w:tcBorders>
              <w:top w:val="nil"/>
              <w:bottom w:val="single" w:sz="4" w:space="0" w:color="auto"/>
            </w:tcBorders>
          </w:tcPr>
          <w:p w:rsidR="00AF7F5C" w:rsidRPr="007F044F" w:rsidRDefault="00AF7F5C" w:rsidP="00AF7F5C">
            <w:pPr>
              <w:pStyle w:val="NormalParaAR"/>
              <w:rPr>
                <w:sz w:val="34"/>
                <w:szCs w:val="34"/>
                <w:rtl/>
              </w:rPr>
            </w:pPr>
            <w:r w:rsidRPr="007F044F">
              <w:rPr>
                <w:rFonts w:hint="cs"/>
                <w:sz w:val="34"/>
                <w:szCs w:val="34"/>
                <w:rtl/>
              </w:rPr>
              <w:t>غير متاحة حتى الآن</w:t>
            </w:r>
          </w:p>
        </w:tc>
        <w:tc>
          <w:tcPr>
            <w:tcW w:w="1668" w:type="dxa"/>
            <w:tcBorders>
              <w:top w:val="nil"/>
              <w:bottom w:val="single" w:sz="4" w:space="0" w:color="auto"/>
            </w:tcBorders>
          </w:tcPr>
          <w:p w:rsidR="00AF7F5C" w:rsidRPr="007F044F" w:rsidRDefault="00AF7F5C" w:rsidP="00AF7F5C">
            <w:pPr>
              <w:pStyle w:val="NormalParaAR"/>
              <w:rPr>
                <w:sz w:val="34"/>
                <w:szCs w:val="34"/>
                <w:rtl/>
              </w:rPr>
            </w:pPr>
            <w:r w:rsidRPr="007F044F">
              <w:rPr>
                <w:rFonts w:hint="cs"/>
                <w:sz w:val="34"/>
                <w:szCs w:val="34"/>
                <w:rtl/>
              </w:rPr>
              <w:t>80%</w:t>
            </w:r>
          </w:p>
        </w:tc>
      </w:tr>
    </w:tbl>
    <w:p w:rsidR="001667B6" w:rsidRPr="007F044F" w:rsidRDefault="004D2DCC" w:rsidP="007F044F">
      <w:pPr>
        <w:pStyle w:val="EndofDocumentAR"/>
        <w:spacing w:before="240"/>
        <w:rPr>
          <w:lang w:bidi="ar-EG"/>
        </w:rPr>
      </w:pPr>
      <w:r w:rsidRPr="007F044F">
        <w:rPr>
          <w:rFonts w:hint="cs"/>
          <w:rtl/>
        </w:rPr>
        <w:t>[نهاية المرفقين والوثيقة]</w:t>
      </w:r>
    </w:p>
    <w:sectPr w:rsidR="001667B6" w:rsidRPr="007F044F" w:rsidSect="00EB7752">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5D" w:rsidRDefault="00BE585D">
      <w:r>
        <w:separator/>
      </w:r>
    </w:p>
  </w:endnote>
  <w:endnote w:type="continuationSeparator" w:id="0">
    <w:p w:rsidR="00BE585D" w:rsidRDefault="00BE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5D" w:rsidRDefault="00BE585D" w:rsidP="009622BF">
      <w:pPr>
        <w:bidi/>
      </w:pPr>
      <w:bookmarkStart w:id="0" w:name="OLE_LINK1"/>
      <w:bookmarkStart w:id="1" w:name="OLE_LINK2"/>
      <w:r>
        <w:separator/>
      </w:r>
      <w:bookmarkEnd w:id="0"/>
      <w:bookmarkEnd w:id="1"/>
    </w:p>
  </w:footnote>
  <w:footnote w:type="continuationSeparator" w:id="0">
    <w:p w:rsidR="00BE585D" w:rsidRDefault="00BE585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9A4222">
    <w:r>
      <w:t>A/5</w:t>
    </w:r>
    <w:r w:rsidR="009A4222">
      <w:t>2</w:t>
    </w:r>
    <w:r w:rsidR="004D2DCC">
      <w:t>/4</w:t>
    </w:r>
  </w:p>
  <w:p w:rsidR="004D2DCC" w:rsidRDefault="004D2DCC" w:rsidP="009A4222">
    <w:r>
      <w:t>ANNEX I</w:t>
    </w:r>
  </w:p>
  <w:p w:rsidR="004D2DCC" w:rsidRPr="004D2DCC" w:rsidRDefault="004D2DCC" w:rsidP="009A4222">
    <w:pPr>
      <w:rPr>
        <w:rFonts w:ascii="Arabic Typesetting" w:hAnsi="Arabic Typesetting" w:cs="Arabic Typesetting"/>
        <w:sz w:val="36"/>
        <w:szCs w:val="36"/>
        <w:rtl/>
      </w:rPr>
    </w:pPr>
    <w:r w:rsidRPr="004D2DCC">
      <w:rPr>
        <w:rFonts w:ascii="Arabic Typesetting" w:hAnsi="Arabic Typesetting" w:cs="Arabic Typesetting"/>
        <w:sz w:val="36"/>
        <w:szCs w:val="36"/>
        <w:rtl/>
      </w:rPr>
      <w:t>المرفق الأول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A4D" w:rsidRDefault="00217A4D" w:rsidP="00217A4D">
    <w:r>
      <w:t>A/52/4</w:t>
    </w:r>
  </w:p>
  <w:p w:rsidR="00217A4D" w:rsidRDefault="00217A4D" w:rsidP="00217A4D">
    <w:r>
      <w:t xml:space="preserve">ANNEX </w:t>
    </w:r>
    <w:r w:rsidR="007F044F">
      <w:t>I</w:t>
    </w:r>
    <w:r>
      <w:t>I</w:t>
    </w:r>
  </w:p>
  <w:p w:rsidR="00217A4D" w:rsidRPr="004D2DCC" w:rsidRDefault="00217A4D" w:rsidP="007F044F">
    <w:pPr>
      <w:rPr>
        <w:rFonts w:ascii="Arabic Typesetting" w:hAnsi="Arabic Typesetting" w:cs="Arabic Typesetting"/>
        <w:sz w:val="36"/>
        <w:szCs w:val="36"/>
        <w:rtl/>
      </w:rPr>
    </w:pPr>
    <w:r w:rsidRPr="004D2DCC">
      <w:rPr>
        <w:rFonts w:ascii="Arabic Typesetting" w:hAnsi="Arabic Typesetting" w:cs="Arabic Typesetting"/>
        <w:sz w:val="36"/>
        <w:szCs w:val="36"/>
        <w:rtl/>
      </w:rPr>
      <w:t xml:space="preserve">المرفق </w:t>
    </w:r>
    <w:r w:rsidR="007F044F">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7D35C8"/>
    <w:multiLevelType w:val="hybridMultilevel"/>
    <w:tmpl w:val="11CE77BC"/>
    <w:lvl w:ilvl="0" w:tplc="034CE3B8">
      <w:start w:val="1"/>
      <w:numFmt w:val="arabicAbjad"/>
      <w:lvlText w:val="(%1)"/>
      <w:lvlJc w:val="left"/>
      <w:pPr>
        <w:ind w:left="720" w:hanging="360"/>
      </w:pPr>
      <w:rPr>
        <w:rFonts w:hint="default"/>
        <w:lang w:val="fr-C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85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A4D"/>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7F9D"/>
    <w:rsid w:val="002909B9"/>
    <w:rsid w:val="00291ECB"/>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3DB3"/>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152"/>
    <w:rsid w:val="00453360"/>
    <w:rsid w:val="00455349"/>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2DCC"/>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E41"/>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4F"/>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AF2"/>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97CF9"/>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02B"/>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F5C"/>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3C27"/>
    <w:rsid w:val="00BD4EEC"/>
    <w:rsid w:val="00BD4F34"/>
    <w:rsid w:val="00BD537C"/>
    <w:rsid w:val="00BD6F5B"/>
    <w:rsid w:val="00BD7662"/>
    <w:rsid w:val="00BE05ED"/>
    <w:rsid w:val="00BE350E"/>
    <w:rsid w:val="00BE3801"/>
    <w:rsid w:val="00BE38CF"/>
    <w:rsid w:val="00BE394B"/>
    <w:rsid w:val="00BE48A8"/>
    <w:rsid w:val="00BE528F"/>
    <w:rsid w:val="00BE5850"/>
    <w:rsid w:val="00BE585D"/>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50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BB4"/>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0F16"/>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customStyle="1" w:styleId="StyleHeading3ComplexItalic">
    <w:name w:val="Style Heading 3 + (Complex) Italic"/>
    <w:basedOn w:val="Heading3"/>
    <w:rsid w:val="00AF7F5C"/>
    <w:pPr>
      <w:tabs>
        <w:tab w:val="left" w:pos="1985"/>
      </w:tabs>
      <w:spacing w:before="0" w:after="0"/>
    </w:pPr>
    <w:rPr>
      <w:rFonts w:eastAsia="Times New Roman"/>
      <w:b/>
      <w:bCs w:val="0"/>
      <w:iCs/>
      <w:caps/>
      <w:snapToGrid w:val="0"/>
      <w:szCs w:val="22"/>
      <w:u w:val="none"/>
    </w:rPr>
  </w:style>
  <w:style w:type="paragraph" w:styleId="BalloonText">
    <w:name w:val="Balloon Text"/>
    <w:basedOn w:val="Normal"/>
    <w:link w:val="BalloonTextChar"/>
    <w:rsid w:val="009C702B"/>
    <w:rPr>
      <w:rFonts w:ascii="Tahoma" w:hAnsi="Tahoma" w:cs="Tahoma"/>
      <w:sz w:val="16"/>
      <w:szCs w:val="16"/>
    </w:rPr>
  </w:style>
  <w:style w:type="character" w:customStyle="1" w:styleId="BalloonTextChar">
    <w:name w:val="Balloon Text Char"/>
    <w:basedOn w:val="DefaultParagraphFont"/>
    <w:link w:val="BalloonText"/>
    <w:rsid w:val="009C70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customStyle="1" w:styleId="StyleHeading3ComplexItalic">
    <w:name w:val="Style Heading 3 + (Complex) Italic"/>
    <w:basedOn w:val="Heading3"/>
    <w:rsid w:val="00AF7F5C"/>
    <w:pPr>
      <w:tabs>
        <w:tab w:val="left" w:pos="1985"/>
      </w:tabs>
      <w:spacing w:before="0" w:after="0"/>
    </w:pPr>
    <w:rPr>
      <w:rFonts w:eastAsia="Times New Roman"/>
      <w:b/>
      <w:bCs w:val="0"/>
      <w:iCs/>
      <w:caps/>
      <w:snapToGrid w:val="0"/>
      <w:szCs w:val="22"/>
      <w:u w:val="none"/>
    </w:rPr>
  </w:style>
  <w:style w:type="paragraph" w:styleId="BalloonText">
    <w:name w:val="Balloon Text"/>
    <w:basedOn w:val="Normal"/>
    <w:link w:val="BalloonTextChar"/>
    <w:rsid w:val="009C702B"/>
    <w:rPr>
      <w:rFonts w:ascii="Tahoma" w:hAnsi="Tahoma" w:cs="Tahoma"/>
      <w:sz w:val="16"/>
      <w:szCs w:val="16"/>
    </w:rPr>
  </w:style>
  <w:style w:type="character" w:customStyle="1" w:styleId="BalloonTextChar">
    <w:name w:val="Balloon Text Char"/>
    <w:basedOn w:val="DefaultParagraphFont"/>
    <w:link w:val="BalloonText"/>
    <w:rsid w:val="009C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A/52/4 (Arabic)</vt:lpstr>
    </vt:vector>
  </TitlesOfParts>
  <Company>World Intellectual Property Organization</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A/52/4 (Arabic)</dc:title>
  <dc:subject>اقتراح رئيسة الجمعية العامة بشأن البرنامج والميزانية للثنائية 2014/15</dc:subject>
  <dc:creator>من إعداد رئيسة الجمعية العامة</dc:creator>
  <cp:lastModifiedBy>MARIN-CUDRAZ DAVI Nicoletta</cp:lastModifiedBy>
  <cp:revision>12</cp:revision>
  <cp:lastPrinted>2013-12-06T18:58:00Z</cp:lastPrinted>
  <dcterms:created xsi:type="dcterms:W3CDTF">2013-12-06T18:58:00Z</dcterms:created>
  <dcterms:modified xsi:type="dcterms:W3CDTF">2013-12-07T07:20:00Z</dcterms:modified>
</cp:coreProperties>
</file>