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843"/>
        <w:gridCol w:w="4228"/>
        <w:gridCol w:w="507"/>
      </w:tblGrid>
      <w:tr w:rsidR="00921BBD" w:rsidTr="00921BBD">
        <w:tc>
          <w:tcPr>
            <w:tcW w:w="4843" w:type="dxa"/>
            <w:tcBorders>
              <w:bottom w:val="single" w:sz="4" w:space="0" w:color="auto"/>
            </w:tcBorders>
          </w:tcPr>
          <w:p w:rsidR="00921BBD" w:rsidRDefault="00921BBD" w:rsidP="00A256A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921BBD" w:rsidRDefault="00921BBD" w:rsidP="00A256AD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2B0C39E2" wp14:editId="0F155EB5">
                  <wp:extent cx="1327150" cy="1263650"/>
                  <wp:effectExtent l="0" t="0" r="6350" b="0"/>
                  <wp:docPr id="4" name="Picture 4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21BBD" w:rsidRPr="001667B6" w:rsidRDefault="00921BBD" w:rsidP="00A256A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69448A" w:rsidTr="00921BBD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69448A" w:rsidRDefault="0028285A" w:rsidP="00EF1F5F">
            <w:pPr>
              <w:pStyle w:val="DocumentCodeAR"/>
              <w:bidi/>
            </w:pPr>
            <w:r w:rsidRPr="0069448A">
              <w:t>WIPO</w:t>
            </w:r>
            <w:r w:rsidR="00B6101C" w:rsidRPr="0069448A">
              <w:t>/</w:t>
            </w:r>
            <w:r w:rsidR="00775D0C" w:rsidRPr="0069448A">
              <w:t>IP/ITAI/GE/18/</w:t>
            </w:r>
            <w:r w:rsidR="00EF1F5F" w:rsidRPr="0069448A">
              <w:t>4</w:t>
            </w:r>
          </w:p>
        </w:tc>
      </w:tr>
      <w:tr w:rsidR="001667B6" w:rsidRPr="0069448A" w:rsidTr="00921BBD">
        <w:tc>
          <w:tcPr>
            <w:tcW w:w="9578" w:type="dxa"/>
            <w:gridSpan w:val="3"/>
          </w:tcPr>
          <w:p w:rsidR="001667B6" w:rsidRPr="0069448A" w:rsidRDefault="00B6101C" w:rsidP="00EF1F5F">
            <w:pPr>
              <w:pStyle w:val="DocumentLanguageAR"/>
              <w:bidi/>
              <w:rPr>
                <w:rtl/>
              </w:rPr>
            </w:pPr>
            <w:r w:rsidRPr="0069448A">
              <w:rPr>
                <w:rFonts w:hint="cs"/>
                <w:rtl/>
              </w:rPr>
              <w:t xml:space="preserve">الأصل: </w:t>
            </w:r>
            <w:r w:rsidR="00EF1F5F" w:rsidRPr="0069448A">
              <w:rPr>
                <w:rFonts w:hint="cs"/>
                <w:rtl/>
              </w:rPr>
              <w:t>بالإنكليزية</w:t>
            </w:r>
          </w:p>
        </w:tc>
      </w:tr>
      <w:tr w:rsidR="001667B6" w:rsidRPr="0069448A" w:rsidTr="00921BBD">
        <w:tc>
          <w:tcPr>
            <w:tcW w:w="9578" w:type="dxa"/>
            <w:gridSpan w:val="3"/>
          </w:tcPr>
          <w:p w:rsidR="001667B6" w:rsidRPr="0069448A" w:rsidRDefault="00B6101C" w:rsidP="00EF1F5F">
            <w:pPr>
              <w:pStyle w:val="DocumentDateAR"/>
              <w:bidi/>
              <w:rPr>
                <w:rtl/>
              </w:rPr>
            </w:pPr>
            <w:r w:rsidRPr="0069448A">
              <w:rPr>
                <w:rFonts w:hint="cs"/>
                <w:rtl/>
              </w:rPr>
              <w:t xml:space="preserve">التاريخ: </w:t>
            </w:r>
            <w:r w:rsidR="00EF1F5F" w:rsidRPr="0069448A">
              <w:rPr>
                <w:rFonts w:hint="cs"/>
                <w:rtl/>
              </w:rPr>
              <w:t>14</w:t>
            </w:r>
            <w:r w:rsidR="00F35D81">
              <w:rPr>
                <w:rFonts w:hint="cs"/>
                <w:rtl/>
              </w:rPr>
              <w:t xml:space="preserve"> </w:t>
            </w:r>
            <w:r w:rsidR="00EF1F5F" w:rsidRPr="0069448A">
              <w:rPr>
                <w:rFonts w:hint="cs"/>
                <w:rtl/>
              </w:rPr>
              <w:t>مارس</w:t>
            </w:r>
            <w:r w:rsidR="00F35D81">
              <w:rPr>
                <w:rFonts w:hint="cs"/>
                <w:rtl/>
              </w:rPr>
              <w:t xml:space="preserve"> </w:t>
            </w:r>
            <w:r w:rsidR="00775D0C" w:rsidRPr="0069448A">
              <w:rPr>
                <w:rFonts w:hint="cs"/>
                <w:rtl/>
              </w:rPr>
              <w:t>2018</w:t>
            </w:r>
          </w:p>
        </w:tc>
      </w:tr>
    </w:tbl>
    <w:p w:rsidR="000F5E56" w:rsidRPr="0069448A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9448A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69448A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9448A" w:rsidRDefault="00EF1F5F" w:rsidP="0028285A">
      <w:pPr>
        <w:pStyle w:val="MeetingTitleAR"/>
        <w:bidi/>
      </w:pPr>
      <w:r w:rsidRPr="0069448A">
        <w:rPr>
          <w:rtl/>
        </w:rPr>
        <w:t>اجتماع مكاتب الملكية الفكرية بشأن استراتيجيات تكنولوجيا المعلومات والاتصالات وال</w:t>
      </w:r>
      <w:r w:rsidRPr="0069448A">
        <w:rPr>
          <w:rFonts w:hint="cs"/>
          <w:rtl/>
        </w:rPr>
        <w:t>ذكاء</w:t>
      </w:r>
      <w:r w:rsidR="00D34514">
        <w:rPr>
          <w:rFonts w:hint="cs"/>
          <w:rtl/>
        </w:rPr>
        <w:t xml:space="preserve"> </w:t>
      </w:r>
      <w:r w:rsidRPr="0069448A">
        <w:rPr>
          <w:rFonts w:hint="cs"/>
          <w:rtl/>
        </w:rPr>
        <w:t>الا</w:t>
      </w:r>
      <w:r w:rsidRPr="0069448A">
        <w:rPr>
          <w:rtl/>
        </w:rPr>
        <w:t>ص</w:t>
      </w:r>
      <w:r w:rsidRPr="0069448A">
        <w:rPr>
          <w:rFonts w:hint="cs"/>
          <w:rtl/>
        </w:rPr>
        <w:t>ط</w:t>
      </w:r>
      <w:r w:rsidRPr="0069448A">
        <w:rPr>
          <w:rtl/>
        </w:rPr>
        <w:t>ناعي ل</w:t>
      </w:r>
      <w:r w:rsidRPr="0069448A">
        <w:rPr>
          <w:rFonts w:hint="cs"/>
          <w:rtl/>
        </w:rPr>
        <w:t xml:space="preserve">أغراض </w:t>
      </w:r>
      <w:r w:rsidRPr="0069448A">
        <w:rPr>
          <w:rtl/>
        </w:rPr>
        <w:t>إدارة الملكية الفكرية</w:t>
      </w:r>
    </w:p>
    <w:p w:rsidR="001667B6" w:rsidRPr="0069448A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Pr="0069448A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Pr="0069448A" w:rsidRDefault="00775D0C" w:rsidP="00775D0C">
      <w:pPr>
        <w:pStyle w:val="MeetingDatesAR"/>
        <w:bidi/>
        <w:spacing w:before="240" w:after="240"/>
        <w:rPr>
          <w:rtl/>
        </w:rPr>
      </w:pPr>
      <w:r w:rsidRPr="0069448A">
        <w:rPr>
          <w:rFonts w:hint="cs"/>
          <w:rtl/>
        </w:rPr>
        <w:t>جنيف</w:t>
      </w:r>
      <w:r w:rsidR="0028285A" w:rsidRPr="0069448A">
        <w:rPr>
          <w:rFonts w:hint="cs"/>
          <w:rtl/>
        </w:rPr>
        <w:t xml:space="preserve">، </w:t>
      </w:r>
      <w:r w:rsidR="00326F74">
        <w:rPr>
          <w:rFonts w:hint="cs"/>
          <w:rtl/>
        </w:rPr>
        <w:t xml:space="preserve">من 23 إلى 25 مايو </w:t>
      </w:r>
      <w:r w:rsidRPr="0069448A">
        <w:rPr>
          <w:rFonts w:hint="cs"/>
          <w:rtl/>
        </w:rPr>
        <w:t>2018</w:t>
      </w:r>
    </w:p>
    <w:p w:rsidR="00326F74" w:rsidRDefault="003A6745" w:rsidP="00326F74">
      <w:pPr>
        <w:pStyle w:val="DocumentTitleAR"/>
        <w:bidi/>
        <w:spacing w:before="360"/>
        <w:rPr>
          <w:rtl/>
        </w:rPr>
      </w:pPr>
      <w:r w:rsidRPr="0069448A">
        <w:rPr>
          <w:rFonts w:hint="cs"/>
          <w:rtl/>
        </w:rPr>
        <w:t>حزمة</w:t>
      </w:r>
      <w:r w:rsidR="002E0DDF" w:rsidRPr="0069448A">
        <w:rPr>
          <w:rFonts w:hint="cs"/>
          <w:rtl/>
        </w:rPr>
        <w:t xml:space="preserve"> برمجيات ن</w:t>
      </w:r>
      <w:r w:rsidR="002E0DDF" w:rsidRPr="0069448A">
        <w:rPr>
          <w:rtl/>
        </w:rPr>
        <w:t xml:space="preserve">ظام </w:t>
      </w:r>
      <w:r w:rsidR="00803404">
        <w:rPr>
          <w:rFonts w:hint="cs"/>
          <w:rtl/>
        </w:rPr>
        <w:t>الويبو ل</w:t>
      </w:r>
      <w:r w:rsidR="002E0DDF" w:rsidRPr="0069448A">
        <w:rPr>
          <w:rtl/>
        </w:rPr>
        <w:t>إدارة الملكية الصناعية</w:t>
      </w:r>
      <w:r w:rsidR="00803404">
        <w:rPr>
          <w:rFonts w:hint="cs"/>
          <w:rtl/>
        </w:rPr>
        <w:t xml:space="preserve"> الموجهة للمكاتب</w:t>
      </w:r>
    </w:p>
    <w:p w:rsidR="00326F74" w:rsidRDefault="002C5DFB" w:rsidP="00326F74">
      <w:pPr>
        <w:pStyle w:val="PreparedbyAR"/>
        <w:bidi/>
        <w:spacing w:before="240" w:after="840"/>
        <w:rPr>
          <w:rtl/>
          <w:lang w:bidi="ar-EG"/>
        </w:rPr>
      </w:pPr>
      <w:r w:rsidRPr="00326F74">
        <w:rPr>
          <w:rFonts w:hint="cs"/>
          <w:rtl/>
        </w:rPr>
        <w:t>وثيقة من إعداد المكتب الدولي</w:t>
      </w:r>
      <w:r w:rsidR="00921BBD">
        <w:rPr>
          <w:rFonts w:hint="cs"/>
          <w:rtl/>
          <w:lang w:bidi="ar-EG"/>
        </w:rPr>
        <w:t xml:space="preserve"> للويبو</w:t>
      </w:r>
    </w:p>
    <w:p w:rsidR="006E2EB4" w:rsidRPr="00C5131C" w:rsidRDefault="00E45FEA" w:rsidP="00C5131C">
      <w:pPr>
        <w:pStyle w:val="NormalParaAR"/>
        <w:rPr>
          <w:b/>
          <w:bCs/>
          <w:rtl/>
        </w:rPr>
      </w:pPr>
      <w:r w:rsidRPr="00C5131C">
        <w:rPr>
          <w:b/>
          <w:bCs/>
          <w:rtl/>
        </w:rPr>
        <w:t>مقدمة</w:t>
      </w:r>
    </w:p>
    <w:p w:rsidR="00326F74" w:rsidRPr="00C5131C" w:rsidRDefault="002E0DDF" w:rsidP="00F35D81">
      <w:pPr>
        <w:pStyle w:val="NumberedParaAR"/>
        <w:rPr>
          <w:rtl/>
        </w:rPr>
      </w:pPr>
      <w:r w:rsidRPr="00C5131C">
        <w:rPr>
          <w:rFonts w:hint="cs"/>
          <w:rtl/>
        </w:rPr>
        <w:t xml:space="preserve">تهدف هذه الوثيقة إلى تقديم أحدث المعلومات بشأن </w:t>
      </w:r>
      <w:r w:rsidR="003A6745" w:rsidRPr="00C5131C">
        <w:rPr>
          <w:rFonts w:hint="cs"/>
          <w:rtl/>
        </w:rPr>
        <w:t>حزمة</w:t>
      </w:r>
      <w:r w:rsidRPr="00C5131C">
        <w:rPr>
          <w:rFonts w:hint="cs"/>
          <w:rtl/>
        </w:rPr>
        <w:t xml:space="preserve"> برمجيات ن</w:t>
      </w:r>
      <w:r w:rsidRPr="00C5131C">
        <w:rPr>
          <w:rtl/>
        </w:rPr>
        <w:t xml:space="preserve">ظام </w:t>
      </w:r>
      <w:r w:rsidR="00803404" w:rsidRPr="00C5131C">
        <w:rPr>
          <w:rFonts w:hint="cs"/>
          <w:rtl/>
        </w:rPr>
        <w:t>الويبو ل</w:t>
      </w:r>
      <w:r w:rsidRPr="00C5131C">
        <w:rPr>
          <w:rtl/>
        </w:rPr>
        <w:t>إدارة الملكية الصناعية</w:t>
      </w:r>
      <w:r w:rsidR="001E2DFF" w:rsidRPr="00C5131C">
        <w:t xml:space="preserve"> </w:t>
      </w:r>
      <w:r w:rsidR="002E6316" w:rsidRPr="00C5131C">
        <w:rPr>
          <w:rFonts w:hint="cs"/>
          <w:rtl/>
        </w:rPr>
        <w:t>الموجهة</w:t>
      </w:r>
      <w:r w:rsidR="00F35D81">
        <w:rPr>
          <w:rFonts w:hint="eastAsia"/>
          <w:rtl/>
        </w:rPr>
        <w:t> </w:t>
      </w:r>
      <w:r w:rsidR="002E6316" w:rsidRPr="00C5131C">
        <w:rPr>
          <w:rFonts w:hint="cs"/>
          <w:rtl/>
        </w:rPr>
        <w:t>للمكاتب</w:t>
      </w:r>
      <w:r w:rsidR="00482EAF" w:rsidRPr="00C5131C">
        <w:rPr>
          <w:rFonts w:hint="cs"/>
          <w:rtl/>
        </w:rPr>
        <w:t>.</w:t>
      </w:r>
    </w:p>
    <w:p w:rsidR="00C35DC9" w:rsidRPr="00C5131C" w:rsidRDefault="006E2EB4" w:rsidP="00C5131C">
      <w:pPr>
        <w:pStyle w:val="NumberedParaAR"/>
        <w:rPr>
          <w:rtl/>
        </w:rPr>
      </w:pPr>
      <w:r w:rsidRPr="00C5131C">
        <w:rPr>
          <w:rFonts w:hint="cs"/>
          <w:rtl/>
        </w:rPr>
        <w:t>و</w:t>
      </w:r>
      <w:r w:rsidR="004F09E8" w:rsidRPr="00C5131C">
        <w:rPr>
          <w:rFonts w:hint="cs"/>
          <w:rtl/>
        </w:rPr>
        <w:t>حزمة برمجيات ن</w:t>
      </w:r>
      <w:r w:rsidR="004F09E8" w:rsidRPr="00C5131C">
        <w:rPr>
          <w:rtl/>
        </w:rPr>
        <w:t xml:space="preserve">ظام </w:t>
      </w:r>
      <w:r w:rsidR="004F09E8" w:rsidRPr="00C5131C">
        <w:rPr>
          <w:rFonts w:hint="cs"/>
          <w:rtl/>
        </w:rPr>
        <w:t>الويبو ل</w:t>
      </w:r>
      <w:r w:rsidR="004F09E8" w:rsidRPr="00C5131C">
        <w:rPr>
          <w:rtl/>
        </w:rPr>
        <w:t>إدارة الملكية الصناعية</w:t>
      </w:r>
      <w:r w:rsidR="004F09E8" w:rsidRPr="00C5131C">
        <w:rPr>
          <w:rFonts w:hint="cs"/>
          <w:rtl/>
        </w:rPr>
        <w:t xml:space="preserve"> الموجهة للمكاتب هي مجموعة من التطبيقات البرمجية التي يمكن لمكاتب الملكية الفكرية استخدامها لدعم معالجة</w:t>
      </w:r>
      <w:r w:rsidR="004F09E8" w:rsidRPr="00C5131C">
        <w:rPr>
          <w:rtl/>
        </w:rPr>
        <w:t xml:space="preserve"> طلبات الحصول على حقوق الملكية الفكرية</w:t>
      </w:r>
      <w:r w:rsidR="004F09E8" w:rsidRPr="00C5131C">
        <w:rPr>
          <w:rFonts w:hint="cs"/>
          <w:rtl/>
        </w:rPr>
        <w:t xml:space="preserve"> من خلال استحداث سجل إلكتروني، ومراقبة </w:t>
      </w:r>
      <w:r w:rsidR="00A50316" w:rsidRPr="00C5131C">
        <w:rPr>
          <w:rFonts w:hint="cs"/>
          <w:rtl/>
        </w:rPr>
        <w:t>عمليات تدفق العمل وقواعد الأعمال، وت</w:t>
      </w:r>
      <w:r w:rsidR="00A036B5" w:rsidRPr="00C5131C">
        <w:rPr>
          <w:rFonts w:hint="cs"/>
          <w:rtl/>
        </w:rPr>
        <w:t>وفير</w:t>
      </w:r>
      <w:r w:rsidR="00A50316" w:rsidRPr="00C5131C">
        <w:rPr>
          <w:rFonts w:hint="cs"/>
          <w:rtl/>
        </w:rPr>
        <w:t xml:space="preserve"> خدمات</w:t>
      </w:r>
      <w:r w:rsidR="00C35DC9" w:rsidRPr="00C5131C">
        <w:rPr>
          <w:rFonts w:hint="cs"/>
          <w:rtl/>
        </w:rPr>
        <w:t xml:space="preserve"> إلكترونية </w:t>
      </w:r>
      <w:r w:rsidR="00A50316" w:rsidRPr="00C5131C">
        <w:rPr>
          <w:rFonts w:hint="cs"/>
          <w:rtl/>
        </w:rPr>
        <w:t>للمستخدمين المحليين والدوليين.</w:t>
      </w:r>
      <w:r w:rsidR="009F174C" w:rsidRPr="00C5131C">
        <w:rPr>
          <w:rFonts w:hint="cs"/>
          <w:rtl/>
        </w:rPr>
        <w:t xml:space="preserve"> وهدفها العام هو</w:t>
      </w:r>
      <w:r w:rsidR="001467F6" w:rsidRPr="00C5131C">
        <w:rPr>
          <w:rFonts w:hint="cs"/>
          <w:rtl/>
        </w:rPr>
        <w:t xml:space="preserve"> تحقيق الفعالية التشغيلية وتحسين</w:t>
      </w:r>
      <w:r w:rsidR="00C35DC9" w:rsidRPr="00C5131C">
        <w:rPr>
          <w:rFonts w:hint="cs"/>
          <w:rtl/>
        </w:rPr>
        <w:t xml:space="preserve"> جودة الخدمات</w:t>
      </w:r>
      <w:r w:rsidR="001467F6" w:rsidRPr="00C5131C">
        <w:rPr>
          <w:rFonts w:hint="cs"/>
          <w:rtl/>
        </w:rPr>
        <w:t>.</w:t>
      </w:r>
    </w:p>
    <w:p w:rsidR="00E73686" w:rsidRPr="00C5131C" w:rsidRDefault="001467F6" w:rsidP="00C5131C">
      <w:pPr>
        <w:pStyle w:val="NumberedParaAR"/>
        <w:rPr>
          <w:rtl/>
        </w:rPr>
      </w:pPr>
      <w:r w:rsidRPr="00C5131C">
        <w:rPr>
          <w:rFonts w:hint="cs"/>
          <w:rtl/>
        </w:rPr>
        <w:t>وت</w:t>
      </w:r>
      <w:r w:rsidR="00C35DC9" w:rsidRPr="00C5131C">
        <w:rPr>
          <w:rFonts w:hint="cs"/>
          <w:rtl/>
        </w:rPr>
        <w:t>ُ</w:t>
      </w:r>
      <w:r w:rsidRPr="00C5131C">
        <w:rPr>
          <w:rFonts w:hint="cs"/>
          <w:rtl/>
        </w:rPr>
        <w:t>ستخدم حزمة برمجيات ن</w:t>
      </w:r>
      <w:r w:rsidRPr="00C5131C">
        <w:rPr>
          <w:rtl/>
        </w:rPr>
        <w:t xml:space="preserve">ظام </w:t>
      </w:r>
      <w:r w:rsidRPr="00C5131C">
        <w:rPr>
          <w:rFonts w:hint="cs"/>
          <w:rtl/>
        </w:rPr>
        <w:t>الويبو ل</w:t>
      </w:r>
      <w:r w:rsidRPr="00C5131C">
        <w:rPr>
          <w:rtl/>
        </w:rPr>
        <w:t>إدارة الملكية الصناعية</w:t>
      </w:r>
      <w:r w:rsidRPr="00C5131C">
        <w:rPr>
          <w:rFonts w:hint="cs"/>
          <w:rtl/>
        </w:rPr>
        <w:t xml:space="preserve"> الموجهة للمكاتب</w:t>
      </w:r>
      <w:r w:rsidR="00E73686" w:rsidRPr="00C5131C">
        <w:rPr>
          <w:rFonts w:hint="cs"/>
          <w:rtl/>
        </w:rPr>
        <w:t>، أو أجزاء منها، في أكثر من 80 مكتباً من مكاتب الملكية الفكرية في كل مناطق العالم. فعلى مدى أكثر</w:t>
      </w:r>
      <w:r w:rsidR="00C35DC9" w:rsidRPr="00C5131C">
        <w:rPr>
          <w:rFonts w:hint="cs"/>
          <w:rtl/>
        </w:rPr>
        <w:t xml:space="preserve"> من</w:t>
      </w:r>
      <w:r w:rsidR="00E73686" w:rsidRPr="00C5131C">
        <w:rPr>
          <w:rFonts w:hint="cs"/>
          <w:rtl/>
        </w:rPr>
        <w:t xml:space="preserve"> 15 عاماً، </w:t>
      </w:r>
      <w:r w:rsidR="00C35DC9" w:rsidRPr="00C5131C">
        <w:rPr>
          <w:rFonts w:hint="cs"/>
          <w:rtl/>
        </w:rPr>
        <w:t xml:space="preserve">دأبت </w:t>
      </w:r>
      <w:r w:rsidR="00E73686" w:rsidRPr="00C5131C">
        <w:rPr>
          <w:rFonts w:hint="cs"/>
          <w:rtl/>
        </w:rPr>
        <w:t>الويبو</w:t>
      </w:r>
      <w:r w:rsidR="001E2DFF" w:rsidRPr="00C5131C">
        <w:t xml:space="preserve"> </w:t>
      </w:r>
      <w:r w:rsidR="00C35DC9" w:rsidRPr="00C5131C">
        <w:rPr>
          <w:rFonts w:hint="cs"/>
          <w:rtl/>
        </w:rPr>
        <w:t xml:space="preserve">على تقديم </w:t>
      </w:r>
      <w:r w:rsidR="00E73686" w:rsidRPr="00C5131C">
        <w:rPr>
          <w:rFonts w:hint="cs"/>
          <w:rtl/>
        </w:rPr>
        <w:t>هذه الخدمة لمكاتب الملكية الفكرية في البلدان النامية في إطار برنامج المساعدة ال</w:t>
      </w:r>
      <w:r w:rsidR="000B6BC3" w:rsidRPr="00C5131C">
        <w:rPr>
          <w:rFonts w:hint="cs"/>
          <w:rtl/>
        </w:rPr>
        <w:t>تقن</w:t>
      </w:r>
      <w:r w:rsidR="00E73686" w:rsidRPr="00C5131C">
        <w:rPr>
          <w:rFonts w:hint="cs"/>
          <w:rtl/>
        </w:rPr>
        <w:t>ية.</w:t>
      </w:r>
    </w:p>
    <w:p w:rsidR="00E73686" w:rsidRPr="00C5131C" w:rsidRDefault="00E73686" w:rsidP="00C5131C">
      <w:pPr>
        <w:pStyle w:val="NumberedParaAR"/>
        <w:rPr>
          <w:rtl/>
        </w:rPr>
      </w:pPr>
      <w:r w:rsidRPr="00C5131C">
        <w:rPr>
          <w:rFonts w:hint="cs"/>
          <w:rtl/>
        </w:rPr>
        <w:t xml:space="preserve">وتتكون هذه الحزمة من ثلاثة أنظمة </w:t>
      </w:r>
      <w:r w:rsidR="00EB7CBC" w:rsidRPr="00C5131C">
        <w:rPr>
          <w:rFonts w:hint="cs"/>
          <w:rtl/>
        </w:rPr>
        <w:t>تكميلي</w:t>
      </w:r>
      <w:r w:rsidRPr="00C5131C">
        <w:rPr>
          <w:rFonts w:hint="cs"/>
          <w:rtl/>
        </w:rPr>
        <w:t xml:space="preserve">ة: </w:t>
      </w:r>
      <w:r w:rsidR="00EB7CBC" w:rsidRPr="00C5131C">
        <w:rPr>
          <w:rtl/>
        </w:rPr>
        <w:t>نظام الويبو للملفات</w:t>
      </w:r>
      <w:r w:rsidR="00C506FA" w:rsidRPr="00C5131C">
        <w:rPr>
          <w:rFonts w:hint="cs"/>
          <w:rtl/>
        </w:rPr>
        <w:t xml:space="preserve"> (</w:t>
      </w:r>
      <w:r w:rsidR="000B6BC3" w:rsidRPr="00C5131C">
        <w:t>WIPO File</w:t>
      </w:r>
      <w:r w:rsidR="00C506FA" w:rsidRPr="00C5131C">
        <w:rPr>
          <w:rFonts w:hint="cs"/>
          <w:rtl/>
        </w:rPr>
        <w:t>)،</w:t>
      </w:r>
      <w:r w:rsidR="001E2DFF" w:rsidRPr="00C5131C">
        <w:t xml:space="preserve"> </w:t>
      </w:r>
      <w:r w:rsidR="00C506FA" w:rsidRPr="00C5131C">
        <w:rPr>
          <w:rFonts w:hint="cs"/>
          <w:rtl/>
        </w:rPr>
        <w:t>و</w:t>
      </w:r>
      <w:r w:rsidR="00C506FA" w:rsidRPr="00C5131C">
        <w:rPr>
          <w:rtl/>
        </w:rPr>
        <w:t xml:space="preserve">نظام </w:t>
      </w:r>
      <w:r w:rsidR="007D36D4" w:rsidRPr="00C5131C">
        <w:rPr>
          <w:rFonts w:hint="cs"/>
          <w:rtl/>
        </w:rPr>
        <w:t xml:space="preserve">الويبو لإدارة </w:t>
      </w:r>
      <w:r w:rsidR="00D34514" w:rsidRPr="00C5131C">
        <w:rPr>
          <w:rtl/>
        </w:rPr>
        <w:t>الملكية الصناعي</w:t>
      </w:r>
      <w:r w:rsidR="00D34514" w:rsidRPr="00C5131C">
        <w:rPr>
          <w:rFonts w:hint="cs"/>
          <w:rtl/>
        </w:rPr>
        <w:t xml:space="preserve">ة </w:t>
      </w:r>
      <w:r w:rsidR="000B6BC3" w:rsidRPr="00C5131C">
        <w:rPr>
          <w:rFonts w:hint="cs"/>
          <w:rtl/>
        </w:rPr>
        <w:t>(</w:t>
      </w:r>
      <w:r w:rsidR="000B6BC3" w:rsidRPr="00C5131C">
        <w:t>IPAS</w:t>
      </w:r>
      <w:r w:rsidR="000B6BC3" w:rsidRPr="00C5131C">
        <w:rPr>
          <w:rFonts w:hint="cs"/>
          <w:rtl/>
        </w:rPr>
        <w:t>)</w:t>
      </w:r>
      <w:r w:rsidR="00C506FA" w:rsidRPr="00C5131C">
        <w:rPr>
          <w:rFonts w:hint="cs"/>
          <w:rtl/>
        </w:rPr>
        <w:t xml:space="preserve">، ونظام </w:t>
      </w:r>
      <w:r w:rsidR="00DB006A" w:rsidRPr="00C5131C">
        <w:rPr>
          <w:rFonts w:hint="cs"/>
          <w:rtl/>
        </w:rPr>
        <w:t>الويبو للنشر</w:t>
      </w:r>
      <w:r w:rsidR="001E2DFF" w:rsidRPr="00C5131C">
        <w:t xml:space="preserve"> </w:t>
      </w:r>
      <w:r w:rsidR="000B6BC3" w:rsidRPr="00C5131C">
        <w:rPr>
          <w:rFonts w:hint="cs"/>
          <w:rtl/>
        </w:rPr>
        <w:t>(</w:t>
      </w:r>
      <w:r w:rsidR="000B6BC3" w:rsidRPr="00C5131C">
        <w:t>WIPO Publish</w:t>
      </w:r>
      <w:r w:rsidR="000B6BC3" w:rsidRPr="00C5131C">
        <w:rPr>
          <w:rFonts w:hint="cs"/>
          <w:rtl/>
        </w:rPr>
        <w:t>)</w:t>
      </w:r>
      <w:r w:rsidR="00DB006A" w:rsidRPr="00C5131C">
        <w:rPr>
          <w:rFonts w:hint="cs"/>
          <w:rtl/>
        </w:rPr>
        <w:t xml:space="preserve">، ويدعمها عنصر للخدمات المركزية الذي يكفل تبادل البيانات على نحو ناجع وموثوق بحيث يربط بين مكاتب الملكية الفكرية وأنظمة </w:t>
      </w:r>
      <w:r w:rsidR="004329E0" w:rsidRPr="00C5131C">
        <w:rPr>
          <w:rtl/>
        </w:rPr>
        <w:t xml:space="preserve">الويبو العالمية </w:t>
      </w:r>
      <w:r w:rsidR="00D855F7" w:rsidRPr="00C5131C">
        <w:rPr>
          <w:rFonts w:hint="cs"/>
          <w:rtl/>
        </w:rPr>
        <w:t xml:space="preserve">وبياناتها </w:t>
      </w:r>
      <w:r w:rsidR="004329E0" w:rsidRPr="00C5131C">
        <w:rPr>
          <w:rFonts w:hint="cs"/>
          <w:rtl/>
        </w:rPr>
        <w:t>بشأن ا</w:t>
      </w:r>
      <w:r w:rsidR="00DB006A" w:rsidRPr="00C5131C">
        <w:rPr>
          <w:rtl/>
        </w:rPr>
        <w:t>لملكية الفكرية</w:t>
      </w:r>
      <w:r w:rsidR="00DB006A" w:rsidRPr="00C5131C">
        <w:rPr>
          <w:rFonts w:hint="cs"/>
          <w:rtl/>
        </w:rPr>
        <w:t xml:space="preserve">.  </w:t>
      </w:r>
    </w:p>
    <w:p w:rsidR="00C5131C" w:rsidRDefault="00C5131C" w:rsidP="00C5131C">
      <w:pPr>
        <w:pStyle w:val="NumberedParaAR"/>
        <w:numPr>
          <w:ilvl w:val="0"/>
          <w:numId w:val="0"/>
        </w:numPr>
        <w:rPr>
          <w:rtl/>
        </w:rPr>
      </w:pPr>
    </w:p>
    <w:p w:rsidR="00F35D81" w:rsidRDefault="00F35D81" w:rsidP="00F35D81">
      <w:pPr>
        <w:jc w:val="center"/>
      </w:pPr>
      <w:r>
        <w:rPr>
          <w:noProof/>
        </w:rPr>
        <w:drawing>
          <wp:inline distT="0" distB="0" distL="0" distR="0" wp14:anchorId="2F4CCF87">
            <wp:extent cx="4832350" cy="31714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071" cy="317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D81" w:rsidRPr="0069448A" w:rsidRDefault="00F35D81" w:rsidP="00F35D81">
      <w:pPr>
        <w:jc w:val="center"/>
      </w:pPr>
    </w:p>
    <w:p w:rsidR="00F35D81" w:rsidRDefault="00F35D81" w:rsidP="00C5131C">
      <w:pPr>
        <w:pStyle w:val="NormalParaAR"/>
        <w:keepNext/>
        <w:rPr>
          <w:b/>
          <w:bCs/>
          <w:rtl/>
        </w:rPr>
      </w:pPr>
    </w:p>
    <w:p w:rsidR="00E45FEA" w:rsidRPr="00C5131C" w:rsidRDefault="001934B0" w:rsidP="00C5131C">
      <w:pPr>
        <w:pStyle w:val="NormalParaAR"/>
        <w:keepNext/>
        <w:rPr>
          <w:b/>
          <w:bCs/>
        </w:rPr>
      </w:pPr>
      <w:r w:rsidRPr="00A931C5">
        <w:rPr>
          <w:rFonts w:hint="cs"/>
          <w:b/>
          <w:bCs/>
          <w:rtl/>
        </w:rPr>
        <w:t>ن</w:t>
      </w:r>
      <w:r w:rsidRPr="00A931C5">
        <w:rPr>
          <w:b/>
          <w:bCs/>
          <w:rtl/>
        </w:rPr>
        <w:t xml:space="preserve">ظام </w:t>
      </w:r>
      <w:r w:rsidRPr="00A931C5">
        <w:rPr>
          <w:rFonts w:hint="cs"/>
          <w:b/>
          <w:bCs/>
          <w:rtl/>
        </w:rPr>
        <w:t>الويبو ل</w:t>
      </w:r>
      <w:r w:rsidRPr="00A931C5">
        <w:rPr>
          <w:b/>
          <w:bCs/>
          <w:rtl/>
        </w:rPr>
        <w:t>إدارة الملكية الصناعية</w:t>
      </w:r>
      <w:r w:rsidR="00C5131C">
        <w:rPr>
          <w:rFonts w:hint="cs"/>
          <w:b/>
          <w:bCs/>
          <w:rtl/>
        </w:rPr>
        <w:t xml:space="preserve"> </w:t>
      </w:r>
      <w:r w:rsidR="00C5131C">
        <w:rPr>
          <w:b/>
          <w:bCs/>
        </w:rPr>
        <w:t>(WIPO IPAS)</w:t>
      </w:r>
    </w:p>
    <w:p w:rsidR="002D67AD" w:rsidRPr="00C5131C" w:rsidRDefault="002D67AD" w:rsidP="00C5131C">
      <w:pPr>
        <w:pStyle w:val="NumberedParaAR"/>
        <w:rPr>
          <w:rtl/>
        </w:rPr>
      </w:pPr>
      <w:r w:rsidRPr="00C5131C">
        <w:rPr>
          <w:rFonts w:hint="cs"/>
          <w:rtl/>
        </w:rPr>
        <w:t xml:space="preserve">نظام الويبو لإدارة الملكية الصناعية هو </w:t>
      </w:r>
      <w:r w:rsidR="00011D00" w:rsidRPr="00C5131C">
        <w:rPr>
          <w:rFonts w:hint="cs"/>
          <w:rtl/>
        </w:rPr>
        <w:t>المكون الرئيسي في</w:t>
      </w:r>
      <w:r w:rsidRPr="00C5131C">
        <w:rPr>
          <w:rFonts w:hint="cs"/>
          <w:rtl/>
        </w:rPr>
        <w:t xml:space="preserve"> حزمة الويبو. فهو يدعم معالجة </w:t>
      </w:r>
      <w:r w:rsidR="00AD6AF3" w:rsidRPr="00C5131C">
        <w:rPr>
          <w:rFonts w:hint="cs"/>
          <w:rtl/>
        </w:rPr>
        <w:t xml:space="preserve">طلبات الحصول على </w:t>
      </w:r>
      <w:r w:rsidRPr="00C5131C">
        <w:rPr>
          <w:rtl/>
        </w:rPr>
        <w:t xml:space="preserve">البراءات والعلامات التجارية </w:t>
      </w:r>
      <w:r w:rsidR="008710AB" w:rsidRPr="00C5131C">
        <w:rPr>
          <w:rFonts w:hint="cs"/>
          <w:rtl/>
        </w:rPr>
        <w:t>والتصاميم</w:t>
      </w:r>
      <w:r w:rsidRPr="00C5131C">
        <w:rPr>
          <w:rtl/>
        </w:rPr>
        <w:t xml:space="preserve"> الصناعية</w:t>
      </w:r>
      <w:r w:rsidRPr="00C5131C">
        <w:rPr>
          <w:rFonts w:hint="cs"/>
          <w:rtl/>
        </w:rPr>
        <w:t xml:space="preserve"> من الإيداع حتى منح الحقوق و</w:t>
      </w:r>
      <w:r w:rsidRPr="00C5131C">
        <w:rPr>
          <w:rtl/>
        </w:rPr>
        <w:t>مرحلة ما بعد النشر</w:t>
      </w:r>
      <w:r w:rsidRPr="00C5131C">
        <w:rPr>
          <w:rFonts w:hint="cs"/>
          <w:rtl/>
        </w:rPr>
        <w:t xml:space="preserve">. </w:t>
      </w:r>
      <w:r w:rsidR="00625DC4" w:rsidRPr="00C5131C">
        <w:rPr>
          <w:rFonts w:hint="cs"/>
          <w:rtl/>
        </w:rPr>
        <w:t>ونظام إدارة الملكية الصناعية</w:t>
      </w:r>
      <w:r w:rsidR="003865CD" w:rsidRPr="00C5131C">
        <w:rPr>
          <w:rFonts w:hint="cs"/>
          <w:rtl/>
        </w:rPr>
        <w:t xml:space="preserve"> هو </w:t>
      </w:r>
      <w:r w:rsidR="003865CD" w:rsidRPr="00C5131C">
        <w:rPr>
          <w:rtl/>
        </w:rPr>
        <w:t>نظام قائم على تدفق العمل</w:t>
      </w:r>
      <w:r w:rsidR="00A931C5" w:rsidRPr="00C5131C">
        <w:rPr>
          <w:rFonts w:hint="cs"/>
          <w:rtl/>
        </w:rPr>
        <w:t xml:space="preserve"> </w:t>
      </w:r>
      <w:r w:rsidR="007F6411" w:rsidRPr="00C5131C">
        <w:rPr>
          <w:rFonts w:hint="cs"/>
          <w:rtl/>
        </w:rPr>
        <w:t>و</w:t>
      </w:r>
      <w:r w:rsidR="0028125B" w:rsidRPr="00C5131C">
        <w:rPr>
          <w:rFonts w:hint="cs"/>
          <w:rtl/>
        </w:rPr>
        <w:t xml:space="preserve">يمكن تكييفه </w:t>
      </w:r>
      <w:r w:rsidR="007F6411" w:rsidRPr="00C5131C">
        <w:rPr>
          <w:rFonts w:hint="cs"/>
          <w:rtl/>
        </w:rPr>
        <w:t xml:space="preserve">بالكامل </w:t>
      </w:r>
      <w:r w:rsidR="003865CD" w:rsidRPr="00C5131C">
        <w:rPr>
          <w:rFonts w:hint="cs"/>
          <w:rtl/>
        </w:rPr>
        <w:t xml:space="preserve">وفق </w:t>
      </w:r>
      <w:r w:rsidR="007F6411" w:rsidRPr="00C5131C">
        <w:rPr>
          <w:rFonts w:hint="cs"/>
          <w:rtl/>
        </w:rPr>
        <w:t>متطلبات كل مكتب ملكية فكرية وإطاره القانوني.</w:t>
      </w:r>
    </w:p>
    <w:p w:rsidR="007F6411" w:rsidRDefault="007F6411" w:rsidP="00C5131C">
      <w:pPr>
        <w:pStyle w:val="NumberedParaAR"/>
        <w:rPr>
          <w:rtl/>
        </w:rPr>
      </w:pPr>
      <w:r>
        <w:rPr>
          <w:rFonts w:hint="cs"/>
          <w:rtl/>
        </w:rPr>
        <w:t xml:space="preserve">وتشتمل </w:t>
      </w:r>
      <w:r w:rsidR="00DA7C99">
        <w:rPr>
          <w:rFonts w:hint="cs"/>
          <w:rtl/>
        </w:rPr>
        <w:t>سماته</w:t>
      </w:r>
      <w:r>
        <w:rPr>
          <w:rFonts w:hint="cs"/>
          <w:rtl/>
        </w:rPr>
        <w:t xml:space="preserve"> الرئيسية عل</w:t>
      </w:r>
      <w:r w:rsidR="0028125B">
        <w:rPr>
          <w:rFonts w:hint="cs"/>
          <w:rtl/>
        </w:rPr>
        <w:t>ى</w:t>
      </w:r>
      <w:r>
        <w:rPr>
          <w:rFonts w:hint="cs"/>
          <w:rtl/>
        </w:rPr>
        <w:t xml:space="preserve"> ما يلي:</w:t>
      </w:r>
    </w:p>
    <w:p w:rsidR="007F6411" w:rsidRPr="00220A9E" w:rsidRDefault="007F6411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تدفقات عمل </w:t>
      </w:r>
      <w:r w:rsidR="00EA16E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قابلة للتكييف من أجل </w:t>
      </w: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أتمتة العمليات القانونية والإدارية لمكتب الملكية الفكرية.</w:t>
      </w:r>
    </w:p>
    <w:p w:rsidR="00220A9E" w:rsidRPr="00220A9E" w:rsidRDefault="00A8277A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قابل للتهيئة لدعم كل الطلبات الواردة بشأن الخدمات (طلب جديد، والوثائق اللاحقة، والتجديد، والتنازل، والتعديل، إلخ) وكل </w:t>
      </w:r>
      <w:r w:rsidR="00BE5A62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الإشعارات الصادرة والشهادات.</w:t>
      </w:r>
    </w:p>
    <w:p w:rsidR="00220A9E" w:rsidRPr="00220A9E" w:rsidRDefault="00740A68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وظائف </w:t>
      </w:r>
      <w:r w:rsidR="00A9178E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ل</w:t>
      </w: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إدارة النشر </w:t>
      </w:r>
      <w:r w:rsidR="00A9178E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من أجل ال</w:t>
      </w:r>
      <w:r w:rsidR="002E0EB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تحكم في الجريدة الرسمية وتنسيقها.</w:t>
      </w:r>
    </w:p>
    <w:p w:rsidR="00220A9E" w:rsidRPr="00220A9E" w:rsidRDefault="002E0EBB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أدوات بحث </w:t>
      </w:r>
      <w:r w:rsidR="00C9046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مرنة وفعالة </w:t>
      </w:r>
      <w:r w:rsidR="00D058D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تشمل عمليات بحث </w:t>
      </w:r>
      <w:r w:rsidR="004A2FBD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صوتية ونصية وقائمة على التصنيف (باستخدام نظام</w:t>
      </w:r>
      <w:r w:rsidR="004A2FBD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 xml:space="preserve"> تصنيف</w:t>
      </w:r>
      <w:r w:rsidR="004A2FBD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نيس، أو ا</w:t>
      </w:r>
      <w:r w:rsidR="004A2FBD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لتصنيف الدولي للبراءات</w:t>
      </w:r>
      <w:r w:rsidR="004A2FBD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، أو نظام تصنيف فيينا</w:t>
      </w:r>
      <w:r w:rsidR="0090491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،</w:t>
      </w:r>
      <w:r w:rsidR="004A2FBD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أو نظام تصنيف </w:t>
      </w:r>
      <w:r w:rsidR="004A2FBD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لوكارنو</w:t>
      </w:r>
      <w:r w:rsidR="004A2FBD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).</w:t>
      </w:r>
    </w:p>
    <w:p w:rsidR="00220A9E" w:rsidRPr="00220A9E" w:rsidRDefault="004A2FBD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مدمج مع </w:t>
      </w:r>
      <w:r w:rsidR="00C15BFE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أنظمة </w:t>
      </w:r>
      <w:r w:rsidR="00C15BFE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 xml:space="preserve">الويبو العالمية </w:t>
      </w:r>
      <w:r w:rsidR="004329E0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بشأن </w:t>
      </w:r>
      <w:r w:rsidR="007C6247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ا</w:t>
      </w:r>
      <w:r w:rsidR="00C15BFE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لملكية الفكرية</w:t>
      </w:r>
      <w:r w:rsidR="00C15BFE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لاستلام ومعالجة الإشعارات أو </w:t>
      </w:r>
      <w:r w:rsidR="00D314B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حالات دخول المرحلة الوطنية.</w:t>
      </w:r>
    </w:p>
    <w:p w:rsidR="00220A9E" w:rsidRPr="00220A9E" w:rsidRDefault="000D240D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دعم إدارة السجلات الإلكترونية بالكامل</w:t>
      </w:r>
      <w:r w:rsidR="002803A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،</w:t>
      </w: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أو تتبع الملفات الورقية.</w:t>
      </w:r>
    </w:p>
    <w:p w:rsidR="00220A9E" w:rsidRPr="00220A9E" w:rsidRDefault="00122D19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دعم لغات</w:t>
      </w:r>
      <w:r w:rsidR="00A62C1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و</w:t>
      </w:r>
      <w:r w:rsidR="002803A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محارف</w:t>
      </w:r>
      <w:r w:rsidR="00A62C1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لغات </w:t>
      </w: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متعددة </w:t>
      </w:r>
      <w:r w:rsidR="00A62C1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(بما في </w:t>
      </w:r>
      <w:r w:rsidR="002803A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ذلك المحارف </w:t>
      </w:r>
      <w:r w:rsidR="00A62C1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التي ت</w:t>
      </w:r>
      <w:r w:rsidR="00153948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ُ</w:t>
      </w:r>
      <w:r w:rsidR="00A62C1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كتب من </w:t>
      </w:r>
      <w:r w:rsidR="00A62C11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اليمين إلى اليسار</w:t>
      </w:r>
      <w:r w:rsidR="00A62C11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)</w:t>
      </w:r>
      <w:r w:rsidR="001E2DFF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="009A3AE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سواء </w:t>
      </w:r>
      <w:r w:rsidR="004644C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لتخزين البيانات </w:t>
      </w:r>
      <w:r w:rsidR="009A3AE4">
        <w:rPr>
          <w:rFonts w:ascii="Arabic Typesetting" w:eastAsia="Times New Roman" w:hAnsi="Arabic Typesetting" w:cs="Arabic Typesetting" w:hint="cs"/>
          <w:sz w:val="36"/>
          <w:szCs w:val="36"/>
          <w:rtl/>
        </w:rPr>
        <w:t>أ</w:t>
      </w:r>
      <w:r w:rsidR="004644C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و</w:t>
      </w:r>
      <w:r w:rsidR="009A3AE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</w:t>
      </w:r>
      <w:r w:rsidR="004644C4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عرضها</w:t>
      </w:r>
      <w:r w:rsidR="00A62C11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.</w:t>
      </w:r>
    </w:p>
    <w:p w:rsidR="00220A9E" w:rsidRPr="00220A9E" w:rsidRDefault="00DD43A6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نموذج أم</w:t>
      </w:r>
      <w:r w:rsidR="00153948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ان</w:t>
      </w:r>
      <w:r w:rsidR="00DA2DA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للتحكم في</w:t>
      </w:r>
      <w:r w:rsidR="009717E2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النفاذ إلى الوظائف أو الإجراءات </w:t>
      </w:r>
      <w:r w:rsidR="0006762C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حسب </w:t>
      </w:r>
      <w:r w:rsidR="00C15E75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دور</w:t>
      </w:r>
      <w:r w:rsidR="0006762C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المستخدم.</w:t>
      </w:r>
    </w:p>
    <w:p w:rsidR="00E45FEA" w:rsidRPr="00220A9E" w:rsidRDefault="0006762C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rPr>
          <w:rFonts w:ascii="Arabic Typesetting" w:eastAsia="Times New Roman" w:hAnsi="Arabic Typesetting" w:cs="Arabic Typesetting"/>
          <w:sz w:val="36"/>
          <w:szCs w:val="36"/>
        </w:rPr>
      </w:pPr>
      <w:r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واجهة برمجية</w:t>
      </w:r>
      <w:r w:rsidR="00A931C5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D22D25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لل</w:t>
      </w:r>
      <w:r w:rsidR="00D22D25" w:rsidRPr="00220A9E">
        <w:rPr>
          <w:rFonts w:ascii="Arabic Typesetting" w:eastAsia="Times New Roman" w:hAnsi="Arabic Typesetting" w:cs="Arabic Typesetting"/>
          <w:sz w:val="36"/>
          <w:szCs w:val="36"/>
          <w:rtl/>
        </w:rPr>
        <w:t>تطبيق</w:t>
      </w:r>
      <w:r w:rsidR="00D22D25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ات </w:t>
      </w:r>
      <w:r w:rsidR="00FE6E55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موثقة بالكامل 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بحيث يمكن لمطوري البر</w:t>
      </w:r>
      <w:r w:rsidR="00FE6E55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مجيات 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المحليين ت</w:t>
      </w:r>
      <w:r w:rsidR="00C15E75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طبيق 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وحداتهم أو </w:t>
      </w:r>
      <w:r w:rsidR="00BF4A1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التفاعل مع 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أنظمة</w:t>
      </w:r>
      <w:r w:rsidR="00BF4A1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الدفع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المحلية، </w:t>
      </w:r>
      <w:r w:rsidR="00BF4A1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و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الخدمات</w:t>
      </w:r>
      <w:r w:rsidR="00BF4A1B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الإلكترونية</w:t>
      </w:r>
      <w:r w:rsidR="00844BE3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، إلخ</w:t>
      </w:r>
      <w:r w:rsidR="00962106" w:rsidRPr="00220A9E">
        <w:rPr>
          <w:rFonts w:ascii="Arabic Typesetting" w:eastAsia="Times New Roman" w:hAnsi="Arabic Typesetting" w:cs="Arabic Typesetting" w:hint="cs"/>
          <w:sz w:val="36"/>
          <w:szCs w:val="36"/>
          <w:rtl/>
        </w:rPr>
        <w:t>.</w:t>
      </w:r>
    </w:p>
    <w:p w:rsidR="00E45FEA" w:rsidRPr="0069448A" w:rsidRDefault="00446CCD" w:rsidP="00446CCD">
      <w:pPr>
        <w:bidi/>
        <w:jc w:val="center"/>
      </w:pPr>
      <w:r>
        <w:rPr>
          <w:noProof/>
        </w:rPr>
        <w:lastRenderedPageBreak/>
        <w:drawing>
          <wp:inline distT="0" distB="0" distL="0" distR="0" wp14:anchorId="54F9BF0F">
            <wp:extent cx="5461000" cy="3791934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791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FEA" w:rsidRPr="0069448A" w:rsidRDefault="00E45FEA" w:rsidP="00E45FEA"/>
    <w:p w:rsidR="00D22D25" w:rsidRPr="00A931C5" w:rsidRDefault="00D22D25" w:rsidP="00C5131C">
      <w:pPr>
        <w:pStyle w:val="NormalParaAR"/>
        <w:keepNext/>
        <w:rPr>
          <w:b/>
          <w:bCs/>
          <w:rtl/>
        </w:rPr>
      </w:pPr>
      <w:r w:rsidRPr="00A931C5">
        <w:rPr>
          <w:rFonts w:hint="cs"/>
          <w:b/>
          <w:bCs/>
          <w:rtl/>
        </w:rPr>
        <w:t>نظام الويبو للملفات</w:t>
      </w:r>
    </w:p>
    <w:p w:rsidR="00F608B8" w:rsidRDefault="00D22D25" w:rsidP="00446CCD">
      <w:pPr>
        <w:pStyle w:val="NumberedParaAR"/>
        <w:rPr>
          <w:rtl/>
        </w:rPr>
      </w:pPr>
      <w:r>
        <w:rPr>
          <w:rFonts w:hint="cs"/>
          <w:rtl/>
        </w:rPr>
        <w:t xml:space="preserve">نظام الويبو للملفات تطبيق برمجي يتيح لمكاتب الملكية الفكرية تقديم خدمات إلكترونية بالكامل لمودعي الطلبات والوكلاء. فهو يدعم إيداع طلبات جديدة </w:t>
      </w:r>
      <w:r w:rsidR="00534313">
        <w:rPr>
          <w:rFonts w:hint="cs"/>
          <w:rtl/>
        </w:rPr>
        <w:t xml:space="preserve">للحصول على البراءات والعلامات التجارية </w:t>
      </w:r>
      <w:r w:rsidR="008710AB">
        <w:rPr>
          <w:rFonts w:hint="cs"/>
          <w:rtl/>
        </w:rPr>
        <w:t>والتصاميم</w:t>
      </w:r>
      <w:r w:rsidR="00534313">
        <w:rPr>
          <w:rFonts w:hint="cs"/>
          <w:rtl/>
        </w:rPr>
        <w:t xml:space="preserve"> الصناعية</w:t>
      </w:r>
      <w:r w:rsidR="00F608B8">
        <w:rPr>
          <w:rFonts w:hint="cs"/>
          <w:rtl/>
        </w:rPr>
        <w:t xml:space="preserve"> وتقديم المعاملات اللاحقة كالتجديد والتعديل والتنازل إلخ.</w:t>
      </w:r>
    </w:p>
    <w:p w:rsidR="007A02D7" w:rsidRDefault="00243A90" w:rsidP="00446CCD">
      <w:pPr>
        <w:pStyle w:val="NumberedParaAR"/>
        <w:rPr>
          <w:rtl/>
        </w:rPr>
      </w:pPr>
      <w:r>
        <w:rPr>
          <w:rFonts w:hint="cs"/>
          <w:rtl/>
        </w:rPr>
        <w:t>ويسر</w:t>
      </w:r>
      <w:r w:rsidR="003A6834">
        <w:rPr>
          <w:rFonts w:hint="cs"/>
          <w:rtl/>
        </w:rPr>
        <w:t>ّ</w:t>
      </w:r>
      <w:r>
        <w:rPr>
          <w:rFonts w:hint="cs"/>
          <w:rtl/>
        </w:rPr>
        <w:t xml:space="preserve">ع النظام وتيرة إيداع الطلبات والمعاملات اللاحقة </w:t>
      </w:r>
      <w:r w:rsidR="00DE2A15">
        <w:rPr>
          <w:rFonts w:hint="cs"/>
          <w:rtl/>
        </w:rPr>
        <w:t>لمودعي الطلبات ومكتب الملكية الفكرية</w:t>
      </w:r>
      <w:r w:rsidR="009A3AE4">
        <w:rPr>
          <w:rFonts w:hint="cs"/>
          <w:rtl/>
        </w:rPr>
        <w:t xml:space="preserve"> على حد سواء</w:t>
      </w:r>
      <w:r w:rsidR="00344B1E">
        <w:rPr>
          <w:rFonts w:hint="cs"/>
          <w:rtl/>
        </w:rPr>
        <w:t xml:space="preserve"> حيث </w:t>
      </w:r>
      <w:r w:rsidR="00DE2A15">
        <w:rPr>
          <w:rFonts w:hint="cs"/>
          <w:rtl/>
        </w:rPr>
        <w:t>ي</w:t>
      </w:r>
      <w:r w:rsidR="00344B1E">
        <w:rPr>
          <w:rFonts w:hint="cs"/>
          <w:rtl/>
        </w:rPr>
        <w:t xml:space="preserve">تيح </w:t>
      </w:r>
      <w:r w:rsidR="00046663">
        <w:rPr>
          <w:rFonts w:hint="cs"/>
          <w:rtl/>
        </w:rPr>
        <w:t>التخلص من</w:t>
      </w:r>
      <w:r w:rsidR="00DE2A15">
        <w:rPr>
          <w:rFonts w:hint="cs"/>
          <w:rtl/>
        </w:rPr>
        <w:t xml:space="preserve"> عمليات الاستلام اليدوية وتحسين الجودة من خلال تسجيل بيانات الملكية الفكرية </w:t>
      </w:r>
      <w:r w:rsidR="007A02D7">
        <w:rPr>
          <w:rFonts w:hint="cs"/>
          <w:rtl/>
        </w:rPr>
        <w:t xml:space="preserve">مرة واحدة عند المصدر. </w:t>
      </w:r>
    </w:p>
    <w:p w:rsidR="007A02D7" w:rsidRDefault="007A02D7" w:rsidP="00446CCD">
      <w:pPr>
        <w:pStyle w:val="NumberedParaAR"/>
        <w:keepNext/>
        <w:rPr>
          <w:rtl/>
        </w:rPr>
      </w:pPr>
      <w:r>
        <w:rPr>
          <w:rFonts w:hint="cs"/>
          <w:rtl/>
        </w:rPr>
        <w:t xml:space="preserve">وتشمل </w:t>
      </w:r>
      <w:r w:rsidR="0045307B">
        <w:rPr>
          <w:rFonts w:hint="cs"/>
          <w:rtl/>
        </w:rPr>
        <w:t>سماته</w:t>
      </w:r>
      <w:r>
        <w:rPr>
          <w:rFonts w:hint="cs"/>
          <w:rtl/>
        </w:rPr>
        <w:t xml:space="preserve"> الأساسية ما يلي:</w:t>
      </w:r>
    </w:p>
    <w:p w:rsidR="005240C7" w:rsidRPr="002D3DE0" w:rsidRDefault="005240C7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7A02D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إيداع طلبات جديدة </w:t>
      </w:r>
      <w:r w:rsidR="00FF2F49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للحصول على </w:t>
      </w:r>
      <w:r w:rsidRPr="007A02D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البراءات والعلامات التجارية </w:t>
      </w:r>
      <w:r w:rsidR="008710AB">
        <w:rPr>
          <w:rFonts w:ascii="Arabic Typesetting" w:eastAsia="Times New Roman" w:hAnsi="Arabic Typesetting" w:cs="Arabic Typesetting" w:hint="cs"/>
          <w:sz w:val="36"/>
          <w:szCs w:val="36"/>
          <w:rtl/>
        </w:rPr>
        <w:t>والتصاميم</w:t>
      </w:r>
      <w:r w:rsidRPr="007A02D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الصناعية.</w:t>
      </w:r>
    </w:p>
    <w:p w:rsidR="00A00864" w:rsidRPr="002D3DE0" w:rsidRDefault="006A1874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2D3DE0">
        <w:rPr>
          <w:rFonts w:ascii="Arabic Typesetting" w:eastAsia="Times New Roman" w:hAnsi="Arabic Typesetting" w:cs="Arabic Typesetting" w:hint="cs"/>
          <w:sz w:val="36"/>
          <w:szCs w:val="36"/>
          <w:rtl/>
        </w:rPr>
        <w:t>وحدة لاحتساب الرسوم قابلة للتهيئة.</w:t>
      </w:r>
    </w:p>
    <w:p w:rsidR="006A1874" w:rsidRDefault="006A1874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2D3DE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بوابة دفع مع واجهة اختيارية. </w:t>
      </w:r>
      <w:r w:rsidR="002D3DE0" w:rsidRPr="002D3DE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وينبغي تنفيذ بوابة الدفع لكل مكتب من مكاتب الملكية الفكرية </w:t>
      </w:r>
      <w:r w:rsidR="002D3DE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وفقاً للأنظمة المصرفية وأنظمة الدفع المحلية. </w:t>
      </w:r>
    </w:p>
    <w:p w:rsidR="002D3DE0" w:rsidRDefault="00E62106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>إجراء التحقق اليدوي الاختياري في مكتب</w:t>
      </w:r>
      <w:r w:rsidR="005B47C4"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الملكية الفكرية </w:t>
      </w:r>
      <w:r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>للتحقق من ال</w:t>
      </w:r>
      <w:r w:rsidR="005B47C4"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بيانات </w:t>
      </w:r>
      <w:r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>قبل</w:t>
      </w:r>
      <w:r w:rsidR="005B47C4"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الاستلام </w:t>
      </w:r>
      <w:r w:rsidRPr="005B47C4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الرسمي</w:t>
      </w:r>
      <w:r w:rsidRPr="005B47C4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5B47C4" w:rsidRDefault="005B47C4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وظائف </w:t>
      </w:r>
      <w:r w:rsidR="00C1308F">
        <w:rPr>
          <w:rFonts w:ascii="Arabic Typesetting" w:eastAsia="Times New Roman" w:hAnsi="Arabic Typesetting" w:cs="Arabic Typesetting" w:hint="cs"/>
          <w:sz w:val="36"/>
          <w:szCs w:val="36"/>
          <w:rtl/>
        </w:rPr>
        <w:t>ل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>إدارة المحافظ لتمك</w:t>
      </w:r>
      <w:r w:rsidR="00C1308F">
        <w:rPr>
          <w:rFonts w:ascii="Arabic Typesetting" w:eastAsia="Times New Roman" w:hAnsi="Arabic Typesetting" w:cs="Arabic Typesetting" w:hint="cs"/>
          <w:sz w:val="36"/>
          <w:szCs w:val="36"/>
          <w:rtl/>
        </w:rPr>
        <w:t>ين مودعي الطلبات من معاينة محفظتهم المتعلقة ب</w:t>
      </w:r>
      <w:r w:rsidR="00FD159B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ملفات الملكية الفكرية </w:t>
      </w:r>
      <w:r w:rsidR="00686E49">
        <w:rPr>
          <w:rFonts w:ascii="Arabic Typesetting" w:eastAsia="Times New Roman" w:hAnsi="Arabic Typesetting" w:cs="Arabic Typesetting" w:hint="cs"/>
          <w:sz w:val="36"/>
          <w:szCs w:val="36"/>
          <w:rtl/>
        </w:rPr>
        <w:t>لدى</w:t>
      </w:r>
      <w:r w:rsidR="00FD159B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المكتب، والتوصل بالإشعارات الإلكترونية، والاطلاع على المعلومات المتعلقة بوضع الملفات.</w:t>
      </w:r>
    </w:p>
    <w:p w:rsidR="00686E49" w:rsidRDefault="00686E49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قابل للتهيئة بالكامل حسب المتطلبات القانونية والإدارية (مثل البيانات </w:t>
      </w:r>
      <w:r w:rsidR="006C25FD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الإلزامية، وقواعد التحقق).</w:t>
      </w:r>
    </w:p>
    <w:p w:rsidR="006C25FD" w:rsidRDefault="006C25FD" w:rsidP="006C25FD">
      <w:pPr>
        <w:pStyle w:val="ListParagraph"/>
        <w:numPr>
          <w:ilvl w:val="0"/>
          <w:numId w:val="22"/>
        </w:numPr>
        <w:bidi/>
        <w:spacing w:after="200" w:line="276" w:lineRule="auto"/>
        <w:rPr>
          <w:rFonts w:ascii="Arabic Typesetting" w:eastAsia="Times New Roman" w:hAnsi="Arabic Typesetting" w:cs="Arabic Typesetting"/>
          <w:sz w:val="36"/>
          <w:szCs w:val="36"/>
        </w:rPr>
      </w:pPr>
      <w:r w:rsidRPr="006C25FD">
        <w:rPr>
          <w:rFonts w:ascii="Arabic Typesetting" w:eastAsia="Times New Roman" w:hAnsi="Arabic Typesetting" w:cs="Arabic Typesetting" w:hint="cs"/>
          <w:sz w:val="36"/>
          <w:szCs w:val="36"/>
          <w:rtl/>
        </w:rPr>
        <w:t>بنية آمنة وخيارات للت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هيئة </w:t>
      </w:r>
      <w:r w:rsidRPr="006C25FD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الآمن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>ة</w:t>
      </w:r>
      <w:r w:rsidRPr="006C25FD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D67AD3" w:rsidRDefault="00D67AD3" w:rsidP="00D67AD3">
      <w:pPr>
        <w:pStyle w:val="ListParagraph"/>
        <w:numPr>
          <w:ilvl w:val="0"/>
          <w:numId w:val="22"/>
        </w:numPr>
        <w:bidi/>
        <w:spacing w:after="200" w:line="276" w:lineRule="auto"/>
        <w:rPr>
          <w:rFonts w:ascii="Arabic Typesetting" w:eastAsia="Times New Roman" w:hAnsi="Arabic Typesetting" w:cs="Arabic Typesetting"/>
          <w:sz w:val="36"/>
          <w:szCs w:val="36"/>
        </w:rPr>
      </w:pPr>
      <w:r w:rsidRPr="00D67AD3">
        <w:rPr>
          <w:rFonts w:ascii="Arabic Typesetting" w:eastAsia="Times New Roman" w:hAnsi="Arabic Typesetting" w:cs="Arabic Typesetting" w:hint="cs"/>
          <w:sz w:val="36"/>
          <w:szCs w:val="36"/>
          <w:rtl/>
        </w:rPr>
        <w:lastRenderedPageBreak/>
        <w:t>التوافق مع لغات ومحارف لغات متعددة (بما في ذلك المحارف التي ت</w:t>
      </w:r>
      <w:r w:rsidR="00C1308F">
        <w:rPr>
          <w:rFonts w:ascii="Arabic Typesetting" w:eastAsia="Times New Roman" w:hAnsi="Arabic Typesetting" w:cs="Arabic Typesetting" w:hint="cs"/>
          <w:sz w:val="36"/>
          <w:szCs w:val="36"/>
          <w:rtl/>
        </w:rPr>
        <w:t>ُ</w:t>
      </w:r>
      <w:r w:rsidRPr="00D67AD3">
        <w:rPr>
          <w:rFonts w:ascii="Arabic Typesetting" w:eastAsia="Times New Roman" w:hAnsi="Arabic Typesetting" w:cs="Arabic Typesetting" w:hint="cs"/>
          <w:sz w:val="36"/>
          <w:szCs w:val="36"/>
          <w:rtl/>
        </w:rPr>
        <w:t>كتب من اليمين إلى اليسار) سواء لتخزين المعلومات أو لعرضها</w:t>
      </w:r>
      <w:r w:rsidRPr="00D67AD3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B61E8C" w:rsidRDefault="00C112D6" w:rsidP="00446CCD">
      <w:pPr>
        <w:pStyle w:val="NumberedParaAR"/>
        <w:rPr>
          <w:rtl/>
        </w:rPr>
      </w:pPr>
      <w:r>
        <w:rPr>
          <w:rFonts w:hint="cs"/>
          <w:rtl/>
        </w:rPr>
        <w:t>و</w:t>
      </w:r>
      <w:r w:rsidR="00C97556">
        <w:rPr>
          <w:rFonts w:hint="cs"/>
          <w:rtl/>
        </w:rPr>
        <w:t>ي</w:t>
      </w:r>
      <w:r>
        <w:rPr>
          <w:rFonts w:hint="cs"/>
          <w:rtl/>
        </w:rPr>
        <w:t>خضع نظام</w:t>
      </w:r>
      <w:r w:rsidR="001E2DFF">
        <w:t xml:space="preserve"> </w:t>
      </w:r>
      <w:r w:rsidR="00C97556">
        <w:rPr>
          <w:rFonts w:hint="cs"/>
          <w:rtl/>
        </w:rPr>
        <w:t>الويبو</w:t>
      </w:r>
      <w:r>
        <w:rPr>
          <w:rFonts w:hint="cs"/>
          <w:rtl/>
        </w:rPr>
        <w:t xml:space="preserve"> للملفات</w:t>
      </w:r>
      <w:r w:rsidR="001E2DFF">
        <w:t xml:space="preserve"> </w:t>
      </w:r>
      <w:r>
        <w:rPr>
          <w:rFonts w:hint="cs"/>
          <w:rtl/>
        </w:rPr>
        <w:t>للتحسين</w:t>
      </w:r>
      <w:r w:rsidR="001E2DFF">
        <w:t xml:space="preserve"> </w:t>
      </w:r>
      <w:r w:rsidR="00C97556">
        <w:rPr>
          <w:rFonts w:hint="cs"/>
          <w:rtl/>
        </w:rPr>
        <w:t>باستمرار وسي</w:t>
      </w:r>
      <w:r>
        <w:rPr>
          <w:rFonts w:hint="cs"/>
          <w:rtl/>
        </w:rPr>
        <w:t xml:space="preserve">وسع نطاقه </w:t>
      </w:r>
      <w:r w:rsidR="00C97556">
        <w:rPr>
          <w:rFonts w:hint="cs"/>
          <w:rtl/>
        </w:rPr>
        <w:t xml:space="preserve">ليشمل </w:t>
      </w:r>
      <w:r w:rsidR="00F61603">
        <w:rPr>
          <w:rFonts w:hint="cs"/>
          <w:rtl/>
        </w:rPr>
        <w:t>خصائص الصياغة المحسّنة</w:t>
      </w:r>
      <w:r>
        <w:rPr>
          <w:rFonts w:hint="cs"/>
          <w:rtl/>
        </w:rPr>
        <w:t>،</w:t>
      </w:r>
      <w:r w:rsidR="00C97556">
        <w:rPr>
          <w:rFonts w:hint="cs"/>
          <w:rtl/>
        </w:rPr>
        <w:t xml:space="preserve"> والتحسينات في وظائف إدارة المحافظ</w:t>
      </w:r>
      <w:r>
        <w:rPr>
          <w:rFonts w:hint="cs"/>
          <w:rtl/>
        </w:rPr>
        <w:t>،</w:t>
      </w:r>
      <w:r w:rsidR="00C97556">
        <w:rPr>
          <w:rFonts w:hint="cs"/>
          <w:rtl/>
        </w:rPr>
        <w:t xml:space="preserve"> والقدرة على استر</w:t>
      </w:r>
      <w:r w:rsidR="00B61E8C">
        <w:rPr>
          <w:rFonts w:hint="cs"/>
          <w:rtl/>
        </w:rPr>
        <w:t xml:space="preserve">جاع تاريخ </w:t>
      </w:r>
      <w:r w:rsidR="00C97556">
        <w:rPr>
          <w:rFonts w:hint="cs"/>
          <w:rtl/>
        </w:rPr>
        <w:t>الإجراءات والوثائق</w:t>
      </w:r>
      <w:r>
        <w:rPr>
          <w:rFonts w:hint="cs"/>
          <w:rtl/>
        </w:rPr>
        <w:t>،</w:t>
      </w:r>
      <w:r w:rsidR="00C97556">
        <w:rPr>
          <w:rFonts w:hint="cs"/>
          <w:rtl/>
        </w:rPr>
        <w:t xml:space="preserve"> والتفاعل المباشر مع </w:t>
      </w:r>
      <w:r w:rsidR="00B61E8C">
        <w:rPr>
          <w:rFonts w:hint="cs"/>
          <w:rtl/>
        </w:rPr>
        <w:t xml:space="preserve">أنظمة </w:t>
      </w:r>
      <w:r w:rsidR="00F8746A">
        <w:rPr>
          <w:rtl/>
        </w:rPr>
        <w:t xml:space="preserve">الويبو العالمية </w:t>
      </w:r>
      <w:r w:rsidR="00F8746A">
        <w:rPr>
          <w:rFonts w:hint="cs"/>
          <w:rtl/>
        </w:rPr>
        <w:t>بشأن ا</w:t>
      </w:r>
      <w:r w:rsidR="00B61E8C" w:rsidRPr="00DB006A">
        <w:rPr>
          <w:rtl/>
        </w:rPr>
        <w:t>لملكية الفكرية</w:t>
      </w:r>
      <w:r w:rsidR="00B61E8C">
        <w:rPr>
          <w:rFonts w:hint="cs"/>
          <w:rtl/>
        </w:rPr>
        <w:t xml:space="preserve">. </w:t>
      </w:r>
    </w:p>
    <w:p w:rsidR="00B61E8C" w:rsidRPr="00A931C5" w:rsidRDefault="00B61E8C" w:rsidP="00AA0C98">
      <w:pPr>
        <w:pStyle w:val="NormalParaAR"/>
        <w:keepNext/>
        <w:rPr>
          <w:b/>
          <w:bCs/>
          <w:rtl/>
        </w:rPr>
      </w:pPr>
      <w:r w:rsidRPr="00A931C5">
        <w:rPr>
          <w:rFonts w:hint="cs"/>
          <w:b/>
          <w:bCs/>
          <w:rtl/>
        </w:rPr>
        <w:t>نظام الويبو للنشر</w:t>
      </w:r>
    </w:p>
    <w:p w:rsidR="00B61E8C" w:rsidRDefault="00B61E8C" w:rsidP="00446CCD">
      <w:pPr>
        <w:pStyle w:val="NumberedParaAR"/>
        <w:rPr>
          <w:rtl/>
        </w:rPr>
      </w:pPr>
      <w:r>
        <w:rPr>
          <w:rFonts w:hint="cs"/>
          <w:rtl/>
        </w:rPr>
        <w:t xml:space="preserve">نظام الويبو للنشر هو التطبيق البرمجي الذي </w:t>
      </w:r>
      <w:r w:rsidR="00BA6A3E">
        <w:rPr>
          <w:rFonts w:hint="cs"/>
          <w:rtl/>
        </w:rPr>
        <w:t xml:space="preserve">يتيح لمكاتب الملكية الفكرية </w:t>
      </w:r>
      <w:r w:rsidR="00F61603">
        <w:rPr>
          <w:rFonts w:hint="cs"/>
          <w:rtl/>
        </w:rPr>
        <w:t>تعميم</w:t>
      </w:r>
      <w:r w:rsidR="00BA6A3E">
        <w:rPr>
          <w:rFonts w:hint="cs"/>
          <w:rtl/>
        </w:rPr>
        <w:t xml:space="preserve"> معلومات النشر الرسمية ومعلومات الملكية الفكرية ذات الصلة على الإنترنت</w:t>
      </w:r>
      <w:r w:rsidR="009A3AE4">
        <w:rPr>
          <w:rFonts w:hint="cs"/>
          <w:rtl/>
        </w:rPr>
        <w:t>،</w:t>
      </w:r>
      <w:r w:rsidR="00BA6A3E">
        <w:rPr>
          <w:rFonts w:hint="cs"/>
          <w:rtl/>
        </w:rPr>
        <w:t xml:space="preserve"> </w:t>
      </w:r>
      <w:r w:rsidR="00F61603">
        <w:rPr>
          <w:rFonts w:hint="cs"/>
          <w:rtl/>
        </w:rPr>
        <w:t>على</w:t>
      </w:r>
      <w:r w:rsidR="00BA6A3E">
        <w:rPr>
          <w:rFonts w:hint="cs"/>
          <w:rtl/>
        </w:rPr>
        <w:t xml:space="preserve"> المستخدمين و</w:t>
      </w:r>
      <w:r w:rsidR="009A3AE4">
        <w:rPr>
          <w:rFonts w:hint="cs"/>
          <w:rtl/>
        </w:rPr>
        <w:t xml:space="preserve">على </w:t>
      </w:r>
      <w:r w:rsidR="00BA6A3E">
        <w:rPr>
          <w:rFonts w:hint="cs"/>
          <w:rtl/>
        </w:rPr>
        <w:t>قواعد بيانات الوي</w:t>
      </w:r>
      <w:r w:rsidR="00296646">
        <w:rPr>
          <w:rFonts w:hint="cs"/>
          <w:rtl/>
        </w:rPr>
        <w:t xml:space="preserve">بو العالمية </w:t>
      </w:r>
      <w:r w:rsidR="00D242F9">
        <w:rPr>
          <w:rFonts w:hint="cs"/>
          <w:rtl/>
        </w:rPr>
        <w:t xml:space="preserve">ومنصاتها </w:t>
      </w:r>
      <w:r w:rsidR="00296646">
        <w:rPr>
          <w:rFonts w:hint="cs"/>
          <w:rtl/>
        </w:rPr>
        <w:t>بشأن ا</w:t>
      </w:r>
      <w:r w:rsidR="00BA6A3E">
        <w:rPr>
          <w:rFonts w:hint="cs"/>
          <w:rtl/>
        </w:rPr>
        <w:t>لملكية الفكرية.</w:t>
      </w:r>
      <w:r w:rsidR="00737228">
        <w:rPr>
          <w:rFonts w:hint="cs"/>
          <w:rtl/>
        </w:rPr>
        <w:t xml:space="preserve"> ف</w:t>
      </w:r>
      <w:r w:rsidR="009A3AE4">
        <w:rPr>
          <w:rFonts w:hint="cs"/>
          <w:rtl/>
        </w:rPr>
        <w:t xml:space="preserve">هذا </w:t>
      </w:r>
      <w:r w:rsidR="00737228">
        <w:rPr>
          <w:rFonts w:hint="cs"/>
          <w:rtl/>
        </w:rPr>
        <w:t>النظام ي</w:t>
      </w:r>
      <w:r w:rsidR="00BA6A3E">
        <w:rPr>
          <w:rFonts w:hint="cs"/>
          <w:rtl/>
        </w:rPr>
        <w:t>تصل بنظام الويبو</w:t>
      </w:r>
      <w:r w:rsidR="00737228">
        <w:rPr>
          <w:rFonts w:hint="cs"/>
          <w:rtl/>
        </w:rPr>
        <w:t xml:space="preserve"> لإدارة الملكية الصناعية </w:t>
      </w:r>
      <w:r w:rsidR="00BA6A3E">
        <w:rPr>
          <w:rFonts w:hint="cs"/>
          <w:rtl/>
        </w:rPr>
        <w:t xml:space="preserve">أو أي نظام آخر لإدارة الملكية الفكرية ويقوم باستخراج بيانات الملكية الفكرية </w:t>
      </w:r>
      <w:r w:rsidR="00737228">
        <w:rPr>
          <w:rFonts w:hint="cs"/>
          <w:rtl/>
        </w:rPr>
        <w:t>وتنسيقها وفقاً لمعايير الويبو.</w:t>
      </w:r>
      <w:r w:rsidR="00D34514">
        <w:rPr>
          <w:rFonts w:hint="cs"/>
          <w:rtl/>
        </w:rPr>
        <w:t xml:space="preserve"> </w:t>
      </w:r>
      <w:r w:rsidR="00BA6A3E">
        <w:rPr>
          <w:rFonts w:hint="cs"/>
          <w:rtl/>
        </w:rPr>
        <w:t xml:space="preserve">ثم </w:t>
      </w:r>
      <w:r w:rsidR="00737228">
        <w:rPr>
          <w:rFonts w:hint="cs"/>
          <w:rtl/>
        </w:rPr>
        <w:t xml:space="preserve">تصبح </w:t>
      </w:r>
      <w:r w:rsidR="00BA6A3E">
        <w:rPr>
          <w:rFonts w:hint="cs"/>
          <w:rtl/>
        </w:rPr>
        <w:t>البيانات</w:t>
      </w:r>
      <w:r w:rsidR="003B427F">
        <w:rPr>
          <w:rFonts w:hint="cs"/>
          <w:rtl/>
        </w:rPr>
        <w:t xml:space="preserve"> متاحة</w:t>
      </w:r>
      <w:r w:rsidR="00BA6A3E">
        <w:rPr>
          <w:rFonts w:hint="cs"/>
          <w:rtl/>
        </w:rPr>
        <w:t xml:space="preserve"> للبحث عبر الإنترنت، وللنشر الرسمي عبر الإنترنت، </w:t>
      </w:r>
      <w:r w:rsidR="003B427F">
        <w:rPr>
          <w:rFonts w:hint="cs"/>
          <w:rtl/>
        </w:rPr>
        <w:t>وللتداول مع قواعد بيانات الوي</w:t>
      </w:r>
      <w:r w:rsidR="00296646">
        <w:rPr>
          <w:rFonts w:hint="cs"/>
          <w:rtl/>
        </w:rPr>
        <w:t>بو العالمية بشأن ا</w:t>
      </w:r>
      <w:r w:rsidR="003B427F">
        <w:rPr>
          <w:rFonts w:hint="cs"/>
          <w:rtl/>
        </w:rPr>
        <w:t>لملكية الفكرية</w:t>
      </w:r>
      <w:r w:rsidR="00BA6A3E">
        <w:rPr>
          <w:rFonts w:hint="cs"/>
        </w:rPr>
        <w:t>.</w:t>
      </w:r>
    </w:p>
    <w:p w:rsidR="00E67E12" w:rsidRDefault="00FF6B8C" w:rsidP="00446CCD">
      <w:pPr>
        <w:pStyle w:val="NumberedParaAR"/>
        <w:rPr>
          <w:rtl/>
        </w:rPr>
      </w:pPr>
      <w:r>
        <w:rPr>
          <w:rFonts w:hint="cs"/>
          <w:rtl/>
        </w:rPr>
        <w:t>ويمكن لمكاتب الملكية الفكرية باستخدام نظام الويبو للنشر أن ت</w:t>
      </w:r>
      <w:r w:rsidR="005A3EE5">
        <w:rPr>
          <w:rFonts w:hint="cs"/>
          <w:rtl/>
        </w:rPr>
        <w:t xml:space="preserve">يسِّر تقديم </w:t>
      </w:r>
      <w:r>
        <w:rPr>
          <w:rFonts w:hint="cs"/>
          <w:rtl/>
        </w:rPr>
        <w:t xml:space="preserve">خدمات بحث فعالة عبر الإنترنت </w:t>
      </w:r>
      <w:r w:rsidR="00E67E12">
        <w:rPr>
          <w:rFonts w:hint="cs"/>
          <w:rtl/>
        </w:rPr>
        <w:t xml:space="preserve">بشأن </w:t>
      </w:r>
      <w:r>
        <w:rPr>
          <w:rFonts w:hint="cs"/>
          <w:rtl/>
        </w:rPr>
        <w:t xml:space="preserve">حقوق الملكية الفكرية المنشورة، بما في ذلك المعلومات عن الوضع القانوني </w:t>
      </w:r>
      <w:r w:rsidR="005A64FF">
        <w:rPr>
          <w:rFonts w:hint="cs"/>
          <w:rtl/>
        </w:rPr>
        <w:t>وا</w:t>
      </w:r>
      <w:r w:rsidR="00AC413B">
        <w:rPr>
          <w:rFonts w:hint="cs"/>
          <w:rtl/>
        </w:rPr>
        <w:t xml:space="preserve">لنفاذ إلى </w:t>
      </w:r>
      <w:r>
        <w:rPr>
          <w:rFonts w:hint="cs"/>
          <w:rtl/>
        </w:rPr>
        <w:t xml:space="preserve">الوثائق (إذا </w:t>
      </w:r>
      <w:r w:rsidR="00E67E12">
        <w:rPr>
          <w:rFonts w:hint="cs"/>
          <w:rtl/>
        </w:rPr>
        <w:t xml:space="preserve">كان </w:t>
      </w:r>
      <w:r>
        <w:rPr>
          <w:rFonts w:hint="cs"/>
          <w:rtl/>
        </w:rPr>
        <w:t>الإطار القانوني</w:t>
      </w:r>
      <w:r w:rsidR="00E67E12">
        <w:rPr>
          <w:rFonts w:hint="cs"/>
          <w:rtl/>
        </w:rPr>
        <w:t xml:space="preserve"> يتيح ذلك).</w:t>
      </w:r>
    </w:p>
    <w:p w:rsidR="00E45FEA" w:rsidRPr="0069448A" w:rsidRDefault="00E67E12" w:rsidP="00446CCD">
      <w:pPr>
        <w:pStyle w:val="NumberedParaAR"/>
      </w:pPr>
      <w:r>
        <w:rPr>
          <w:rFonts w:hint="cs"/>
          <w:rtl/>
        </w:rPr>
        <w:t>و</w:t>
      </w:r>
      <w:r w:rsidR="00FF6B8C">
        <w:rPr>
          <w:rFonts w:hint="cs"/>
          <w:rtl/>
        </w:rPr>
        <w:t>يمكن لمكاتب الملكية الفكرية</w:t>
      </w:r>
      <w:r w:rsidR="00296646">
        <w:rPr>
          <w:rFonts w:hint="cs"/>
          <w:rtl/>
        </w:rPr>
        <w:t xml:space="preserve"> أيضاً</w:t>
      </w:r>
      <w:r w:rsidR="00FF6B8C">
        <w:rPr>
          <w:rFonts w:hint="cs"/>
          <w:rtl/>
        </w:rPr>
        <w:t xml:space="preserve"> أن تنتقل من النشر الورقي إلى النشر الإلكتروني الكامل الذي ي</w:t>
      </w:r>
      <w:r w:rsidR="00A15389">
        <w:rPr>
          <w:rFonts w:hint="cs"/>
          <w:rtl/>
        </w:rPr>
        <w:t>ستجيب ل</w:t>
      </w:r>
      <w:r w:rsidR="00296646">
        <w:rPr>
          <w:rFonts w:hint="cs"/>
          <w:rtl/>
        </w:rPr>
        <w:t xml:space="preserve">متطلبات الإطار القانوني المحلي. </w:t>
      </w:r>
      <w:r w:rsidR="00FF6B8C">
        <w:rPr>
          <w:rFonts w:hint="cs"/>
          <w:rtl/>
        </w:rPr>
        <w:t xml:space="preserve">كما </w:t>
      </w:r>
      <w:r w:rsidR="00296646">
        <w:rPr>
          <w:rFonts w:hint="cs"/>
          <w:rtl/>
        </w:rPr>
        <w:t>ي</w:t>
      </w:r>
      <w:r w:rsidR="00FF6B8C">
        <w:rPr>
          <w:rFonts w:hint="cs"/>
          <w:rtl/>
        </w:rPr>
        <w:t>سه</w:t>
      </w:r>
      <w:r w:rsidR="00C811A2">
        <w:rPr>
          <w:rFonts w:hint="cs"/>
          <w:rtl/>
        </w:rPr>
        <w:t>ِّ</w:t>
      </w:r>
      <w:r w:rsidR="00FF6B8C">
        <w:rPr>
          <w:rFonts w:hint="cs"/>
          <w:rtl/>
        </w:rPr>
        <w:t xml:space="preserve">ل </w:t>
      </w:r>
      <w:r w:rsidR="00296646">
        <w:rPr>
          <w:rFonts w:hint="cs"/>
          <w:rtl/>
        </w:rPr>
        <w:t xml:space="preserve">نظام </w:t>
      </w:r>
      <w:r w:rsidR="00FF6B8C">
        <w:rPr>
          <w:rFonts w:hint="cs"/>
          <w:rtl/>
        </w:rPr>
        <w:t>الويبو للنشر تبادل البيانات والتكامل مع قواعد بيانات الويبو</w:t>
      </w:r>
      <w:r w:rsidR="001E2DFF">
        <w:t xml:space="preserve"> </w:t>
      </w:r>
      <w:r w:rsidR="00296646">
        <w:rPr>
          <w:rFonts w:hint="cs"/>
          <w:rtl/>
        </w:rPr>
        <w:t xml:space="preserve">العالمية </w:t>
      </w:r>
      <w:r w:rsidR="00D242F9">
        <w:rPr>
          <w:rFonts w:hint="cs"/>
          <w:rtl/>
        </w:rPr>
        <w:t xml:space="preserve">ومنصاتها </w:t>
      </w:r>
      <w:r w:rsidR="00296646">
        <w:rPr>
          <w:rFonts w:hint="cs"/>
          <w:rtl/>
        </w:rPr>
        <w:t xml:space="preserve">بشأن الملكية الفكرية </w:t>
      </w:r>
      <w:r w:rsidR="00FF6B8C">
        <w:rPr>
          <w:rFonts w:hint="cs"/>
          <w:rtl/>
        </w:rPr>
        <w:t>مثل</w:t>
      </w:r>
      <w:r w:rsidR="001E2DFF">
        <w:t xml:space="preserve"> </w:t>
      </w:r>
      <w:r w:rsidR="00B720ED" w:rsidRPr="00B720ED">
        <w:rPr>
          <w:rtl/>
        </w:rPr>
        <w:t>ركن البراءات</w:t>
      </w:r>
      <w:r w:rsidR="00B720ED">
        <w:rPr>
          <w:rFonts w:hint="cs"/>
          <w:rtl/>
        </w:rPr>
        <w:t xml:space="preserve"> الإلكتروني</w:t>
      </w:r>
      <w:r w:rsidR="00C811A2">
        <w:rPr>
          <w:rFonts w:hint="cs"/>
          <w:rtl/>
        </w:rPr>
        <w:t xml:space="preserve"> </w:t>
      </w:r>
      <w:r w:rsidR="00FF6B8C">
        <w:rPr>
          <w:rFonts w:hint="cs"/>
        </w:rPr>
        <w:t>Patentscope</w:t>
      </w:r>
      <w:r w:rsidR="00B720ED">
        <w:rPr>
          <w:rFonts w:hint="cs"/>
          <w:rtl/>
        </w:rPr>
        <w:t xml:space="preserve">، </w:t>
      </w:r>
      <w:r w:rsidR="00FF6B8C">
        <w:rPr>
          <w:rFonts w:hint="cs"/>
          <w:rtl/>
        </w:rPr>
        <w:t>وقاعدة بيانات العلامات التجارية العالمية</w:t>
      </w:r>
      <w:r w:rsidR="00B435EA">
        <w:rPr>
          <w:rFonts w:hint="cs"/>
          <w:rtl/>
        </w:rPr>
        <w:t>،</w:t>
      </w:r>
      <w:r w:rsidR="00D34514">
        <w:rPr>
          <w:rFonts w:hint="cs"/>
          <w:rtl/>
        </w:rPr>
        <w:t xml:space="preserve"> </w:t>
      </w:r>
      <w:r w:rsidR="001C77BB" w:rsidRPr="001C77BB">
        <w:rPr>
          <w:rtl/>
        </w:rPr>
        <w:t>ونظام الويبو للنفاذ المركزي إلى تقارير البحث والفحص (</w:t>
      </w:r>
      <w:r w:rsidR="001C77BB" w:rsidRPr="001C77BB">
        <w:t>WIPO C</w:t>
      </w:r>
      <w:r w:rsidR="00C811A2">
        <w:t>ASE</w:t>
      </w:r>
      <w:r w:rsidR="001C77BB" w:rsidRPr="001C77BB">
        <w:rPr>
          <w:rtl/>
        </w:rPr>
        <w:t>)</w:t>
      </w:r>
      <w:r w:rsidR="001C77BB">
        <w:rPr>
          <w:rFonts w:hint="cs"/>
          <w:rtl/>
        </w:rPr>
        <w:t>.</w:t>
      </w:r>
    </w:p>
    <w:p w:rsidR="00E45FEA" w:rsidRPr="0069448A" w:rsidRDefault="00446CCD" w:rsidP="00845204">
      <w:pPr>
        <w:bidi/>
      </w:pPr>
      <w:r>
        <w:rPr>
          <w:noProof/>
        </w:rPr>
        <w:drawing>
          <wp:inline distT="0" distB="0" distL="0" distR="0" wp14:anchorId="14FB619A">
            <wp:extent cx="4718027" cy="37211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20" cy="372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415" w:rsidRDefault="005E5415" w:rsidP="00F35D81">
      <w:pPr>
        <w:pStyle w:val="NumberedParaAR"/>
        <w:keepNext/>
        <w:rPr>
          <w:rtl/>
        </w:rPr>
      </w:pPr>
      <w:r>
        <w:rPr>
          <w:rFonts w:hint="cs"/>
          <w:rtl/>
        </w:rPr>
        <w:lastRenderedPageBreak/>
        <w:t xml:space="preserve">وتشمل </w:t>
      </w:r>
      <w:r w:rsidR="00577280">
        <w:rPr>
          <w:rFonts w:hint="cs"/>
          <w:rtl/>
        </w:rPr>
        <w:t xml:space="preserve">سماته </w:t>
      </w:r>
      <w:r>
        <w:rPr>
          <w:rFonts w:hint="cs"/>
          <w:rtl/>
        </w:rPr>
        <w:t>الأساسية ما يلي:</w:t>
      </w:r>
    </w:p>
    <w:p w:rsidR="005E5415" w:rsidRPr="00577280" w:rsidRDefault="005E5415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محرك بحث فعال لإجراء عمليات بحث</w:t>
      </w:r>
      <w:r w:rsidR="00010731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حسب المجالات أو في النص</w:t>
      </w:r>
      <w:r w:rsidR="00737216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وص الكاملة 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في جميع سجلات الملكية الفكرية المنشورة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5E5415" w:rsidRPr="00577280" w:rsidRDefault="005E5415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وظيفة نشر تتيح النشر الكامل للجريدة الرسمية على الإنترنت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022B81" w:rsidRPr="00577280" w:rsidRDefault="00495BD7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قابلية ال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ت</w:t>
      </w:r>
      <w:r w:rsidR="00022B81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كييف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بالكامل وفقا</w:t>
      </w:r>
      <w:r w:rsidR="00737216">
        <w:rPr>
          <w:rFonts w:ascii="Arabic Typesetting" w:eastAsia="Times New Roman" w:hAnsi="Arabic Typesetting" w:cs="Arabic Typesetting" w:hint="cs"/>
          <w:sz w:val="36"/>
          <w:szCs w:val="36"/>
          <w:rtl/>
        </w:rPr>
        <w:t>ً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للغة والمصطلحات </w:t>
      </w:r>
      <w:r w:rsidR="005D7D78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وأدوات التوسيم </w:t>
      </w:r>
      <w:r w:rsidR="00022B81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المحلية 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(أسماء المكاتب</w:t>
      </w:r>
      <w:r w:rsidR="00022B81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،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والشعارات</w:t>
      </w:r>
      <w:r w:rsidR="00737216">
        <w:rPr>
          <w:rFonts w:ascii="Arabic Typesetting" w:eastAsia="Times New Roman" w:hAnsi="Arabic Typesetting" w:cs="Arabic Typesetting" w:hint="cs"/>
          <w:sz w:val="36"/>
          <w:szCs w:val="36"/>
          <w:rtl/>
        </w:rPr>
        <w:t>، وتفضيلات الأل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و</w:t>
      </w:r>
      <w:r w:rsidR="00737216">
        <w:rPr>
          <w:rFonts w:ascii="Arabic Typesetting" w:eastAsia="Times New Roman" w:hAnsi="Arabic Typesetting" w:cs="Arabic Typesetting" w:hint="cs"/>
          <w:sz w:val="36"/>
          <w:szCs w:val="36"/>
          <w:rtl/>
        </w:rPr>
        <w:t>ا</w:t>
      </w:r>
      <w:r w:rsidR="005E5415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ن</w:t>
      </w:r>
      <w:r w:rsidR="00022B81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إلخ).</w:t>
      </w:r>
    </w:p>
    <w:p w:rsidR="00022B81" w:rsidRPr="00577280" w:rsidRDefault="00022B81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خيار التهيئة كقاعدة بيانات إقليمية عن طريق تجميع قواعد البيانات الوطنية للملكية الفكرية في خدمة إقليمية واحدة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022B81" w:rsidRPr="00577280" w:rsidRDefault="00022B81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استخراج بيانات الملكية الفكرية وتنسيقها وتخزينها وفقاً لمعايير الويبو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022B81" w:rsidRPr="00577280" w:rsidRDefault="00022B81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تبادل مبسط للبيانات بين قواعد بيانات الملكية الفكرية الإقليمية و/ أو الدولية مثل </w:t>
      </w:r>
      <w:r w:rsidRPr="00577280">
        <w:rPr>
          <w:rFonts w:ascii="Arabic Typesetting" w:eastAsia="Times New Roman" w:hAnsi="Arabic Typesetting" w:cs="Arabic Typesetting"/>
          <w:sz w:val="36"/>
          <w:szCs w:val="36"/>
          <w:rtl/>
        </w:rPr>
        <w:t>ركن البراءات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الإلكتروني</w:t>
      </w:r>
      <w:r w:rsidR="001E2DFF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</w:rPr>
        <w:t>Patentscope</w:t>
      </w:r>
      <w:r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، </w:t>
      </w:r>
      <w:r w:rsidR="005D7D78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و</w:t>
      </w:r>
      <w:r w:rsidR="005D7D78" w:rsidRPr="00577280">
        <w:rPr>
          <w:rFonts w:ascii="Arabic Typesetting" w:eastAsia="Times New Roman" w:hAnsi="Arabic Typesetting" w:cs="Arabic Typesetting"/>
          <w:sz w:val="36"/>
          <w:szCs w:val="36"/>
          <w:rtl/>
        </w:rPr>
        <w:t>قاعدة البيانات العالمية لأدوات التوسيم</w:t>
      </w:r>
      <w:r w:rsidR="005D7D78" w:rsidRPr="00577280">
        <w:rPr>
          <w:rFonts w:ascii="Arabic Typesetting" w:eastAsia="Times New Roman" w:hAnsi="Arabic Typesetting" w:cs="Arabic Typesetting" w:hint="cs"/>
          <w:sz w:val="36"/>
          <w:szCs w:val="36"/>
          <w:rtl/>
        </w:rPr>
        <w:t>.</w:t>
      </w:r>
    </w:p>
    <w:p w:rsidR="005F6D7E" w:rsidRDefault="00BD26B4" w:rsidP="00446CCD">
      <w:pPr>
        <w:pStyle w:val="NumberedParaAR"/>
        <w:rPr>
          <w:rtl/>
        </w:rPr>
      </w:pPr>
      <w:r>
        <w:rPr>
          <w:rFonts w:hint="cs"/>
          <w:rtl/>
        </w:rPr>
        <w:t>ولا يعتمد نظام الويبو للنشر على نظام الويبو</w:t>
      </w:r>
      <w:r w:rsidR="00964FF2">
        <w:rPr>
          <w:rFonts w:hint="cs"/>
          <w:rtl/>
        </w:rPr>
        <w:t xml:space="preserve"> لإدارة الملكية الصناعية حيث </w:t>
      </w:r>
      <w:r>
        <w:rPr>
          <w:rFonts w:hint="cs"/>
          <w:rtl/>
        </w:rPr>
        <w:t>يمكن تثبيته وتوصيله بأي نظام لإدارة الملكية الفكرية في أي مكتب من مكاتب الملكية الفكرية واستخدامه لتقديم خدمات عبر الإنترنت للمستخدمين أو للتكامل مع قواعد بيانات الويبو العالمية ومنصاتها</w:t>
      </w:r>
      <w:r>
        <w:rPr>
          <w:rFonts w:hint="cs"/>
        </w:rPr>
        <w:t>.</w:t>
      </w:r>
    </w:p>
    <w:p w:rsidR="00BD26B4" w:rsidRDefault="005F6D7E" w:rsidP="00446CCD">
      <w:pPr>
        <w:pStyle w:val="NumberedParaAR"/>
        <w:rPr>
          <w:rtl/>
        </w:rPr>
      </w:pPr>
      <w:r>
        <w:rPr>
          <w:rFonts w:hint="cs"/>
          <w:rtl/>
        </w:rPr>
        <w:t>وسيوس</w:t>
      </w:r>
      <w:r w:rsidR="00964FF2">
        <w:rPr>
          <w:rFonts w:hint="cs"/>
          <w:rtl/>
        </w:rPr>
        <w:t>َّ</w:t>
      </w:r>
      <w:r w:rsidR="00BD26B4">
        <w:rPr>
          <w:rFonts w:hint="cs"/>
          <w:rtl/>
        </w:rPr>
        <w:t xml:space="preserve">ع نطاق </w:t>
      </w:r>
      <w:r w:rsidR="00F3055A">
        <w:rPr>
          <w:rFonts w:hint="cs"/>
          <w:rtl/>
        </w:rPr>
        <w:t xml:space="preserve">هذا </w:t>
      </w:r>
      <w:r w:rsidR="00BD26B4">
        <w:rPr>
          <w:rFonts w:hint="cs"/>
          <w:rtl/>
        </w:rPr>
        <w:t>النظام ل</w:t>
      </w:r>
      <w:r w:rsidR="00B97F2B">
        <w:rPr>
          <w:rFonts w:hint="cs"/>
          <w:rtl/>
        </w:rPr>
        <w:t xml:space="preserve">لاستفادة </w:t>
      </w:r>
      <w:r w:rsidR="00BD26B4">
        <w:rPr>
          <w:rFonts w:hint="cs"/>
          <w:rtl/>
        </w:rPr>
        <w:t>من عنصر الخدمات المركزية</w:t>
      </w:r>
      <w:r w:rsidR="00B97F2B">
        <w:rPr>
          <w:rFonts w:hint="cs"/>
          <w:rtl/>
        </w:rPr>
        <w:t>، ما سيسمح، على سبيل المثال، بإدراج ب</w:t>
      </w:r>
      <w:r w:rsidR="00BD26B4">
        <w:rPr>
          <w:rFonts w:hint="cs"/>
          <w:rtl/>
        </w:rPr>
        <w:t>يانات</w:t>
      </w:r>
      <w:r w:rsidR="00B97F2B">
        <w:rPr>
          <w:rFonts w:hint="cs"/>
          <w:rtl/>
        </w:rPr>
        <w:t xml:space="preserve"> أسر ال</w:t>
      </w:r>
      <w:r w:rsidR="00BD26B4">
        <w:rPr>
          <w:rFonts w:hint="cs"/>
          <w:rtl/>
        </w:rPr>
        <w:t xml:space="preserve">براءات في </w:t>
      </w:r>
      <w:r w:rsidR="00B97F2B">
        <w:rPr>
          <w:rFonts w:hint="cs"/>
          <w:rtl/>
        </w:rPr>
        <w:t xml:space="preserve">عمليات </w:t>
      </w:r>
      <w:r w:rsidR="00BD26B4">
        <w:rPr>
          <w:rFonts w:hint="cs"/>
          <w:rtl/>
        </w:rPr>
        <w:t xml:space="preserve">البحث عن </w:t>
      </w:r>
      <w:r w:rsidR="00B97F2B">
        <w:rPr>
          <w:rFonts w:hint="cs"/>
          <w:rtl/>
        </w:rPr>
        <w:t>ال</w:t>
      </w:r>
      <w:r w:rsidR="00BD26B4">
        <w:rPr>
          <w:rFonts w:hint="cs"/>
          <w:rtl/>
        </w:rPr>
        <w:t>براءات</w:t>
      </w:r>
      <w:r w:rsidR="00B97F2B">
        <w:rPr>
          <w:rFonts w:hint="cs"/>
          <w:rtl/>
        </w:rPr>
        <w:t xml:space="preserve">، </w:t>
      </w:r>
      <w:r w:rsidR="00BD26B4">
        <w:rPr>
          <w:rFonts w:hint="cs"/>
          <w:rtl/>
        </w:rPr>
        <w:t>والبحث عن الصور للعلامات التجارية</w:t>
      </w:r>
      <w:r w:rsidR="00B97F2B">
        <w:rPr>
          <w:rFonts w:hint="cs"/>
          <w:rtl/>
        </w:rPr>
        <w:t xml:space="preserve">، </w:t>
      </w:r>
      <w:r w:rsidR="00BD26B4">
        <w:rPr>
          <w:rFonts w:hint="cs"/>
          <w:rtl/>
        </w:rPr>
        <w:t>وال</w:t>
      </w:r>
      <w:r w:rsidR="00E81DBA">
        <w:rPr>
          <w:rFonts w:hint="cs"/>
          <w:rtl/>
        </w:rPr>
        <w:t xml:space="preserve">وصلات إلى </w:t>
      </w:r>
      <w:r w:rsidR="00BD26B4">
        <w:rPr>
          <w:rFonts w:hint="cs"/>
          <w:rtl/>
        </w:rPr>
        <w:t>خدمات الويبو الأخرى</w:t>
      </w:r>
      <w:r w:rsidR="00BD26B4">
        <w:rPr>
          <w:rFonts w:hint="cs"/>
        </w:rPr>
        <w:t>.</w:t>
      </w:r>
    </w:p>
    <w:p w:rsidR="009F4B43" w:rsidRPr="00CF0FCB" w:rsidRDefault="009F4B43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F0FC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خدمات الويبو المركزية</w:t>
      </w:r>
    </w:p>
    <w:p w:rsidR="009F4B43" w:rsidRDefault="009F4B43" w:rsidP="00446CCD">
      <w:pPr>
        <w:pStyle w:val="NumberedParaAR"/>
        <w:rPr>
          <w:rtl/>
        </w:rPr>
      </w:pPr>
      <w:r>
        <w:rPr>
          <w:rFonts w:hint="cs"/>
          <w:rtl/>
        </w:rPr>
        <w:t>عنصر الخدمات المركزية نظام جديد مصم</w:t>
      </w:r>
      <w:r w:rsidR="00875031">
        <w:rPr>
          <w:rFonts w:hint="cs"/>
          <w:rtl/>
        </w:rPr>
        <w:t>َّ</w:t>
      </w:r>
      <w:r>
        <w:rPr>
          <w:rFonts w:hint="cs"/>
          <w:rtl/>
        </w:rPr>
        <w:t xml:space="preserve">م لتوفير اتصالات فعالة وموثوقة بين مكاتب الملكية </w:t>
      </w:r>
      <w:r w:rsidR="00F3055A">
        <w:rPr>
          <w:rFonts w:hint="cs"/>
          <w:rtl/>
        </w:rPr>
        <w:t>الفكرية وأنظمة الويبو العالمية بشأن ا</w:t>
      </w:r>
      <w:r>
        <w:rPr>
          <w:rFonts w:hint="cs"/>
          <w:rtl/>
        </w:rPr>
        <w:t>لملكية الفكرية</w:t>
      </w:r>
      <w:r>
        <w:rPr>
          <w:rFonts w:hint="cs"/>
        </w:rPr>
        <w:t>.</w:t>
      </w:r>
    </w:p>
    <w:p w:rsidR="009664BD" w:rsidRDefault="009664BD" w:rsidP="00446CCD">
      <w:pPr>
        <w:pStyle w:val="NumberedParaAR"/>
        <w:rPr>
          <w:rtl/>
        </w:rPr>
      </w:pPr>
      <w:r>
        <w:rPr>
          <w:rFonts w:hint="cs"/>
          <w:rtl/>
        </w:rPr>
        <w:t>ويدعم النظام حالي</w:t>
      </w:r>
      <w:r w:rsidR="009F4B43">
        <w:rPr>
          <w:rFonts w:hint="cs"/>
          <w:rtl/>
        </w:rPr>
        <w:t>ا</w:t>
      </w:r>
      <w:r>
        <w:rPr>
          <w:rFonts w:hint="cs"/>
          <w:rtl/>
        </w:rPr>
        <w:t>ً</w:t>
      </w:r>
      <w:r w:rsidR="001E2DFF">
        <w:t xml:space="preserve"> </w:t>
      </w:r>
      <w:r w:rsidR="009F4B43">
        <w:rPr>
          <w:rFonts w:hint="cs"/>
          <w:rtl/>
        </w:rPr>
        <w:t>عددا</w:t>
      </w:r>
      <w:r w:rsidR="00D44433">
        <w:rPr>
          <w:rFonts w:hint="cs"/>
          <w:rtl/>
        </w:rPr>
        <w:t>ً</w:t>
      </w:r>
      <w:r w:rsidR="001E2DFF">
        <w:t xml:space="preserve"> </w:t>
      </w:r>
      <w:r w:rsidR="005846DC">
        <w:rPr>
          <w:rFonts w:hint="cs"/>
          <w:rtl/>
        </w:rPr>
        <w:t>قليلا</w:t>
      </w:r>
      <w:r w:rsidR="009F4B43">
        <w:rPr>
          <w:rFonts w:hint="cs"/>
          <w:rtl/>
        </w:rPr>
        <w:t xml:space="preserve"> من </w:t>
      </w:r>
      <w:r>
        <w:rPr>
          <w:rFonts w:hint="cs"/>
          <w:rtl/>
        </w:rPr>
        <w:t xml:space="preserve">عمليات </w:t>
      </w:r>
      <w:r w:rsidR="009F4B43">
        <w:rPr>
          <w:rFonts w:hint="cs"/>
          <w:rtl/>
        </w:rPr>
        <w:t>تبادل البيانات</w:t>
      </w:r>
      <w:r>
        <w:rPr>
          <w:rFonts w:hint="cs"/>
        </w:rPr>
        <w:t>:</w:t>
      </w:r>
    </w:p>
    <w:p w:rsidR="009664BD" w:rsidRPr="005846DC" w:rsidRDefault="009F4B43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خدمات التصنيف لت</w:t>
      </w:r>
      <w:r w:rsidR="009664BD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يسير التحديث</w:t>
      </w:r>
      <w:r w:rsidR="00D3451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9664BD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التلقائي لأنظمة </w:t>
      </w: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تصنيف نيس</w:t>
      </w:r>
      <w:r w:rsidR="009664BD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،</w:t>
      </w: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وفيينا</w:t>
      </w:r>
      <w:r w:rsidR="009664BD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، </w:t>
      </w:r>
      <w:r w:rsidR="009664BD" w:rsidRPr="005846DC">
        <w:rPr>
          <w:rFonts w:ascii="Arabic Typesetting" w:eastAsia="Times New Roman" w:hAnsi="Arabic Typesetting" w:cs="Arabic Typesetting"/>
          <w:sz w:val="36"/>
          <w:szCs w:val="36"/>
          <w:rtl/>
        </w:rPr>
        <w:t>والتصنيف الدولي للبراءات</w:t>
      </w:r>
      <w:r w:rsidR="009664BD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، ولوكارنو.</w:t>
      </w:r>
    </w:p>
    <w:p w:rsidR="003605FC" w:rsidRPr="005846DC" w:rsidRDefault="003605FC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ا</w:t>
      </w:r>
      <w:r w:rsidR="009F4B43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ستقبال </w:t>
      </w: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الإ</w:t>
      </w:r>
      <w:r w:rsidR="0088502F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شعارات </w:t>
      </w:r>
      <w:r w:rsidR="009F4B43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والبيانات الخاصة بالتعيينات</w:t>
      </w:r>
      <w:r w:rsidR="001E2DFF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Pr="005846DC">
        <w:rPr>
          <w:rFonts w:ascii="Arabic Typesetting" w:eastAsia="Times New Roman" w:hAnsi="Arabic Typesetting" w:cs="Arabic Typesetting"/>
          <w:sz w:val="36"/>
          <w:szCs w:val="36"/>
          <w:rtl/>
        </w:rPr>
        <w:t>بناء على نظام مدريد</w:t>
      </w: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و</w:t>
      </w:r>
      <w:r w:rsidRPr="005846DC">
        <w:rPr>
          <w:rFonts w:ascii="Arabic Typesetting" w:eastAsia="Times New Roman" w:hAnsi="Arabic Typesetting" w:cs="Arabic Typesetting"/>
          <w:sz w:val="36"/>
          <w:szCs w:val="36"/>
          <w:rtl/>
        </w:rPr>
        <w:t>معاهدة التعاون بشأن البراءات</w:t>
      </w:r>
      <w:r w:rsidR="00564F8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564F87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(عن طريق مكتب الملكية الفكرية)</w:t>
      </w: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.</w:t>
      </w:r>
    </w:p>
    <w:p w:rsidR="009F4B43" w:rsidRPr="005846DC" w:rsidRDefault="009F4B43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إرسال الإ</w:t>
      </w:r>
      <w:r w:rsidR="0088502F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شعارات</w:t>
      </w:r>
      <w:r w:rsidR="00D3451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3605FC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الخاصة بالتعيينات </w:t>
      </w:r>
      <w:r w:rsidR="003605FC" w:rsidRPr="005846DC">
        <w:rPr>
          <w:rFonts w:ascii="Arabic Typesetting" w:eastAsia="Times New Roman" w:hAnsi="Arabic Typesetting" w:cs="Arabic Typesetting"/>
          <w:sz w:val="36"/>
          <w:szCs w:val="36"/>
          <w:rtl/>
        </w:rPr>
        <w:t>بناء على نظام مدريد</w:t>
      </w:r>
      <w:r w:rsidR="002D1284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2D1284" w:rsidRPr="005846DC">
        <w:rPr>
          <w:rFonts w:ascii="Arabic Typesetting" w:eastAsia="Times New Roman" w:hAnsi="Arabic Typesetting" w:cs="Arabic Typesetting" w:hint="cs"/>
          <w:sz w:val="36"/>
          <w:szCs w:val="36"/>
          <w:rtl/>
        </w:rPr>
        <w:t>(عن طريق مكتب الملكية الفكرية)</w:t>
      </w:r>
      <w:r w:rsidRPr="005846DC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5016D5" w:rsidRDefault="00500BD8" w:rsidP="00446CCD">
      <w:pPr>
        <w:pStyle w:val="NumberedParaAR"/>
        <w:rPr>
          <w:rtl/>
        </w:rPr>
      </w:pPr>
      <w:r>
        <w:rPr>
          <w:rFonts w:hint="cs"/>
          <w:rtl/>
        </w:rPr>
        <w:t>وسيحدَّث النظام تدريجيا</w:t>
      </w:r>
      <w:r w:rsidR="001E2A79">
        <w:rPr>
          <w:rFonts w:hint="cs"/>
          <w:rtl/>
        </w:rPr>
        <w:t>ً</w:t>
      </w:r>
      <w:r>
        <w:rPr>
          <w:rFonts w:hint="cs"/>
          <w:rtl/>
        </w:rPr>
        <w:t xml:space="preserve"> لدعم المزيد من المعاملات والخدمات بما في ذلك</w:t>
      </w:r>
      <w:r w:rsidR="0058100F">
        <w:rPr>
          <w:rFonts w:hint="cs"/>
          <w:rtl/>
        </w:rPr>
        <w:t>،</w:t>
      </w:r>
      <w:r>
        <w:rPr>
          <w:rFonts w:hint="cs"/>
          <w:rtl/>
        </w:rPr>
        <w:t xml:space="preserve"> ضمن أمور أخرى</w:t>
      </w:r>
      <w:r w:rsidR="0058100F">
        <w:rPr>
          <w:rFonts w:hint="cs"/>
          <w:rtl/>
        </w:rPr>
        <w:t>،</w:t>
      </w:r>
      <w:r>
        <w:rPr>
          <w:rFonts w:hint="cs"/>
          <w:rtl/>
        </w:rPr>
        <w:t xml:space="preserve"> تبادل البيانات مع</w:t>
      </w:r>
      <w:r w:rsidR="002467CB">
        <w:rPr>
          <w:rFonts w:hint="cs"/>
          <w:rtl/>
        </w:rPr>
        <w:t xml:space="preserve"> قواعد بيانات الويبو العالمية وإ</w:t>
      </w:r>
      <w:r>
        <w:rPr>
          <w:rFonts w:hint="cs"/>
          <w:rtl/>
        </w:rPr>
        <w:t xml:space="preserve">حصاءاتها، والنفاذ إلى موارد البيانات المركزية مثل بيانات أسر البراءات، ودعم معاملات </w:t>
      </w:r>
      <w:r w:rsidRPr="00500BD8">
        <w:rPr>
          <w:rtl/>
        </w:rPr>
        <w:t>مكتب تسلم الطلبات بناء على معاهدة التعاون بشأن البراءات</w:t>
      </w:r>
      <w:r w:rsidR="001E2DFF">
        <w:t xml:space="preserve"> </w:t>
      </w:r>
      <w:r w:rsidR="00623DE5">
        <w:rPr>
          <w:rFonts w:hint="cs"/>
          <w:rtl/>
        </w:rPr>
        <w:t>و</w:t>
      </w:r>
      <w:r w:rsidR="00623DE5" w:rsidRPr="00623DE5">
        <w:rPr>
          <w:rtl/>
        </w:rPr>
        <w:t>مكتب المنشأ</w:t>
      </w:r>
      <w:r w:rsidR="001E2DFF">
        <w:t xml:space="preserve"> </w:t>
      </w:r>
      <w:r w:rsidR="00623DE5">
        <w:rPr>
          <w:rFonts w:hint="cs"/>
          <w:rtl/>
        </w:rPr>
        <w:t xml:space="preserve">بموجب </w:t>
      </w:r>
      <w:r w:rsidR="00623DE5">
        <w:rPr>
          <w:rtl/>
        </w:rPr>
        <w:t>نظام مدريد</w:t>
      </w:r>
      <w:r>
        <w:rPr>
          <w:rFonts w:hint="cs"/>
          <w:rtl/>
        </w:rPr>
        <w:t>، إلخ</w:t>
      </w:r>
      <w:r>
        <w:rPr>
          <w:rFonts w:hint="cs"/>
        </w:rPr>
        <w:t>.</w:t>
      </w:r>
    </w:p>
    <w:p w:rsidR="00E45FEA" w:rsidRPr="00CF0FCB" w:rsidRDefault="00E45FEA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</w:rPr>
      </w:pPr>
      <w:r w:rsidRPr="00CF0FC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إطار التعاون</w:t>
      </w:r>
    </w:p>
    <w:p w:rsidR="00D35999" w:rsidRDefault="00F77C8E" w:rsidP="008648AC">
      <w:pPr>
        <w:pStyle w:val="NumberedParaAR"/>
        <w:rPr>
          <w:rtl/>
        </w:rPr>
      </w:pPr>
      <w:r>
        <w:rPr>
          <w:rFonts w:hint="cs"/>
          <w:rtl/>
        </w:rPr>
        <w:t>أعدت الويبو</w:t>
      </w:r>
      <w:r w:rsidR="001E2DFF">
        <w:t xml:space="preserve"> </w:t>
      </w:r>
      <w:r w:rsidR="000B27AB" w:rsidRPr="004F09E8">
        <w:rPr>
          <w:rFonts w:hint="cs"/>
          <w:rtl/>
        </w:rPr>
        <w:t>حزمة برمجيات ن</w:t>
      </w:r>
      <w:r w:rsidR="000B27AB" w:rsidRPr="004F09E8">
        <w:rPr>
          <w:rtl/>
        </w:rPr>
        <w:t xml:space="preserve">ظام </w:t>
      </w:r>
      <w:r w:rsidR="000B27AB" w:rsidRPr="004F09E8">
        <w:rPr>
          <w:rFonts w:hint="cs"/>
          <w:rtl/>
        </w:rPr>
        <w:t>الويبو ل</w:t>
      </w:r>
      <w:r w:rsidR="000B27AB" w:rsidRPr="004F09E8">
        <w:rPr>
          <w:rtl/>
        </w:rPr>
        <w:t>إدارة الملكية الصناعية</w:t>
      </w:r>
      <w:r w:rsidR="000B27AB" w:rsidRPr="004F09E8">
        <w:rPr>
          <w:rFonts w:hint="cs"/>
          <w:rtl/>
        </w:rPr>
        <w:t xml:space="preserve"> الموجهة للمكاتب</w:t>
      </w:r>
      <w:r w:rsidR="001E2DFF">
        <w:t xml:space="preserve"> </w:t>
      </w:r>
      <w:r w:rsidR="000B27AB" w:rsidRPr="00F77C8E">
        <w:rPr>
          <w:rtl/>
        </w:rPr>
        <w:t>وتمتلك الحقوق الكاملة عليها</w:t>
      </w:r>
      <w:r>
        <w:rPr>
          <w:rFonts w:hint="cs"/>
          <w:rtl/>
        </w:rPr>
        <w:t>، وت</w:t>
      </w:r>
      <w:r w:rsidR="005016D5">
        <w:rPr>
          <w:rFonts w:hint="cs"/>
          <w:rtl/>
        </w:rPr>
        <w:t>وفر</w:t>
      </w:r>
      <w:r>
        <w:rPr>
          <w:rFonts w:hint="cs"/>
          <w:rtl/>
        </w:rPr>
        <w:t>ها لمكاتب الملكية الفكرية التابعة للدول الأعضاء في ال</w:t>
      </w:r>
      <w:r w:rsidR="005016D5">
        <w:rPr>
          <w:rFonts w:hint="cs"/>
          <w:rtl/>
        </w:rPr>
        <w:t>منظمة</w:t>
      </w:r>
      <w:r>
        <w:rPr>
          <w:rFonts w:hint="cs"/>
          <w:rtl/>
        </w:rPr>
        <w:t xml:space="preserve"> مجاناً في إطار خدمات المساعدة ال</w:t>
      </w:r>
      <w:r w:rsidR="005016D5">
        <w:rPr>
          <w:rFonts w:hint="cs"/>
          <w:rtl/>
        </w:rPr>
        <w:t>تق</w:t>
      </w:r>
      <w:r>
        <w:rPr>
          <w:rFonts w:hint="cs"/>
          <w:rtl/>
        </w:rPr>
        <w:t xml:space="preserve">نية التي تقدمها الويبو. </w:t>
      </w:r>
      <w:r>
        <w:rPr>
          <w:rFonts w:hint="cs"/>
          <w:rtl/>
        </w:rPr>
        <w:lastRenderedPageBreak/>
        <w:t>فقبل بدء أي مشروع، توقع الويبو ومكتب الملكية الفكرية (أو الوزارة الم</w:t>
      </w:r>
      <w:r w:rsidR="00D35999">
        <w:rPr>
          <w:rFonts w:hint="cs"/>
          <w:rtl/>
        </w:rPr>
        <w:t>عنية</w:t>
      </w:r>
      <w:r>
        <w:rPr>
          <w:rFonts w:hint="cs"/>
          <w:rtl/>
        </w:rPr>
        <w:t>) اتفاق تعاون يحدد المسؤولية المشتركة عن التنفيذ، وشروط وأحكام استخدام أنظمة الويبو</w:t>
      </w:r>
      <w:r w:rsidR="001E2DFF">
        <w:t xml:space="preserve"> </w:t>
      </w:r>
      <w:r w:rsidR="00D35999">
        <w:rPr>
          <w:rFonts w:hint="cs"/>
          <w:rtl/>
        </w:rPr>
        <w:t xml:space="preserve">البرمجية، ومتطلبات السرية </w:t>
      </w:r>
      <w:r>
        <w:rPr>
          <w:rFonts w:hint="cs"/>
          <w:rtl/>
        </w:rPr>
        <w:t>وغيرها من الأحكام</w:t>
      </w:r>
      <w:r>
        <w:rPr>
          <w:rFonts w:hint="cs"/>
        </w:rPr>
        <w:t>.</w:t>
      </w:r>
    </w:p>
    <w:p w:rsidR="008A06D8" w:rsidRDefault="00F54861" w:rsidP="008648AC">
      <w:pPr>
        <w:pStyle w:val="NumberedParaAR"/>
        <w:rPr>
          <w:rtl/>
        </w:rPr>
      </w:pPr>
      <w:r w:rsidRPr="0069448A">
        <w:rPr>
          <w:rFonts w:hint="cs"/>
          <w:rtl/>
        </w:rPr>
        <w:t>وتُنظ</w:t>
      </w:r>
      <w:r w:rsidR="005016D5">
        <w:rPr>
          <w:rFonts w:hint="cs"/>
          <w:rtl/>
        </w:rPr>
        <w:t>َّ</w:t>
      </w:r>
      <w:r w:rsidRPr="0069448A">
        <w:rPr>
          <w:rFonts w:hint="cs"/>
          <w:rtl/>
        </w:rPr>
        <w:t>م المشروعات وفقا</w:t>
      </w:r>
      <w:r w:rsidR="005016D5">
        <w:rPr>
          <w:rFonts w:hint="cs"/>
          <w:rtl/>
        </w:rPr>
        <w:t>ً</w:t>
      </w:r>
      <w:r w:rsidRPr="0069448A">
        <w:rPr>
          <w:rFonts w:hint="cs"/>
          <w:rtl/>
        </w:rPr>
        <w:t xml:space="preserve"> لنموذج </w:t>
      </w:r>
      <w:r w:rsidR="008648AC">
        <w:rPr>
          <w:rFonts w:hint="cs"/>
          <w:rtl/>
        </w:rPr>
        <w:t>ال</w:t>
      </w:r>
      <w:r w:rsidRPr="0069448A">
        <w:rPr>
          <w:rFonts w:hint="cs"/>
          <w:rtl/>
        </w:rPr>
        <w:t xml:space="preserve">مسؤولية </w:t>
      </w:r>
      <w:r w:rsidR="008648AC">
        <w:rPr>
          <w:rFonts w:hint="cs"/>
          <w:rtl/>
        </w:rPr>
        <w:t>ال</w:t>
      </w:r>
      <w:r w:rsidRPr="0069448A">
        <w:rPr>
          <w:rFonts w:hint="cs"/>
          <w:rtl/>
        </w:rPr>
        <w:t>مشترك</w:t>
      </w:r>
      <w:r w:rsidR="008648AC">
        <w:rPr>
          <w:rFonts w:hint="cs"/>
          <w:rtl/>
        </w:rPr>
        <w:t>ة</w:t>
      </w:r>
      <w:r w:rsidRPr="0069448A">
        <w:rPr>
          <w:rFonts w:hint="cs"/>
          <w:rtl/>
        </w:rPr>
        <w:t xml:space="preserve">، </w:t>
      </w:r>
      <w:r w:rsidR="00DF53C6">
        <w:rPr>
          <w:rFonts w:hint="cs"/>
          <w:rtl/>
          <w:lang w:val="fr-FR" w:bidi="ar-EG"/>
        </w:rPr>
        <w:t>بغية</w:t>
      </w:r>
      <w:r w:rsidR="00D34514">
        <w:rPr>
          <w:rFonts w:hint="cs"/>
          <w:rtl/>
          <w:lang w:val="fr-FR" w:bidi="ar-EG"/>
        </w:rPr>
        <w:t xml:space="preserve"> </w:t>
      </w:r>
      <w:r w:rsidRPr="0069448A">
        <w:rPr>
          <w:rFonts w:hint="cs"/>
          <w:rtl/>
        </w:rPr>
        <w:t xml:space="preserve">مساعدة </w:t>
      </w:r>
      <w:r w:rsidRPr="0069448A">
        <w:rPr>
          <w:rtl/>
        </w:rPr>
        <w:t xml:space="preserve">مكاتب </w:t>
      </w:r>
      <w:r w:rsidRPr="0069448A">
        <w:rPr>
          <w:rFonts w:hint="cs"/>
          <w:rtl/>
        </w:rPr>
        <w:t xml:space="preserve">الملكية الفكرية </w:t>
      </w:r>
      <w:r w:rsidRPr="0069448A">
        <w:rPr>
          <w:rtl/>
        </w:rPr>
        <w:t xml:space="preserve">على الرفع من قدراتها إلى أقصى حد ممكن باستخدام </w:t>
      </w:r>
      <w:r w:rsidR="00D34514">
        <w:rPr>
          <w:rFonts w:hint="cs"/>
          <w:rtl/>
        </w:rPr>
        <w:t xml:space="preserve">برمجيات </w:t>
      </w:r>
      <w:r w:rsidRPr="0069448A">
        <w:rPr>
          <w:rtl/>
        </w:rPr>
        <w:t>الويبو</w:t>
      </w:r>
      <w:r w:rsidR="00D34514">
        <w:rPr>
          <w:rFonts w:hint="cs"/>
          <w:rtl/>
        </w:rPr>
        <w:t xml:space="preserve"> </w:t>
      </w:r>
      <w:r w:rsidRPr="0069448A">
        <w:rPr>
          <w:rtl/>
        </w:rPr>
        <w:t>وإقامة مشروعات مستدامة على المدى الطويل.</w:t>
      </w:r>
    </w:p>
    <w:p w:rsidR="00E45FEA" w:rsidRPr="0069448A" w:rsidRDefault="008A06D8" w:rsidP="008648AC">
      <w:pPr>
        <w:pStyle w:val="NumberedParaAR"/>
      </w:pPr>
      <w:r>
        <w:rPr>
          <w:rFonts w:hint="cs"/>
          <w:rtl/>
        </w:rPr>
        <w:t>و</w:t>
      </w:r>
      <w:r w:rsidR="00E45FEA" w:rsidRPr="0069448A">
        <w:rPr>
          <w:rtl/>
        </w:rPr>
        <w:t>تبدأ المشروعات بناء على طلب من مكتب الملكية الفكرية المعني. ويُجرى بع</w:t>
      </w:r>
      <w:r w:rsidR="00D34514">
        <w:rPr>
          <w:rtl/>
        </w:rPr>
        <w:t>د ذلك تقييم للاحتياجات والقدرات</w:t>
      </w:r>
      <w:r w:rsidR="00D34514">
        <w:rPr>
          <w:rFonts w:hint="cs"/>
          <w:rtl/>
        </w:rPr>
        <w:t xml:space="preserve"> </w:t>
      </w:r>
      <w:r w:rsidR="00E45FEA" w:rsidRPr="0069448A">
        <w:rPr>
          <w:rtl/>
        </w:rPr>
        <w:t>ومدى ملاءمة برمجيات الويبو لمكاتب الملكية الفكرية. وإذا وافق الطرفان على بدء المشروع، تُرسم خطة للمشروع لتحديد الأدوار والمسؤوليات والاحتياجات من الموارد</w:t>
      </w:r>
      <w:r w:rsidR="005375E6">
        <w:rPr>
          <w:rFonts w:hint="cs"/>
          <w:rtl/>
        </w:rPr>
        <w:t>،</w:t>
      </w:r>
      <w:r w:rsidR="00E45FEA" w:rsidRPr="0069448A">
        <w:rPr>
          <w:rtl/>
        </w:rPr>
        <w:t xml:space="preserve"> والنتائج المتوقعة</w:t>
      </w:r>
      <w:r>
        <w:rPr>
          <w:rFonts w:hint="cs"/>
          <w:rtl/>
        </w:rPr>
        <w:t>.</w:t>
      </w:r>
      <w:r w:rsidR="001E2DFF">
        <w:t xml:space="preserve"> </w:t>
      </w:r>
      <w:r>
        <w:rPr>
          <w:rFonts w:hint="cs"/>
          <w:rtl/>
        </w:rPr>
        <w:t>وت</w:t>
      </w:r>
      <w:r w:rsidR="00D34514">
        <w:rPr>
          <w:rFonts w:hint="cs"/>
          <w:rtl/>
        </w:rPr>
        <w:t xml:space="preserve">شمل </w:t>
      </w:r>
      <w:r>
        <w:rPr>
          <w:rFonts w:hint="cs"/>
          <w:rtl/>
        </w:rPr>
        <w:t>عملية التقييم الشروط الضرورية المسبقة لنجاح المشروع، كما هو موضح أدناه</w:t>
      </w:r>
      <w:r>
        <w:rPr>
          <w:rFonts w:hint="cs"/>
        </w:rPr>
        <w:t>.</w:t>
      </w:r>
    </w:p>
    <w:p w:rsidR="00E45FEA" w:rsidRPr="0069448A" w:rsidRDefault="00F55989" w:rsidP="00D236C5">
      <w:pPr>
        <w:jc w:val="center"/>
      </w:pPr>
      <w:r>
        <w:rPr>
          <w:noProof/>
        </w:rPr>
        <w:drawing>
          <wp:inline distT="0" distB="0" distL="0" distR="0" wp14:anchorId="76CA5031">
            <wp:extent cx="3956050" cy="2686978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839" cy="2688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2D7" w:rsidRPr="00691007" w:rsidRDefault="008A06D8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8648A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</w:rPr>
        <w:t>ال</w:t>
      </w:r>
      <w:r w:rsidR="005375E6" w:rsidRPr="008648A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</w:rPr>
        <w:t>تمويل</w:t>
      </w:r>
      <w:r w:rsidRPr="008648A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</w:rPr>
        <w:t>: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توافر رأس المال و</w:t>
      </w:r>
      <w:r w:rsidR="0091264E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ال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ميزانية التشغيل</w:t>
      </w:r>
      <w:r w:rsidR="0091264E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ية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لبدء المشروع</w:t>
      </w:r>
      <w:r w:rsidR="000D07B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والحفاظ عليه. و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قد </w:t>
      </w:r>
      <w:r w:rsidR="00306854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ت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كون الاستثمار</w:t>
      </w:r>
      <w:r w:rsidR="00306854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ات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الرأسمالي</w:t>
      </w:r>
      <w:r w:rsidR="00306854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ة أمراً ضرورياً ل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لبنية التحتية لتكنولوجيا المعلومات ومعدات</w:t>
      </w:r>
      <w:r w:rsidR="00306854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ها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، بينما تكون </w:t>
      </w:r>
      <w:r w:rsidR="00D36AF5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الحاجة إلى </w:t>
      </w:r>
      <w:r w:rsidR="008736F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النفقات 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التشغيل</w:t>
      </w:r>
      <w:r w:rsidR="008736F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ية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9842D7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في الغالب </w:t>
      </w:r>
      <w:r w:rsidR="00D36AF5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لأغراض </w:t>
      </w:r>
      <w:r w:rsidR="009842D7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عمليات الترقية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وقطع الغيار وما إلى ذلك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691007" w:rsidRDefault="009C6486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8648A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</w:rPr>
        <w:t>التشريعات</w:t>
      </w:r>
      <w:r w:rsidR="009842D7" w:rsidRPr="008648A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</w:rPr>
        <w:t>:</w:t>
      </w:r>
      <w:r w:rsidR="009842D7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ينبغي </w:t>
      </w:r>
      <w:r w:rsidR="001B697E">
        <w:rPr>
          <w:rFonts w:ascii="Arabic Typesetting" w:eastAsia="Times New Roman" w:hAnsi="Arabic Typesetting" w:cs="Arabic Typesetting" w:hint="cs"/>
          <w:sz w:val="36"/>
          <w:szCs w:val="36"/>
          <w:rtl/>
        </w:rPr>
        <w:t>إرساء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قوانين </w:t>
      </w:r>
      <w:r w:rsidR="009842D7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ولوائح ل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لملكية الفكرية</w:t>
      </w:r>
      <w:r w:rsidR="000820AC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="009842D7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وشروط تشغيلية دنيا في تنظيم مكتب الملكية الفكرية مع ما يتطلبه</w:t>
      </w:r>
      <w:r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ذلك</w:t>
      </w:r>
      <w:r w:rsidR="00041975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من موظفين. </w:t>
      </w:r>
      <w:r w:rsidR="009842D7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أما</w:t>
      </w:r>
      <w:r w:rsidR="006B731E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بالنسبة للخدمات عبر الإنترنت، </w:t>
      </w:r>
      <w:r w:rsidR="0027184B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ف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يجب</w:t>
      </w:r>
      <w:r w:rsidR="0027184B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إرساء 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إطار تشريعي مناسب (قانون </w:t>
      </w:r>
      <w:r w:rsidR="0027184B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ل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لاتصالات الإلكتروني</w:t>
      </w:r>
      <w:r w:rsidR="0027184B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ة</w:t>
      </w:r>
      <w:r w:rsidR="008A06D8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>، أو ما شابه</w:t>
      </w:r>
      <w:r w:rsidR="0027184B" w:rsidRPr="00691007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ذلك).</w:t>
      </w:r>
    </w:p>
    <w:p w:rsidR="00691007" w:rsidRPr="00691007" w:rsidRDefault="009C6486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تكنولوجيا المعلومات: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301324">
        <w:rPr>
          <w:rFonts w:ascii="Arabic Typesetting" w:hAnsi="Arabic Typesetting" w:cs="Arabic Typesetting" w:hint="cs"/>
          <w:sz w:val="36"/>
          <w:szCs w:val="36"/>
          <w:rtl/>
        </w:rPr>
        <w:t>ينبغي وضع</w:t>
      </w:r>
      <w:r w:rsidR="001F44AA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الأجهزة والشبكات والبنية التحتية المادية </w:t>
      </w:r>
      <w:r w:rsidR="001F44AA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والأمنية المناسبة حسب 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>المشروع والأنظمة التي</w:t>
      </w:r>
      <w:r w:rsidR="001E531E">
        <w:rPr>
          <w:rFonts w:ascii="Arabic Typesetting" w:hAnsi="Arabic Typesetting" w:cs="Arabic Typesetting"/>
          <w:sz w:val="36"/>
          <w:szCs w:val="36"/>
        </w:rPr>
        <w:t xml:space="preserve"> </w:t>
      </w:r>
      <w:r w:rsidR="001E531E">
        <w:rPr>
          <w:rFonts w:ascii="Arabic Typesetting" w:hAnsi="Arabic Typesetting" w:cs="Arabic Typesetting" w:hint="cs"/>
          <w:sz w:val="36"/>
          <w:szCs w:val="36"/>
          <w:rtl/>
        </w:rPr>
        <w:t>ست</w:t>
      </w:r>
      <w:r w:rsidR="00301324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="001E531E">
        <w:rPr>
          <w:rFonts w:ascii="Arabic Typesetting" w:hAnsi="Arabic Typesetting" w:cs="Arabic Typesetting" w:hint="cs"/>
          <w:sz w:val="36"/>
          <w:szCs w:val="36"/>
          <w:rtl/>
        </w:rPr>
        <w:t>ستخدم تبعاً لذلك</w:t>
      </w:r>
      <w:r w:rsidR="001F44AA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. فقد 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أصبحت الحاجة إلى </w:t>
      </w:r>
      <w:r w:rsidR="001F44AA" w:rsidRPr="00691007">
        <w:rPr>
          <w:rFonts w:ascii="Arabic Typesetting" w:hAnsi="Arabic Typesetting" w:cs="Arabic Typesetting" w:hint="cs"/>
          <w:sz w:val="36"/>
          <w:szCs w:val="36"/>
          <w:rtl/>
        </w:rPr>
        <w:t>خدمة إنترنت جيدة من الأولويات في الوقت الحالي حتى تستطيع ا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لمكاتب توفير </w:t>
      </w:r>
      <w:r w:rsidR="00186CDC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>خدمات</w:t>
      </w:r>
      <w:r w:rsidR="001F44AA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186CDC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="001F44AA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إلكترونية 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>والانخراط في أنشطة الدعم والتدريب عن بعد</w:t>
      </w:r>
      <w:r w:rsidRPr="00691007">
        <w:rPr>
          <w:rFonts w:ascii="Arabic Typesetting" w:hAnsi="Arabic Typesetting" w:cs="Arabic Typesetting" w:hint="cs"/>
          <w:sz w:val="36"/>
          <w:szCs w:val="36"/>
        </w:rPr>
        <w:t>.</w:t>
      </w:r>
    </w:p>
    <w:p w:rsidR="0007193E" w:rsidRPr="0007193E" w:rsidRDefault="000E472B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الموارد البشرية:</w:t>
      </w:r>
      <w:r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 وجود موظفين متخصصين في تكنولوجيا المعلومات على المستوى المحلي يمكنهم تقديم الدعم اليومي </w:t>
      </w:r>
      <w:r w:rsidR="009C6486" w:rsidRPr="00691007">
        <w:rPr>
          <w:rFonts w:ascii="Arabic Typesetting" w:hAnsi="Arabic Typesetting" w:cs="Arabic Typesetting" w:hint="cs"/>
          <w:sz w:val="36"/>
          <w:szCs w:val="36"/>
          <w:rtl/>
        </w:rPr>
        <w:t>للأنظمة والبنية التحتية</w:t>
      </w:r>
      <w:r w:rsidR="007826A8" w:rsidRPr="00691007">
        <w:rPr>
          <w:rFonts w:ascii="Arabic Typesetting" w:hAnsi="Arabic Typesetting" w:cs="Arabic Typesetting" w:hint="cs"/>
          <w:sz w:val="36"/>
          <w:szCs w:val="36"/>
          <w:rtl/>
        </w:rPr>
        <w:t>. ول</w:t>
      </w:r>
      <w:r w:rsidR="009C6486" w:rsidRPr="00691007">
        <w:rPr>
          <w:rFonts w:ascii="Arabic Typesetting" w:hAnsi="Arabic Typesetting" w:cs="Arabic Typesetting" w:hint="cs"/>
          <w:sz w:val="36"/>
          <w:szCs w:val="36"/>
          <w:rtl/>
        </w:rPr>
        <w:t>لويبو</w:t>
      </w:r>
      <w:r w:rsidR="001E2DFF">
        <w:rPr>
          <w:rFonts w:ascii="Arabic Typesetting" w:hAnsi="Arabic Typesetting" w:cs="Arabic Typesetting"/>
          <w:sz w:val="36"/>
          <w:szCs w:val="36"/>
        </w:rPr>
        <w:t xml:space="preserve"> </w:t>
      </w:r>
      <w:r w:rsidR="00436611" w:rsidRPr="00691007">
        <w:rPr>
          <w:rFonts w:ascii="Arabic Typesetting" w:hAnsi="Arabic Typesetting" w:cs="Arabic Typesetting" w:hint="cs"/>
          <w:sz w:val="36"/>
          <w:szCs w:val="36"/>
          <w:rtl/>
        </w:rPr>
        <w:t>مواصفات ل</w:t>
      </w:r>
      <w:r w:rsidR="009C6486" w:rsidRPr="00691007">
        <w:rPr>
          <w:rFonts w:ascii="Arabic Typesetting" w:hAnsi="Arabic Typesetting" w:cs="Arabic Typesetting" w:hint="cs"/>
          <w:sz w:val="36"/>
          <w:szCs w:val="36"/>
          <w:rtl/>
        </w:rPr>
        <w:t>لمهارات ال</w:t>
      </w:r>
      <w:r w:rsidR="00436611" w:rsidRPr="00691007">
        <w:rPr>
          <w:rFonts w:ascii="Arabic Typesetting" w:hAnsi="Arabic Typesetting" w:cs="Arabic Typesetting" w:hint="cs"/>
          <w:sz w:val="36"/>
          <w:szCs w:val="36"/>
          <w:rtl/>
        </w:rPr>
        <w:t>مطلوبة من ا</w:t>
      </w:r>
      <w:r w:rsidR="00B00040">
        <w:rPr>
          <w:rFonts w:ascii="Arabic Typesetting" w:hAnsi="Arabic Typesetting" w:cs="Arabic Typesetting" w:hint="cs"/>
          <w:sz w:val="36"/>
          <w:szCs w:val="36"/>
          <w:rtl/>
        </w:rPr>
        <w:t>لمديري</w:t>
      </w:r>
      <w:r w:rsidR="009C6486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ن المحليين الذين ينبغي أن </w:t>
      </w:r>
      <w:r w:rsidR="00436611" w:rsidRPr="00691007"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="009C6486" w:rsidRPr="00691007">
        <w:rPr>
          <w:rFonts w:ascii="Arabic Typesetting" w:hAnsi="Arabic Typesetting" w:cs="Arabic Typesetting" w:hint="cs"/>
          <w:sz w:val="36"/>
          <w:szCs w:val="36"/>
          <w:rtl/>
        </w:rPr>
        <w:t>كون لديهم معرفة</w:t>
      </w:r>
      <w:r w:rsidR="00B00040">
        <w:rPr>
          <w:rFonts w:ascii="Arabic Typesetting" w:hAnsi="Arabic Typesetting" w:cs="Arabic Typesetting" w:hint="cs"/>
          <w:sz w:val="36"/>
          <w:szCs w:val="36"/>
          <w:rtl/>
        </w:rPr>
        <w:t xml:space="preserve"> أساسية</w:t>
      </w:r>
      <w:r w:rsidR="009C6486" w:rsidRPr="00691007">
        <w:rPr>
          <w:rFonts w:ascii="Arabic Typesetting" w:hAnsi="Arabic Typesetting" w:cs="Arabic Typesetting" w:hint="cs"/>
          <w:sz w:val="36"/>
          <w:szCs w:val="36"/>
          <w:rtl/>
        </w:rPr>
        <w:t xml:space="preserve"> بأنشطة إدارة تكنولوجيا المعلومات والشبكات</w:t>
      </w:r>
      <w:r w:rsidR="009C6486" w:rsidRPr="00691007">
        <w:rPr>
          <w:rFonts w:ascii="Arabic Typesetting" w:hAnsi="Arabic Typesetting" w:cs="Arabic Typesetting" w:hint="cs"/>
          <w:sz w:val="36"/>
          <w:szCs w:val="36"/>
        </w:rPr>
        <w:t>.</w:t>
      </w:r>
    </w:p>
    <w:p w:rsidR="0007193E" w:rsidRPr="0007193E" w:rsidRDefault="00436611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الاستقرار:</w:t>
      </w:r>
      <w:r w:rsidRPr="0007193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0E472B" w:rsidRPr="0007193E">
        <w:rPr>
          <w:rFonts w:ascii="Arabic Typesetting" w:hAnsi="Arabic Typesetting" w:cs="Arabic Typesetting" w:hint="cs"/>
          <w:sz w:val="36"/>
          <w:szCs w:val="36"/>
          <w:rtl/>
        </w:rPr>
        <w:t>تع</w:t>
      </w:r>
      <w:r w:rsidRPr="0007193E">
        <w:rPr>
          <w:rFonts w:ascii="Arabic Typesetting" w:hAnsi="Arabic Typesetting" w:cs="Arabic Typesetting" w:hint="cs"/>
          <w:sz w:val="36"/>
          <w:szCs w:val="36"/>
          <w:rtl/>
        </w:rPr>
        <w:t>د</w:t>
      </w:r>
      <w:r w:rsidR="000E472B" w:rsidRPr="0007193E">
        <w:rPr>
          <w:rFonts w:ascii="Arabic Typesetting" w:hAnsi="Arabic Typesetting" w:cs="Arabic Typesetting" w:hint="cs"/>
          <w:sz w:val="36"/>
          <w:szCs w:val="36"/>
          <w:rtl/>
        </w:rPr>
        <w:t xml:space="preserve"> الإدارة المستقرة وانخفاض معدل دوران الموظفين وموارد تكنولوجيا المعلومات المحلية </w:t>
      </w:r>
      <w:r w:rsidR="007335FF" w:rsidRPr="0007193E">
        <w:rPr>
          <w:rFonts w:ascii="Arabic Typesetting" w:hAnsi="Arabic Typesetting" w:cs="Arabic Typesetting" w:hint="cs"/>
          <w:sz w:val="36"/>
          <w:szCs w:val="36"/>
          <w:rtl/>
        </w:rPr>
        <w:t xml:space="preserve">عناصر </w:t>
      </w:r>
      <w:r w:rsidR="000E472B" w:rsidRPr="0007193E">
        <w:rPr>
          <w:rFonts w:ascii="Arabic Typesetting" w:hAnsi="Arabic Typesetting" w:cs="Arabic Typesetting" w:hint="cs"/>
          <w:sz w:val="36"/>
          <w:szCs w:val="36"/>
          <w:rtl/>
        </w:rPr>
        <w:t>مهمة لاستمرارية المشاريع</w:t>
      </w:r>
      <w:r w:rsidR="000E472B" w:rsidRPr="0007193E">
        <w:rPr>
          <w:rFonts w:ascii="Arabic Typesetting" w:hAnsi="Arabic Typesetting" w:cs="Arabic Typesetting" w:hint="cs"/>
          <w:sz w:val="36"/>
          <w:szCs w:val="36"/>
        </w:rPr>
        <w:t>.</w:t>
      </w:r>
    </w:p>
    <w:p w:rsidR="007335FF" w:rsidRPr="0007193E" w:rsidRDefault="000E472B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التعاون مع الويبو:</w:t>
      </w:r>
      <w:r w:rsidRPr="0007193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7335FF" w:rsidRPr="0007193E">
        <w:rPr>
          <w:rFonts w:ascii="Arabic Typesetting" w:hAnsi="Arabic Typesetting" w:cs="Arabic Typesetting" w:hint="cs"/>
          <w:sz w:val="36"/>
          <w:szCs w:val="36"/>
          <w:rtl/>
        </w:rPr>
        <w:t>توقيع اتفاق التعاون</w:t>
      </w:r>
      <w:r w:rsidR="001E2DFF" w:rsidRPr="0007193E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7193E">
        <w:rPr>
          <w:rFonts w:ascii="Arabic Typesetting" w:hAnsi="Arabic Typesetting" w:cs="Arabic Typesetting" w:hint="cs"/>
          <w:sz w:val="36"/>
          <w:szCs w:val="36"/>
          <w:rtl/>
        </w:rPr>
        <w:t>قبل الشروع في المشاريع</w:t>
      </w:r>
      <w:r w:rsidR="007335FF" w:rsidRPr="0007193E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E45FEA" w:rsidRDefault="00E45FEA" w:rsidP="008648AC">
      <w:pPr>
        <w:pStyle w:val="NumberedParaAR"/>
        <w:rPr>
          <w:rtl/>
        </w:rPr>
      </w:pPr>
      <w:r w:rsidRPr="007335FF">
        <w:rPr>
          <w:rFonts w:hint="cs"/>
          <w:rtl/>
        </w:rPr>
        <w:lastRenderedPageBreak/>
        <w:t>وتوفر الويبو موارد ل</w:t>
      </w:r>
      <w:r w:rsidRPr="007335FF">
        <w:rPr>
          <w:rtl/>
        </w:rPr>
        <w:t>تطوير البرمجيات وصيانتها ودعمها</w:t>
      </w:r>
      <w:r w:rsidRPr="007335FF">
        <w:rPr>
          <w:rFonts w:hint="cs"/>
          <w:rtl/>
        </w:rPr>
        <w:t xml:space="preserve">. </w:t>
      </w:r>
      <w:r w:rsidRPr="007335FF">
        <w:rPr>
          <w:rtl/>
        </w:rPr>
        <w:t>ولدى الويبو أيضا</w:t>
      </w:r>
      <w:r w:rsidR="007335FF">
        <w:rPr>
          <w:rFonts w:hint="cs"/>
          <w:rtl/>
        </w:rPr>
        <w:t>ً</w:t>
      </w:r>
      <w:r w:rsidRPr="007335FF">
        <w:rPr>
          <w:rtl/>
        </w:rPr>
        <w:t xml:space="preserve"> شبكة من الخبراء في جنيف وفي جميع مناطق العالم لتقديم المساعدة والمشورة وخدمات إدارة المشروعات للمكاتب في عين المكان</w:t>
      </w:r>
      <w:r w:rsidRPr="007335FF">
        <w:t>.</w:t>
      </w:r>
    </w:p>
    <w:p w:rsidR="00453087" w:rsidRDefault="00401084" w:rsidP="008648AC">
      <w:pPr>
        <w:pStyle w:val="NumberedParaAR"/>
        <w:rPr>
          <w:rtl/>
        </w:rPr>
      </w:pPr>
      <w:r>
        <w:rPr>
          <w:rFonts w:hint="cs"/>
          <w:rtl/>
        </w:rPr>
        <w:t>و</w:t>
      </w:r>
      <w:r w:rsidR="00E45FEA" w:rsidRPr="00453087">
        <w:rPr>
          <w:rtl/>
        </w:rPr>
        <w:t>ت</w:t>
      </w:r>
      <w:r>
        <w:rPr>
          <w:rFonts w:hint="cs"/>
          <w:rtl/>
        </w:rPr>
        <w:t xml:space="preserve">عمل </w:t>
      </w:r>
      <w:r w:rsidR="00E45FEA" w:rsidRPr="00453087">
        <w:rPr>
          <w:rtl/>
        </w:rPr>
        <w:t xml:space="preserve">الويبو </w:t>
      </w:r>
      <w:r>
        <w:rPr>
          <w:rFonts w:hint="cs"/>
          <w:rtl/>
        </w:rPr>
        <w:t xml:space="preserve">على نقل </w:t>
      </w:r>
      <w:r w:rsidR="00E45FEA" w:rsidRPr="00453087">
        <w:rPr>
          <w:rtl/>
        </w:rPr>
        <w:t>المعرفة إلى مكتب الملكية الفكرية قدر الإمكان من خلال تدريب المستخدمين والموظفين التقنيين في عين المكان وعبر تنظيم حلقات عمل إقليمية وفقا</w:t>
      </w:r>
      <w:r w:rsidR="00026E13">
        <w:rPr>
          <w:rFonts w:hint="cs"/>
          <w:rtl/>
        </w:rPr>
        <w:t>ً</w:t>
      </w:r>
      <w:r w:rsidR="00E45FEA" w:rsidRPr="00453087">
        <w:rPr>
          <w:rtl/>
        </w:rPr>
        <w:t xml:space="preserve"> للطلب والموارد المتاحة</w:t>
      </w:r>
      <w:r w:rsidR="00E45FEA" w:rsidRPr="00453087">
        <w:t>.</w:t>
      </w:r>
    </w:p>
    <w:p w:rsidR="00453087" w:rsidRPr="00A931C5" w:rsidRDefault="00453087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931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مزايا حلول الويبو</w:t>
      </w:r>
    </w:p>
    <w:p w:rsidR="00CC0A0B" w:rsidRDefault="00453087" w:rsidP="008648AC">
      <w:pPr>
        <w:pStyle w:val="NumberedParaAR"/>
        <w:rPr>
          <w:rtl/>
        </w:rPr>
      </w:pPr>
      <w:r w:rsidRPr="00453087">
        <w:rPr>
          <w:rFonts w:hint="cs"/>
          <w:rtl/>
        </w:rPr>
        <w:t xml:space="preserve">لمكاتب الملكية الفكرية </w:t>
      </w:r>
      <w:r w:rsidR="00E8518E">
        <w:rPr>
          <w:rFonts w:hint="cs"/>
          <w:rtl/>
        </w:rPr>
        <w:t>ال</w:t>
      </w:r>
      <w:r w:rsidRPr="00453087">
        <w:rPr>
          <w:rFonts w:hint="cs"/>
          <w:rtl/>
        </w:rPr>
        <w:t xml:space="preserve">خيار </w:t>
      </w:r>
      <w:r w:rsidR="00E8518E" w:rsidRPr="00453087">
        <w:rPr>
          <w:rFonts w:hint="cs"/>
          <w:rtl/>
        </w:rPr>
        <w:t>عند تنفيذ حلول الأعمال</w:t>
      </w:r>
      <w:r w:rsidR="001E2DFF">
        <w:t xml:space="preserve"> </w:t>
      </w:r>
      <w:r w:rsidR="00E8518E">
        <w:rPr>
          <w:rFonts w:hint="cs"/>
          <w:rtl/>
        </w:rPr>
        <w:t>ل</w:t>
      </w:r>
      <w:r w:rsidRPr="00453087">
        <w:rPr>
          <w:rFonts w:hint="cs"/>
          <w:rtl/>
        </w:rPr>
        <w:t>أتمتة العمليات الداخلية وتوفير الخدمات عبر الإنترنت</w:t>
      </w:r>
      <w:r w:rsidR="001B3149">
        <w:rPr>
          <w:rFonts w:hint="cs"/>
          <w:rtl/>
        </w:rPr>
        <w:t xml:space="preserve"> إذ </w:t>
      </w:r>
      <w:r w:rsidR="00EE5F84">
        <w:rPr>
          <w:rFonts w:hint="cs"/>
          <w:rtl/>
        </w:rPr>
        <w:t>يقد</w:t>
      </w:r>
      <w:r w:rsidR="00BF72F8">
        <w:rPr>
          <w:rFonts w:hint="cs"/>
          <w:rtl/>
        </w:rPr>
        <w:t>ِّ</w:t>
      </w:r>
      <w:r w:rsidR="00EE5F84">
        <w:rPr>
          <w:rFonts w:hint="cs"/>
          <w:rtl/>
        </w:rPr>
        <w:t>م</w:t>
      </w:r>
      <w:r w:rsidR="001E2DFF">
        <w:t xml:space="preserve"> </w:t>
      </w:r>
      <w:r w:rsidRPr="00453087">
        <w:rPr>
          <w:rFonts w:hint="cs"/>
          <w:rtl/>
        </w:rPr>
        <w:t xml:space="preserve">عدد صغير من الشركات الخاصة </w:t>
      </w:r>
      <w:r w:rsidR="00EE5F84">
        <w:rPr>
          <w:rFonts w:hint="cs"/>
          <w:rtl/>
        </w:rPr>
        <w:t xml:space="preserve">برمجيات </w:t>
      </w:r>
      <w:r w:rsidRPr="00453087">
        <w:rPr>
          <w:rFonts w:hint="cs"/>
          <w:rtl/>
        </w:rPr>
        <w:t>مصم</w:t>
      </w:r>
      <w:r w:rsidR="001B697E">
        <w:rPr>
          <w:rFonts w:hint="cs"/>
          <w:rtl/>
        </w:rPr>
        <w:t>َّ</w:t>
      </w:r>
      <w:r w:rsidRPr="00453087">
        <w:rPr>
          <w:rFonts w:hint="cs"/>
          <w:rtl/>
        </w:rPr>
        <w:t xml:space="preserve">مة </w:t>
      </w:r>
      <w:r w:rsidR="00EF6149">
        <w:rPr>
          <w:rFonts w:hint="cs"/>
          <w:rtl/>
        </w:rPr>
        <w:t xml:space="preserve">خصيصاً </w:t>
      </w:r>
      <w:r w:rsidRPr="00453087">
        <w:rPr>
          <w:rFonts w:hint="cs"/>
          <w:rtl/>
        </w:rPr>
        <w:t>لعمليات</w:t>
      </w:r>
      <w:r w:rsidR="00EE5F84">
        <w:rPr>
          <w:rFonts w:hint="cs"/>
          <w:rtl/>
        </w:rPr>
        <w:t xml:space="preserve"> الملكية الفكرية (</w:t>
      </w:r>
      <w:r w:rsidR="00EE5F84" w:rsidRPr="001B697E">
        <w:rPr>
          <w:rFonts w:hint="cs"/>
          <w:rtl/>
        </w:rPr>
        <w:t>لم ينجح إلا مورِّدان</w:t>
      </w:r>
      <w:r w:rsidR="00EE5F84" w:rsidRPr="00BF72F8">
        <w:rPr>
          <w:rFonts w:hint="cs"/>
          <w:color w:val="FF0000"/>
          <w:rtl/>
        </w:rPr>
        <w:t xml:space="preserve"> </w:t>
      </w:r>
      <w:r w:rsidR="00EE5F84">
        <w:rPr>
          <w:rFonts w:hint="cs"/>
          <w:rtl/>
        </w:rPr>
        <w:t xml:space="preserve">في </w:t>
      </w:r>
      <w:r w:rsidRPr="00453087">
        <w:rPr>
          <w:rFonts w:hint="cs"/>
          <w:rtl/>
        </w:rPr>
        <w:t>تسويق حلول لأكثر من مكتب</w:t>
      </w:r>
      <w:r w:rsidR="001E2DFF">
        <w:t xml:space="preserve"> </w:t>
      </w:r>
      <w:r w:rsidRPr="00453087">
        <w:rPr>
          <w:rFonts w:hint="cs"/>
          <w:rtl/>
        </w:rPr>
        <w:t>واحد</w:t>
      </w:r>
      <w:r w:rsidR="00CC0A0B">
        <w:rPr>
          <w:rFonts w:hint="cs"/>
          <w:rtl/>
        </w:rPr>
        <w:t xml:space="preserve"> من مكاتب الملكية الفكرية). ويمكن ل</w:t>
      </w:r>
      <w:r w:rsidRPr="00453087">
        <w:rPr>
          <w:rFonts w:hint="cs"/>
          <w:rtl/>
        </w:rPr>
        <w:t>مكاتب الملكية الفكرية أيضا</w:t>
      </w:r>
      <w:r w:rsidR="00CC0A0B">
        <w:rPr>
          <w:rFonts w:hint="cs"/>
          <w:rtl/>
        </w:rPr>
        <w:t xml:space="preserve">ً أن تلجأ </w:t>
      </w:r>
      <w:r w:rsidR="008501A4">
        <w:rPr>
          <w:rFonts w:hint="cs"/>
          <w:rtl/>
        </w:rPr>
        <w:t xml:space="preserve">في تطوير حلولها </w:t>
      </w:r>
      <w:r w:rsidR="00CC0A0B">
        <w:rPr>
          <w:rFonts w:hint="cs"/>
          <w:rtl/>
        </w:rPr>
        <w:t>إلى استخدام</w:t>
      </w:r>
      <w:r w:rsidRPr="00453087">
        <w:rPr>
          <w:rFonts w:hint="cs"/>
          <w:rtl/>
        </w:rPr>
        <w:t xml:space="preserve"> موارد</w:t>
      </w:r>
      <w:r w:rsidR="00CC0A0B">
        <w:rPr>
          <w:rFonts w:hint="cs"/>
          <w:rtl/>
        </w:rPr>
        <w:t>ها الخاصة ب</w:t>
      </w:r>
      <w:r w:rsidRPr="00453087">
        <w:rPr>
          <w:rFonts w:hint="cs"/>
          <w:rtl/>
        </w:rPr>
        <w:t>تكنولوجيا المعلومات و/ أو مزودي تكنولوجيا المعلومات المحليين</w:t>
      </w:r>
      <w:r w:rsidR="00CC0A0B">
        <w:rPr>
          <w:rFonts w:hint="cs"/>
          <w:rtl/>
        </w:rPr>
        <w:t>. ول</w:t>
      </w:r>
      <w:r w:rsidRPr="00453087">
        <w:rPr>
          <w:rFonts w:hint="cs"/>
          <w:rtl/>
        </w:rPr>
        <w:t>هذه الخيارات مزايا ومساوئ مقارنة بحل الويبو، كما هو موضح أدناه</w:t>
      </w:r>
      <w:r w:rsidRPr="00453087">
        <w:rPr>
          <w:rFonts w:hint="cs"/>
        </w:rPr>
        <w:t>.</w:t>
      </w:r>
    </w:p>
    <w:p w:rsidR="00CC0A0B" w:rsidRPr="008648AC" w:rsidRDefault="008501A4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الجدول الزمني للتنفيذ والسمات</w:t>
      </w:r>
    </w:p>
    <w:p w:rsidR="004E7B3D" w:rsidRDefault="00CC0A0B" w:rsidP="008648AC">
      <w:pPr>
        <w:pStyle w:val="NumberedParaAR"/>
        <w:rPr>
          <w:rtl/>
        </w:rPr>
      </w:pPr>
      <w:r w:rsidRPr="004E7B3D">
        <w:rPr>
          <w:rFonts w:hint="cs"/>
          <w:rtl/>
        </w:rPr>
        <w:t>تتمتع الويبو</w:t>
      </w:r>
      <w:r w:rsidR="001E2DFF">
        <w:t xml:space="preserve"> </w:t>
      </w:r>
      <w:r w:rsidRPr="004E7B3D">
        <w:rPr>
          <w:rFonts w:hint="cs"/>
          <w:rtl/>
        </w:rPr>
        <w:t>بخبرة تمتد على أكثر من 15 سنة من التجارب</w:t>
      </w:r>
      <w:r w:rsidR="008501A4">
        <w:rPr>
          <w:rFonts w:hint="cs"/>
          <w:rtl/>
        </w:rPr>
        <w:t xml:space="preserve"> التي راكمتها </w:t>
      </w:r>
      <w:r w:rsidR="00AC5B22" w:rsidRPr="004E7B3D">
        <w:rPr>
          <w:rFonts w:hint="cs"/>
          <w:rtl/>
        </w:rPr>
        <w:t xml:space="preserve">في العمل على مشاريع </w:t>
      </w:r>
      <w:r w:rsidR="00EA2CAB">
        <w:rPr>
          <w:rFonts w:hint="cs"/>
          <w:rtl/>
        </w:rPr>
        <w:t>تجمعها ب</w:t>
      </w:r>
      <w:r w:rsidR="00AC5B22" w:rsidRPr="004E7B3D">
        <w:rPr>
          <w:rFonts w:hint="cs"/>
          <w:rtl/>
        </w:rPr>
        <w:t>أكثر من 80 مكتباً من مكاتب ا</w:t>
      </w:r>
      <w:r w:rsidRPr="004E7B3D">
        <w:rPr>
          <w:rFonts w:hint="cs"/>
          <w:rtl/>
        </w:rPr>
        <w:t>لملكية الفكرية</w:t>
      </w:r>
      <w:r w:rsidR="004E7B3D" w:rsidRPr="004E7B3D">
        <w:rPr>
          <w:rFonts w:hint="cs"/>
          <w:rtl/>
        </w:rPr>
        <w:t xml:space="preserve">. </w:t>
      </w:r>
      <w:r w:rsidRPr="004E7B3D">
        <w:rPr>
          <w:rFonts w:hint="cs"/>
          <w:rtl/>
        </w:rPr>
        <w:t>وستجد المكاتب معظم الوظائف التي تحتاج إليها لإدارة عملية تسجيل الملكية الفكرية في حلول الويبو</w:t>
      </w:r>
      <w:r w:rsidR="002D1284">
        <w:rPr>
          <w:rFonts w:hint="cs"/>
          <w:rtl/>
        </w:rPr>
        <w:t>؛</w:t>
      </w:r>
      <w:r w:rsidRPr="004E7B3D">
        <w:rPr>
          <w:rFonts w:hint="cs"/>
          <w:rtl/>
        </w:rPr>
        <w:t xml:space="preserve"> ومع خيارات التخصيص الكبيرة المتاحة، سيكون النظام جاهزاً للاستخدام ال</w:t>
      </w:r>
      <w:r w:rsidR="00A931C5">
        <w:rPr>
          <w:rFonts w:hint="cs"/>
          <w:rtl/>
        </w:rPr>
        <w:t xml:space="preserve">عملي </w:t>
      </w:r>
      <w:r w:rsidRPr="004E7B3D">
        <w:rPr>
          <w:rFonts w:hint="cs"/>
          <w:rtl/>
        </w:rPr>
        <w:t>في</w:t>
      </w:r>
      <w:r w:rsidR="00925607">
        <w:rPr>
          <w:rFonts w:hint="cs"/>
          <w:rtl/>
        </w:rPr>
        <w:t xml:space="preserve"> غضون</w:t>
      </w:r>
      <w:r w:rsidRPr="004E7B3D">
        <w:rPr>
          <w:rFonts w:hint="cs"/>
          <w:rtl/>
        </w:rPr>
        <w:t xml:space="preserve"> وقت قصير نسبياً (</w:t>
      </w:r>
      <w:r w:rsidR="004E7B3D" w:rsidRPr="004E7B3D">
        <w:rPr>
          <w:rFonts w:hint="cs"/>
          <w:rtl/>
        </w:rPr>
        <w:t xml:space="preserve">شريطة جاهزيته </w:t>
      </w:r>
      <w:r w:rsidRPr="004E7B3D">
        <w:rPr>
          <w:rFonts w:hint="cs"/>
          <w:rtl/>
        </w:rPr>
        <w:t>كما هو م</w:t>
      </w:r>
      <w:r w:rsidR="004E7B3D" w:rsidRPr="004E7B3D">
        <w:rPr>
          <w:rFonts w:hint="cs"/>
          <w:rtl/>
        </w:rPr>
        <w:t xml:space="preserve">بين </w:t>
      </w:r>
      <w:r w:rsidRPr="004E7B3D">
        <w:rPr>
          <w:rFonts w:hint="cs"/>
          <w:rtl/>
        </w:rPr>
        <w:t>أعلاه</w:t>
      </w:r>
      <w:r w:rsidR="004E7B3D" w:rsidRPr="004E7B3D">
        <w:rPr>
          <w:rFonts w:hint="cs"/>
          <w:rtl/>
        </w:rPr>
        <w:t>).</w:t>
      </w:r>
    </w:p>
    <w:p w:rsidR="00D979C6" w:rsidRDefault="00FE207C" w:rsidP="008648AC">
      <w:pPr>
        <w:pStyle w:val="NumberedParaAR"/>
        <w:rPr>
          <w:rtl/>
        </w:rPr>
      </w:pPr>
      <w:r>
        <w:rPr>
          <w:rFonts w:hint="cs"/>
          <w:rtl/>
        </w:rPr>
        <w:t>وعادة ما ت</w:t>
      </w:r>
      <w:r w:rsidR="00A931C5">
        <w:rPr>
          <w:rFonts w:hint="cs"/>
          <w:rtl/>
        </w:rPr>
        <w:t>ستلزم</w:t>
      </w:r>
      <w:r>
        <w:rPr>
          <w:rFonts w:hint="cs"/>
          <w:rtl/>
        </w:rPr>
        <w:t xml:space="preserve"> البرمجيات المطو</w:t>
      </w:r>
      <w:r w:rsidR="00A931C5">
        <w:rPr>
          <w:rFonts w:hint="cs"/>
          <w:rtl/>
        </w:rPr>
        <w:t>َّ</w:t>
      </w:r>
      <w:r>
        <w:rPr>
          <w:rFonts w:hint="cs"/>
          <w:rtl/>
        </w:rPr>
        <w:t xml:space="preserve">رة داخلياً </w:t>
      </w:r>
      <w:r w:rsidR="00CC0A0B" w:rsidRPr="00365161">
        <w:rPr>
          <w:rFonts w:hint="cs"/>
          <w:rtl/>
        </w:rPr>
        <w:t>وقتا</w:t>
      </w:r>
      <w:r w:rsidR="00365161">
        <w:rPr>
          <w:rFonts w:hint="cs"/>
          <w:rtl/>
        </w:rPr>
        <w:t>ً وجهد</w:t>
      </w:r>
      <w:r w:rsidR="00CC0A0B" w:rsidRPr="00365161">
        <w:rPr>
          <w:rFonts w:hint="cs"/>
          <w:rtl/>
        </w:rPr>
        <w:t>ا</w:t>
      </w:r>
      <w:r w:rsidR="00365161">
        <w:rPr>
          <w:rFonts w:hint="cs"/>
          <w:rtl/>
        </w:rPr>
        <w:t>ً</w:t>
      </w:r>
      <w:r w:rsidR="00CC0A0B" w:rsidRPr="00365161">
        <w:rPr>
          <w:rFonts w:hint="cs"/>
          <w:rtl/>
        </w:rPr>
        <w:t xml:space="preserve"> كبيرين لبناء</w:t>
      </w:r>
      <w:r w:rsidR="00AA5AA8">
        <w:rPr>
          <w:rFonts w:hint="cs"/>
          <w:rtl/>
        </w:rPr>
        <w:t xml:space="preserve"> المنصات التجارية </w:t>
      </w:r>
      <w:r w:rsidR="00CC0A0B" w:rsidRPr="00365161">
        <w:rPr>
          <w:rFonts w:hint="cs"/>
          <w:rtl/>
        </w:rPr>
        <w:t xml:space="preserve">من </w:t>
      </w:r>
      <w:r w:rsidR="00AA5AA8">
        <w:rPr>
          <w:rFonts w:hint="cs"/>
          <w:rtl/>
        </w:rPr>
        <w:t xml:space="preserve">نقطة </w:t>
      </w:r>
      <w:r w:rsidR="00CC0A0B" w:rsidRPr="00365161">
        <w:rPr>
          <w:rFonts w:hint="cs"/>
          <w:rtl/>
        </w:rPr>
        <w:t>الصفر أو استخدام</w:t>
      </w:r>
      <w:r w:rsidR="00AA5AA8">
        <w:rPr>
          <w:rFonts w:hint="cs"/>
          <w:rtl/>
        </w:rPr>
        <w:t xml:space="preserve">ها </w:t>
      </w:r>
      <w:r w:rsidR="00CC0A0B" w:rsidRPr="00365161">
        <w:rPr>
          <w:rFonts w:hint="cs"/>
          <w:rtl/>
        </w:rPr>
        <w:t>وت</w:t>
      </w:r>
      <w:r w:rsidR="00925607">
        <w:rPr>
          <w:rFonts w:hint="cs"/>
          <w:rtl/>
        </w:rPr>
        <w:t>كييف</w:t>
      </w:r>
      <w:r w:rsidR="00CC0A0B" w:rsidRPr="00365161">
        <w:rPr>
          <w:rFonts w:hint="cs"/>
          <w:rtl/>
        </w:rPr>
        <w:t>ها</w:t>
      </w:r>
      <w:r w:rsidR="00CC0A0B" w:rsidRPr="00365161">
        <w:rPr>
          <w:rFonts w:hint="cs"/>
        </w:rPr>
        <w:t>.</w:t>
      </w:r>
    </w:p>
    <w:p w:rsidR="00E45FEA" w:rsidRPr="008648AC" w:rsidRDefault="00803404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المرونة</w:t>
      </w:r>
    </w:p>
    <w:p w:rsidR="00F217FE" w:rsidRDefault="004A6B75" w:rsidP="008648AC">
      <w:pPr>
        <w:pStyle w:val="NumberedParaAR"/>
        <w:rPr>
          <w:rtl/>
        </w:rPr>
      </w:pPr>
      <w:r w:rsidRPr="00352724">
        <w:rPr>
          <w:rFonts w:hint="cs"/>
          <w:rtl/>
        </w:rPr>
        <w:t>يمكن</w:t>
      </w:r>
      <w:r w:rsidR="002B2D42" w:rsidRPr="00352724">
        <w:rPr>
          <w:rFonts w:hint="cs"/>
          <w:rtl/>
        </w:rPr>
        <w:t xml:space="preserve"> تكييف البرمجيات بالكامل </w:t>
      </w:r>
      <w:r w:rsidR="00D979C6" w:rsidRPr="00925607">
        <w:rPr>
          <w:rFonts w:hint="cs"/>
          <w:rtl/>
        </w:rPr>
        <w:t>بفضل تصميم</w:t>
      </w:r>
      <w:r w:rsidR="002B2D42" w:rsidRPr="00925607">
        <w:rPr>
          <w:rFonts w:hint="cs"/>
          <w:rtl/>
        </w:rPr>
        <w:t>ها البياني</w:t>
      </w:r>
      <w:r w:rsidR="002B2D42" w:rsidRPr="00352724">
        <w:rPr>
          <w:rFonts w:hint="cs"/>
          <w:rtl/>
        </w:rPr>
        <w:t>، من أجل تلبية</w:t>
      </w:r>
      <w:r w:rsidR="00D979C6" w:rsidRPr="00352724">
        <w:rPr>
          <w:rFonts w:hint="cs"/>
          <w:rtl/>
        </w:rPr>
        <w:t xml:space="preserve"> مختلف احتياجات الدول الأعضاء التي تتراوح بين المكاتب الصغيرة</w:t>
      </w:r>
      <w:r w:rsidR="002B2D42" w:rsidRPr="00352724">
        <w:rPr>
          <w:rFonts w:hint="cs"/>
          <w:rtl/>
        </w:rPr>
        <w:t xml:space="preserve"> التي تجري عمليات</w:t>
      </w:r>
      <w:r w:rsidR="00D979C6" w:rsidRPr="00352724">
        <w:rPr>
          <w:rFonts w:hint="cs"/>
          <w:rtl/>
        </w:rPr>
        <w:t xml:space="preserve"> بسيطة </w:t>
      </w:r>
      <w:r w:rsidR="00383D83">
        <w:rPr>
          <w:rFonts w:hint="cs"/>
          <w:rtl/>
        </w:rPr>
        <w:t>و</w:t>
      </w:r>
      <w:r w:rsidR="002B2D42" w:rsidRPr="00352724">
        <w:rPr>
          <w:rFonts w:hint="cs"/>
          <w:rtl/>
        </w:rPr>
        <w:t>ال</w:t>
      </w:r>
      <w:r w:rsidR="00D979C6" w:rsidRPr="00352724">
        <w:rPr>
          <w:rFonts w:hint="cs"/>
          <w:rtl/>
        </w:rPr>
        <w:t xml:space="preserve">مكاتب متوسطة الحجم </w:t>
      </w:r>
      <w:r w:rsidR="002B2D42" w:rsidRPr="00352724">
        <w:rPr>
          <w:rFonts w:hint="cs"/>
          <w:rtl/>
        </w:rPr>
        <w:t>التي تقوم ب</w:t>
      </w:r>
      <w:r w:rsidR="00D979C6" w:rsidRPr="00352724">
        <w:rPr>
          <w:rFonts w:hint="cs"/>
          <w:rtl/>
        </w:rPr>
        <w:t>إجراءات معقدة للغاية</w:t>
      </w:r>
      <w:r w:rsidR="002B2D42" w:rsidRPr="00352724">
        <w:rPr>
          <w:rFonts w:hint="cs"/>
          <w:rtl/>
        </w:rPr>
        <w:t>. و</w:t>
      </w:r>
      <w:r w:rsidR="00D979C6" w:rsidRPr="00352724">
        <w:rPr>
          <w:rFonts w:hint="cs"/>
          <w:rtl/>
        </w:rPr>
        <w:t>يمكن إدخال التغييرات التي تطرأ على التشريعات أو العمليات الإدارية على الأنظمة</w:t>
      </w:r>
      <w:r w:rsidR="00383D83">
        <w:rPr>
          <w:rFonts w:hint="cs"/>
          <w:rtl/>
        </w:rPr>
        <w:t xml:space="preserve"> ب</w:t>
      </w:r>
      <w:r w:rsidR="00383D83" w:rsidRPr="00352724">
        <w:rPr>
          <w:rFonts w:hint="cs"/>
          <w:rtl/>
        </w:rPr>
        <w:t>سرعة</w:t>
      </w:r>
      <w:r w:rsidR="00D979C6" w:rsidRPr="00352724">
        <w:rPr>
          <w:rFonts w:hint="cs"/>
          <w:rtl/>
        </w:rPr>
        <w:t xml:space="preserve"> </w:t>
      </w:r>
      <w:r w:rsidR="00383D83">
        <w:rPr>
          <w:rFonts w:hint="cs"/>
          <w:rtl/>
        </w:rPr>
        <w:t>و</w:t>
      </w:r>
      <w:r w:rsidR="00D979C6" w:rsidRPr="00352724">
        <w:rPr>
          <w:rFonts w:hint="cs"/>
          <w:rtl/>
        </w:rPr>
        <w:t>بجهد ضئيل و</w:t>
      </w:r>
      <w:r w:rsidR="005354AC">
        <w:rPr>
          <w:rFonts w:hint="cs"/>
          <w:rtl/>
        </w:rPr>
        <w:t xml:space="preserve">دون الحاجة إلى </w:t>
      </w:r>
      <w:r w:rsidR="00D979C6" w:rsidRPr="00352724">
        <w:rPr>
          <w:rFonts w:hint="cs"/>
          <w:rtl/>
        </w:rPr>
        <w:t>برمجة</w:t>
      </w:r>
      <w:r w:rsidR="005354AC">
        <w:rPr>
          <w:rFonts w:hint="cs"/>
          <w:rtl/>
        </w:rPr>
        <w:t xml:space="preserve"> في غالب الأحيان. ويضفي ذلك </w:t>
      </w:r>
      <w:r w:rsidR="00D979C6" w:rsidRPr="00352724">
        <w:rPr>
          <w:rFonts w:hint="cs"/>
          <w:rtl/>
        </w:rPr>
        <w:t xml:space="preserve">قدراً أكبر من المرونة </w:t>
      </w:r>
      <w:r w:rsidR="005354AC">
        <w:rPr>
          <w:rFonts w:hint="cs"/>
          <w:rtl/>
        </w:rPr>
        <w:t>على</w:t>
      </w:r>
      <w:r w:rsidR="00D979C6" w:rsidRPr="00352724">
        <w:rPr>
          <w:rFonts w:hint="cs"/>
          <w:rtl/>
        </w:rPr>
        <w:t xml:space="preserve"> برمجيات الويبو مقارنة بالبدائل الداخلية أو التجارية التي تميل إلى </w:t>
      </w:r>
      <w:r w:rsidR="00F04819">
        <w:rPr>
          <w:rFonts w:hint="cs"/>
          <w:rtl/>
        </w:rPr>
        <w:t xml:space="preserve">تلبية احتياجات </w:t>
      </w:r>
      <w:r w:rsidR="00D979C6" w:rsidRPr="00352724">
        <w:rPr>
          <w:rFonts w:hint="cs"/>
          <w:rtl/>
        </w:rPr>
        <w:t>العدد</w:t>
      </w:r>
      <w:r w:rsidR="007A1A00">
        <w:t xml:space="preserve"> </w:t>
      </w:r>
      <w:r w:rsidR="00D979C6" w:rsidRPr="00761281">
        <w:rPr>
          <w:rFonts w:hint="cs"/>
          <w:rtl/>
        </w:rPr>
        <w:t xml:space="preserve">الأصغر من مكاتب الملكية الفكرية التي تستهدفها وتتطلب عموماً تدخل مقدمي الخدمات لإجراء تغييرات على البرمجيات </w:t>
      </w:r>
      <w:r w:rsidR="00FE50AB">
        <w:rPr>
          <w:rFonts w:hint="cs"/>
          <w:rtl/>
        </w:rPr>
        <w:t>قصد ا</w:t>
      </w:r>
      <w:r w:rsidR="00A64D5B">
        <w:rPr>
          <w:rFonts w:hint="cs"/>
          <w:rtl/>
        </w:rPr>
        <w:t xml:space="preserve">لاستجابة للاحتياجات </w:t>
      </w:r>
      <w:r w:rsidR="00D979C6" w:rsidRPr="00761281">
        <w:rPr>
          <w:rFonts w:hint="cs"/>
          <w:rtl/>
        </w:rPr>
        <w:t>الوظيفية أو الإجرائية</w:t>
      </w:r>
      <w:r w:rsidR="00F04819">
        <w:rPr>
          <w:rFonts w:hint="cs"/>
          <w:rtl/>
        </w:rPr>
        <w:t xml:space="preserve">. وستتيح </w:t>
      </w:r>
      <w:r w:rsidR="00D979C6" w:rsidRPr="00761281">
        <w:rPr>
          <w:rFonts w:hint="cs"/>
          <w:rtl/>
        </w:rPr>
        <w:t>هذه المرونة للدول الأعضاء مزيداً من ال</w:t>
      </w:r>
      <w:r w:rsidR="00F04819">
        <w:rPr>
          <w:rFonts w:hint="cs"/>
          <w:rtl/>
        </w:rPr>
        <w:t xml:space="preserve">تحكم في </w:t>
      </w:r>
      <w:r w:rsidR="00D979C6" w:rsidRPr="00761281">
        <w:rPr>
          <w:rFonts w:hint="cs"/>
          <w:rtl/>
        </w:rPr>
        <w:t>الحل</w:t>
      </w:r>
      <w:r w:rsidR="00A64D5B">
        <w:rPr>
          <w:rFonts w:hint="cs"/>
          <w:rtl/>
        </w:rPr>
        <w:t xml:space="preserve"> وستمك</w:t>
      </w:r>
      <w:r w:rsidR="00925607">
        <w:rPr>
          <w:rFonts w:hint="cs"/>
          <w:rtl/>
        </w:rPr>
        <w:t>ِّ</w:t>
      </w:r>
      <w:r w:rsidR="00A64D5B">
        <w:rPr>
          <w:rFonts w:hint="cs"/>
          <w:rtl/>
        </w:rPr>
        <w:t xml:space="preserve">نها </w:t>
      </w:r>
      <w:r w:rsidR="00D979C6" w:rsidRPr="00761281">
        <w:rPr>
          <w:rFonts w:hint="cs"/>
          <w:rtl/>
        </w:rPr>
        <w:t xml:space="preserve">في نهاية </w:t>
      </w:r>
      <w:r w:rsidR="00A64D5B">
        <w:rPr>
          <w:rFonts w:hint="cs"/>
          <w:rtl/>
        </w:rPr>
        <w:t xml:space="preserve">المطاف من </w:t>
      </w:r>
      <w:r w:rsidR="005B09CC">
        <w:rPr>
          <w:rFonts w:hint="cs"/>
          <w:rtl/>
        </w:rPr>
        <w:t>تملك</w:t>
      </w:r>
      <w:r w:rsidR="001E2DFF">
        <w:t xml:space="preserve"> </w:t>
      </w:r>
      <w:r w:rsidR="00D979C6" w:rsidRPr="00761281">
        <w:rPr>
          <w:rFonts w:hint="cs"/>
          <w:rtl/>
        </w:rPr>
        <w:t xml:space="preserve">النظام مع </w:t>
      </w:r>
      <w:r w:rsidR="00FE50AB">
        <w:rPr>
          <w:rFonts w:hint="cs"/>
          <w:rtl/>
        </w:rPr>
        <w:t>ال</w:t>
      </w:r>
      <w:r w:rsidR="00D979C6" w:rsidRPr="00761281">
        <w:rPr>
          <w:rFonts w:hint="cs"/>
          <w:rtl/>
        </w:rPr>
        <w:t xml:space="preserve">اعتماد </w:t>
      </w:r>
      <w:r w:rsidR="00FE50AB">
        <w:rPr>
          <w:rFonts w:hint="cs"/>
          <w:rtl/>
        </w:rPr>
        <w:t xml:space="preserve">بدرجة </w:t>
      </w:r>
      <w:r w:rsidR="00D979C6" w:rsidRPr="00761281">
        <w:rPr>
          <w:rFonts w:hint="cs"/>
          <w:rtl/>
        </w:rPr>
        <w:t xml:space="preserve">أقل على الويبو أو على مقدمي </w:t>
      </w:r>
      <w:r w:rsidR="00A64D5B">
        <w:rPr>
          <w:rFonts w:hint="cs"/>
          <w:rtl/>
        </w:rPr>
        <w:t>الخدمات في إدارته.</w:t>
      </w:r>
    </w:p>
    <w:p w:rsidR="00E45FEA" w:rsidRPr="008648AC" w:rsidRDefault="00803404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الخطر</w:t>
      </w:r>
    </w:p>
    <w:p w:rsidR="004E1A70" w:rsidRDefault="00F217FE" w:rsidP="008648AC">
      <w:pPr>
        <w:pStyle w:val="NumberedParaAR"/>
        <w:rPr>
          <w:rtl/>
        </w:rPr>
      </w:pPr>
      <w:r w:rsidRPr="004E1A70">
        <w:rPr>
          <w:rFonts w:hint="cs"/>
          <w:rtl/>
        </w:rPr>
        <w:t>بما أن برمجيات الويبو تُقدَّم في إطار ولاية المنظمة وبرنامجها للمساعدة ال</w:t>
      </w:r>
      <w:r w:rsidR="00363A37">
        <w:rPr>
          <w:rFonts w:hint="cs"/>
          <w:rtl/>
        </w:rPr>
        <w:t>تقن</w:t>
      </w:r>
      <w:r w:rsidRPr="004E1A70">
        <w:rPr>
          <w:rFonts w:hint="cs"/>
          <w:rtl/>
        </w:rPr>
        <w:t>ية يحظى بموافقة الدول الأعضاء نفسها، فإن خطر انقطاع البرمجيات و/ أو دعمها عن المكاتب يظل ضئيلا للغاية. وبالمقارنة مع ذلك، تعتمد البدائل</w:t>
      </w:r>
      <w:r w:rsidR="004E1A70" w:rsidRPr="004E1A70">
        <w:rPr>
          <w:rFonts w:hint="cs"/>
          <w:rtl/>
        </w:rPr>
        <w:t xml:space="preserve"> المطو</w:t>
      </w:r>
      <w:r w:rsidR="00320CBA">
        <w:rPr>
          <w:rFonts w:hint="cs"/>
          <w:rtl/>
        </w:rPr>
        <w:t>َّرة داخلي</w:t>
      </w:r>
      <w:r w:rsidR="004E1A70" w:rsidRPr="004E1A70">
        <w:rPr>
          <w:rFonts w:hint="cs"/>
          <w:rtl/>
        </w:rPr>
        <w:t>ا</w:t>
      </w:r>
      <w:r w:rsidR="00320CBA">
        <w:rPr>
          <w:rFonts w:hint="cs"/>
          <w:rtl/>
        </w:rPr>
        <w:t>ً</w:t>
      </w:r>
      <w:r w:rsidR="004E1A70" w:rsidRPr="004E1A70">
        <w:rPr>
          <w:rFonts w:hint="cs"/>
          <w:rtl/>
        </w:rPr>
        <w:t xml:space="preserve"> </w:t>
      </w:r>
      <w:r w:rsidRPr="004E1A70">
        <w:rPr>
          <w:rFonts w:hint="cs"/>
          <w:rtl/>
        </w:rPr>
        <w:t xml:space="preserve">أو التجارية إلى حد كبير على توافر الموارد </w:t>
      </w:r>
      <w:r w:rsidR="004E1A70" w:rsidRPr="004E1A70">
        <w:rPr>
          <w:rFonts w:hint="cs"/>
          <w:rtl/>
        </w:rPr>
        <w:t>اللازمة لتطويرها</w:t>
      </w:r>
      <w:r w:rsidRPr="004E1A70">
        <w:rPr>
          <w:rFonts w:hint="cs"/>
          <w:rtl/>
        </w:rPr>
        <w:t xml:space="preserve"> و/ أو توافر الأموال لتجديد العقد مع المور</w:t>
      </w:r>
      <w:r w:rsidR="00925607">
        <w:rPr>
          <w:rFonts w:hint="cs"/>
          <w:rtl/>
        </w:rPr>
        <w:t>ِّ</w:t>
      </w:r>
      <w:r w:rsidRPr="004E1A70">
        <w:rPr>
          <w:rFonts w:hint="cs"/>
          <w:rtl/>
        </w:rPr>
        <w:t xml:space="preserve">دين </w:t>
      </w:r>
      <w:r w:rsidR="004E1A70" w:rsidRPr="004E1A70">
        <w:rPr>
          <w:rFonts w:hint="cs"/>
          <w:rtl/>
        </w:rPr>
        <w:t>أو تعديله من أجل إدخال ا</w:t>
      </w:r>
      <w:r w:rsidRPr="004E1A70">
        <w:rPr>
          <w:rFonts w:hint="cs"/>
          <w:rtl/>
        </w:rPr>
        <w:t>لتغيرات و</w:t>
      </w:r>
      <w:r w:rsidR="004E1A70" w:rsidRPr="004E1A70">
        <w:rPr>
          <w:rFonts w:hint="cs"/>
          <w:rtl/>
        </w:rPr>
        <w:t xml:space="preserve">تلقي </w:t>
      </w:r>
      <w:r w:rsidRPr="004E1A70">
        <w:rPr>
          <w:rFonts w:hint="cs"/>
          <w:rtl/>
        </w:rPr>
        <w:t>الدعم</w:t>
      </w:r>
      <w:r w:rsidRPr="004E1A70">
        <w:rPr>
          <w:rFonts w:hint="cs"/>
        </w:rPr>
        <w:t>.</w:t>
      </w:r>
    </w:p>
    <w:p w:rsidR="00E45FEA" w:rsidRPr="008648AC" w:rsidRDefault="000A1813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التكلفة</w:t>
      </w:r>
    </w:p>
    <w:p w:rsidR="004B323F" w:rsidRDefault="006678FD" w:rsidP="008648AC">
      <w:pPr>
        <w:pStyle w:val="NumberedParaAR"/>
        <w:rPr>
          <w:rtl/>
        </w:rPr>
      </w:pPr>
      <w:r w:rsidRPr="006678FD">
        <w:rPr>
          <w:rFonts w:hint="cs"/>
          <w:rtl/>
        </w:rPr>
        <w:t xml:space="preserve">تقدم </w:t>
      </w:r>
      <w:r w:rsidRPr="00D44433">
        <w:rPr>
          <w:rFonts w:hint="cs"/>
          <w:rtl/>
        </w:rPr>
        <w:t xml:space="preserve">برمجيات </w:t>
      </w:r>
      <w:r w:rsidRPr="006678FD">
        <w:rPr>
          <w:rFonts w:hint="cs"/>
          <w:rtl/>
        </w:rPr>
        <w:t>الويبو</w:t>
      </w:r>
      <w:r w:rsidR="001E2DFF">
        <w:t xml:space="preserve"> </w:t>
      </w:r>
      <w:r>
        <w:rPr>
          <w:rFonts w:hint="cs"/>
          <w:rtl/>
        </w:rPr>
        <w:t>مجاناً</w:t>
      </w:r>
      <w:r w:rsidR="001E2DFF">
        <w:t xml:space="preserve"> </w:t>
      </w:r>
      <w:r>
        <w:rPr>
          <w:rFonts w:hint="cs"/>
          <w:rtl/>
        </w:rPr>
        <w:t>للدول الأعضاء،</w:t>
      </w:r>
      <w:r w:rsidRPr="006678FD">
        <w:rPr>
          <w:rFonts w:hint="cs"/>
          <w:rtl/>
        </w:rPr>
        <w:t xml:space="preserve"> على الرغم من وجود تكاليف مرتبطة </w:t>
      </w:r>
      <w:r w:rsidR="00D44433">
        <w:rPr>
          <w:rFonts w:hint="cs"/>
          <w:rtl/>
        </w:rPr>
        <w:t>بشراء البنية التحتية لتكنولوجيا</w:t>
      </w:r>
      <w:r w:rsidR="007A1A00">
        <w:t xml:space="preserve"> </w:t>
      </w:r>
      <w:r w:rsidRPr="006678FD">
        <w:rPr>
          <w:rFonts w:hint="cs"/>
          <w:rtl/>
        </w:rPr>
        <w:t>المعلومات و</w:t>
      </w:r>
      <w:r w:rsidR="00DB2CB5">
        <w:rPr>
          <w:rFonts w:hint="cs"/>
          <w:rtl/>
        </w:rPr>
        <w:t>تسخير</w:t>
      </w:r>
      <w:r>
        <w:rPr>
          <w:rFonts w:hint="cs"/>
          <w:rtl/>
        </w:rPr>
        <w:t xml:space="preserve"> </w:t>
      </w:r>
      <w:r w:rsidR="006B5DF6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6678FD">
        <w:rPr>
          <w:rFonts w:hint="cs"/>
          <w:rtl/>
        </w:rPr>
        <w:t>وارد</w:t>
      </w:r>
      <w:r w:rsidR="006B5DF6">
        <w:rPr>
          <w:rFonts w:hint="cs"/>
          <w:rtl/>
        </w:rPr>
        <w:t xml:space="preserve"> اللازمة</w:t>
      </w:r>
      <w:r w:rsidRPr="006678FD">
        <w:rPr>
          <w:rFonts w:hint="cs"/>
          <w:rtl/>
        </w:rPr>
        <w:t xml:space="preserve"> لتنفيذ أجزاء من المشروع</w:t>
      </w:r>
      <w:r w:rsidR="006B5DF6">
        <w:rPr>
          <w:rFonts w:hint="cs"/>
          <w:rtl/>
        </w:rPr>
        <w:t xml:space="preserve">. </w:t>
      </w:r>
      <w:r w:rsidRPr="006678FD">
        <w:rPr>
          <w:rFonts w:hint="cs"/>
          <w:rtl/>
        </w:rPr>
        <w:t>وعادة ما تنطوي الب</w:t>
      </w:r>
      <w:r w:rsidR="00DB2CB5">
        <w:rPr>
          <w:rFonts w:hint="cs"/>
          <w:rtl/>
        </w:rPr>
        <w:t>دائل التجارية على تكلفة كبيرة للزبون</w:t>
      </w:r>
      <w:r w:rsidRPr="006678FD">
        <w:rPr>
          <w:rFonts w:hint="cs"/>
          <w:rtl/>
        </w:rPr>
        <w:t>، بينما تتطلب البدائل</w:t>
      </w:r>
      <w:r w:rsidR="006B5DF6">
        <w:rPr>
          <w:rFonts w:hint="cs"/>
          <w:rtl/>
        </w:rPr>
        <w:t xml:space="preserve"> المطو</w:t>
      </w:r>
      <w:r w:rsidR="00DB2CB5">
        <w:rPr>
          <w:rFonts w:hint="cs"/>
          <w:rtl/>
        </w:rPr>
        <w:t>َّ</w:t>
      </w:r>
      <w:r w:rsidR="006B5DF6">
        <w:rPr>
          <w:rFonts w:hint="cs"/>
          <w:rtl/>
        </w:rPr>
        <w:t xml:space="preserve">رة داخلياً نفقات </w:t>
      </w:r>
      <w:r w:rsidRPr="006678FD">
        <w:rPr>
          <w:rFonts w:hint="cs"/>
          <w:rtl/>
        </w:rPr>
        <w:t xml:space="preserve">لتغطية موارد </w:t>
      </w:r>
      <w:r w:rsidR="006B5DF6">
        <w:rPr>
          <w:rFonts w:hint="cs"/>
          <w:rtl/>
        </w:rPr>
        <w:t>تطوير النظام</w:t>
      </w:r>
      <w:r w:rsidR="0024288D">
        <w:rPr>
          <w:rFonts w:hint="cs"/>
          <w:rtl/>
        </w:rPr>
        <w:t>،</w:t>
      </w:r>
      <w:r w:rsidRPr="006678FD">
        <w:rPr>
          <w:rFonts w:hint="cs"/>
          <w:rtl/>
        </w:rPr>
        <w:t xml:space="preserve"> سواء </w:t>
      </w:r>
      <w:r w:rsidR="00E77A0A">
        <w:rPr>
          <w:rFonts w:hint="cs"/>
          <w:rtl/>
        </w:rPr>
        <w:t>كانت</w:t>
      </w:r>
      <w:r w:rsidR="007A1A00">
        <w:t xml:space="preserve"> </w:t>
      </w:r>
      <w:r w:rsidRPr="006678FD">
        <w:rPr>
          <w:rFonts w:hint="cs"/>
          <w:rtl/>
        </w:rPr>
        <w:t>محلية أو خارجية</w:t>
      </w:r>
      <w:r w:rsidRPr="006678FD">
        <w:rPr>
          <w:rFonts w:hint="cs"/>
        </w:rPr>
        <w:t>.</w:t>
      </w:r>
    </w:p>
    <w:p w:rsidR="00E45FEA" w:rsidRPr="008648AC" w:rsidRDefault="000A1813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48A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الدعم</w:t>
      </w:r>
    </w:p>
    <w:p w:rsidR="00AC40E0" w:rsidRDefault="004B323F" w:rsidP="008648AC">
      <w:pPr>
        <w:pStyle w:val="NumberedParaAR"/>
        <w:rPr>
          <w:rtl/>
        </w:rPr>
      </w:pPr>
      <w:r>
        <w:rPr>
          <w:rFonts w:hint="cs"/>
          <w:rtl/>
        </w:rPr>
        <w:t>يظل</w:t>
      </w:r>
      <w:r w:rsidR="001E2DFF">
        <w:t xml:space="preserve"> </w:t>
      </w:r>
      <w:r w:rsidRPr="00AC40E0">
        <w:rPr>
          <w:rFonts w:hint="cs"/>
          <w:rtl/>
        </w:rPr>
        <w:t xml:space="preserve">الدعم المقدم من الويبو محدوداً بالموارد المتاحة التي يجب أن تتقاسمها جميع مكاتب الملكية الفكرية التي تستخدم حلول المنظمة. وتقدم </w:t>
      </w:r>
      <w:r w:rsidRPr="00AC40E0">
        <w:rPr>
          <w:rtl/>
        </w:rPr>
        <w:t>المد</w:t>
      </w:r>
      <w:r w:rsidRPr="00AC40E0">
        <w:rPr>
          <w:rFonts w:hint="cs"/>
          <w:rtl/>
        </w:rPr>
        <w:t>د</w:t>
      </w:r>
      <w:r w:rsidR="007A1A00">
        <w:t xml:space="preserve"> </w:t>
      </w:r>
      <w:r w:rsidRPr="00AC40E0">
        <w:rPr>
          <w:rtl/>
        </w:rPr>
        <w:t>الزمنية للاستجابة</w:t>
      </w:r>
      <w:r w:rsidRPr="00AC40E0">
        <w:rPr>
          <w:rFonts w:hint="cs"/>
          <w:rtl/>
        </w:rPr>
        <w:t xml:space="preserve"> واتفاقيات مستوى الخدمة على أساس </w:t>
      </w:r>
      <w:r w:rsidR="00DE2783" w:rsidRPr="00AC40E0">
        <w:rPr>
          <w:rtl/>
        </w:rPr>
        <w:t xml:space="preserve">مبدأ بذل قصارى الجهد </w:t>
      </w:r>
      <w:r w:rsidRPr="00AC40E0">
        <w:rPr>
          <w:rFonts w:hint="cs"/>
          <w:rtl/>
        </w:rPr>
        <w:t>دون ضمانات</w:t>
      </w:r>
      <w:r w:rsidR="00DE2783" w:rsidRPr="00AC40E0">
        <w:rPr>
          <w:rFonts w:hint="cs"/>
          <w:rtl/>
        </w:rPr>
        <w:t xml:space="preserve"> إضافية. ويتمركز موظفو الدعم في جنيف، لذ</w:t>
      </w:r>
      <w:r w:rsidR="001F1883">
        <w:rPr>
          <w:rFonts w:hint="cs"/>
          <w:rtl/>
        </w:rPr>
        <w:t xml:space="preserve">لك يصعب تقديم موارد الدعم في </w:t>
      </w:r>
      <w:r w:rsidR="00D34514">
        <w:rPr>
          <w:rFonts w:hint="cs"/>
          <w:rtl/>
        </w:rPr>
        <w:t>عين المكان</w:t>
      </w:r>
      <w:r w:rsidR="001F1883">
        <w:rPr>
          <w:rFonts w:hint="cs"/>
          <w:rtl/>
        </w:rPr>
        <w:t>.</w:t>
      </w:r>
    </w:p>
    <w:p w:rsidR="00CA59A7" w:rsidRDefault="00DB16A9" w:rsidP="008648AC">
      <w:pPr>
        <w:pStyle w:val="NumberedParaAR"/>
        <w:rPr>
          <w:rtl/>
        </w:rPr>
      </w:pPr>
      <w:r>
        <w:rPr>
          <w:rFonts w:hint="cs"/>
          <w:rtl/>
        </w:rPr>
        <w:t>و</w:t>
      </w:r>
      <w:r w:rsidR="00AC40E0">
        <w:rPr>
          <w:rFonts w:hint="cs"/>
          <w:rtl/>
        </w:rPr>
        <w:t>ع</w:t>
      </w:r>
      <w:r w:rsidR="004B323F" w:rsidRPr="00CA59A7">
        <w:rPr>
          <w:rFonts w:hint="cs"/>
          <w:rtl/>
        </w:rPr>
        <w:t>ادة ما يقدم مقدمو الخدمات التجارية وشركات تكنولوجيا المعلومات المحلية اتفاقا</w:t>
      </w:r>
      <w:r w:rsidR="00AC40E0" w:rsidRPr="00CA59A7">
        <w:rPr>
          <w:rFonts w:hint="cs"/>
          <w:rtl/>
        </w:rPr>
        <w:t>ً</w:t>
      </w:r>
      <w:r w:rsidR="007A1A00">
        <w:t xml:space="preserve"> </w:t>
      </w:r>
      <w:r w:rsidR="00AC40E0" w:rsidRPr="00CA59A7">
        <w:rPr>
          <w:rFonts w:hint="cs"/>
          <w:rtl/>
        </w:rPr>
        <w:t>ل</w:t>
      </w:r>
      <w:r w:rsidR="004B323F" w:rsidRPr="00CA59A7">
        <w:rPr>
          <w:rFonts w:hint="cs"/>
          <w:rtl/>
        </w:rPr>
        <w:t>مستوى الخدم</w:t>
      </w:r>
      <w:r w:rsidR="0007193E">
        <w:rPr>
          <w:rFonts w:hint="cs"/>
          <w:rtl/>
        </w:rPr>
        <w:t>ة</w:t>
      </w:r>
      <w:r w:rsidR="00AC40E0" w:rsidRPr="00CA59A7">
        <w:rPr>
          <w:rFonts w:hint="cs"/>
          <w:rtl/>
        </w:rPr>
        <w:t xml:space="preserve"> </w:t>
      </w:r>
      <w:r w:rsidR="004B323F" w:rsidRPr="00CA59A7">
        <w:rPr>
          <w:rFonts w:hint="cs"/>
          <w:rtl/>
        </w:rPr>
        <w:t>ي</w:t>
      </w:r>
      <w:r w:rsidR="00A6043A" w:rsidRPr="00CA59A7">
        <w:rPr>
          <w:rFonts w:hint="cs"/>
          <w:rtl/>
        </w:rPr>
        <w:t xml:space="preserve">كفل </w:t>
      </w:r>
      <w:r w:rsidR="004B323F" w:rsidRPr="00CA59A7">
        <w:rPr>
          <w:rFonts w:hint="cs"/>
          <w:rtl/>
        </w:rPr>
        <w:t>مستويات</w:t>
      </w:r>
      <w:r w:rsidR="00A6043A" w:rsidRPr="00CA59A7">
        <w:rPr>
          <w:rFonts w:hint="cs"/>
          <w:rtl/>
        </w:rPr>
        <w:t xml:space="preserve"> معينة من</w:t>
      </w:r>
      <w:r w:rsidR="004B323F" w:rsidRPr="00CA59A7">
        <w:rPr>
          <w:rFonts w:hint="cs"/>
          <w:rtl/>
        </w:rPr>
        <w:t xml:space="preserve"> الدعم و</w:t>
      </w:r>
      <w:r w:rsidR="00A6043A" w:rsidRPr="00CA59A7">
        <w:rPr>
          <w:rFonts w:hint="cs"/>
          <w:rtl/>
        </w:rPr>
        <w:t>المدد الزمنية ل</w:t>
      </w:r>
      <w:r w:rsidR="004B323F" w:rsidRPr="00CA59A7">
        <w:rPr>
          <w:rFonts w:hint="cs"/>
          <w:rtl/>
        </w:rPr>
        <w:t xml:space="preserve">لاستجابة، مقابل دفع </w:t>
      </w:r>
      <w:r w:rsidR="00CA59A7" w:rsidRPr="00CA59A7">
        <w:rPr>
          <w:rFonts w:hint="cs"/>
          <w:rtl/>
        </w:rPr>
        <w:t xml:space="preserve">مبلغ </w:t>
      </w:r>
      <w:r w:rsidR="004B323F" w:rsidRPr="00CA59A7">
        <w:rPr>
          <w:rFonts w:hint="cs"/>
          <w:rtl/>
        </w:rPr>
        <w:t>منتظم</w:t>
      </w:r>
      <w:r w:rsidR="00CA59A7" w:rsidRPr="00CA59A7">
        <w:rPr>
          <w:rFonts w:hint="cs"/>
          <w:rtl/>
        </w:rPr>
        <w:t xml:space="preserve">. ويمكن أن </w:t>
      </w:r>
      <w:r w:rsidR="004B323F" w:rsidRPr="00CA59A7">
        <w:rPr>
          <w:rFonts w:hint="cs"/>
          <w:rtl/>
        </w:rPr>
        <w:t xml:space="preserve">يكون هذا الخيار أكثر جاذبية </w:t>
      </w:r>
      <w:r w:rsidR="00D44433" w:rsidRPr="00CA59A7">
        <w:rPr>
          <w:rFonts w:hint="cs"/>
          <w:rtl/>
        </w:rPr>
        <w:t xml:space="preserve">لبعض المكاتب </w:t>
      </w:r>
      <w:r w:rsidR="004B323F" w:rsidRPr="00CA59A7">
        <w:rPr>
          <w:rFonts w:hint="cs"/>
          <w:rtl/>
        </w:rPr>
        <w:t xml:space="preserve">لأنه يقلل من المخاطر في حالة </w:t>
      </w:r>
      <w:r w:rsidR="00CA59A7" w:rsidRPr="00CA59A7">
        <w:rPr>
          <w:rFonts w:hint="cs"/>
          <w:rtl/>
        </w:rPr>
        <w:t>تعطل</w:t>
      </w:r>
      <w:r w:rsidR="004B323F" w:rsidRPr="00CA59A7">
        <w:rPr>
          <w:rFonts w:hint="cs"/>
          <w:rtl/>
        </w:rPr>
        <w:t xml:space="preserve"> النظام</w:t>
      </w:r>
      <w:r w:rsidR="004B323F" w:rsidRPr="00CA59A7">
        <w:rPr>
          <w:rFonts w:hint="cs"/>
        </w:rPr>
        <w:t>.</w:t>
      </w:r>
    </w:p>
    <w:p w:rsidR="00E45FEA" w:rsidRDefault="00E45FEA" w:rsidP="00CF0FCB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A59A7">
        <w:rPr>
          <w:rFonts w:ascii="Arabic Typesetting" w:hAnsi="Arabic Typesetting" w:cs="Arabic Typesetting"/>
          <w:b/>
          <w:bCs/>
          <w:sz w:val="36"/>
          <w:szCs w:val="36"/>
          <w:rtl/>
        </w:rPr>
        <w:t>التخطيط للمستقبل</w:t>
      </w:r>
    </w:p>
    <w:p w:rsidR="008856C1" w:rsidRDefault="00A616B0" w:rsidP="008648AC">
      <w:pPr>
        <w:pStyle w:val="NumberedParaAR"/>
        <w:rPr>
          <w:rtl/>
        </w:rPr>
      </w:pPr>
      <w:r>
        <w:rPr>
          <w:rFonts w:hint="cs"/>
          <w:rtl/>
        </w:rPr>
        <w:t xml:space="preserve">ستواصل الويبو تطوير </w:t>
      </w:r>
      <w:r w:rsidRPr="00A616B0">
        <w:rPr>
          <w:rFonts w:hint="cs"/>
          <w:rtl/>
        </w:rPr>
        <w:t>حزمة برمجيات ن</w:t>
      </w:r>
      <w:r w:rsidRPr="00A616B0">
        <w:rPr>
          <w:rtl/>
        </w:rPr>
        <w:t xml:space="preserve">ظام </w:t>
      </w:r>
      <w:r w:rsidRPr="00A616B0">
        <w:rPr>
          <w:rFonts w:hint="cs"/>
          <w:rtl/>
        </w:rPr>
        <w:t>الويبو ل</w:t>
      </w:r>
      <w:r w:rsidRPr="00A616B0">
        <w:rPr>
          <w:rtl/>
        </w:rPr>
        <w:t>إدارة الملكية الصناعية</w:t>
      </w:r>
      <w:r w:rsidRPr="00A616B0">
        <w:rPr>
          <w:rFonts w:hint="cs"/>
          <w:rtl/>
        </w:rPr>
        <w:t xml:space="preserve"> الموجهة للمكاتب </w:t>
      </w:r>
      <w:r w:rsidR="00CA59A7" w:rsidRPr="00D45521">
        <w:rPr>
          <w:rFonts w:hint="cs"/>
          <w:rtl/>
        </w:rPr>
        <w:t>لمواكبة متطلبات مكاتب الملكية الفكرية والتكنولوجيات الحديثة</w:t>
      </w:r>
      <w:r>
        <w:rPr>
          <w:rFonts w:hint="cs"/>
          <w:rtl/>
        </w:rPr>
        <w:t>. و</w:t>
      </w:r>
      <w:r w:rsidR="00CA59A7" w:rsidRPr="00D45521">
        <w:rPr>
          <w:rFonts w:hint="cs"/>
          <w:rtl/>
        </w:rPr>
        <w:t>تتضمن بعض التحسينات المخطط لها ما يلي</w:t>
      </w:r>
      <w:r w:rsidR="008856C1">
        <w:rPr>
          <w:rFonts w:hint="cs"/>
          <w:rtl/>
        </w:rPr>
        <w:t>:</w:t>
      </w:r>
    </w:p>
    <w:p w:rsidR="00A616B0" w:rsidRPr="0007193E" w:rsidRDefault="00CA59A7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تكامل أفضل مع أنظمة </w:t>
      </w:r>
      <w:r w:rsidR="00A616B0"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الويبو</w:t>
      </w:r>
      <w:r w:rsidR="001E2DFF" w:rsidRPr="0007193E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العالمية</w:t>
      </w:r>
      <w:r w:rsidR="00A616B0"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بشأن</w:t>
      </w:r>
      <w:r w:rsidR="001E2DFF" w:rsidRPr="0007193E">
        <w:rPr>
          <w:rFonts w:ascii="Arabic Typesetting" w:eastAsia="Times New Roman" w:hAnsi="Arabic Typesetting" w:cs="Arabic Typesetting"/>
          <w:sz w:val="36"/>
          <w:szCs w:val="36"/>
        </w:rPr>
        <w:t xml:space="preserve"> </w:t>
      </w:r>
      <w:r w:rsidR="00A616B0"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>الملكية الفكرية لإتاحة التبادل التلقائي والإلكتروني ل</w:t>
      </w:r>
      <w:r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>لبيانات والإشعارات</w:t>
      </w:r>
      <w:r w:rsidR="00A616B0"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. </w:t>
      </w:r>
    </w:p>
    <w:p w:rsidR="008856C1" w:rsidRPr="0007193E" w:rsidRDefault="008856C1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تحسين خدمات الدعم المتعلقة بالفحص الموضوعي لبراءات الاختراع والعلامات التجارية </w:t>
      </w:r>
      <w:r w:rsidR="008710AB">
        <w:rPr>
          <w:rFonts w:ascii="Arabic Typesetting" w:eastAsia="Times New Roman" w:hAnsi="Arabic Typesetting" w:cs="Arabic Typesetting" w:hint="cs"/>
          <w:sz w:val="36"/>
          <w:szCs w:val="36"/>
          <w:rtl/>
        </w:rPr>
        <w:t>والتصاميم</w:t>
      </w:r>
      <w:r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الصناعية، من خلال دمج تكنولوجيات جديدة </w:t>
      </w:r>
      <w:r w:rsidR="00CA59A7" w:rsidRPr="0007193E">
        <w:rPr>
          <w:rFonts w:ascii="Arabic Typesetting" w:eastAsia="Times New Roman" w:hAnsi="Arabic Typesetting" w:cs="Arabic Typesetting" w:hint="cs"/>
          <w:sz w:val="36"/>
          <w:szCs w:val="36"/>
          <w:rtl/>
        </w:rPr>
        <w:t>مثل تقنيات البحث المتقدم والتعرف على الصور</w:t>
      </w:r>
      <w:r w:rsidR="00CA59A7" w:rsidRPr="0007193E">
        <w:rPr>
          <w:rFonts w:ascii="Arabic Typesetting" w:eastAsia="Times New Roman" w:hAnsi="Arabic Typesetting" w:cs="Arabic Typesetting" w:hint="cs"/>
          <w:sz w:val="36"/>
          <w:szCs w:val="36"/>
        </w:rPr>
        <w:t>.</w:t>
      </w:r>
    </w:p>
    <w:p w:rsidR="003B4E10" w:rsidRPr="003B4E10" w:rsidRDefault="00CA59A7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>تصميم أكثر انفتاحاً وأكثر قابلية للتهيئة</w:t>
      </w:r>
      <w:r w:rsidR="008856C1"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لتمكين م</w:t>
      </w:r>
      <w:r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كاتب الملكية الفكرية </w:t>
      </w:r>
      <w:r w:rsidR="00EC595A"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من تنفيذ </w:t>
      </w:r>
      <w:r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وظائفها أو </w:t>
      </w:r>
      <w:r w:rsidR="00EC595A"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التفاعل </w:t>
      </w:r>
      <w:r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>مع الأنظمة الأخرى بسهولة أكبر</w:t>
      </w:r>
      <w:r w:rsidR="008343E7" w:rsidRPr="003B4E10">
        <w:rPr>
          <w:rFonts w:ascii="Arabic Typesetting" w:eastAsia="Times New Roman" w:hAnsi="Arabic Typesetting" w:cs="Arabic Typesetting" w:hint="cs"/>
          <w:sz w:val="36"/>
          <w:szCs w:val="36"/>
          <w:rtl/>
        </w:rPr>
        <w:t>.</w:t>
      </w:r>
    </w:p>
    <w:p w:rsidR="00A42E4C" w:rsidRDefault="008343E7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3B4E10">
        <w:rPr>
          <w:rFonts w:ascii="Arabic Typesetting" w:hAnsi="Arabic Typesetting" w:cs="Arabic Typesetting" w:hint="cs"/>
          <w:sz w:val="36"/>
          <w:szCs w:val="36"/>
          <w:rtl/>
        </w:rPr>
        <w:t>إ</w:t>
      </w:r>
      <w:r w:rsidR="00CA59A7" w:rsidRPr="003B4E10">
        <w:rPr>
          <w:rFonts w:ascii="Arabic Typesetting" w:hAnsi="Arabic Typesetting" w:cs="Arabic Typesetting" w:hint="cs"/>
          <w:sz w:val="36"/>
          <w:szCs w:val="36"/>
          <w:rtl/>
        </w:rPr>
        <w:t xml:space="preserve">دخال تحسينات على عمليات الدعم والصيانة </w:t>
      </w:r>
      <w:r w:rsidRPr="003B4E10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="00CA59A7" w:rsidRPr="003B4E10">
        <w:rPr>
          <w:rFonts w:ascii="Arabic Typesetting" w:hAnsi="Arabic Typesetting" w:cs="Arabic Typesetting" w:hint="cs"/>
          <w:sz w:val="36"/>
          <w:szCs w:val="36"/>
          <w:rtl/>
        </w:rPr>
        <w:t>دمج</w:t>
      </w:r>
      <w:r w:rsidRPr="003B4E10">
        <w:rPr>
          <w:rFonts w:ascii="Arabic Typesetting" w:hAnsi="Arabic Typesetting" w:cs="Arabic Typesetting" w:hint="cs"/>
          <w:sz w:val="36"/>
          <w:szCs w:val="36"/>
          <w:rtl/>
        </w:rPr>
        <w:t xml:space="preserve"> سمات </w:t>
      </w:r>
      <w:r w:rsidR="00CA59A7" w:rsidRPr="003B4E10">
        <w:rPr>
          <w:rFonts w:ascii="Arabic Typesetting" w:hAnsi="Arabic Typesetting" w:cs="Arabic Typesetting" w:hint="cs"/>
          <w:sz w:val="36"/>
          <w:szCs w:val="36"/>
          <w:rtl/>
        </w:rPr>
        <w:t xml:space="preserve">جديدة بسرعة أكبر </w:t>
      </w:r>
      <w:r w:rsidRPr="003B4E10">
        <w:rPr>
          <w:rFonts w:ascii="Arabic Typesetting" w:hAnsi="Arabic Typesetting" w:cs="Arabic Typesetting" w:hint="cs"/>
          <w:sz w:val="36"/>
          <w:szCs w:val="36"/>
          <w:rtl/>
        </w:rPr>
        <w:t>وت</w:t>
      </w:r>
      <w:r w:rsidR="003B4E10">
        <w:rPr>
          <w:rFonts w:ascii="Arabic Typesetting" w:hAnsi="Arabic Typesetting" w:cs="Arabic Typesetting" w:hint="cs"/>
          <w:sz w:val="36"/>
          <w:szCs w:val="36"/>
          <w:rtl/>
        </w:rPr>
        <w:t xml:space="preserve">وفير </w:t>
      </w:r>
      <w:r w:rsidRPr="003B4E10">
        <w:rPr>
          <w:rFonts w:ascii="Arabic Typesetting" w:hAnsi="Arabic Typesetting" w:cs="Arabic Typesetting" w:hint="cs"/>
          <w:sz w:val="36"/>
          <w:szCs w:val="36"/>
          <w:rtl/>
        </w:rPr>
        <w:t xml:space="preserve">مستويات أفضل من الخدمات </w:t>
      </w:r>
      <w:r w:rsidR="00CA59A7" w:rsidRPr="003B4E10">
        <w:rPr>
          <w:rFonts w:ascii="Arabic Typesetting" w:hAnsi="Arabic Typesetting" w:cs="Arabic Typesetting" w:hint="cs"/>
          <w:sz w:val="36"/>
          <w:szCs w:val="36"/>
          <w:rtl/>
        </w:rPr>
        <w:t>لمكاتب الملكية الفكرية</w:t>
      </w:r>
      <w:r w:rsidR="00CA59A7" w:rsidRPr="003B4E10">
        <w:rPr>
          <w:rFonts w:ascii="Arabic Typesetting" w:hAnsi="Arabic Typesetting" w:cs="Arabic Typesetting" w:hint="cs"/>
          <w:sz w:val="36"/>
          <w:szCs w:val="36"/>
        </w:rPr>
        <w:t>.</w:t>
      </w:r>
    </w:p>
    <w:p w:rsidR="00CA59A7" w:rsidRPr="00A42E4C" w:rsidRDefault="00CA59A7" w:rsidP="00F35D81">
      <w:pPr>
        <w:pStyle w:val="ListParagraph"/>
        <w:numPr>
          <w:ilvl w:val="0"/>
          <w:numId w:val="22"/>
        </w:numPr>
        <w:bidi/>
        <w:spacing w:after="120" w:line="360" w:lineRule="exact"/>
        <w:ind w:left="714" w:hanging="357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 w:rsidRPr="00A42E4C">
        <w:rPr>
          <w:rFonts w:ascii="Arabic Typesetting" w:hAnsi="Arabic Typesetting" w:cs="Arabic Typesetting" w:hint="cs"/>
          <w:sz w:val="36"/>
          <w:szCs w:val="36"/>
          <w:rtl/>
        </w:rPr>
        <w:t xml:space="preserve">خيارات </w:t>
      </w:r>
      <w:r w:rsidR="001F5917" w:rsidRPr="00A42E4C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A42E4C">
        <w:rPr>
          <w:rFonts w:ascii="Arabic Typesetting" w:hAnsi="Arabic Typesetting" w:cs="Arabic Typesetting" w:hint="cs"/>
          <w:sz w:val="36"/>
          <w:szCs w:val="36"/>
          <w:rtl/>
        </w:rPr>
        <w:t>لاستضافة السحابية، خاصة للمكاتب ذات ا</w:t>
      </w:r>
      <w:r w:rsidR="00A42E4C">
        <w:rPr>
          <w:rFonts w:ascii="Arabic Typesetting" w:hAnsi="Arabic Typesetting" w:cs="Arabic Typesetting" w:hint="cs"/>
          <w:sz w:val="36"/>
          <w:szCs w:val="36"/>
          <w:rtl/>
        </w:rPr>
        <w:t xml:space="preserve">لبنية التحتية المحلية المحدودة في </w:t>
      </w:r>
      <w:r w:rsidRPr="00A42E4C">
        <w:rPr>
          <w:rFonts w:ascii="Arabic Typesetting" w:hAnsi="Arabic Typesetting" w:cs="Arabic Typesetting" w:hint="cs"/>
          <w:sz w:val="36"/>
          <w:szCs w:val="36"/>
          <w:rtl/>
        </w:rPr>
        <w:t>تكنولوجيا المعلومات</w:t>
      </w:r>
      <w:r w:rsidRPr="00A42E4C">
        <w:rPr>
          <w:rFonts w:ascii="Arabic Typesetting" w:hAnsi="Arabic Typesetting" w:cs="Arabic Typesetting" w:hint="cs"/>
          <w:sz w:val="36"/>
          <w:szCs w:val="36"/>
        </w:rPr>
        <w:t>.</w:t>
      </w:r>
    </w:p>
    <w:p w:rsidR="00F35D81" w:rsidRDefault="00F35D81" w:rsidP="00E45FEA">
      <w:pPr>
        <w:pStyle w:val="EndofDocumentAR"/>
      </w:pPr>
    </w:p>
    <w:p w:rsidR="00E45FEA" w:rsidRDefault="00E45FEA" w:rsidP="00E45FEA">
      <w:pPr>
        <w:pStyle w:val="EndofDocumentAR"/>
      </w:pPr>
      <w:r w:rsidRPr="0069448A">
        <w:rPr>
          <w:rtl/>
        </w:rPr>
        <w:t>[نهاية الوثيقة]</w:t>
      </w:r>
    </w:p>
    <w:sectPr w:rsidR="00E45FEA" w:rsidSect="00EB7752">
      <w:headerReference w:type="defaul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A0" w:rsidRDefault="000407A0">
      <w:r>
        <w:separator/>
      </w:r>
    </w:p>
  </w:endnote>
  <w:endnote w:type="continuationSeparator" w:id="0">
    <w:p w:rsidR="000407A0" w:rsidRDefault="000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A0" w:rsidRDefault="000407A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407A0" w:rsidRDefault="000407A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D8" w:rsidRDefault="008A06D8" w:rsidP="00E45FEA">
    <w:r>
      <w:t>WIPO/IP/ITAI/GE/18/4</w:t>
    </w:r>
  </w:p>
  <w:p w:rsidR="008A06D8" w:rsidRDefault="00CB6D57" w:rsidP="00D61541">
    <w:r>
      <w:fldChar w:fldCharType="begin"/>
    </w:r>
    <w:r w:rsidR="008A06D8">
      <w:instrText xml:space="preserve"> PAGE  \* MERGEFORMAT </w:instrText>
    </w:r>
    <w:r>
      <w:fldChar w:fldCharType="separate"/>
    </w:r>
    <w:r w:rsidR="00791EE7">
      <w:rPr>
        <w:noProof/>
      </w:rPr>
      <w:t>2</w:t>
    </w:r>
    <w:r>
      <w:rPr>
        <w:noProof/>
      </w:rPr>
      <w:fldChar w:fldCharType="end"/>
    </w:r>
  </w:p>
  <w:p w:rsidR="008A06D8" w:rsidRDefault="008A06D8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C6A58"/>
    <w:multiLevelType w:val="hybridMultilevel"/>
    <w:tmpl w:val="E59EA1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A4F10"/>
    <w:multiLevelType w:val="hybridMultilevel"/>
    <w:tmpl w:val="C444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E87973"/>
    <w:multiLevelType w:val="hybridMultilevel"/>
    <w:tmpl w:val="4F26D98C"/>
    <w:lvl w:ilvl="0" w:tplc="815C073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D1971"/>
    <w:multiLevelType w:val="hybridMultilevel"/>
    <w:tmpl w:val="274AA956"/>
    <w:lvl w:ilvl="0" w:tplc="E3980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955E3"/>
    <w:multiLevelType w:val="hybridMultilevel"/>
    <w:tmpl w:val="4E4A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6B0B87"/>
    <w:multiLevelType w:val="hybridMultilevel"/>
    <w:tmpl w:val="F37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11877"/>
    <w:multiLevelType w:val="hybridMultilevel"/>
    <w:tmpl w:val="81E84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>
    <w:nsid w:val="71F222DE"/>
    <w:multiLevelType w:val="hybridMultilevel"/>
    <w:tmpl w:val="B3E8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23"/>
  </w:num>
  <w:num w:numId="5">
    <w:abstractNumId w:val="8"/>
  </w:num>
  <w:num w:numId="6">
    <w:abstractNumId w:val="25"/>
  </w:num>
  <w:num w:numId="7">
    <w:abstractNumId w:val="15"/>
  </w:num>
  <w:num w:numId="8">
    <w:abstractNumId w:val="22"/>
  </w:num>
  <w:num w:numId="9">
    <w:abstractNumId w:val="21"/>
  </w:num>
  <w:num w:numId="10">
    <w:abstractNumId w:val="2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6"/>
  </w:num>
  <w:num w:numId="23">
    <w:abstractNumId w:val="11"/>
  </w:num>
  <w:num w:numId="24">
    <w:abstractNumId w:val="19"/>
  </w:num>
  <w:num w:numId="25">
    <w:abstractNumId w:val="10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5F"/>
    <w:rsid w:val="00002CBE"/>
    <w:rsid w:val="00003232"/>
    <w:rsid w:val="000033DA"/>
    <w:rsid w:val="0000579F"/>
    <w:rsid w:val="000076BD"/>
    <w:rsid w:val="00010481"/>
    <w:rsid w:val="00010671"/>
    <w:rsid w:val="00010731"/>
    <w:rsid w:val="000114E2"/>
    <w:rsid w:val="00011D00"/>
    <w:rsid w:val="00013347"/>
    <w:rsid w:val="00013D73"/>
    <w:rsid w:val="000142E1"/>
    <w:rsid w:val="000146BD"/>
    <w:rsid w:val="00014B68"/>
    <w:rsid w:val="0001645D"/>
    <w:rsid w:val="00017A43"/>
    <w:rsid w:val="0002157B"/>
    <w:rsid w:val="00022B81"/>
    <w:rsid w:val="00023101"/>
    <w:rsid w:val="0002407C"/>
    <w:rsid w:val="0002476F"/>
    <w:rsid w:val="00024E17"/>
    <w:rsid w:val="000258DB"/>
    <w:rsid w:val="000259E5"/>
    <w:rsid w:val="00026E13"/>
    <w:rsid w:val="00031B2C"/>
    <w:rsid w:val="00033D2C"/>
    <w:rsid w:val="00035CE8"/>
    <w:rsid w:val="00036041"/>
    <w:rsid w:val="00040637"/>
    <w:rsid w:val="00040688"/>
    <w:rsid w:val="0004070F"/>
    <w:rsid w:val="000407A0"/>
    <w:rsid w:val="0004115B"/>
    <w:rsid w:val="00041975"/>
    <w:rsid w:val="00042F2D"/>
    <w:rsid w:val="000432B2"/>
    <w:rsid w:val="000432CF"/>
    <w:rsid w:val="000438A8"/>
    <w:rsid w:val="00044AC0"/>
    <w:rsid w:val="00045B68"/>
    <w:rsid w:val="00045E69"/>
    <w:rsid w:val="00046663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62C"/>
    <w:rsid w:val="0006794A"/>
    <w:rsid w:val="00067F31"/>
    <w:rsid w:val="00071138"/>
    <w:rsid w:val="0007193E"/>
    <w:rsid w:val="00073402"/>
    <w:rsid w:val="00075745"/>
    <w:rsid w:val="00075A04"/>
    <w:rsid w:val="00075D39"/>
    <w:rsid w:val="000760C3"/>
    <w:rsid w:val="000763A4"/>
    <w:rsid w:val="00076901"/>
    <w:rsid w:val="000820AC"/>
    <w:rsid w:val="0008237C"/>
    <w:rsid w:val="000833C3"/>
    <w:rsid w:val="0008408C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1813"/>
    <w:rsid w:val="000A2FC1"/>
    <w:rsid w:val="000A3A57"/>
    <w:rsid w:val="000A5408"/>
    <w:rsid w:val="000A6510"/>
    <w:rsid w:val="000B0BB4"/>
    <w:rsid w:val="000B1045"/>
    <w:rsid w:val="000B1BAE"/>
    <w:rsid w:val="000B27AB"/>
    <w:rsid w:val="000B29B3"/>
    <w:rsid w:val="000B3889"/>
    <w:rsid w:val="000B3B3B"/>
    <w:rsid w:val="000B42E7"/>
    <w:rsid w:val="000B5225"/>
    <w:rsid w:val="000B6BC3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7B8"/>
    <w:rsid w:val="000D0C07"/>
    <w:rsid w:val="000D0C7C"/>
    <w:rsid w:val="000D1A1D"/>
    <w:rsid w:val="000D240D"/>
    <w:rsid w:val="000D5FB7"/>
    <w:rsid w:val="000E06A5"/>
    <w:rsid w:val="000E16EB"/>
    <w:rsid w:val="000E472B"/>
    <w:rsid w:val="000E591F"/>
    <w:rsid w:val="000E5A23"/>
    <w:rsid w:val="000E6045"/>
    <w:rsid w:val="000E756C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0CD"/>
    <w:rsid w:val="00121AA0"/>
    <w:rsid w:val="00121FE6"/>
    <w:rsid w:val="00122D19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67F6"/>
    <w:rsid w:val="00146BB5"/>
    <w:rsid w:val="0015009D"/>
    <w:rsid w:val="001519FB"/>
    <w:rsid w:val="00151B18"/>
    <w:rsid w:val="00151BF2"/>
    <w:rsid w:val="00151C68"/>
    <w:rsid w:val="001520DD"/>
    <w:rsid w:val="00152374"/>
    <w:rsid w:val="00153948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77EDF"/>
    <w:rsid w:val="00182417"/>
    <w:rsid w:val="0018242F"/>
    <w:rsid w:val="0018414E"/>
    <w:rsid w:val="00185718"/>
    <w:rsid w:val="001857AF"/>
    <w:rsid w:val="00185BBE"/>
    <w:rsid w:val="00186606"/>
    <w:rsid w:val="00186CDC"/>
    <w:rsid w:val="00191E75"/>
    <w:rsid w:val="00192022"/>
    <w:rsid w:val="0019301D"/>
    <w:rsid w:val="001934B0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149"/>
    <w:rsid w:val="001B4B2F"/>
    <w:rsid w:val="001B697E"/>
    <w:rsid w:val="001B7C00"/>
    <w:rsid w:val="001C09D2"/>
    <w:rsid w:val="001C13EF"/>
    <w:rsid w:val="001C1620"/>
    <w:rsid w:val="001C18B2"/>
    <w:rsid w:val="001C1994"/>
    <w:rsid w:val="001C2933"/>
    <w:rsid w:val="001C5EEE"/>
    <w:rsid w:val="001C6A73"/>
    <w:rsid w:val="001C73C2"/>
    <w:rsid w:val="001C77BB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2A79"/>
    <w:rsid w:val="001E2DFF"/>
    <w:rsid w:val="001E3FB9"/>
    <w:rsid w:val="001E4083"/>
    <w:rsid w:val="001E531E"/>
    <w:rsid w:val="001E5588"/>
    <w:rsid w:val="001E56CB"/>
    <w:rsid w:val="001E56FC"/>
    <w:rsid w:val="001E582D"/>
    <w:rsid w:val="001E6318"/>
    <w:rsid w:val="001F0AD5"/>
    <w:rsid w:val="001F0C0A"/>
    <w:rsid w:val="001F1509"/>
    <w:rsid w:val="001F1883"/>
    <w:rsid w:val="001F18E7"/>
    <w:rsid w:val="001F3A75"/>
    <w:rsid w:val="001F3A9D"/>
    <w:rsid w:val="001F3FDB"/>
    <w:rsid w:val="001F44AA"/>
    <w:rsid w:val="001F5917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A9E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88D"/>
    <w:rsid w:val="00242BD3"/>
    <w:rsid w:val="00242C02"/>
    <w:rsid w:val="00243155"/>
    <w:rsid w:val="00243A90"/>
    <w:rsid w:val="002467CB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7A9"/>
    <w:rsid w:val="0026520E"/>
    <w:rsid w:val="00266486"/>
    <w:rsid w:val="00266B0A"/>
    <w:rsid w:val="00266C61"/>
    <w:rsid w:val="0026749A"/>
    <w:rsid w:val="0027167E"/>
    <w:rsid w:val="0027184B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3A4"/>
    <w:rsid w:val="002806F8"/>
    <w:rsid w:val="002810B5"/>
    <w:rsid w:val="0028125B"/>
    <w:rsid w:val="00281F4F"/>
    <w:rsid w:val="0028285A"/>
    <w:rsid w:val="00286744"/>
    <w:rsid w:val="002909B9"/>
    <w:rsid w:val="00292CEE"/>
    <w:rsid w:val="00292D22"/>
    <w:rsid w:val="0029470D"/>
    <w:rsid w:val="00296646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2D42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5695"/>
    <w:rsid w:val="002C5DFB"/>
    <w:rsid w:val="002C7D29"/>
    <w:rsid w:val="002D0298"/>
    <w:rsid w:val="002D1284"/>
    <w:rsid w:val="002D1662"/>
    <w:rsid w:val="002D1DE5"/>
    <w:rsid w:val="002D3506"/>
    <w:rsid w:val="002D3670"/>
    <w:rsid w:val="002D3DE0"/>
    <w:rsid w:val="002D4807"/>
    <w:rsid w:val="002D5DDC"/>
    <w:rsid w:val="002D5F16"/>
    <w:rsid w:val="002D62F1"/>
    <w:rsid w:val="002D67AD"/>
    <w:rsid w:val="002D6FD8"/>
    <w:rsid w:val="002D727B"/>
    <w:rsid w:val="002D7EAD"/>
    <w:rsid w:val="002E0DDF"/>
    <w:rsid w:val="002E0EBB"/>
    <w:rsid w:val="002E1169"/>
    <w:rsid w:val="002E1218"/>
    <w:rsid w:val="002E28F3"/>
    <w:rsid w:val="002E5198"/>
    <w:rsid w:val="002E5A71"/>
    <w:rsid w:val="002E6316"/>
    <w:rsid w:val="002E7615"/>
    <w:rsid w:val="002E7A2A"/>
    <w:rsid w:val="002E7F16"/>
    <w:rsid w:val="002F1425"/>
    <w:rsid w:val="002F1714"/>
    <w:rsid w:val="002F2EC8"/>
    <w:rsid w:val="002F4CE2"/>
    <w:rsid w:val="002F5F6A"/>
    <w:rsid w:val="002F60A4"/>
    <w:rsid w:val="002F6B0C"/>
    <w:rsid w:val="003004A6"/>
    <w:rsid w:val="00300FB2"/>
    <w:rsid w:val="0030129C"/>
    <w:rsid w:val="00301324"/>
    <w:rsid w:val="003013E2"/>
    <w:rsid w:val="00301FE4"/>
    <w:rsid w:val="00302AD1"/>
    <w:rsid w:val="00303E3A"/>
    <w:rsid w:val="00305417"/>
    <w:rsid w:val="00305AF0"/>
    <w:rsid w:val="00306127"/>
    <w:rsid w:val="0030641B"/>
    <w:rsid w:val="003067C8"/>
    <w:rsid w:val="00306854"/>
    <w:rsid w:val="00311453"/>
    <w:rsid w:val="003114C9"/>
    <w:rsid w:val="0031229D"/>
    <w:rsid w:val="00314E12"/>
    <w:rsid w:val="003166A5"/>
    <w:rsid w:val="00316C8C"/>
    <w:rsid w:val="003174C2"/>
    <w:rsid w:val="00317CE4"/>
    <w:rsid w:val="00320CBA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6F74"/>
    <w:rsid w:val="00327011"/>
    <w:rsid w:val="00334127"/>
    <w:rsid w:val="00335CA6"/>
    <w:rsid w:val="003365F0"/>
    <w:rsid w:val="00336C50"/>
    <w:rsid w:val="00337388"/>
    <w:rsid w:val="0034007D"/>
    <w:rsid w:val="003422A0"/>
    <w:rsid w:val="003433E5"/>
    <w:rsid w:val="00344082"/>
    <w:rsid w:val="00344B1E"/>
    <w:rsid w:val="0034582C"/>
    <w:rsid w:val="00345916"/>
    <w:rsid w:val="00345CAC"/>
    <w:rsid w:val="0034789E"/>
    <w:rsid w:val="003501DA"/>
    <w:rsid w:val="003503E2"/>
    <w:rsid w:val="00351DC1"/>
    <w:rsid w:val="00352724"/>
    <w:rsid w:val="003534EE"/>
    <w:rsid w:val="003600A2"/>
    <w:rsid w:val="003605FC"/>
    <w:rsid w:val="003612D8"/>
    <w:rsid w:val="003618EC"/>
    <w:rsid w:val="003637B6"/>
    <w:rsid w:val="00363A37"/>
    <w:rsid w:val="00363F89"/>
    <w:rsid w:val="00363FB0"/>
    <w:rsid w:val="003646D6"/>
    <w:rsid w:val="00364FC6"/>
    <w:rsid w:val="00365161"/>
    <w:rsid w:val="0036541D"/>
    <w:rsid w:val="00370504"/>
    <w:rsid w:val="00371814"/>
    <w:rsid w:val="00372BAE"/>
    <w:rsid w:val="00372EE9"/>
    <w:rsid w:val="00373F07"/>
    <w:rsid w:val="00374A60"/>
    <w:rsid w:val="00375181"/>
    <w:rsid w:val="003757DF"/>
    <w:rsid w:val="003764C0"/>
    <w:rsid w:val="003767A4"/>
    <w:rsid w:val="003774F6"/>
    <w:rsid w:val="003818B3"/>
    <w:rsid w:val="0038356A"/>
    <w:rsid w:val="0038382F"/>
    <w:rsid w:val="00383D83"/>
    <w:rsid w:val="0038443F"/>
    <w:rsid w:val="00385427"/>
    <w:rsid w:val="003865CD"/>
    <w:rsid w:val="00387542"/>
    <w:rsid w:val="00387C6B"/>
    <w:rsid w:val="00390FC0"/>
    <w:rsid w:val="003911B2"/>
    <w:rsid w:val="003911C5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745"/>
    <w:rsid w:val="003A6834"/>
    <w:rsid w:val="003A78C7"/>
    <w:rsid w:val="003A7E9A"/>
    <w:rsid w:val="003B15FE"/>
    <w:rsid w:val="003B1C41"/>
    <w:rsid w:val="003B427F"/>
    <w:rsid w:val="003B46AD"/>
    <w:rsid w:val="003B4E10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1084"/>
    <w:rsid w:val="004020F1"/>
    <w:rsid w:val="004032D2"/>
    <w:rsid w:val="00403C4F"/>
    <w:rsid w:val="004058B4"/>
    <w:rsid w:val="00405C45"/>
    <w:rsid w:val="004062EF"/>
    <w:rsid w:val="004062F0"/>
    <w:rsid w:val="00406CB5"/>
    <w:rsid w:val="0041070B"/>
    <w:rsid w:val="00410B8F"/>
    <w:rsid w:val="00412057"/>
    <w:rsid w:val="004126C1"/>
    <w:rsid w:val="00412E44"/>
    <w:rsid w:val="00413BA5"/>
    <w:rsid w:val="00414FD0"/>
    <w:rsid w:val="00417E93"/>
    <w:rsid w:val="00422A2A"/>
    <w:rsid w:val="00424BB4"/>
    <w:rsid w:val="004258CD"/>
    <w:rsid w:val="004261D2"/>
    <w:rsid w:val="004303D1"/>
    <w:rsid w:val="00431AEF"/>
    <w:rsid w:val="004329E0"/>
    <w:rsid w:val="00433C0A"/>
    <w:rsid w:val="004349FA"/>
    <w:rsid w:val="00436611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CCD"/>
    <w:rsid w:val="00450EEE"/>
    <w:rsid w:val="004512B2"/>
    <w:rsid w:val="004528EE"/>
    <w:rsid w:val="0045307B"/>
    <w:rsid w:val="00453087"/>
    <w:rsid w:val="00453360"/>
    <w:rsid w:val="00456409"/>
    <w:rsid w:val="004569C6"/>
    <w:rsid w:val="00456ADC"/>
    <w:rsid w:val="0045768F"/>
    <w:rsid w:val="00457769"/>
    <w:rsid w:val="004627AE"/>
    <w:rsid w:val="0046298E"/>
    <w:rsid w:val="004644C4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2EAF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BD7"/>
    <w:rsid w:val="00497356"/>
    <w:rsid w:val="004A1DC1"/>
    <w:rsid w:val="004A2FBD"/>
    <w:rsid w:val="004A31A2"/>
    <w:rsid w:val="004A48A7"/>
    <w:rsid w:val="004A506B"/>
    <w:rsid w:val="004A655D"/>
    <w:rsid w:val="004A6572"/>
    <w:rsid w:val="004A6B75"/>
    <w:rsid w:val="004B01B1"/>
    <w:rsid w:val="004B08D1"/>
    <w:rsid w:val="004B10E6"/>
    <w:rsid w:val="004B198F"/>
    <w:rsid w:val="004B323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1A70"/>
    <w:rsid w:val="004E2CBC"/>
    <w:rsid w:val="004E3DD4"/>
    <w:rsid w:val="004E5C1A"/>
    <w:rsid w:val="004E6C8C"/>
    <w:rsid w:val="004E6CC7"/>
    <w:rsid w:val="004E776F"/>
    <w:rsid w:val="004E7B3D"/>
    <w:rsid w:val="004F09E8"/>
    <w:rsid w:val="004F111D"/>
    <w:rsid w:val="004F1843"/>
    <w:rsid w:val="004F1EEC"/>
    <w:rsid w:val="004F24C8"/>
    <w:rsid w:val="004F30D6"/>
    <w:rsid w:val="004F34A5"/>
    <w:rsid w:val="004F40D6"/>
    <w:rsid w:val="004F6925"/>
    <w:rsid w:val="004F726C"/>
    <w:rsid w:val="00500BD8"/>
    <w:rsid w:val="005016D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0C7"/>
    <w:rsid w:val="005266BD"/>
    <w:rsid w:val="0052772D"/>
    <w:rsid w:val="00530442"/>
    <w:rsid w:val="005318CF"/>
    <w:rsid w:val="00534313"/>
    <w:rsid w:val="00534AF0"/>
    <w:rsid w:val="00535060"/>
    <w:rsid w:val="005354AC"/>
    <w:rsid w:val="00535738"/>
    <w:rsid w:val="005375E6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163"/>
    <w:rsid w:val="00555631"/>
    <w:rsid w:val="0055621D"/>
    <w:rsid w:val="005567A1"/>
    <w:rsid w:val="00560C6A"/>
    <w:rsid w:val="00560F85"/>
    <w:rsid w:val="005610A0"/>
    <w:rsid w:val="0056248F"/>
    <w:rsid w:val="00564985"/>
    <w:rsid w:val="00564F87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280"/>
    <w:rsid w:val="0058100F"/>
    <w:rsid w:val="00581FF0"/>
    <w:rsid w:val="005825FC"/>
    <w:rsid w:val="00583437"/>
    <w:rsid w:val="00583CE0"/>
    <w:rsid w:val="005846DC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3B8"/>
    <w:rsid w:val="005A0C60"/>
    <w:rsid w:val="005A255F"/>
    <w:rsid w:val="005A330E"/>
    <w:rsid w:val="005A3EE5"/>
    <w:rsid w:val="005A5554"/>
    <w:rsid w:val="005A5651"/>
    <w:rsid w:val="005A64FF"/>
    <w:rsid w:val="005A6AFE"/>
    <w:rsid w:val="005A7BF3"/>
    <w:rsid w:val="005A7DE0"/>
    <w:rsid w:val="005B09CC"/>
    <w:rsid w:val="005B0AEF"/>
    <w:rsid w:val="005B37D9"/>
    <w:rsid w:val="005B445B"/>
    <w:rsid w:val="005B474E"/>
    <w:rsid w:val="005B47C4"/>
    <w:rsid w:val="005B489A"/>
    <w:rsid w:val="005B4A7C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D7D78"/>
    <w:rsid w:val="005E2154"/>
    <w:rsid w:val="005E2FC7"/>
    <w:rsid w:val="005E37B9"/>
    <w:rsid w:val="005E427F"/>
    <w:rsid w:val="005E4574"/>
    <w:rsid w:val="005E4BBE"/>
    <w:rsid w:val="005E4C97"/>
    <w:rsid w:val="005E5014"/>
    <w:rsid w:val="005E5415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D7E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3DE5"/>
    <w:rsid w:val="00624D17"/>
    <w:rsid w:val="00624F56"/>
    <w:rsid w:val="00625DC4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0AB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959"/>
    <w:rsid w:val="00666A71"/>
    <w:rsid w:val="00667537"/>
    <w:rsid w:val="006678FD"/>
    <w:rsid w:val="0067064B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779F4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86E49"/>
    <w:rsid w:val="0069087A"/>
    <w:rsid w:val="00690B4B"/>
    <w:rsid w:val="00690BE4"/>
    <w:rsid w:val="00691007"/>
    <w:rsid w:val="00691077"/>
    <w:rsid w:val="00691982"/>
    <w:rsid w:val="00691BB0"/>
    <w:rsid w:val="00692777"/>
    <w:rsid w:val="00692BE0"/>
    <w:rsid w:val="00692C98"/>
    <w:rsid w:val="0069324E"/>
    <w:rsid w:val="00694487"/>
    <w:rsid w:val="0069448A"/>
    <w:rsid w:val="00695815"/>
    <w:rsid w:val="0069581B"/>
    <w:rsid w:val="00696601"/>
    <w:rsid w:val="006977FA"/>
    <w:rsid w:val="006A1874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533C"/>
    <w:rsid w:val="006B5DF6"/>
    <w:rsid w:val="006B643D"/>
    <w:rsid w:val="006B731E"/>
    <w:rsid w:val="006B79A4"/>
    <w:rsid w:val="006C1254"/>
    <w:rsid w:val="006C25FD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EB4"/>
    <w:rsid w:val="006E4601"/>
    <w:rsid w:val="006E5B86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5FF"/>
    <w:rsid w:val="0073377E"/>
    <w:rsid w:val="00733E05"/>
    <w:rsid w:val="00735C8A"/>
    <w:rsid w:val="00735FE2"/>
    <w:rsid w:val="0073719A"/>
    <w:rsid w:val="00737216"/>
    <w:rsid w:val="00737228"/>
    <w:rsid w:val="00737C62"/>
    <w:rsid w:val="00737C91"/>
    <w:rsid w:val="00740A68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8B7"/>
    <w:rsid w:val="00757B82"/>
    <w:rsid w:val="00761281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5D0C"/>
    <w:rsid w:val="00776A33"/>
    <w:rsid w:val="00776F15"/>
    <w:rsid w:val="007779ED"/>
    <w:rsid w:val="00780B1A"/>
    <w:rsid w:val="007810D3"/>
    <w:rsid w:val="0078264A"/>
    <w:rsid w:val="007826A8"/>
    <w:rsid w:val="00785E46"/>
    <w:rsid w:val="00787917"/>
    <w:rsid w:val="00791489"/>
    <w:rsid w:val="00791683"/>
    <w:rsid w:val="00791EE7"/>
    <w:rsid w:val="00792F0C"/>
    <w:rsid w:val="00795460"/>
    <w:rsid w:val="007A02D7"/>
    <w:rsid w:val="007A0313"/>
    <w:rsid w:val="007A0A83"/>
    <w:rsid w:val="007A1A00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946"/>
    <w:rsid w:val="007C2F78"/>
    <w:rsid w:val="007C34C5"/>
    <w:rsid w:val="007C4079"/>
    <w:rsid w:val="007C4827"/>
    <w:rsid w:val="007C4A20"/>
    <w:rsid w:val="007C6247"/>
    <w:rsid w:val="007D0897"/>
    <w:rsid w:val="007D0B7F"/>
    <w:rsid w:val="007D1266"/>
    <w:rsid w:val="007D1B94"/>
    <w:rsid w:val="007D36D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411"/>
    <w:rsid w:val="007F6EA4"/>
    <w:rsid w:val="008002A5"/>
    <w:rsid w:val="0080050E"/>
    <w:rsid w:val="00801329"/>
    <w:rsid w:val="00801424"/>
    <w:rsid w:val="00801AA4"/>
    <w:rsid w:val="00801B7E"/>
    <w:rsid w:val="008021B9"/>
    <w:rsid w:val="00803404"/>
    <w:rsid w:val="00806E68"/>
    <w:rsid w:val="00807FC3"/>
    <w:rsid w:val="00810034"/>
    <w:rsid w:val="008114CF"/>
    <w:rsid w:val="008117CC"/>
    <w:rsid w:val="00811AB3"/>
    <w:rsid w:val="0081421D"/>
    <w:rsid w:val="00814ADB"/>
    <w:rsid w:val="0081580A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3E7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4BE3"/>
    <w:rsid w:val="00845204"/>
    <w:rsid w:val="008458BD"/>
    <w:rsid w:val="00846956"/>
    <w:rsid w:val="00846CF1"/>
    <w:rsid w:val="00847622"/>
    <w:rsid w:val="008501A4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48AC"/>
    <w:rsid w:val="0087049C"/>
    <w:rsid w:val="00870AAD"/>
    <w:rsid w:val="00870EDE"/>
    <w:rsid w:val="008710AB"/>
    <w:rsid w:val="00871DA0"/>
    <w:rsid w:val="00872030"/>
    <w:rsid w:val="008736F8"/>
    <w:rsid w:val="00873973"/>
    <w:rsid w:val="00875031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02F"/>
    <w:rsid w:val="008853E0"/>
    <w:rsid w:val="008856C1"/>
    <w:rsid w:val="00885BE2"/>
    <w:rsid w:val="008863C8"/>
    <w:rsid w:val="00886D40"/>
    <w:rsid w:val="00887A0E"/>
    <w:rsid w:val="008907F3"/>
    <w:rsid w:val="008908AF"/>
    <w:rsid w:val="008920C2"/>
    <w:rsid w:val="00895702"/>
    <w:rsid w:val="00897566"/>
    <w:rsid w:val="0089757B"/>
    <w:rsid w:val="008A06D8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91B"/>
    <w:rsid w:val="00905BC5"/>
    <w:rsid w:val="009064AA"/>
    <w:rsid w:val="00907592"/>
    <w:rsid w:val="00912257"/>
    <w:rsid w:val="0091264E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5D2"/>
    <w:rsid w:val="00921BB8"/>
    <w:rsid w:val="00921BBD"/>
    <w:rsid w:val="00921D28"/>
    <w:rsid w:val="00922034"/>
    <w:rsid w:val="0092266C"/>
    <w:rsid w:val="009241E8"/>
    <w:rsid w:val="00925607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06"/>
    <w:rsid w:val="009621CE"/>
    <w:rsid w:val="009622BF"/>
    <w:rsid w:val="00964FF2"/>
    <w:rsid w:val="009651B8"/>
    <w:rsid w:val="009653F3"/>
    <w:rsid w:val="0096587A"/>
    <w:rsid w:val="009664BD"/>
    <w:rsid w:val="009666E7"/>
    <w:rsid w:val="00967278"/>
    <w:rsid w:val="00971568"/>
    <w:rsid w:val="009717E2"/>
    <w:rsid w:val="009728F2"/>
    <w:rsid w:val="00972AB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2D7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3AE4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86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74C"/>
    <w:rsid w:val="009F1D3A"/>
    <w:rsid w:val="009F2C2E"/>
    <w:rsid w:val="009F4190"/>
    <w:rsid w:val="009F4911"/>
    <w:rsid w:val="009F4B43"/>
    <w:rsid w:val="009F513E"/>
    <w:rsid w:val="009F5241"/>
    <w:rsid w:val="009F6807"/>
    <w:rsid w:val="009F68DF"/>
    <w:rsid w:val="009F6A24"/>
    <w:rsid w:val="00A0042C"/>
    <w:rsid w:val="00A00495"/>
    <w:rsid w:val="00A00864"/>
    <w:rsid w:val="00A01925"/>
    <w:rsid w:val="00A01DEB"/>
    <w:rsid w:val="00A036B5"/>
    <w:rsid w:val="00A06D32"/>
    <w:rsid w:val="00A07545"/>
    <w:rsid w:val="00A13947"/>
    <w:rsid w:val="00A13E2B"/>
    <w:rsid w:val="00A15389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0A7"/>
    <w:rsid w:val="00A377C5"/>
    <w:rsid w:val="00A37B2E"/>
    <w:rsid w:val="00A401FD"/>
    <w:rsid w:val="00A40558"/>
    <w:rsid w:val="00A40AF2"/>
    <w:rsid w:val="00A411DC"/>
    <w:rsid w:val="00A42E4C"/>
    <w:rsid w:val="00A43904"/>
    <w:rsid w:val="00A4582E"/>
    <w:rsid w:val="00A45BD2"/>
    <w:rsid w:val="00A45DFA"/>
    <w:rsid w:val="00A46A1E"/>
    <w:rsid w:val="00A50316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43A"/>
    <w:rsid w:val="00A61365"/>
    <w:rsid w:val="00A616B0"/>
    <w:rsid w:val="00A61759"/>
    <w:rsid w:val="00A61B88"/>
    <w:rsid w:val="00A62C11"/>
    <w:rsid w:val="00A62C70"/>
    <w:rsid w:val="00A63982"/>
    <w:rsid w:val="00A64D5B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6A"/>
    <w:rsid w:val="00A76648"/>
    <w:rsid w:val="00A76DF7"/>
    <w:rsid w:val="00A77523"/>
    <w:rsid w:val="00A8277A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78E"/>
    <w:rsid w:val="00A9197E"/>
    <w:rsid w:val="00A92065"/>
    <w:rsid w:val="00A92184"/>
    <w:rsid w:val="00A931C5"/>
    <w:rsid w:val="00A9334F"/>
    <w:rsid w:val="00A93D6F"/>
    <w:rsid w:val="00A9614E"/>
    <w:rsid w:val="00A963B5"/>
    <w:rsid w:val="00A96FA8"/>
    <w:rsid w:val="00A97665"/>
    <w:rsid w:val="00AA0504"/>
    <w:rsid w:val="00AA0909"/>
    <w:rsid w:val="00AA0C98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AA8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4C64"/>
    <w:rsid w:val="00AB5500"/>
    <w:rsid w:val="00AB5564"/>
    <w:rsid w:val="00AB57FB"/>
    <w:rsid w:val="00AB7348"/>
    <w:rsid w:val="00AC13B0"/>
    <w:rsid w:val="00AC2FD0"/>
    <w:rsid w:val="00AC3DBD"/>
    <w:rsid w:val="00AC40E0"/>
    <w:rsid w:val="00AC413B"/>
    <w:rsid w:val="00AC5B22"/>
    <w:rsid w:val="00AC5E85"/>
    <w:rsid w:val="00AD0239"/>
    <w:rsid w:val="00AD03D8"/>
    <w:rsid w:val="00AD0D5F"/>
    <w:rsid w:val="00AD34CF"/>
    <w:rsid w:val="00AD36C8"/>
    <w:rsid w:val="00AD37C9"/>
    <w:rsid w:val="00AD47D3"/>
    <w:rsid w:val="00AD652F"/>
    <w:rsid w:val="00AD6AF3"/>
    <w:rsid w:val="00AD7D05"/>
    <w:rsid w:val="00AE01F6"/>
    <w:rsid w:val="00AE16F0"/>
    <w:rsid w:val="00AE473C"/>
    <w:rsid w:val="00AE543D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040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428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1653"/>
    <w:rsid w:val="00B435EA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E8C"/>
    <w:rsid w:val="00B63A9D"/>
    <w:rsid w:val="00B64888"/>
    <w:rsid w:val="00B672E3"/>
    <w:rsid w:val="00B675F9"/>
    <w:rsid w:val="00B70849"/>
    <w:rsid w:val="00B720ED"/>
    <w:rsid w:val="00B72C1C"/>
    <w:rsid w:val="00B73BB7"/>
    <w:rsid w:val="00B74D5F"/>
    <w:rsid w:val="00B751C3"/>
    <w:rsid w:val="00B76C0D"/>
    <w:rsid w:val="00B77D0D"/>
    <w:rsid w:val="00B80817"/>
    <w:rsid w:val="00B8143A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F2B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A3E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49ED"/>
    <w:rsid w:val="00BC5C6D"/>
    <w:rsid w:val="00BC7120"/>
    <w:rsid w:val="00BC76A3"/>
    <w:rsid w:val="00BD00D1"/>
    <w:rsid w:val="00BD07A2"/>
    <w:rsid w:val="00BD2603"/>
    <w:rsid w:val="00BD26B4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D6"/>
    <w:rsid w:val="00BE5A62"/>
    <w:rsid w:val="00BE5CA6"/>
    <w:rsid w:val="00BE707F"/>
    <w:rsid w:val="00BE7F5D"/>
    <w:rsid w:val="00BF0707"/>
    <w:rsid w:val="00BF164F"/>
    <w:rsid w:val="00BF1AAF"/>
    <w:rsid w:val="00BF268B"/>
    <w:rsid w:val="00BF4A1B"/>
    <w:rsid w:val="00BF4D03"/>
    <w:rsid w:val="00BF4E85"/>
    <w:rsid w:val="00BF54BD"/>
    <w:rsid w:val="00BF5892"/>
    <w:rsid w:val="00BF72F8"/>
    <w:rsid w:val="00C01804"/>
    <w:rsid w:val="00C026BC"/>
    <w:rsid w:val="00C02AD4"/>
    <w:rsid w:val="00C03869"/>
    <w:rsid w:val="00C07988"/>
    <w:rsid w:val="00C07C5E"/>
    <w:rsid w:val="00C10068"/>
    <w:rsid w:val="00C10AC5"/>
    <w:rsid w:val="00C112D6"/>
    <w:rsid w:val="00C11E09"/>
    <w:rsid w:val="00C12DAD"/>
    <w:rsid w:val="00C12E17"/>
    <w:rsid w:val="00C1308F"/>
    <w:rsid w:val="00C139FC"/>
    <w:rsid w:val="00C14741"/>
    <w:rsid w:val="00C1544B"/>
    <w:rsid w:val="00C15BFE"/>
    <w:rsid w:val="00C15E75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5DC9"/>
    <w:rsid w:val="00C36742"/>
    <w:rsid w:val="00C374AD"/>
    <w:rsid w:val="00C40DE4"/>
    <w:rsid w:val="00C40E63"/>
    <w:rsid w:val="00C41A06"/>
    <w:rsid w:val="00C4261B"/>
    <w:rsid w:val="00C42BFB"/>
    <w:rsid w:val="00C44DDC"/>
    <w:rsid w:val="00C506FA"/>
    <w:rsid w:val="00C5128B"/>
    <w:rsid w:val="00C5131C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11A2"/>
    <w:rsid w:val="00C83A4C"/>
    <w:rsid w:val="00C8533B"/>
    <w:rsid w:val="00C858BA"/>
    <w:rsid w:val="00C86977"/>
    <w:rsid w:val="00C9046B"/>
    <w:rsid w:val="00C916C8"/>
    <w:rsid w:val="00C9398D"/>
    <w:rsid w:val="00C939EE"/>
    <w:rsid w:val="00C93C6E"/>
    <w:rsid w:val="00C93F93"/>
    <w:rsid w:val="00C94D44"/>
    <w:rsid w:val="00C95EEE"/>
    <w:rsid w:val="00C974CB"/>
    <w:rsid w:val="00C97556"/>
    <w:rsid w:val="00C97929"/>
    <w:rsid w:val="00CA0049"/>
    <w:rsid w:val="00CA0980"/>
    <w:rsid w:val="00CA2A98"/>
    <w:rsid w:val="00CA2BAE"/>
    <w:rsid w:val="00CA34BA"/>
    <w:rsid w:val="00CA4503"/>
    <w:rsid w:val="00CA59A7"/>
    <w:rsid w:val="00CA5A66"/>
    <w:rsid w:val="00CA796A"/>
    <w:rsid w:val="00CB2575"/>
    <w:rsid w:val="00CB3677"/>
    <w:rsid w:val="00CB368F"/>
    <w:rsid w:val="00CB4C42"/>
    <w:rsid w:val="00CB4DFA"/>
    <w:rsid w:val="00CB6D57"/>
    <w:rsid w:val="00CB7BD7"/>
    <w:rsid w:val="00CC0A0B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0FCB"/>
    <w:rsid w:val="00CF13B8"/>
    <w:rsid w:val="00CF2DEA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58D4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2D25"/>
    <w:rsid w:val="00D23557"/>
    <w:rsid w:val="00D236C5"/>
    <w:rsid w:val="00D2427F"/>
    <w:rsid w:val="00D242F9"/>
    <w:rsid w:val="00D24BB7"/>
    <w:rsid w:val="00D2506D"/>
    <w:rsid w:val="00D263AE"/>
    <w:rsid w:val="00D27855"/>
    <w:rsid w:val="00D27E5A"/>
    <w:rsid w:val="00D31021"/>
    <w:rsid w:val="00D314B4"/>
    <w:rsid w:val="00D329B9"/>
    <w:rsid w:val="00D33412"/>
    <w:rsid w:val="00D34514"/>
    <w:rsid w:val="00D3482C"/>
    <w:rsid w:val="00D35999"/>
    <w:rsid w:val="00D3664C"/>
    <w:rsid w:val="00D3683A"/>
    <w:rsid w:val="00D36AF5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433"/>
    <w:rsid w:val="00D44FC8"/>
    <w:rsid w:val="00D45521"/>
    <w:rsid w:val="00D45D8F"/>
    <w:rsid w:val="00D50332"/>
    <w:rsid w:val="00D50BCB"/>
    <w:rsid w:val="00D52B95"/>
    <w:rsid w:val="00D5362B"/>
    <w:rsid w:val="00D53A09"/>
    <w:rsid w:val="00D54AAB"/>
    <w:rsid w:val="00D54CB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D43"/>
    <w:rsid w:val="00D654D5"/>
    <w:rsid w:val="00D65A9D"/>
    <w:rsid w:val="00D65CB5"/>
    <w:rsid w:val="00D677BB"/>
    <w:rsid w:val="00D67AD3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5F7"/>
    <w:rsid w:val="00D856EA"/>
    <w:rsid w:val="00D85ACD"/>
    <w:rsid w:val="00D86460"/>
    <w:rsid w:val="00D901AC"/>
    <w:rsid w:val="00D912D5"/>
    <w:rsid w:val="00D91AAF"/>
    <w:rsid w:val="00D94564"/>
    <w:rsid w:val="00D9536E"/>
    <w:rsid w:val="00D97426"/>
    <w:rsid w:val="00D97568"/>
    <w:rsid w:val="00D979C6"/>
    <w:rsid w:val="00DA06B0"/>
    <w:rsid w:val="00DA29BA"/>
    <w:rsid w:val="00DA2DA3"/>
    <w:rsid w:val="00DA3249"/>
    <w:rsid w:val="00DA38CE"/>
    <w:rsid w:val="00DA4B01"/>
    <w:rsid w:val="00DA5322"/>
    <w:rsid w:val="00DA55AC"/>
    <w:rsid w:val="00DA5600"/>
    <w:rsid w:val="00DA608B"/>
    <w:rsid w:val="00DA6792"/>
    <w:rsid w:val="00DA7413"/>
    <w:rsid w:val="00DA7C99"/>
    <w:rsid w:val="00DB0066"/>
    <w:rsid w:val="00DB006A"/>
    <w:rsid w:val="00DB0F9E"/>
    <w:rsid w:val="00DB1307"/>
    <w:rsid w:val="00DB16A9"/>
    <w:rsid w:val="00DB1E1A"/>
    <w:rsid w:val="00DB2AF6"/>
    <w:rsid w:val="00DB2CB5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3A6"/>
    <w:rsid w:val="00DD47D5"/>
    <w:rsid w:val="00DD6729"/>
    <w:rsid w:val="00DD7960"/>
    <w:rsid w:val="00DD7B0D"/>
    <w:rsid w:val="00DE1F29"/>
    <w:rsid w:val="00DE2783"/>
    <w:rsid w:val="00DE2A15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3C6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5FEA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106"/>
    <w:rsid w:val="00E6247F"/>
    <w:rsid w:val="00E62E59"/>
    <w:rsid w:val="00E63E99"/>
    <w:rsid w:val="00E6454D"/>
    <w:rsid w:val="00E65301"/>
    <w:rsid w:val="00E6598A"/>
    <w:rsid w:val="00E667A7"/>
    <w:rsid w:val="00E679B3"/>
    <w:rsid w:val="00E67E12"/>
    <w:rsid w:val="00E7190A"/>
    <w:rsid w:val="00E71E5C"/>
    <w:rsid w:val="00E7245E"/>
    <w:rsid w:val="00E73686"/>
    <w:rsid w:val="00E73831"/>
    <w:rsid w:val="00E73B66"/>
    <w:rsid w:val="00E7498E"/>
    <w:rsid w:val="00E74BB9"/>
    <w:rsid w:val="00E74FF5"/>
    <w:rsid w:val="00E7584A"/>
    <w:rsid w:val="00E760D0"/>
    <w:rsid w:val="00E76D85"/>
    <w:rsid w:val="00E77A0A"/>
    <w:rsid w:val="00E77C2E"/>
    <w:rsid w:val="00E80A1A"/>
    <w:rsid w:val="00E81DBA"/>
    <w:rsid w:val="00E8292A"/>
    <w:rsid w:val="00E82DE7"/>
    <w:rsid w:val="00E84116"/>
    <w:rsid w:val="00E84C5C"/>
    <w:rsid w:val="00E8518E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6E1"/>
    <w:rsid w:val="00EA17A9"/>
    <w:rsid w:val="00EA2CAB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B7CBC"/>
    <w:rsid w:val="00EC0725"/>
    <w:rsid w:val="00EC0889"/>
    <w:rsid w:val="00EC0C13"/>
    <w:rsid w:val="00EC148C"/>
    <w:rsid w:val="00EC2D7D"/>
    <w:rsid w:val="00EC36AD"/>
    <w:rsid w:val="00EC3BCF"/>
    <w:rsid w:val="00EC56B1"/>
    <w:rsid w:val="00EC595A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5F84"/>
    <w:rsid w:val="00EE6989"/>
    <w:rsid w:val="00EE7604"/>
    <w:rsid w:val="00EE7912"/>
    <w:rsid w:val="00EE7915"/>
    <w:rsid w:val="00EF0465"/>
    <w:rsid w:val="00EF13C5"/>
    <w:rsid w:val="00EF16D8"/>
    <w:rsid w:val="00EF1B1E"/>
    <w:rsid w:val="00EF1F5F"/>
    <w:rsid w:val="00EF28EF"/>
    <w:rsid w:val="00EF40E7"/>
    <w:rsid w:val="00EF4529"/>
    <w:rsid w:val="00EF5B34"/>
    <w:rsid w:val="00EF6149"/>
    <w:rsid w:val="00EF657C"/>
    <w:rsid w:val="00F004D1"/>
    <w:rsid w:val="00F00C0D"/>
    <w:rsid w:val="00F0128B"/>
    <w:rsid w:val="00F02663"/>
    <w:rsid w:val="00F03369"/>
    <w:rsid w:val="00F04819"/>
    <w:rsid w:val="00F04E62"/>
    <w:rsid w:val="00F050AA"/>
    <w:rsid w:val="00F05E6D"/>
    <w:rsid w:val="00F11800"/>
    <w:rsid w:val="00F11B61"/>
    <w:rsid w:val="00F12769"/>
    <w:rsid w:val="00F135D6"/>
    <w:rsid w:val="00F13922"/>
    <w:rsid w:val="00F13DBC"/>
    <w:rsid w:val="00F14954"/>
    <w:rsid w:val="00F15FCF"/>
    <w:rsid w:val="00F16613"/>
    <w:rsid w:val="00F20706"/>
    <w:rsid w:val="00F21496"/>
    <w:rsid w:val="00F217FE"/>
    <w:rsid w:val="00F21E77"/>
    <w:rsid w:val="00F24D27"/>
    <w:rsid w:val="00F2520C"/>
    <w:rsid w:val="00F25BCB"/>
    <w:rsid w:val="00F25ECC"/>
    <w:rsid w:val="00F264C1"/>
    <w:rsid w:val="00F26D7F"/>
    <w:rsid w:val="00F27305"/>
    <w:rsid w:val="00F3055A"/>
    <w:rsid w:val="00F30790"/>
    <w:rsid w:val="00F31570"/>
    <w:rsid w:val="00F33355"/>
    <w:rsid w:val="00F34363"/>
    <w:rsid w:val="00F34CE9"/>
    <w:rsid w:val="00F354B9"/>
    <w:rsid w:val="00F35705"/>
    <w:rsid w:val="00F35B93"/>
    <w:rsid w:val="00F35D8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4861"/>
    <w:rsid w:val="00F55989"/>
    <w:rsid w:val="00F55E0E"/>
    <w:rsid w:val="00F5611D"/>
    <w:rsid w:val="00F56E3E"/>
    <w:rsid w:val="00F578A8"/>
    <w:rsid w:val="00F57EEB"/>
    <w:rsid w:val="00F57F67"/>
    <w:rsid w:val="00F608B8"/>
    <w:rsid w:val="00F60996"/>
    <w:rsid w:val="00F60B5D"/>
    <w:rsid w:val="00F611E4"/>
    <w:rsid w:val="00F613D4"/>
    <w:rsid w:val="00F61603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21E3"/>
    <w:rsid w:val="00F75896"/>
    <w:rsid w:val="00F76666"/>
    <w:rsid w:val="00F76ECB"/>
    <w:rsid w:val="00F76EF7"/>
    <w:rsid w:val="00F776B7"/>
    <w:rsid w:val="00F77758"/>
    <w:rsid w:val="00F77BDB"/>
    <w:rsid w:val="00F77C8E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46A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8E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59B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07C"/>
    <w:rsid w:val="00FE3B37"/>
    <w:rsid w:val="00FE4B40"/>
    <w:rsid w:val="00FE50AB"/>
    <w:rsid w:val="00FE5DC4"/>
    <w:rsid w:val="00FE6E55"/>
    <w:rsid w:val="00FE6E94"/>
    <w:rsid w:val="00FE76CB"/>
    <w:rsid w:val="00FE7BD8"/>
    <w:rsid w:val="00FF12EF"/>
    <w:rsid w:val="00FF1D76"/>
    <w:rsid w:val="00FF2F49"/>
    <w:rsid w:val="00FF309E"/>
    <w:rsid w:val="00FF3EE6"/>
    <w:rsid w:val="00FF434C"/>
    <w:rsid w:val="00FF55F5"/>
    <w:rsid w:val="00FF682B"/>
    <w:rsid w:val="00FF6B8C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C5131C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7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FEA"/>
    <w:pPr>
      <w:ind w:left="720"/>
      <w:contextualSpacing/>
    </w:pPr>
    <w:rPr>
      <w:rFonts w:asciiTheme="minorHAnsi" w:eastAsia="MS Mincho" w:hAnsiTheme="minorHAnsi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5FEA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45F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st">
    <w:name w:val="st"/>
    <w:basedOn w:val="DefaultParagraphFont"/>
    <w:rsid w:val="00DE2783"/>
  </w:style>
  <w:style w:type="character" w:styleId="Emphasis">
    <w:name w:val="Emphasis"/>
    <w:basedOn w:val="DefaultParagraphFont"/>
    <w:uiPriority w:val="20"/>
    <w:qFormat/>
    <w:rsid w:val="00DE27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C5131C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7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FEA"/>
    <w:pPr>
      <w:ind w:left="720"/>
      <w:contextualSpacing/>
    </w:pPr>
    <w:rPr>
      <w:rFonts w:asciiTheme="minorHAnsi" w:eastAsia="MS Mincho" w:hAnsiTheme="minorHAnsi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5FEA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45F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st">
    <w:name w:val="st"/>
    <w:basedOn w:val="DefaultParagraphFont"/>
    <w:rsid w:val="00DE2783"/>
  </w:style>
  <w:style w:type="character" w:styleId="Emphasis">
    <w:name w:val="Emphasis"/>
    <w:basedOn w:val="DefaultParagraphFont"/>
    <w:uiPriority w:val="20"/>
    <w:qFormat/>
    <w:rsid w:val="00DE2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2146</Words>
  <Characters>11913</Characters>
  <Application>Microsoft Office Word</Application>
  <DocSecurity>4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WIPO/--/-- (Arabic)</vt:lpstr>
      <vt:lpstr>WIPO/--/-- (Arabic)</vt:lpstr>
    </vt:vector>
  </TitlesOfParts>
  <Company>WIPO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WIPO/--/-- (Arabic)</dc:title>
  <dc:creator>BEN ALI Lassad</dc:creator>
  <cp:lastModifiedBy>FEDER-AGUILERA Nancy</cp:lastModifiedBy>
  <cp:revision>2</cp:revision>
  <cp:lastPrinted>2018-04-06T11:06:00Z</cp:lastPrinted>
  <dcterms:created xsi:type="dcterms:W3CDTF">2018-04-06T14:19:00Z</dcterms:created>
  <dcterms:modified xsi:type="dcterms:W3CDTF">2018-04-06T14:19:00Z</dcterms:modified>
</cp:coreProperties>
</file>