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24DA5" w:rsidRPr="008B2CC1" w:rsidTr="00466D37">
        <w:tc>
          <w:tcPr>
            <w:tcW w:w="4513" w:type="dxa"/>
            <w:tcBorders>
              <w:bottom w:val="single" w:sz="4" w:space="0" w:color="auto"/>
            </w:tcBorders>
            <w:tcMar>
              <w:bottom w:w="170" w:type="dxa"/>
            </w:tcMar>
          </w:tcPr>
          <w:p w:rsidR="00624DA5" w:rsidRPr="008B2CC1" w:rsidRDefault="00624DA5" w:rsidP="00466D37">
            <w:bookmarkStart w:id="0" w:name="_GoBack"/>
            <w:bookmarkEnd w:id="0"/>
          </w:p>
        </w:tc>
        <w:tc>
          <w:tcPr>
            <w:tcW w:w="4337" w:type="dxa"/>
            <w:tcBorders>
              <w:bottom w:val="single" w:sz="4" w:space="0" w:color="auto"/>
            </w:tcBorders>
            <w:tcMar>
              <w:left w:w="0" w:type="dxa"/>
              <w:right w:w="0" w:type="dxa"/>
            </w:tcMar>
          </w:tcPr>
          <w:p w:rsidR="00624DA5" w:rsidRPr="008B2CC1" w:rsidRDefault="00624DA5" w:rsidP="00466D37">
            <w:r>
              <w:rPr>
                <w:noProof/>
                <w:lang w:val="en-US" w:eastAsia="en-US"/>
              </w:rPr>
              <w:drawing>
                <wp:inline distT="0" distB="0" distL="0" distR="0">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24DA5" w:rsidRPr="008B2CC1" w:rsidRDefault="00624DA5" w:rsidP="00466D37">
            <w:pPr>
              <w:jc w:val="right"/>
            </w:pPr>
            <w:r>
              <w:rPr>
                <w:b/>
                <w:sz w:val="40"/>
                <w:szCs w:val="40"/>
              </w:rPr>
              <w:t>S</w:t>
            </w:r>
          </w:p>
        </w:tc>
      </w:tr>
      <w:tr w:rsidR="00624DA5" w:rsidRPr="001832A6" w:rsidTr="00466D37">
        <w:trPr>
          <w:trHeight w:hRule="exact" w:val="340"/>
        </w:trPr>
        <w:tc>
          <w:tcPr>
            <w:tcW w:w="9356" w:type="dxa"/>
            <w:gridSpan w:val="3"/>
            <w:tcBorders>
              <w:top w:val="single" w:sz="4" w:space="0" w:color="auto"/>
            </w:tcBorders>
            <w:tcMar>
              <w:top w:w="170" w:type="dxa"/>
              <w:left w:w="0" w:type="dxa"/>
              <w:right w:w="0" w:type="dxa"/>
            </w:tcMar>
            <w:vAlign w:val="bottom"/>
          </w:tcPr>
          <w:p w:rsidR="00624DA5" w:rsidRPr="0090731E" w:rsidRDefault="00624DA5" w:rsidP="00624DA5">
            <w:pPr>
              <w:jc w:val="right"/>
              <w:rPr>
                <w:rFonts w:ascii="Arial Black" w:hAnsi="Arial Black"/>
                <w:caps/>
                <w:sz w:val="15"/>
              </w:rPr>
            </w:pPr>
            <w:r>
              <w:rPr>
                <w:rFonts w:ascii="Arial Black" w:hAnsi="Arial Black"/>
                <w:caps/>
                <w:sz w:val="15"/>
              </w:rPr>
              <w:t>wipo/ace/9/10/</w:t>
            </w:r>
            <w:bookmarkStart w:id="1" w:name="Code"/>
            <w:bookmarkEnd w:id="1"/>
          </w:p>
        </w:tc>
      </w:tr>
      <w:tr w:rsidR="00624DA5" w:rsidRPr="001832A6" w:rsidTr="00466D37">
        <w:trPr>
          <w:trHeight w:hRule="exact" w:val="170"/>
        </w:trPr>
        <w:tc>
          <w:tcPr>
            <w:tcW w:w="9356" w:type="dxa"/>
            <w:gridSpan w:val="3"/>
            <w:noWrap/>
            <w:tcMar>
              <w:left w:w="0" w:type="dxa"/>
              <w:right w:w="0" w:type="dxa"/>
            </w:tcMar>
            <w:vAlign w:val="bottom"/>
          </w:tcPr>
          <w:p w:rsidR="00624DA5" w:rsidRPr="0090731E" w:rsidRDefault="00624DA5" w:rsidP="00466D37">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inglés </w:t>
            </w:r>
            <w:r w:rsidRPr="0090731E">
              <w:rPr>
                <w:rFonts w:ascii="Arial Black" w:hAnsi="Arial Black"/>
                <w:caps/>
                <w:sz w:val="15"/>
              </w:rPr>
              <w:t xml:space="preserve"> </w:t>
            </w:r>
            <w:bookmarkStart w:id="2" w:name="Original"/>
            <w:bookmarkEnd w:id="2"/>
          </w:p>
        </w:tc>
      </w:tr>
      <w:tr w:rsidR="00624DA5" w:rsidRPr="001832A6" w:rsidTr="00466D37">
        <w:trPr>
          <w:trHeight w:hRule="exact" w:val="198"/>
        </w:trPr>
        <w:tc>
          <w:tcPr>
            <w:tcW w:w="9356" w:type="dxa"/>
            <w:gridSpan w:val="3"/>
            <w:tcMar>
              <w:left w:w="0" w:type="dxa"/>
              <w:right w:w="0" w:type="dxa"/>
            </w:tcMar>
            <w:vAlign w:val="bottom"/>
          </w:tcPr>
          <w:p w:rsidR="00624DA5" w:rsidRPr="0090731E" w:rsidRDefault="00624DA5" w:rsidP="00466D37">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20 de diciembre de 2013 </w:t>
            </w:r>
            <w:r w:rsidRPr="0090731E">
              <w:rPr>
                <w:rFonts w:ascii="Arial Black" w:hAnsi="Arial Black"/>
                <w:caps/>
                <w:sz w:val="15"/>
              </w:rPr>
              <w:t xml:space="preserve"> </w:t>
            </w:r>
            <w:bookmarkStart w:id="3" w:name="Date"/>
            <w:bookmarkEnd w:id="3"/>
          </w:p>
        </w:tc>
      </w:tr>
    </w:tbl>
    <w:p w:rsidR="00624DA5" w:rsidRPr="008B2CC1" w:rsidRDefault="00624DA5" w:rsidP="00624DA5"/>
    <w:p w:rsidR="008B2CC1" w:rsidRPr="00412898" w:rsidRDefault="008B2CC1" w:rsidP="008B2CC1"/>
    <w:p w:rsidR="008B2CC1" w:rsidRPr="00412898" w:rsidRDefault="008B2CC1" w:rsidP="008B2CC1"/>
    <w:p w:rsidR="008B2CC1" w:rsidRPr="00412898" w:rsidRDefault="008B2CC1" w:rsidP="008B2CC1"/>
    <w:p w:rsidR="00061D47" w:rsidRPr="00412898" w:rsidRDefault="00841F88" w:rsidP="00061D47">
      <w:pPr>
        <w:pStyle w:val="Meetingtitle"/>
        <w:ind w:left="0"/>
      </w:pPr>
      <w:r w:rsidRPr="00412898">
        <w:t>Comité Asesor sobre Observancia</w:t>
      </w:r>
    </w:p>
    <w:p w:rsidR="00061D47" w:rsidRPr="00412898" w:rsidRDefault="00061D47" w:rsidP="00061D47">
      <w:pPr>
        <w:pStyle w:val="Sessiontitle"/>
        <w:ind w:left="0"/>
      </w:pPr>
      <w:r w:rsidRPr="00412898">
        <w:rPr>
          <w:lang w:eastAsia="ko-KR"/>
        </w:rPr>
        <w:t>N</w:t>
      </w:r>
      <w:r w:rsidR="00D17DB5" w:rsidRPr="00412898">
        <w:rPr>
          <w:lang w:eastAsia="ko-KR"/>
        </w:rPr>
        <w:t>ovena sesión</w:t>
      </w:r>
    </w:p>
    <w:p w:rsidR="00061D47" w:rsidRPr="00412898" w:rsidRDefault="00D17DB5" w:rsidP="00061D47">
      <w:pPr>
        <w:pStyle w:val="Meetingplacedate"/>
        <w:ind w:left="0"/>
      </w:pPr>
      <w:r w:rsidRPr="00412898">
        <w:t>Ginebra, 3 a 5 de marzo de</w:t>
      </w:r>
      <w:r w:rsidR="00061D47" w:rsidRPr="00412898">
        <w:t xml:space="preserve"> 201</w:t>
      </w:r>
      <w:r w:rsidR="00061D47" w:rsidRPr="00412898">
        <w:rPr>
          <w:lang w:eastAsia="ko-KR"/>
        </w:rPr>
        <w:t>4</w:t>
      </w:r>
    </w:p>
    <w:p w:rsidR="008B2CC1" w:rsidRPr="00412898" w:rsidRDefault="008B2CC1" w:rsidP="008B2CC1"/>
    <w:p w:rsidR="008B2CC1" w:rsidRPr="00412898" w:rsidRDefault="008B2CC1" w:rsidP="008B2CC1"/>
    <w:p w:rsidR="008B2CC1" w:rsidRPr="00412898" w:rsidRDefault="008B2CC1" w:rsidP="008B2CC1"/>
    <w:p w:rsidR="008B2CC1" w:rsidRPr="00412898" w:rsidRDefault="00C05D61" w:rsidP="00DA44A6">
      <w:bookmarkStart w:id="4" w:name="TitleOfDoc"/>
      <w:bookmarkEnd w:id="4"/>
      <w:r w:rsidRPr="00412898">
        <w:rPr>
          <w:caps/>
          <w:sz w:val="24"/>
        </w:rPr>
        <w:t>prácticas y funcionamiento de los sistemas de solución extrajudicial de controversias en ámbitos de la p.i.</w:t>
      </w:r>
    </w:p>
    <w:p w:rsidR="0054017E" w:rsidRPr="00412898" w:rsidRDefault="0054017E" w:rsidP="008B2CC1">
      <w:pPr>
        <w:rPr>
          <w:i/>
        </w:rPr>
      </w:pPr>
      <w:bookmarkStart w:id="5" w:name="Prepared"/>
      <w:bookmarkEnd w:id="5"/>
    </w:p>
    <w:p w:rsidR="008B2CC1" w:rsidRPr="00412898" w:rsidRDefault="00D17DB5" w:rsidP="008B2CC1">
      <w:pPr>
        <w:rPr>
          <w:i/>
        </w:rPr>
      </w:pPr>
      <w:r w:rsidRPr="00412898">
        <w:rPr>
          <w:i/>
        </w:rPr>
        <w:t>Documento preparado por el</w:t>
      </w:r>
      <w:r w:rsidR="00217CF7" w:rsidRPr="00412898">
        <w:rPr>
          <w:i/>
        </w:rPr>
        <w:t xml:space="preserve"> </w:t>
      </w:r>
      <w:r w:rsidR="0054017E" w:rsidRPr="00412898">
        <w:rPr>
          <w:i/>
        </w:rPr>
        <w:t xml:space="preserve">Dr. Michael Groß, </w:t>
      </w:r>
      <w:r w:rsidR="007E1C23">
        <w:rPr>
          <w:i/>
        </w:rPr>
        <w:t xml:space="preserve">Institución </w:t>
      </w:r>
      <w:r w:rsidR="0054017E" w:rsidRPr="00412898">
        <w:rPr>
          <w:i/>
        </w:rPr>
        <w:t xml:space="preserve">Fraunhofer-Gesellschaft, </w:t>
      </w:r>
      <w:r w:rsidR="00C05D61" w:rsidRPr="00412898">
        <w:rPr>
          <w:i/>
        </w:rPr>
        <w:t>Mú</w:t>
      </w:r>
      <w:r w:rsidR="00FF1A0F" w:rsidRPr="00412898">
        <w:rPr>
          <w:i/>
        </w:rPr>
        <w:t>nich</w:t>
      </w:r>
      <w:r w:rsidRPr="00412898">
        <w:rPr>
          <w:i/>
        </w:rPr>
        <w:t xml:space="preserve"> (Alemania)</w:t>
      </w:r>
      <w:r w:rsidR="001A411F" w:rsidRPr="00412898">
        <w:rPr>
          <w:rStyle w:val="FootnoteReference"/>
        </w:rPr>
        <w:footnoteReference w:customMarkFollows="1" w:id="2"/>
        <w:sym w:font="Symbol" w:char="F02A"/>
      </w:r>
    </w:p>
    <w:p w:rsidR="00AC205C" w:rsidRPr="00412898" w:rsidRDefault="00AC205C"/>
    <w:p w:rsidR="000F5E56" w:rsidRPr="00412898" w:rsidRDefault="000F5E56"/>
    <w:p w:rsidR="0054017E" w:rsidRPr="00412898" w:rsidRDefault="0054017E" w:rsidP="0054017E"/>
    <w:p w:rsidR="0054017E" w:rsidRPr="00412898" w:rsidRDefault="0054017E" w:rsidP="0054017E"/>
    <w:p w:rsidR="0054017E" w:rsidRPr="00412898" w:rsidRDefault="00FF7B7C" w:rsidP="0054017E">
      <w:pPr>
        <w:pStyle w:val="Heading1"/>
      </w:pPr>
      <w:r w:rsidRPr="00412898">
        <w:t xml:space="preserve">la Institución </w:t>
      </w:r>
      <w:r w:rsidR="0054017E" w:rsidRPr="00412898">
        <w:rPr>
          <w:i/>
        </w:rPr>
        <w:t>Fraunhofer-Gesellschaft</w:t>
      </w:r>
      <w:r w:rsidR="0054017E" w:rsidRPr="00412898">
        <w:t xml:space="preserve">: </w:t>
      </w:r>
      <w:r w:rsidR="000D1EEA" w:rsidRPr="00412898">
        <w:t xml:space="preserve"> </w:t>
      </w:r>
      <w:r w:rsidR="00CE4574" w:rsidRPr="00412898">
        <w:t>hechos y cifras</w:t>
      </w:r>
      <w:r w:rsidR="0054017E" w:rsidRPr="00412898">
        <w:t xml:space="preserve"> </w:t>
      </w:r>
    </w:p>
    <w:p w:rsidR="0054017E" w:rsidRPr="00412898" w:rsidRDefault="0054017E" w:rsidP="0054017E"/>
    <w:p w:rsidR="00CE4574" w:rsidRPr="00412898" w:rsidRDefault="00DA60E5">
      <w:r w:rsidRPr="00412898">
        <w:fldChar w:fldCharType="begin"/>
      </w:r>
      <w:r w:rsidRPr="00412898">
        <w:instrText xml:space="preserve"> AUTONUM  </w:instrText>
      </w:r>
      <w:r w:rsidRPr="00412898">
        <w:fldChar w:fldCharType="end"/>
      </w:r>
      <w:r w:rsidRPr="00412898">
        <w:tab/>
      </w:r>
      <w:r w:rsidR="00CE4574" w:rsidRPr="00412898">
        <w:t xml:space="preserve">La institución </w:t>
      </w:r>
      <w:r w:rsidR="00987466" w:rsidRPr="00412898">
        <w:rPr>
          <w:i/>
        </w:rPr>
        <w:t>Fraunhofer-Gesellschaft</w:t>
      </w:r>
      <w:r w:rsidR="003B3625" w:rsidRPr="00412898">
        <w:rPr>
          <w:i/>
        </w:rPr>
        <w:t xml:space="preserve"> </w:t>
      </w:r>
      <w:r w:rsidR="00CE4574" w:rsidRPr="00412898">
        <w:t>es la mayor organización de investigación aplicada de Europa.  Actualmente</w:t>
      </w:r>
      <w:r w:rsidR="00F14FBA" w:rsidRPr="00412898">
        <w:t xml:space="preserve"> la conforman</w:t>
      </w:r>
      <w:r w:rsidR="00CE4574" w:rsidRPr="00412898">
        <w:t xml:space="preserve"> 66 institutos y unidades de investigación independientes.  </w:t>
      </w:r>
      <w:r w:rsidR="0098558E" w:rsidRPr="00412898">
        <w:t xml:space="preserve">La mayoría de sus empleados (más de 22.000) son científicos e ingenieros cualificados.  </w:t>
      </w:r>
      <w:r w:rsidR="009F088B" w:rsidRPr="00412898">
        <w:t xml:space="preserve">Dispone de un presupuesto anual para investigación </w:t>
      </w:r>
      <w:r w:rsidR="009F088B" w:rsidRPr="007E1C23">
        <w:t>de 1.900</w:t>
      </w:r>
      <w:r w:rsidR="0057431D" w:rsidRPr="007E1C23">
        <w:t>.000</w:t>
      </w:r>
      <w:r w:rsidR="009F088B" w:rsidRPr="007E1C23">
        <w:t xml:space="preserve"> </w:t>
      </w:r>
      <w:r w:rsidR="007E1C23">
        <w:t>euros</w:t>
      </w:r>
      <w:r w:rsidR="00F14FBA" w:rsidRPr="007E1C23">
        <w:t>, de los cuales</w:t>
      </w:r>
      <w:r w:rsidR="009F088B" w:rsidRPr="007E1C23">
        <w:t xml:space="preserve"> 1.600</w:t>
      </w:r>
      <w:r w:rsidR="0057431D" w:rsidRPr="007E1C23">
        <w:t>.000</w:t>
      </w:r>
      <w:r w:rsidR="009F088B" w:rsidRPr="007E1C23">
        <w:t xml:space="preserve"> </w:t>
      </w:r>
      <w:r w:rsidR="007E1C23">
        <w:t xml:space="preserve">euros </w:t>
      </w:r>
      <w:r w:rsidR="00F14FBA" w:rsidRPr="007E1C23">
        <w:t>proceden de la</w:t>
      </w:r>
      <w:r w:rsidR="009F088B" w:rsidRPr="007E1C23">
        <w:t xml:space="preserve"> investigación contractual.</w:t>
      </w:r>
    </w:p>
    <w:p w:rsidR="0054017E" w:rsidRPr="00412898" w:rsidRDefault="00F14FBA" w:rsidP="007C331C">
      <w:pPr>
        <w:pStyle w:val="Heading3"/>
        <w:numPr>
          <w:ilvl w:val="0"/>
          <w:numId w:val="0"/>
        </w:numPr>
      </w:pPr>
      <w:r w:rsidRPr="00412898">
        <w:t>I</w:t>
      </w:r>
      <w:r w:rsidR="00F71BD4" w:rsidRPr="00412898">
        <w:t>nvenciones y patentes</w:t>
      </w:r>
      <w:r w:rsidR="00D2796B" w:rsidRPr="00412898">
        <w:t>:</w:t>
      </w:r>
    </w:p>
    <w:p w:rsidR="00D2796B" w:rsidRPr="00412898" w:rsidRDefault="00D2796B" w:rsidP="0054017E"/>
    <w:p w:rsidR="00F71BD4" w:rsidRPr="00412898" w:rsidRDefault="00DA60E5">
      <w:pPr>
        <w:rPr>
          <w:bCs/>
          <w:szCs w:val="26"/>
        </w:rPr>
      </w:pPr>
      <w:r w:rsidRPr="00412898">
        <w:rPr>
          <w:bCs/>
          <w:i/>
          <w:szCs w:val="26"/>
        </w:rPr>
        <w:fldChar w:fldCharType="begin"/>
      </w:r>
      <w:r w:rsidRPr="00412898">
        <w:rPr>
          <w:bCs/>
          <w:i/>
          <w:szCs w:val="26"/>
        </w:rPr>
        <w:instrText xml:space="preserve"> AUTONUM  </w:instrText>
      </w:r>
      <w:r w:rsidRPr="00412898">
        <w:rPr>
          <w:bCs/>
          <w:i/>
          <w:szCs w:val="26"/>
        </w:rPr>
        <w:fldChar w:fldCharType="end"/>
      </w:r>
      <w:r w:rsidRPr="00412898">
        <w:rPr>
          <w:bCs/>
          <w:i/>
          <w:szCs w:val="26"/>
        </w:rPr>
        <w:tab/>
      </w:r>
      <w:r w:rsidR="00F71BD4" w:rsidRPr="00412898">
        <w:rPr>
          <w:bCs/>
          <w:szCs w:val="26"/>
        </w:rPr>
        <w:t xml:space="preserve">En 2012, las organizaciones de investigación de la </w:t>
      </w:r>
      <w:r w:rsidR="00DA1DE4" w:rsidRPr="00412898">
        <w:t xml:space="preserve">institución </w:t>
      </w:r>
      <w:r w:rsidR="00DA1DE4" w:rsidRPr="00412898">
        <w:rPr>
          <w:i/>
        </w:rPr>
        <w:t xml:space="preserve">Fraunhofer-Gesellschaft </w:t>
      </w:r>
      <w:r w:rsidR="00F71BD4" w:rsidRPr="00412898">
        <w:rPr>
          <w:bCs/>
          <w:szCs w:val="26"/>
        </w:rPr>
        <w:t xml:space="preserve">notificaron 696 invenciones, con respecto a las cuales se presentaron 499 solicitudes de patente, esto es, más del 70%.  </w:t>
      </w:r>
      <w:r w:rsidR="009F09BF" w:rsidRPr="00412898">
        <w:rPr>
          <w:bCs/>
          <w:szCs w:val="26"/>
        </w:rPr>
        <w:t>El número</w:t>
      </w:r>
      <w:r w:rsidR="00F71BD4" w:rsidRPr="00412898">
        <w:rPr>
          <w:bCs/>
          <w:szCs w:val="26"/>
        </w:rPr>
        <w:t xml:space="preserve"> de derechos</w:t>
      </w:r>
      <w:r w:rsidR="009F09BF" w:rsidRPr="00412898">
        <w:rPr>
          <w:bCs/>
          <w:szCs w:val="26"/>
        </w:rPr>
        <w:t xml:space="preserve"> activos (patentes y modelos de utilidad) y de solicitudes de patente de </w:t>
      </w:r>
      <w:r w:rsidR="00DA1DE4" w:rsidRPr="00412898">
        <w:rPr>
          <w:bCs/>
          <w:szCs w:val="26"/>
        </w:rPr>
        <w:t>dicha institución</w:t>
      </w:r>
      <w:r w:rsidR="009F09BF" w:rsidRPr="00412898">
        <w:rPr>
          <w:bCs/>
          <w:szCs w:val="26"/>
        </w:rPr>
        <w:t xml:space="preserve"> ascendía, a finales de 2012, a un total de 6.103 por año, y se </w:t>
      </w:r>
      <w:r w:rsidR="00FF7B7C" w:rsidRPr="00412898">
        <w:rPr>
          <w:bCs/>
          <w:szCs w:val="26"/>
        </w:rPr>
        <w:t>suscribieron</w:t>
      </w:r>
      <w:r w:rsidR="009F09BF" w:rsidRPr="00412898">
        <w:rPr>
          <w:bCs/>
          <w:szCs w:val="26"/>
        </w:rPr>
        <w:t xml:space="preserve"> 3.167 acuerdos de licencia.</w:t>
      </w:r>
    </w:p>
    <w:p w:rsidR="00F71BD4" w:rsidRPr="00412898" w:rsidRDefault="00F71BD4">
      <w:pPr>
        <w:rPr>
          <w:bCs/>
          <w:szCs w:val="26"/>
        </w:rPr>
      </w:pPr>
    </w:p>
    <w:p w:rsidR="00987466" w:rsidRPr="00412898" w:rsidRDefault="00987466" w:rsidP="00987466">
      <w:pPr>
        <w:jc w:val="right"/>
      </w:pPr>
    </w:p>
    <w:p w:rsidR="0054017E" w:rsidRPr="00412898" w:rsidRDefault="00FF7B7C" w:rsidP="000D1EEA">
      <w:pPr>
        <w:pStyle w:val="Heading1"/>
      </w:pPr>
      <w:r w:rsidRPr="00412898">
        <w:lastRenderedPageBreak/>
        <w:t xml:space="preserve">La institución </w:t>
      </w:r>
      <w:r w:rsidR="0054017E" w:rsidRPr="00412898">
        <w:rPr>
          <w:i/>
        </w:rPr>
        <w:t>Fraunhofer-Gesellschaft</w:t>
      </w:r>
      <w:r w:rsidR="0054017E" w:rsidRPr="00412898">
        <w:t xml:space="preserve">: </w:t>
      </w:r>
      <w:r w:rsidR="000D1EEA" w:rsidRPr="00412898">
        <w:t xml:space="preserve"> </w:t>
      </w:r>
      <w:r w:rsidR="009F09BF" w:rsidRPr="00412898">
        <w:t>solución extrajudicial de controversias</w:t>
      </w:r>
    </w:p>
    <w:p w:rsidR="00D2796B" w:rsidRPr="00412898" w:rsidRDefault="0043439C" w:rsidP="0054017E">
      <w:pPr>
        <w:pStyle w:val="Heading2"/>
        <w:ind w:left="0"/>
      </w:pPr>
      <w:r w:rsidRPr="00412898">
        <w:t>Acuerdos de</w:t>
      </w:r>
      <w:r w:rsidR="009F09BF" w:rsidRPr="00412898">
        <w:t xml:space="preserve"> i+d y acuerdos</w:t>
      </w:r>
      <w:r w:rsidR="0054017E" w:rsidRPr="00412898">
        <w:t xml:space="preserve"> </w:t>
      </w:r>
      <w:r w:rsidR="009F09BF" w:rsidRPr="00412898">
        <w:t>de licencia</w:t>
      </w:r>
    </w:p>
    <w:p w:rsidR="008D4508" w:rsidRPr="00412898" w:rsidRDefault="008D4508" w:rsidP="008D4508"/>
    <w:p w:rsidR="0054017E" w:rsidRPr="00412898" w:rsidRDefault="00DA60E5" w:rsidP="007C331C">
      <w:pPr>
        <w:pStyle w:val="ListParagraph"/>
        <w:ind w:left="0"/>
      </w:pPr>
      <w:r w:rsidRPr="00412898">
        <w:fldChar w:fldCharType="begin"/>
      </w:r>
      <w:r w:rsidRPr="00412898">
        <w:instrText xml:space="preserve"> AUTONUM  </w:instrText>
      </w:r>
      <w:r w:rsidRPr="00412898">
        <w:fldChar w:fldCharType="end"/>
      </w:r>
      <w:r w:rsidRPr="00412898">
        <w:tab/>
      </w:r>
      <w:r w:rsidR="009F09BF" w:rsidRPr="00412898">
        <w:t>En los últimos cinco años, la institución</w:t>
      </w:r>
      <w:r w:rsidR="0054017E" w:rsidRPr="00412898">
        <w:t xml:space="preserve"> </w:t>
      </w:r>
      <w:r w:rsidR="00987466" w:rsidRPr="00412898">
        <w:rPr>
          <w:i/>
        </w:rPr>
        <w:t>Fraunhofer-Gesellschaft</w:t>
      </w:r>
      <w:r w:rsidR="0054017E" w:rsidRPr="00412898">
        <w:t xml:space="preserve"> </w:t>
      </w:r>
      <w:r w:rsidR="00C64461" w:rsidRPr="00412898">
        <w:t>ha observado que cada vez hay un mayor número de</w:t>
      </w:r>
      <w:r w:rsidR="00277E08" w:rsidRPr="00412898">
        <w:t xml:space="preserve"> contratistas y licenciatarios </w:t>
      </w:r>
      <w:r w:rsidR="00277E08" w:rsidRPr="00C84CAF">
        <w:t>extranjeros</w:t>
      </w:r>
      <w:r w:rsidR="00277E08" w:rsidRPr="00412898">
        <w:t xml:space="preserve"> </w:t>
      </w:r>
      <w:r w:rsidR="00C64461" w:rsidRPr="00412898">
        <w:t>en el ámbito de la I+D que conceden gran importancia a la negociación de los siguientes aspectos:</w:t>
      </w:r>
    </w:p>
    <w:p w:rsidR="000D1EEA" w:rsidRPr="00412898" w:rsidRDefault="000D1EEA" w:rsidP="0054017E"/>
    <w:p w:rsidR="0054017E" w:rsidRPr="00412898" w:rsidRDefault="00A3467E" w:rsidP="00987466">
      <w:pPr>
        <w:pStyle w:val="ListParagraph"/>
        <w:numPr>
          <w:ilvl w:val="0"/>
          <w:numId w:val="8"/>
        </w:numPr>
        <w:ind w:left="567" w:firstLine="0"/>
      </w:pPr>
      <w:r>
        <w:t>L</w:t>
      </w:r>
      <w:r w:rsidR="00C64461" w:rsidRPr="00412898">
        <w:t>a legislación aplicable</w:t>
      </w:r>
      <w:r>
        <w:t>.</w:t>
      </w:r>
    </w:p>
    <w:p w:rsidR="00C64461" w:rsidRPr="00412898" w:rsidRDefault="00C64461" w:rsidP="00C64461">
      <w:pPr>
        <w:pStyle w:val="ListParagraph"/>
        <w:ind w:left="567"/>
      </w:pPr>
    </w:p>
    <w:p w:rsidR="0054017E" w:rsidRPr="00AA76E8" w:rsidRDefault="00A3467E" w:rsidP="00987466">
      <w:pPr>
        <w:pStyle w:val="ListParagraph"/>
        <w:numPr>
          <w:ilvl w:val="0"/>
          <w:numId w:val="8"/>
        </w:numPr>
        <w:ind w:left="567" w:firstLine="0"/>
      </w:pPr>
      <w:r>
        <w:t>La j</w:t>
      </w:r>
      <w:r w:rsidR="00AA76E8">
        <w:t>urisdicción</w:t>
      </w:r>
      <w:r w:rsidR="0054017E" w:rsidRPr="00AA76E8">
        <w:t xml:space="preserve"> / </w:t>
      </w:r>
      <w:r>
        <w:t xml:space="preserve">la </w:t>
      </w:r>
      <w:r w:rsidR="00C64461" w:rsidRPr="00AA76E8">
        <w:t>solución de controversias</w:t>
      </w:r>
    </w:p>
    <w:p w:rsidR="0054017E" w:rsidRPr="00412898" w:rsidRDefault="00C64461" w:rsidP="007C331C">
      <w:pPr>
        <w:pStyle w:val="Heading3"/>
        <w:numPr>
          <w:ilvl w:val="0"/>
          <w:numId w:val="0"/>
        </w:numPr>
      </w:pPr>
      <w:r w:rsidRPr="00412898">
        <w:t xml:space="preserve">¿Por qué motivos los contratistas y licenciatarios en el ámbito de la I+D </w:t>
      </w:r>
      <w:r w:rsidR="0043439C" w:rsidRPr="00412898">
        <w:t>tienen interés en negociar</w:t>
      </w:r>
      <w:r w:rsidRPr="00412898">
        <w:t xml:space="preserve"> estos aspectos</w:t>
      </w:r>
      <w:r w:rsidR="0054017E" w:rsidRPr="00412898">
        <w:t>?</w:t>
      </w:r>
    </w:p>
    <w:p w:rsidR="0054017E" w:rsidRPr="00412898" w:rsidRDefault="0054017E" w:rsidP="0054017E"/>
    <w:p w:rsidR="00C64461" w:rsidRPr="00412898" w:rsidRDefault="00DA60E5" w:rsidP="007C331C">
      <w:pPr>
        <w:pStyle w:val="ListParagraph"/>
        <w:ind w:left="0"/>
      </w:pPr>
      <w:r w:rsidRPr="00412898">
        <w:fldChar w:fldCharType="begin"/>
      </w:r>
      <w:r w:rsidRPr="00412898">
        <w:instrText xml:space="preserve"> AUTONUM  </w:instrText>
      </w:r>
      <w:r w:rsidRPr="00412898">
        <w:fldChar w:fldCharType="end"/>
      </w:r>
      <w:r w:rsidRPr="00412898">
        <w:tab/>
      </w:r>
      <w:r w:rsidR="00277E08" w:rsidRPr="00412898">
        <w:t xml:space="preserve">Si las partes en un contrato que contenga </w:t>
      </w:r>
      <w:r w:rsidR="00AA76E8">
        <w:t>algún</w:t>
      </w:r>
      <w:r w:rsidR="00277E08" w:rsidRPr="00412898">
        <w:t xml:space="preserve"> elemento extranjero no </w:t>
      </w:r>
      <w:r w:rsidR="00AA76E8">
        <w:t>consiguen determinar cuál deba ser</w:t>
      </w:r>
      <w:r w:rsidR="00277E08" w:rsidRPr="00412898">
        <w:t xml:space="preserve"> la legislación aplicable</w:t>
      </w:r>
      <w:r w:rsidR="0043439C" w:rsidRPr="00412898">
        <w:t xml:space="preserve"> al contrato</w:t>
      </w:r>
      <w:r w:rsidR="00277E08" w:rsidRPr="00412898">
        <w:t xml:space="preserve">, </w:t>
      </w:r>
      <w:r w:rsidR="0043439C" w:rsidRPr="00412898">
        <w:t xml:space="preserve">se aplicará la </w:t>
      </w:r>
      <w:r w:rsidR="00AA76E8">
        <w:t xml:space="preserve">legislación </w:t>
      </w:r>
      <w:r w:rsidR="0043439C" w:rsidRPr="00412898">
        <w:t>del</w:t>
      </w:r>
      <w:r w:rsidR="00277E08" w:rsidRPr="00412898">
        <w:t xml:space="preserve"> Estado que tenga una </w:t>
      </w:r>
      <w:r w:rsidR="00277E08" w:rsidRPr="00AA76E8">
        <w:t>vinculación más estrecha</w:t>
      </w:r>
      <w:r w:rsidR="00AA76E8" w:rsidRPr="00AA76E8">
        <w:t xml:space="preserve"> con dicho contrato</w:t>
      </w:r>
      <w:r w:rsidR="00277E08" w:rsidRPr="00AA76E8">
        <w:t>, que normalmente será</w:t>
      </w:r>
      <w:r w:rsidR="00AA76E8" w:rsidRPr="00AA76E8">
        <w:t xml:space="preserve"> la legislación</w:t>
      </w:r>
      <w:r w:rsidR="00277E08" w:rsidRPr="00AA76E8">
        <w:t xml:space="preserve"> </w:t>
      </w:r>
      <w:r w:rsidR="00AA76E8" w:rsidRPr="00AA76E8">
        <w:t>d</w:t>
      </w:r>
      <w:r w:rsidR="00277E08" w:rsidRPr="00AA76E8">
        <w:t xml:space="preserve">el Estado en </w:t>
      </w:r>
      <w:r w:rsidR="001838C9" w:rsidRPr="00AA76E8">
        <w:t xml:space="preserve">el que se haya </w:t>
      </w:r>
      <w:r w:rsidR="00AA76E8" w:rsidRPr="00AA76E8">
        <w:t>localizado la jurisdicción</w:t>
      </w:r>
      <w:r w:rsidR="001838C9" w:rsidRPr="00AA76E8">
        <w:t xml:space="preserve">.  Si no se </w:t>
      </w:r>
      <w:r w:rsidR="00AA76E8" w:rsidRPr="00AA76E8">
        <w:t xml:space="preserve">determina una jurisdicción, </w:t>
      </w:r>
      <w:r w:rsidR="001838C9" w:rsidRPr="00AA76E8">
        <w:t xml:space="preserve">se aplicará la legislación del Estado en el que </w:t>
      </w:r>
      <w:r w:rsidR="0043439C" w:rsidRPr="00AA76E8">
        <w:t>tenga</w:t>
      </w:r>
      <w:r w:rsidR="000828E8" w:rsidRPr="00AA76E8">
        <w:t xml:space="preserve"> su sede el tribunal que recib</w:t>
      </w:r>
      <w:r w:rsidR="00AA76E8" w:rsidRPr="00AA76E8">
        <w:t>e</w:t>
      </w:r>
      <w:r w:rsidR="000828E8" w:rsidRPr="00AA76E8">
        <w:t xml:space="preserve"> la solicitud </w:t>
      </w:r>
      <w:r w:rsidR="00AA76E8" w:rsidRPr="00AA76E8">
        <w:t xml:space="preserve">para </w:t>
      </w:r>
      <w:r w:rsidR="00A3467E">
        <w:t>decidir</w:t>
      </w:r>
      <w:r w:rsidR="0043439C" w:rsidRPr="00AA76E8">
        <w:t xml:space="preserve"> sobre</w:t>
      </w:r>
      <w:r w:rsidR="000828E8" w:rsidRPr="00AA76E8">
        <w:t xml:space="preserve"> la validez del acuerdo de I+D y </w:t>
      </w:r>
      <w:r w:rsidR="006F407D" w:rsidRPr="00AA76E8">
        <w:t>d</w:t>
      </w:r>
      <w:r w:rsidR="000828E8" w:rsidRPr="00AA76E8">
        <w:t>el acuerdo de licencia (véase el artículo V de la Convención de Nueva York de 1958 sobre el Reconocimiento y la</w:t>
      </w:r>
      <w:r w:rsidR="000828E8" w:rsidRPr="00412898">
        <w:t xml:space="preserve"> Ejecución de las Sentencias Arbitrales Extranjeras)</w:t>
      </w:r>
      <w:r w:rsidR="00B771FF" w:rsidRPr="00412898">
        <w:t>.</w:t>
      </w:r>
    </w:p>
    <w:p w:rsidR="0054017E" w:rsidRPr="00412898" w:rsidRDefault="0054017E" w:rsidP="0054017E"/>
    <w:p w:rsidR="0054017E" w:rsidRPr="00412898" w:rsidRDefault="00570C07" w:rsidP="0054017E">
      <w:r w:rsidRPr="00412898">
        <w:fldChar w:fldCharType="begin"/>
      </w:r>
      <w:r w:rsidRPr="00412898">
        <w:instrText xml:space="preserve"> AUTONUM  </w:instrText>
      </w:r>
      <w:r w:rsidRPr="00412898">
        <w:fldChar w:fldCharType="end"/>
      </w:r>
      <w:r w:rsidRPr="00412898">
        <w:tab/>
      </w:r>
      <w:r w:rsidR="00B771FF" w:rsidRPr="00412898">
        <w:t xml:space="preserve">Así, cada una de las partes intenta negociar la ley aplicable que </w:t>
      </w:r>
      <w:r w:rsidR="00A3467E">
        <w:t>conozca</w:t>
      </w:r>
      <w:r w:rsidR="00B771FF" w:rsidRPr="00412898">
        <w:t xml:space="preserve"> mejor</w:t>
      </w:r>
      <w:r w:rsidR="0054017E" w:rsidRPr="00412898">
        <w:t xml:space="preserve">. </w:t>
      </w:r>
    </w:p>
    <w:p w:rsidR="0054017E" w:rsidRPr="00412898" w:rsidRDefault="0054017E" w:rsidP="0054017E"/>
    <w:p w:rsidR="000D1EEA" w:rsidRPr="00412898" w:rsidRDefault="00B771FF" w:rsidP="0054017E">
      <w:pPr>
        <w:rPr>
          <w:u w:val="single"/>
        </w:rPr>
      </w:pPr>
      <w:r w:rsidRPr="00412898">
        <w:rPr>
          <w:u w:val="single"/>
        </w:rPr>
        <w:t>Legislación aplicable</w:t>
      </w:r>
      <w:r w:rsidR="0054017E" w:rsidRPr="00412898">
        <w:rPr>
          <w:u w:val="single"/>
        </w:rPr>
        <w:t xml:space="preserve">: </w:t>
      </w:r>
      <w:r w:rsidR="000D1EEA" w:rsidRPr="00412898">
        <w:rPr>
          <w:u w:val="single"/>
        </w:rPr>
        <w:t xml:space="preserve"> </w:t>
      </w:r>
    </w:p>
    <w:p w:rsidR="00FF2FCE" w:rsidRPr="00412898" w:rsidRDefault="00FF2FCE" w:rsidP="0054017E">
      <w:pPr>
        <w:rPr>
          <w:u w:val="single"/>
        </w:rPr>
      </w:pPr>
    </w:p>
    <w:p w:rsidR="0054017E" w:rsidRPr="00412898" w:rsidRDefault="00B771FF" w:rsidP="007C331C">
      <w:r w:rsidRPr="00412898">
        <w:t xml:space="preserve">¿Qué </w:t>
      </w:r>
      <w:r w:rsidR="0054017E" w:rsidRPr="00412898">
        <w:t>"</w:t>
      </w:r>
      <w:r w:rsidRPr="00412898">
        <w:t>legislación neutra</w:t>
      </w:r>
      <w:r w:rsidR="0054017E" w:rsidRPr="00412898">
        <w:t xml:space="preserve">" </w:t>
      </w:r>
      <w:r w:rsidRPr="00412898">
        <w:t>debería elegirse</w:t>
      </w:r>
      <w:r w:rsidR="0054017E" w:rsidRPr="00412898">
        <w:t>?</w:t>
      </w:r>
    </w:p>
    <w:p w:rsidR="0054017E" w:rsidRPr="00412898" w:rsidRDefault="0054017E" w:rsidP="00266A82"/>
    <w:p w:rsidR="0054017E" w:rsidRPr="00412898" w:rsidRDefault="00570C07" w:rsidP="00266A82">
      <w:r w:rsidRPr="00412898">
        <w:rPr>
          <w:i/>
        </w:rPr>
        <w:fldChar w:fldCharType="begin"/>
      </w:r>
      <w:r w:rsidRPr="00412898">
        <w:rPr>
          <w:i/>
        </w:rPr>
        <w:instrText xml:space="preserve"> AUTONUM  </w:instrText>
      </w:r>
      <w:r w:rsidRPr="00412898">
        <w:rPr>
          <w:i/>
        </w:rPr>
        <w:fldChar w:fldCharType="end"/>
      </w:r>
      <w:r w:rsidRPr="00412898">
        <w:rPr>
          <w:i/>
        </w:rPr>
        <w:tab/>
      </w:r>
      <w:r w:rsidR="00B771FF" w:rsidRPr="00412898">
        <w:t xml:space="preserve">Según la experiencia de la institución </w:t>
      </w:r>
      <w:r w:rsidR="00987466" w:rsidRPr="00412898">
        <w:rPr>
          <w:i/>
        </w:rPr>
        <w:t>Fraunhofer-Gesellschaft</w:t>
      </w:r>
      <w:r w:rsidR="00B771FF" w:rsidRPr="00412898">
        <w:t>, en la mayoría de los casos, las partes de los acuerdos eligen la legislación de</w:t>
      </w:r>
      <w:r w:rsidR="000D1EEA" w:rsidRPr="00412898">
        <w:t>:</w:t>
      </w:r>
    </w:p>
    <w:p w:rsidR="000D1EEA" w:rsidRPr="00412898" w:rsidRDefault="000D1EEA" w:rsidP="00266A82"/>
    <w:p w:rsidR="0054017E" w:rsidRPr="00412898" w:rsidRDefault="00B771FF" w:rsidP="00266A82">
      <w:pPr>
        <w:pStyle w:val="ListParagraph"/>
        <w:numPr>
          <w:ilvl w:val="0"/>
          <w:numId w:val="9"/>
        </w:numPr>
        <w:tabs>
          <w:tab w:val="left" w:pos="1134"/>
        </w:tabs>
        <w:ind w:left="567" w:firstLine="0"/>
      </w:pPr>
      <w:r w:rsidRPr="00412898">
        <w:t>Suiza</w:t>
      </w:r>
      <w:r w:rsidR="00165E11" w:rsidRPr="00412898">
        <w:t>;</w:t>
      </w:r>
      <w:r w:rsidR="0054017E" w:rsidRPr="00412898">
        <w:t xml:space="preserve"> </w:t>
      </w:r>
      <w:r w:rsidR="00ED58E9" w:rsidRPr="00412898">
        <w:t xml:space="preserve"> </w:t>
      </w:r>
      <w:r w:rsidRPr="00412898">
        <w:t>o</w:t>
      </w:r>
    </w:p>
    <w:p w:rsidR="00987466" w:rsidRPr="00412898" w:rsidRDefault="00987466" w:rsidP="00266A82">
      <w:pPr>
        <w:pStyle w:val="ListParagraph"/>
        <w:tabs>
          <w:tab w:val="left" w:pos="1134"/>
        </w:tabs>
        <w:ind w:left="567"/>
      </w:pPr>
    </w:p>
    <w:p w:rsidR="0054017E" w:rsidRPr="00412898" w:rsidRDefault="0054017E" w:rsidP="00266A82">
      <w:pPr>
        <w:pStyle w:val="ListParagraph"/>
        <w:numPr>
          <w:ilvl w:val="0"/>
          <w:numId w:val="9"/>
        </w:numPr>
        <w:tabs>
          <w:tab w:val="left" w:pos="1134"/>
        </w:tabs>
        <w:ind w:left="567" w:firstLine="0"/>
      </w:pPr>
      <w:r w:rsidRPr="00412898">
        <w:t>Austria</w:t>
      </w:r>
      <w:r w:rsidR="00165E11" w:rsidRPr="00412898">
        <w:t xml:space="preserve">;  </w:t>
      </w:r>
      <w:r w:rsidR="00B771FF" w:rsidRPr="00412898">
        <w:t>o</w:t>
      </w:r>
      <w:r w:rsidRPr="00412898">
        <w:t xml:space="preserve"> </w:t>
      </w:r>
    </w:p>
    <w:p w:rsidR="00987466" w:rsidRPr="00412898" w:rsidRDefault="00987466" w:rsidP="00266A82">
      <w:pPr>
        <w:pStyle w:val="ListParagraph"/>
        <w:ind w:left="567"/>
      </w:pPr>
    </w:p>
    <w:p w:rsidR="0054017E" w:rsidRPr="00412898" w:rsidRDefault="000C1BA8" w:rsidP="00266A82">
      <w:pPr>
        <w:pStyle w:val="ListParagraph"/>
        <w:numPr>
          <w:ilvl w:val="0"/>
          <w:numId w:val="9"/>
        </w:numPr>
        <w:tabs>
          <w:tab w:val="left" w:pos="1134"/>
        </w:tabs>
        <w:ind w:left="567" w:firstLine="0"/>
      </w:pPr>
      <w:r>
        <w:t>Inglaterra</w:t>
      </w:r>
      <w:r w:rsidR="0054017E" w:rsidRPr="00412898">
        <w:t>.</w:t>
      </w:r>
    </w:p>
    <w:p w:rsidR="000D1EEA" w:rsidRPr="00412898" w:rsidRDefault="000D1EEA" w:rsidP="00266A82"/>
    <w:p w:rsidR="00DA1DE4" w:rsidRPr="00412898" w:rsidRDefault="00570C07" w:rsidP="00266A82">
      <w:r w:rsidRPr="00412898">
        <w:fldChar w:fldCharType="begin"/>
      </w:r>
      <w:r w:rsidRPr="00412898">
        <w:instrText xml:space="preserve"> AUTONUM  </w:instrText>
      </w:r>
      <w:r w:rsidRPr="00412898">
        <w:fldChar w:fldCharType="end"/>
      </w:r>
      <w:r w:rsidRPr="00412898">
        <w:tab/>
      </w:r>
      <w:r w:rsidR="00DA1DE4" w:rsidRPr="00412898">
        <w:t xml:space="preserve">En 2012, la institución </w:t>
      </w:r>
      <w:r w:rsidR="00DA1DE4" w:rsidRPr="00412898">
        <w:rPr>
          <w:i/>
        </w:rPr>
        <w:t xml:space="preserve">Fraunhofer-Gesellschaft </w:t>
      </w:r>
      <w:r w:rsidR="000A39A4" w:rsidRPr="00412898">
        <w:t xml:space="preserve">encargó a </w:t>
      </w:r>
      <w:r w:rsidR="003C3DEA">
        <w:t>tres</w:t>
      </w:r>
      <w:r w:rsidR="000A39A4" w:rsidRPr="00412898">
        <w:t xml:space="preserve"> bufetes de abogados de Suiza, Austria y el Reino Unido que examinaran algunos contratos tipo de la institución (de I+D y de licencia) en virtud </w:t>
      </w:r>
      <w:r w:rsidR="00C11C9C" w:rsidRPr="00412898">
        <w:t>de la legislación</w:t>
      </w:r>
      <w:r w:rsidR="0043439C" w:rsidRPr="00412898">
        <w:t xml:space="preserve"> suiza</w:t>
      </w:r>
      <w:r w:rsidR="00C11C9C" w:rsidRPr="00412898">
        <w:t xml:space="preserve">, </w:t>
      </w:r>
      <w:r w:rsidR="00A3467E">
        <w:t>austriaca e inglesa</w:t>
      </w:r>
      <w:r w:rsidR="00C11C9C" w:rsidRPr="00412898">
        <w:t>.</w:t>
      </w:r>
    </w:p>
    <w:p w:rsidR="0054017E" w:rsidRPr="00412898" w:rsidRDefault="0054017E" w:rsidP="00266A82"/>
    <w:p w:rsidR="00C11C9C" w:rsidRPr="00412898" w:rsidRDefault="00570C07" w:rsidP="00266A82">
      <w:r w:rsidRPr="00412898">
        <w:fldChar w:fldCharType="begin"/>
      </w:r>
      <w:r w:rsidRPr="00412898">
        <w:instrText xml:space="preserve"> AUTONUM  </w:instrText>
      </w:r>
      <w:r w:rsidRPr="00412898">
        <w:fldChar w:fldCharType="end"/>
      </w:r>
      <w:r w:rsidRPr="00412898">
        <w:tab/>
      </w:r>
      <w:r w:rsidR="00092F03" w:rsidRPr="00412898">
        <w:t>Tra</w:t>
      </w:r>
      <w:r w:rsidR="00C11C9C" w:rsidRPr="00412898">
        <w:t xml:space="preserve">s este examen, la institución </w:t>
      </w:r>
      <w:r w:rsidR="00C11C9C" w:rsidRPr="00412898">
        <w:rPr>
          <w:i/>
        </w:rPr>
        <w:t xml:space="preserve">Fraunhofer-Gesellschaft </w:t>
      </w:r>
      <w:r w:rsidR="00C11C9C" w:rsidRPr="00412898">
        <w:t xml:space="preserve">elaboró una serie de listas para los departamentos correspondientes. </w:t>
      </w:r>
    </w:p>
    <w:p w:rsidR="0054017E" w:rsidRPr="00412898" w:rsidRDefault="0054017E" w:rsidP="00266A82"/>
    <w:p w:rsidR="00C11C9C" w:rsidRPr="00412898" w:rsidRDefault="00570C07" w:rsidP="00266A82">
      <w:r w:rsidRPr="00412898">
        <w:fldChar w:fldCharType="begin"/>
      </w:r>
      <w:r w:rsidRPr="00412898">
        <w:instrText xml:space="preserve"> AUTONUM  </w:instrText>
      </w:r>
      <w:r w:rsidRPr="00412898">
        <w:fldChar w:fldCharType="end"/>
      </w:r>
      <w:r w:rsidRPr="00412898">
        <w:tab/>
      </w:r>
      <w:r w:rsidR="00771C72" w:rsidRPr="00412898">
        <w:t xml:space="preserve">Si en los acuerdos no se </w:t>
      </w:r>
      <w:r w:rsidR="00871BDC" w:rsidRPr="00412898">
        <w:t>estipula</w:t>
      </w:r>
      <w:r w:rsidR="00771C72" w:rsidRPr="00412898">
        <w:t xml:space="preserve"> la legislación suiza, austriaca o </w:t>
      </w:r>
      <w:r w:rsidR="004058E9">
        <w:t>inglesa</w:t>
      </w:r>
      <w:r w:rsidR="00771C72" w:rsidRPr="00412898">
        <w:t xml:space="preserve"> sino otra “legislación neutral”, la institución </w:t>
      </w:r>
      <w:r w:rsidR="00771C72" w:rsidRPr="00412898">
        <w:rPr>
          <w:i/>
        </w:rPr>
        <w:t>Fraunhofer-Gesellschaft</w:t>
      </w:r>
      <w:r w:rsidR="00771C72" w:rsidRPr="00412898">
        <w:t xml:space="preserve"> encargará a un bufete de abogados que examine el acuerdo y decida cada caso por separado en función de sus características específicas. </w:t>
      </w:r>
    </w:p>
    <w:p w:rsidR="00C11C9C" w:rsidRPr="00412898" w:rsidRDefault="00C11C9C" w:rsidP="00266A82"/>
    <w:p w:rsidR="00771C72" w:rsidRPr="00412898" w:rsidRDefault="00570C07" w:rsidP="00266A82">
      <w:r w:rsidRPr="00412898">
        <w:fldChar w:fldCharType="begin"/>
      </w:r>
      <w:r w:rsidRPr="00412898">
        <w:instrText xml:space="preserve"> AUTONUM  </w:instrText>
      </w:r>
      <w:r w:rsidRPr="00412898">
        <w:fldChar w:fldCharType="end"/>
      </w:r>
      <w:r w:rsidRPr="00412898">
        <w:tab/>
      </w:r>
      <w:r w:rsidR="00771C72" w:rsidRPr="00412898">
        <w:t xml:space="preserve">Ejemplo:  En 2012, </w:t>
      </w:r>
      <w:r w:rsidR="00871BDC" w:rsidRPr="00412898">
        <w:t xml:space="preserve">la </w:t>
      </w:r>
      <w:r w:rsidR="00771C72" w:rsidRPr="00412898">
        <w:t xml:space="preserve">institución </w:t>
      </w:r>
      <w:r w:rsidR="00771C72" w:rsidRPr="00412898">
        <w:rPr>
          <w:i/>
        </w:rPr>
        <w:t xml:space="preserve">Fraunhofer-Gesellschaft </w:t>
      </w:r>
      <w:r w:rsidR="00771C72" w:rsidRPr="00412898">
        <w:t xml:space="preserve">propuso como legislación aplicable la legislación de Alemania, y una empresa californiana propuso la legislación de California.  Ambas partes convinieron en </w:t>
      </w:r>
      <w:r w:rsidR="00B76457">
        <w:t>atenerse a</w:t>
      </w:r>
      <w:r w:rsidR="00771C72" w:rsidRPr="00412898">
        <w:t xml:space="preserve"> la legislación de Nueva York.  La </w:t>
      </w:r>
      <w:r w:rsidR="00771C72" w:rsidRPr="00412898">
        <w:lastRenderedPageBreak/>
        <w:t xml:space="preserve">institución </w:t>
      </w:r>
      <w:r w:rsidR="00771C72" w:rsidRPr="00412898">
        <w:rPr>
          <w:i/>
        </w:rPr>
        <w:t xml:space="preserve">Fraunhofer-Gesellschaft </w:t>
      </w:r>
      <w:r w:rsidR="00771C72" w:rsidRPr="00B76457">
        <w:t xml:space="preserve">encargó a un bufete de abogados de Nueva York que </w:t>
      </w:r>
      <w:r w:rsidR="00B76457" w:rsidRPr="00B76457">
        <w:t>estudiara</w:t>
      </w:r>
      <w:r w:rsidR="00771C72" w:rsidRPr="00B76457">
        <w:t xml:space="preserve"> el acuerdo de licencia </w:t>
      </w:r>
      <w:r w:rsidR="002869EF" w:rsidRPr="00B76457">
        <w:t>en el marco de la legislación de Nueva York (</w:t>
      </w:r>
      <w:r w:rsidR="00B76457" w:rsidRPr="00B76457">
        <w:t>con</w:t>
      </w:r>
      <w:r w:rsidR="002869EF" w:rsidRPr="00B76457">
        <w:t xml:space="preserve"> un costo aprox</w:t>
      </w:r>
      <w:r w:rsidR="00B76457" w:rsidRPr="00B76457">
        <w:t>imado</w:t>
      </w:r>
      <w:r w:rsidR="00871BDC" w:rsidRPr="00B76457">
        <w:t xml:space="preserve"> </w:t>
      </w:r>
      <w:r w:rsidR="00C84CAF" w:rsidRPr="00B76457">
        <w:t>d</w:t>
      </w:r>
      <w:r w:rsidR="00871BDC" w:rsidRPr="00B76457">
        <w:t xml:space="preserve">e </w:t>
      </w:r>
      <w:r w:rsidR="002869EF" w:rsidRPr="00B76457">
        <w:t xml:space="preserve">11.000 dólares </w:t>
      </w:r>
      <w:r w:rsidR="00D203BC">
        <w:t xml:space="preserve">de los </w:t>
      </w:r>
      <w:r w:rsidR="002869EF" w:rsidRPr="00B76457">
        <w:t>EE.UU. / costo por hora</w:t>
      </w:r>
      <w:r w:rsidR="008216C7" w:rsidRPr="00B76457">
        <w:t>,</w:t>
      </w:r>
      <w:r w:rsidR="002869EF" w:rsidRPr="00B76457">
        <w:t xml:space="preserve"> 895 dólares EE.UU).  La institución </w:t>
      </w:r>
      <w:r w:rsidR="002869EF" w:rsidRPr="00B76457">
        <w:rPr>
          <w:i/>
        </w:rPr>
        <w:t>Fraunhofer-Gesellschaft</w:t>
      </w:r>
      <w:r w:rsidR="002869EF" w:rsidRPr="00B76457">
        <w:t xml:space="preserve"> recibió 3 millones de dólares EE.UU. solo por la aceptación de la legislación de Nueva York.</w:t>
      </w:r>
    </w:p>
    <w:p w:rsidR="00771C72" w:rsidRPr="00412898" w:rsidRDefault="00771C72" w:rsidP="00266A82"/>
    <w:p w:rsidR="0054017E" w:rsidRPr="00412898" w:rsidRDefault="00D203BC" w:rsidP="007C331C">
      <w:r>
        <w:rPr>
          <w:u w:val="single"/>
        </w:rPr>
        <w:t>Determinación de la jurisdicción</w:t>
      </w:r>
      <w:r w:rsidR="002869EF" w:rsidRPr="00412898">
        <w:rPr>
          <w:u w:val="single"/>
        </w:rPr>
        <w:t xml:space="preserve"> y del tipo de solución </w:t>
      </w:r>
      <w:r w:rsidR="008216C7" w:rsidRPr="00412898">
        <w:rPr>
          <w:u w:val="single"/>
        </w:rPr>
        <w:t xml:space="preserve">extrajudicial </w:t>
      </w:r>
      <w:r w:rsidR="002869EF" w:rsidRPr="00412898">
        <w:rPr>
          <w:u w:val="single"/>
        </w:rPr>
        <w:t>de controversia</w:t>
      </w:r>
      <w:r w:rsidR="008216C7" w:rsidRPr="00412898">
        <w:rPr>
          <w:u w:val="single"/>
        </w:rPr>
        <w:t>s</w:t>
      </w:r>
      <w:r w:rsidR="002869EF" w:rsidRPr="00412898">
        <w:rPr>
          <w:u w:val="single"/>
        </w:rPr>
        <w:t xml:space="preserve"> </w:t>
      </w:r>
    </w:p>
    <w:p w:rsidR="000D1EEA" w:rsidRPr="00412898" w:rsidRDefault="000D1EEA"/>
    <w:p w:rsidR="0054017E" w:rsidRPr="00412898" w:rsidRDefault="00570C07">
      <w:r w:rsidRPr="00412898">
        <w:fldChar w:fldCharType="begin"/>
      </w:r>
      <w:r w:rsidRPr="00412898">
        <w:instrText xml:space="preserve"> AUTONUM  </w:instrText>
      </w:r>
      <w:r w:rsidRPr="00412898">
        <w:fldChar w:fldCharType="end"/>
      </w:r>
      <w:r w:rsidRPr="00412898">
        <w:tab/>
      </w:r>
      <w:r w:rsidR="002869EF" w:rsidRPr="00412898">
        <w:t>Desde</w:t>
      </w:r>
      <w:r w:rsidR="0054017E" w:rsidRPr="00412898">
        <w:t xml:space="preserve"> 2008</w:t>
      </w:r>
      <w:r w:rsidR="008613E8" w:rsidRPr="00412898">
        <w:t>,</w:t>
      </w:r>
      <w:r w:rsidR="0054017E" w:rsidRPr="00412898">
        <w:t xml:space="preserve"> </w:t>
      </w:r>
      <w:r w:rsidR="002869EF" w:rsidRPr="00412898">
        <w:t xml:space="preserve">la institución </w:t>
      </w:r>
      <w:r w:rsidR="002869EF" w:rsidRPr="00412898">
        <w:rPr>
          <w:i/>
        </w:rPr>
        <w:t>Fraunhofer-Gesellschaft</w:t>
      </w:r>
      <w:r w:rsidR="0054017E" w:rsidRPr="00412898">
        <w:t xml:space="preserve"> </w:t>
      </w:r>
      <w:r w:rsidR="002869EF" w:rsidRPr="00412898">
        <w:t>ofrece a su</w:t>
      </w:r>
      <w:r w:rsidR="0054017E" w:rsidRPr="00412898">
        <w:t xml:space="preserve">s </w:t>
      </w:r>
      <w:r w:rsidR="002869EF" w:rsidRPr="00412898">
        <w:t xml:space="preserve">licenciatarios </w:t>
      </w:r>
      <w:r w:rsidR="009052D6" w:rsidRPr="00412898">
        <w:t>un procedimiento tripartito de solución extrajudicial de controversias</w:t>
      </w:r>
      <w:r w:rsidR="0054017E" w:rsidRPr="00412898">
        <w:t>:</w:t>
      </w:r>
    </w:p>
    <w:p w:rsidR="0054017E" w:rsidRPr="00412898" w:rsidRDefault="0054017E"/>
    <w:p w:rsidR="0054017E" w:rsidRPr="00412898" w:rsidRDefault="009052D6" w:rsidP="007C331C">
      <w:pPr>
        <w:pStyle w:val="ListParagraph"/>
        <w:numPr>
          <w:ilvl w:val="0"/>
          <w:numId w:val="15"/>
        </w:numPr>
        <w:ind w:left="720"/>
      </w:pPr>
      <w:r w:rsidRPr="00412898">
        <w:t xml:space="preserve">En caso de una controversia, las partes tratarán </w:t>
      </w:r>
      <w:r w:rsidR="008216C7" w:rsidRPr="00412898">
        <w:t xml:space="preserve">primero </w:t>
      </w:r>
      <w:r w:rsidRPr="00412898">
        <w:t>de negociar entre ellas una solución</w:t>
      </w:r>
      <w:r w:rsidR="0054017E" w:rsidRPr="00412898">
        <w:t xml:space="preserve">. </w:t>
      </w:r>
      <w:r w:rsidR="008613E8" w:rsidRPr="00412898">
        <w:t xml:space="preserve"> </w:t>
      </w:r>
      <w:r w:rsidRPr="00412898">
        <w:t>Plazo de la negociación</w:t>
      </w:r>
      <w:r w:rsidR="0054017E" w:rsidRPr="00412898">
        <w:t xml:space="preserve">: </w:t>
      </w:r>
      <w:r w:rsidR="000D1EEA" w:rsidRPr="00412898">
        <w:t xml:space="preserve"> </w:t>
      </w:r>
      <w:r w:rsidR="00266A82" w:rsidRPr="00412898">
        <w:br/>
      </w:r>
      <w:r w:rsidRPr="00412898">
        <w:rPr>
          <w:i/>
        </w:rPr>
        <w:t xml:space="preserve">Por ejemplo: </w:t>
      </w:r>
      <w:r w:rsidR="0054017E" w:rsidRPr="00412898">
        <w:t xml:space="preserve"> 30</w:t>
      </w:r>
      <w:r w:rsidRPr="00412898">
        <w:t xml:space="preserve"> a </w:t>
      </w:r>
      <w:r w:rsidR="0054017E" w:rsidRPr="00412898">
        <w:t xml:space="preserve">90 </w:t>
      </w:r>
      <w:r w:rsidRPr="00412898">
        <w:t>días naturales</w:t>
      </w:r>
      <w:r w:rsidR="000D1EEA" w:rsidRPr="00412898">
        <w:t>.</w:t>
      </w:r>
    </w:p>
    <w:p w:rsidR="00165E11" w:rsidRPr="00412898" w:rsidRDefault="00165E11" w:rsidP="007C331C">
      <w:pPr>
        <w:ind w:left="360"/>
      </w:pPr>
    </w:p>
    <w:p w:rsidR="0054017E" w:rsidRPr="00412898" w:rsidRDefault="009052D6" w:rsidP="007C331C">
      <w:pPr>
        <w:pStyle w:val="ListParagraph"/>
        <w:numPr>
          <w:ilvl w:val="0"/>
          <w:numId w:val="15"/>
        </w:numPr>
        <w:ind w:left="720"/>
      </w:pPr>
      <w:r w:rsidRPr="00412898">
        <w:t>Si la negociación no resulta satisfactoria</w:t>
      </w:r>
      <w:r w:rsidR="00D203BC">
        <w:t>, se recurrirá a la m</w:t>
      </w:r>
      <w:r w:rsidRPr="00412898">
        <w:t>ediación</w:t>
      </w:r>
      <w:r w:rsidR="0054017E" w:rsidRPr="00412898">
        <w:t xml:space="preserve">. </w:t>
      </w:r>
      <w:r w:rsidR="008613E8" w:rsidRPr="00412898">
        <w:t xml:space="preserve"> </w:t>
      </w:r>
      <w:r w:rsidRPr="00412898">
        <w:t>Plazo de la mediación</w:t>
      </w:r>
      <w:r w:rsidR="0054017E" w:rsidRPr="00412898">
        <w:t xml:space="preserve">: </w:t>
      </w:r>
      <w:r w:rsidR="000D1EEA" w:rsidRPr="00412898">
        <w:t xml:space="preserve"> </w:t>
      </w:r>
      <w:r w:rsidR="00266A82" w:rsidRPr="00412898">
        <w:br/>
      </w:r>
      <w:r w:rsidRPr="00412898">
        <w:rPr>
          <w:i/>
        </w:rPr>
        <w:t xml:space="preserve">Por ejemplo: </w:t>
      </w:r>
      <w:r w:rsidR="0054017E" w:rsidRPr="00412898">
        <w:t xml:space="preserve"> 30</w:t>
      </w:r>
      <w:r w:rsidRPr="00412898">
        <w:t xml:space="preserve"> a </w:t>
      </w:r>
      <w:r w:rsidR="0054017E" w:rsidRPr="00412898">
        <w:t xml:space="preserve">90 </w:t>
      </w:r>
      <w:r w:rsidRPr="00412898">
        <w:t>días naturales</w:t>
      </w:r>
      <w:r w:rsidR="000D1EEA" w:rsidRPr="00412898">
        <w:t>.</w:t>
      </w:r>
    </w:p>
    <w:p w:rsidR="00165E11" w:rsidRPr="00412898" w:rsidRDefault="00165E11" w:rsidP="007C331C">
      <w:pPr>
        <w:ind w:left="360"/>
      </w:pPr>
    </w:p>
    <w:p w:rsidR="0054017E" w:rsidRPr="00412898" w:rsidRDefault="009052D6" w:rsidP="007C331C">
      <w:pPr>
        <w:pStyle w:val="ListParagraph"/>
        <w:numPr>
          <w:ilvl w:val="0"/>
          <w:numId w:val="15"/>
        </w:numPr>
        <w:ind w:left="720"/>
      </w:pPr>
      <w:r w:rsidRPr="00412898">
        <w:t>Si la mediación no resulta satisfactoria</w:t>
      </w:r>
      <w:r w:rsidR="00D203BC">
        <w:t>, se recurrirá al a</w:t>
      </w:r>
      <w:r w:rsidR="009A3582" w:rsidRPr="00412898">
        <w:t>rbitraje acelerado mediado por un árbitro</w:t>
      </w:r>
      <w:r w:rsidR="000D1EEA" w:rsidRPr="00412898">
        <w:t>.</w:t>
      </w:r>
    </w:p>
    <w:p w:rsidR="00DA60E5" w:rsidRPr="00412898" w:rsidRDefault="00DA60E5" w:rsidP="007C331C">
      <w:pPr>
        <w:pStyle w:val="ListParagraph"/>
      </w:pPr>
    </w:p>
    <w:p w:rsidR="00DA60E5" w:rsidRPr="00412898" w:rsidRDefault="009A3582" w:rsidP="007C331C">
      <w:pPr>
        <w:pStyle w:val="ListParagraph"/>
        <w:ind w:left="0"/>
      </w:pPr>
      <w:r w:rsidRPr="00412898">
        <w:rPr>
          <w:u w:val="single"/>
        </w:rPr>
        <w:t>Excepción</w:t>
      </w:r>
      <w:r w:rsidR="0054017E" w:rsidRPr="00412898">
        <w:rPr>
          <w:u w:val="single"/>
        </w:rPr>
        <w:t xml:space="preserve"> (</w:t>
      </w:r>
      <w:r w:rsidRPr="00412898">
        <w:rPr>
          <w:u w:val="single"/>
        </w:rPr>
        <w:t>desde</w:t>
      </w:r>
      <w:r w:rsidR="0054017E" w:rsidRPr="00412898">
        <w:rPr>
          <w:u w:val="single"/>
        </w:rPr>
        <w:t xml:space="preserve"> 2012):</w:t>
      </w:r>
    </w:p>
    <w:p w:rsidR="00DA60E5" w:rsidRPr="00412898" w:rsidRDefault="00DA60E5" w:rsidP="007C331C">
      <w:pPr>
        <w:pStyle w:val="ListParagraph"/>
      </w:pPr>
    </w:p>
    <w:p w:rsidR="009A3582" w:rsidRPr="00412898" w:rsidRDefault="00570C07">
      <w:r w:rsidRPr="00412898">
        <w:fldChar w:fldCharType="begin"/>
      </w:r>
      <w:r w:rsidRPr="00412898">
        <w:instrText xml:space="preserve"> AUTONUM  </w:instrText>
      </w:r>
      <w:r w:rsidRPr="00412898">
        <w:fldChar w:fldCharType="end"/>
      </w:r>
      <w:r w:rsidRPr="00412898">
        <w:tab/>
      </w:r>
      <w:r w:rsidR="009A3582" w:rsidRPr="00412898">
        <w:t>Hasta un valor de la mediación de 100.000 euros (únicamente el primer tercio, esto es, las negociaciones), seguido del juicio nacional.</w:t>
      </w:r>
    </w:p>
    <w:p w:rsidR="00FF2FCE" w:rsidRPr="00412898" w:rsidRDefault="00FF2FCE"/>
    <w:p w:rsidR="00DA60E5" w:rsidRPr="00412898" w:rsidRDefault="009A3582" w:rsidP="007C331C">
      <w:r w:rsidRPr="00412898">
        <w:t>Motivo</w:t>
      </w:r>
      <w:r w:rsidR="0054017E" w:rsidRPr="00412898">
        <w:t xml:space="preserve">: </w:t>
      </w:r>
      <w:r w:rsidR="000D1EEA" w:rsidRPr="00412898">
        <w:t xml:space="preserve"> </w:t>
      </w:r>
      <w:r w:rsidRPr="00412898">
        <w:t>¡El procedimiento de pago europeo es más barato!</w:t>
      </w:r>
    </w:p>
    <w:p w:rsidR="00DA60E5" w:rsidRPr="00412898" w:rsidRDefault="00DA60E5" w:rsidP="007C331C"/>
    <w:p w:rsidR="0054017E" w:rsidRPr="00412898" w:rsidRDefault="009A3582" w:rsidP="007C331C">
      <w:r w:rsidRPr="00412898">
        <w:rPr>
          <w:u w:val="single"/>
        </w:rPr>
        <w:t>Índice de aceptación</w:t>
      </w:r>
      <w:r w:rsidR="0054017E" w:rsidRPr="00412898">
        <w:rPr>
          <w:u w:val="single"/>
        </w:rPr>
        <w:t xml:space="preserve">: </w:t>
      </w:r>
    </w:p>
    <w:p w:rsidR="00FF2FCE" w:rsidRPr="00412898" w:rsidRDefault="00FF2FCE" w:rsidP="007C331C"/>
    <w:p w:rsidR="0054017E" w:rsidRPr="00412898" w:rsidRDefault="00570C07">
      <w:r w:rsidRPr="00412898">
        <w:fldChar w:fldCharType="begin"/>
      </w:r>
      <w:r w:rsidRPr="00412898">
        <w:instrText xml:space="preserve"> AUTONUM  </w:instrText>
      </w:r>
      <w:r w:rsidRPr="00412898">
        <w:fldChar w:fldCharType="end"/>
      </w:r>
      <w:r w:rsidRPr="00412898">
        <w:tab/>
      </w:r>
      <w:r w:rsidR="009A3582" w:rsidRPr="00412898">
        <w:t xml:space="preserve">El </w:t>
      </w:r>
      <w:r w:rsidR="0054017E" w:rsidRPr="00412898">
        <w:t xml:space="preserve">95% </w:t>
      </w:r>
      <w:r w:rsidR="009A3582" w:rsidRPr="00412898">
        <w:t>de los contratistas</w:t>
      </w:r>
      <w:r w:rsidR="000D1EEA" w:rsidRPr="00412898">
        <w:t xml:space="preserve"> </w:t>
      </w:r>
      <w:r w:rsidR="008216C7" w:rsidRPr="00412898">
        <w:t>o de los</w:t>
      </w:r>
      <w:r w:rsidR="00091EFA" w:rsidRPr="00412898">
        <w:t xml:space="preserve"> </w:t>
      </w:r>
      <w:r w:rsidR="009A3582" w:rsidRPr="00412898">
        <w:t>licenciatarios en el ámbito de la I+D aceptan el procedimiento tripartito de solución extrajudicial de controversias.</w:t>
      </w:r>
    </w:p>
    <w:p w:rsidR="0054017E" w:rsidRPr="00412898" w:rsidRDefault="0054017E"/>
    <w:p w:rsidR="0054017E" w:rsidRPr="007139D2" w:rsidRDefault="004A3DBB" w:rsidP="007C331C">
      <w:pPr>
        <w:pStyle w:val="Heading2"/>
        <w:ind w:left="0"/>
      </w:pPr>
      <w:r>
        <w:t>grupo de trabajo de mediación</w:t>
      </w:r>
    </w:p>
    <w:p w:rsidR="000D1EEA" w:rsidRPr="00412898" w:rsidRDefault="000D1EEA"/>
    <w:p w:rsidR="00C93BD1" w:rsidRPr="00412898" w:rsidRDefault="00570C07" w:rsidP="00165E11">
      <w:r w:rsidRPr="00412898">
        <w:fldChar w:fldCharType="begin"/>
      </w:r>
      <w:r w:rsidRPr="00412898">
        <w:instrText xml:space="preserve"> AUTONUM  </w:instrText>
      </w:r>
      <w:r w:rsidRPr="00412898">
        <w:fldChar w:fldCharType="end"/>
      </w:r>
      <w:r w:rsidRPr="00412898">
        <w:tab/>
      </w:r>
      <w:r w:rsidR="00C93BD1" w:rsidRPr="00412898">
        <w:t xml:space="preserve">En 2011, la institución </w:t>
      </w:r>
      <w:r w:rsidR="00C93BD1" w:rsidRPr="00412898">
        <w:rPr>
          <w:i/>
        </w:rPr>
        <w:t xml:space="preserve">Fraunhofer-Gesellschaft </w:t>
      </w:r>
      <w:r w:rsidR="00B76457">
        <w:t xml:space="preserve">estableció </w:t>
      </w:r>
      <w:r w:rsidR="004A3DBB">
        <w:t>el</w:t>
      </w:r>
      <w:r w:rsidR="00B76457">
        <w:t xml:space="preserve"> </w:t>
      </w:r>
      <w:r w:rsidR="004A3DBB">
        <w:t>“</w:t>
      </w:r>
      <w:r w:rsidR="00B76457">
        <w:t>Grupo de Trabajo</w:t>
      </w:r>
      <w:r w:rsidR="004A3DBB">
        <w:t xml:space="preserve"> de Mediación</w:t>
      </w:r>
      <w:r w:rsidR="00C93BD1" w:rsidRPr="00412898">
        <w:t xml:space="preserve">” a fin de difundir las ideas relativas a la solución extrajudicial de controversias en el seno de la institución y, como mínimo, ahorrar tiempo y dinero.  En su condición de miembro de la </w:t>
      </w:r>
      <w:r w:rsidR="00C93BD1" w:rsidRPr="00412898">
        <w:rPr>
          <w:i/>
        </w:rPr>
        <w:t xml:space="preserve">Round Table Mediation and Conflict Management of the German Industry </w:t>
      </w:r>
      <w:r w:rsidR="00C93BD1" w:rsidRPr="00412898">
        <w:t xml:space="preserve">(“Mesa redonda”, </w:t>
      </w:r>
      <w:hyperlink r:id="rId10" w:history="1">
        <w:r w:rsidR="00C93BD1" w:rsidRPr="00412898">
          <w:rPr>
            <w:rStyle w:val="Hyperlink"/>
          </w:rPr>
          <w:t>www.RTMKM.de</w:t>
        </w:r>
      </w:hyperlink>
      <w:r w:rsidR="00C93BD1" w:rsidRPr="00412898">
        <w:t xml:space="preserve">), la institución </w:t>
      </w:r>
      <w:r w:rsidR="00C93BD1" w:rsidRPr="00412898">
        <w:rPr>
          <w:i/>
        </w:rPr>
        <w:t xml:space="preserve">Fraunhofer-Gesellschaft </w:t>
      </w:r>
      <w:r w:rsidR="00C93BD1" w:rsidRPr="00412898">
        <w:t xml:space="preserve">puede beneficiarse de la experiencia de otros miembros de </w:t>
      </w:r>
      <w:r w:rsidR="008216C7" w:rsidRPr="00412898">
        <w:t>dicha</w:t>
      </w:r>
      <w:r w:rsidR="00C93BD1" w:rsidRPr="00412898">
        <w:t xml:space="preserve"> mesa redonda.</w:t>
      </w:r>
    </w:p>
    <w:p w:rsidR="0054017E" w:rsidRPr="00412898" w:rsidRDefault="0054017E" w:rsidP="00165E11"/>
    <w:p w:rsidR="005A0B43" w:rsidRPr="00412898" w:rsidRDefault="00570C07" w:rsidP="00165E11">
      <w:r w:rsidRPr="00412898">
        <w:fldChar w:fldCharType="begin"/>
      </w:r>
      <w:r w:rsidRPr="00412898">
        <w:instrText xml:space="preserve"> AUTONUM  </w:instrText>
      </w:r>
      <w:r w:rsidRPr="00412898">
        <w:fldChar w:fldCharType="end"/>
      </w:r>
      <w:r w:rsidRPr="00412898">
        <w:tab/>
      </w:r>
      <w:r w:rsidR="005A0B43" w:rsidRPr="00412898">
        <w:t xml:space="preserve">Solo en el caso de que se entablen controversias con terceros (relativas, principalmente, a acuerdos de I+D y de licencia) actuarán como contrapartes siete mediadores de la institución con la capacidad y experiencia necesarias.  Dichos mediadores coordinan y acompañan el proceso (preparación de documentos, negociaciones y calendarios).  En </w:t>
      </w:r>
      <w:r w:rsidR="004A3DBB">
        <w:t>los casos</w:t>
      </w:r>
      <w:r w:rsidR="007139D2">
        <w:t xml:space="preserve"> de</w:t>
      </w:r>
      <w:r w:rsidR="005A0B43" w:rsidRPr="00412898">
        <w:t xml:space="preserve"> controversias con terceros, los mediadores de la institución prestan asesoramiento para encontrar y elegir el “instrumento” apropiado (por ejemplo, mediación, arbitraje, mini-juicio, dictamen de expertos, etcétera) y</w:t>
      </w:r>
      <w:r w:rsidR="00865EE0" w:rsidRPr="00412898">
        <w:t xml:space="preserve"> al mediador “neutral” (por ejemplo, el mediador, el árbitro, el experto, etcétera).</w:t>
      </w:r>
    </w:p>
    <w:p w:rsidR="0054017E" w:rsidRPr="00412898" w:rsidRDefault="0054017E" w:rsidP="00165E11"/>
    <w:p w:rsidR="00865EE0" w:rsidRPr="00412898" w:rsidRDefault="00570C07" w:rsidP="00165E11">
      <w:r w:rsidRPr="00412898">
        <w:fldChar w:fldCharType="begin"/>
      </w:r>
      <w:r w:rsidRPr="00412898">
        <w:instrText xml:space="preserve"> AUTONUM  </w:instrText>
      </w:r>
      <w:r w:rsidRPr="00412898">
        <w:fldChar w:fldCharType="end"/>
      </w:r>
      <w:r w:rsidRPr="00412898">
        <w:tab/>
      </w:r>
      <w:r w:rsidR="00865EE0" w:rsidRPr="00412898">
        <w:t xml:space="preserve">En las controversias internas, </w:t>
      </w:r>
      <w:r w:rsidR="004A3DBB" w:rsidRPr="00412898">
        <w:t xml:space="preserve">quienes acompañan el proceso </w:t>
      </w:r>
      <w:r w:rsidR="00865EE0" w:rsidRPr="00412898">
        <w:t>son miembros del personal del departamento.</w:t>
      </w:r>
    </w:p>
    <w:p w:rsidR="0054017E" w:rsidRPr="00412898" w:rsidRDefault="0054017E" w:rsidP="00165E11"/>
    <w:p w:rsidR="001A201F" w:rsidRPr="00412898" w:rsidRDefault="00570C07" w:rsidP="00165E11">
      <w:r w:rsidRPr="00412898">
        <w:fldChar w:fldCharType="begin"/>
      </w:r>
      <w:r w:rsidRPr="00412898">
        <w:instrText xml:space="preserve"> AUTONUM  </w:instrText>
      </w:r>
      <w:r w:rsidRPr="00412898">
        <w:fldChar w:fldCharType="end"/>
      </w:r>
      <w:r w:rsidRPr="00412898">
        <w:tab/>
      </w:r>
      <w:r w:rsidR="001A201F" w:rsidRPr="00412898">
        <w:t xml:space="preserve">Los mediadores </w:t>
      </w:r>
      <w:r w:rsidR="00996AC3" w:rsidRPr="00412898">
        <w:t xml:space="preserve">garantizan la confidencialidad y la profesionalidad, facilitan una </w:t>
      </w:r>
      <w:r w:rsidR="00996AC3" w:rsidRPr="00B76457">
        <w:t xml:space="preserve">red y no interfieren en otras esferas de responsabilidad dentro de la institución </w:t>
      </w:r>
      <w:r w:rsidR="00996AC3" w:rsidRPr="00B76457">
        <w:rPr>
          <w:i/>
        </w:rPr>
        <w:t>Fraunhofer-Gesellschaft</w:t>
      </w:r>
      <w:r w:rsidR="00996AC3" w:rsidRPr="00412898">
        <w:t xml:space="preserve"> (por ejemplo, el departamento jurídico, el departamento de patentes, el departamento de licencias, etcétera).  La mediación se ejecutará siempre en coordinación con otras esferas de responsabilidad.  En caso de controversias con terceros, los mediadores coordinarán las tareas de mediación con el departamento jurídico. </w:t>
      </w:r>
    </w:p>
    <w:p w:rsidR="001A201F" w:rsidRPr="00412898" w:rsidRDefault="001A201F" w:rsidP="00165E11"/>
    <w:p w:rsidR="00AD4BAC" w:rsidRPr="00412898" w:rsidRDefault="00570C07" w:rsidP="00165E11">
      <w:r w:rsidRPr="00412898">
        <w:fldChar w:fldCharType="begin"/>
      </w:r>
      <w:r w:rsidRPr="00412898">
        <w:instrText xml:space="preserve"> AUTONUM  </w:instrText>
      </w:r>
      <w:r w:rsidRPr="00412898">
        <w:fldChar w:fldCharType="end"/>
      </w:r>
      <w:r w:rsidRPr="00412898">
        <w:tab/>
      </w:r>
      <w:r w:rsidR="00AD4BAC" w:rsidRPr="00412898">
        <w:t xml:space="preserve">Para ponerse en contacto con el Grupo de Trabajo </w:t>
      </w:r>
      <w:r w:rsidR="004A3DBB">
        <w:t>de</w:t>
      </w:r>
      <w:r w:rsidR="00AD4BAC" w:rsidRPr="00412898">
        <w:t xml:space="preserve"> Mediación hay que dirigirse a </w:t>
      </w:r>
      <w:hyperlink r:id="rId11" w:history="1">
        <w:r w:rsidR="00AD4BAC" w:rsidRPr="00412898">
          <w:rPr>
            <w:rStyle w:val="Hyperlink"/>
          </w:rPr>
          <w:t>mediation@Fraunhofer.de</w:t>
        </w:r>
      </w:hyperlink>
      <w:r w:rsidR="00AD4BAC" w:rsidRPr="00412898">
        <w:t xml:space="preserve"> o ponerse en contacto personalmente.  </w:t>
      </w:r>
      <w:r w:rsidR="008216C7" w:rsidRPr="00412898">
        <w:t>Las respuestas se envían</w:t>
      </w:r>
      <w:r w:rsidR="00AD4BAC" w:rsidRPr="00412898">
        <w:t xml:space="preserve"> en el plazo de un día laborable.</w:t>
      </w:r>
    </w:p>
    <w:p w:rsidR="0054017E" w:rsidRPr="00412898" w:rsidRDefault="0054017E" w:rsidP="00165E11"/>
    <w:p w:rsidR="00AD4BAC" w:rsidRPr="00412898" w:rsidRDefault="00570C07" w:rsidP="00165E11">
      <w:r w:rsidRPr="00412898">
        <w:fldChar w:fldCharType="begin"/>
      </w:r>
      <w:r w:rsidRPr="00412898">
        <w:instrText xml:space="preserve"> AUTONUM  </w:instrText>
      </w:r>
      <w:r w:rsidRPr="00412898">
        <w:fldChar w:fldCharType="end"/>
      </w:r>
      <w:r w:rsidRPr="00412898">
        <w:tab/>
      </w:r>
      <w:r w:rsidR="00AD4BAC" w:rsidRPr="00412898">
        <w:t>Los documentos urgentes o importantes deben enviarse por correo postal y p</w:t>
      </w:r>
      <w:r w:rsidR="00B76457">
        <w:t>or fax con arreglo a los plazos</w:t>
      </w:r>
      <w:r w:rsidR="004A3DBB">
        <w:t>,</w:t>
      </w:r>
      <w:r w:rsidR="00B76457">
        <w:t xml:space="preserve"> para que puedan interponerse los recursos </w:t>
      </w:r>
      <w:r w:rsidR="00B76457" w:rsidRPr="00B76457">
        <w:t>provisionales</w:t>
      </w:r>
      <w:r w:rsidR="00AD4BAC" w:rsidRPr="00B76457">
        <w:t>.</w:t>
      </w:r>
      <w:r w:rsidR="00AD4BAC" w:rsidRPr="00412898">
        <w:t xml:space="preserve"> </w:t>
      </w:r>
    </w:p>
    <w:p w:rsidR="000D1EEA" w:rsidRPr="00412898" w:rsidRDefault="000D1EEA" w:rsidP="00165E11"/>
    <w:p w:rsidR="0054017E" w:rsidRPr="00412898" w:rsidRDefault="0054017E" w:rsidP="007C331C">
      <w:pPr>
        <w:pStyle w:val="Heading2"/>
        <w:ind w:left="0"/>
      </w:pPr>
      <w:r w:rsidRPr="00412898">
        <w:t>Ca</w:t>
      </w:r>
      <w:r w:rsidR="00865EE0" w:rsidRPr="00412898">
        <w:t>usa</w:t>
      </w:r>
    </w:p>
    <w:p w:rsidR="0054017E" w:rsidRPr="00412898" w:rsidRDefault="0054017E" w:rsidP="00165E11"/>
    <w:p w:rsidR="0054017E" w:rsidRPr="00412898" w:rsidRDefault="00865EE0" w:rsidP="00ED58E9">
      <w:pPr>
        <w:tabs>
          <w:tab w:val="left" w:pos="3969"/>
        </w:tabs>
      </w:pPr>
      <w:r w:rsidRPr="00412898">
        <w:t>Año</w:t>
      </w:r>
      <w:r w:rsidR="0054017E" w:rsidRPr="00412898">
        <w:t>:</w:t>
      </w:r>
      <w:r w:rsidR="000D1EEA" w:rsidRPr="00412898">
        <w:tab/>
      </w:r>
      <w:r w:rsidR="00ED58E9" w:rsidRPr="00412898">
        <w:t>2</w:t>
      </w:r>
      <w:r w:rsidR="0054017E" w:rsidRPr="00412898">
        <w:t>011</w:t>
      </w:r>
    </w:p>
    <w:p w:rsidR="0054017E" w:rsidRPr="00412898" w:rsidRDefault="0054017E" w:rsidP="00ED58E9">
      <w:pPr>
        <w:tabs>
          <w:tab w:val="left" w:pos="3969"/>
        </w:tabs>
      </w:pPr>
    </w:p>
    <w:p w:rsidR="0054017E" w:rsidRPr="00412898" w:rsidRDefault="0054017E" w:rsidP="00ED58E9">
      <w:pPr>
        <w:tabs>
          <w:tab w:val="left" w:pos="3969"/>
        </w:tabs>
      </w:pPr>
      <w:r w:rsidRPr="00412898">
        <w:t>N</w:t>
      </w:r>
      <w:r w:rsidR="00865EE0" w:rsidRPr="00412898">
        <w:t>º de partes</w:t>
      </w:r>
      <w:r w:rsidRPr="00412898">
        <w:t>:</w:t>
      </w:r>
      <w:r w:rsidR="000D1EEA" w:rsidRPr="00412898">
        <w:tab/>
      </w:r>
      <w:r w:rsidRPr="00412898">
        <w:t>2</w:t>
      </w:r>
    </w:p>
    <w:p w:rsidR="0054017E" w:rsidRPr="00412898" w:rsidRDefault="0054017E" w:rsidP="00ED58E9">
      <w:pPr>
        <w:tabs>
          <w:tab w:val="left" w:pos="3969"/>
        </w:tabs>
      </w:pPr>
    </w:p>
    <w:p w:rsidR="0054017E" w:rsidRPr="00412898" w:rsidRDefault="006F407D" w:rsidP="00ED58E9">
      <w:pPr>
        <w:tabs>
          <w:tab w:val="left" w:pos="3969"/>
        </w:tabs>
      </w:pPr>
      <w:r w:rsidRPr="00E8662F">
        <w:t>Domicilio social de las partes</w:t>
      </w:r>
      <w:r w:rsidR="0054017E" w:rsidRPr="00E8662F">
        <w:t>:</w:t>
      </w:r>
      <w:r w:rsidR="000D1EEA" w:rsidRPr="00412898">
        <w:tab/>
      </w:r>
      <w:r w:rsidR="00865EE0" w:rsidRPr="00412898">
        <w:t>Alemania</w:t>
      </w:r>
    </w:p>
    <w:p w:rsidR="0054017E" w:rsidRPr="00412898" w:rsidRDefault="0054017E" w:rsidP="00ED58E9">
      <w:pPr>
        <w:tabs>
          <w:tab w:val="left" w:pos="3969"/>
        </w:tabs>
      </w:pPr>
    </w:p>
    <w:p w:rsidR="00DD4476" w:rsidRPr="00412898" w:rsidRDefault="006F407D" w:rsidP="00ED58E9">
      <w:pPr>
        <w:tabs>
          <w:tab w:val="left" w:pos="3969"/>
        </w:tabs>
      </w:pPr>
      <w:r w:rsidRPr="00412898">
        <w:t>Objeto de la controversia</w:t>
      </w:r>
      <w:r w:rsidR="00DD4476" w:rsidRPr="00412898">
        <w:t>:</w:t>
      </w:r>
      <w:r w:rsidR="00DD4476" w:rsidRPr="00412898">
        <w:tab/>
      </w:r>
      <w:r w:rsidRPr="00412898">
        <w:t>Acuerdo de licencia de patente y de conocimiento</w:t>
      </w:r>
      <w:r w:rsidR="008216C7" w:rsidRPr="00412898">
        <w:t>s</w:t>
      </w:r>
      <w:r w:rsidRPr="00412898">
        <w:t xml:space="preserve"> </w:t>
      </w:r>
      <w:r w:rsidRPr="00412898">
        <w:tab/>
      </w:r>
      <w:r w:rsidR="008216C7" w:rsidRPr="00412898">
        <w:t>t</w:t>
      </w:r>
      <w:r w:rsidRPr="00412898">
        <w:t xml:space="preserve">écnicos, </w:t>
      </w:r>
      <w:r w:rsidR="008216C7" w:rsidRPr="00412898">
        <w:t>a</w:t>
      </w:r>
      <w:r w:rsidR="004A3DBB">
        <w:t xml:space="preserve">cuerdo de I+D, </w:t>
      </w:r>
      <w:r w:rsidRPr="00412898">
        <w:t>cooperación en general</w:t>
      </w:r>
    </w:p>
    <w:p w:rsidR="0054017E" w:rsidRPr="00412898" w:rsidRDefault="00DD4476" w:rsidP="00ED58E9">
      <w:pPr>
        <w:tabs>
          <w:tab w:val="left" w:pos="3969"/>
        </w:tabs>
      </w:pPr>
      <w:r w:rsidRPr="00412898">
        <w:tab/>
      </w:r>
    </w:p>
    <w:p w:rsidR="0054017E" w:rsidRPr="00412898" w:rsidRDefault="0054017E" w:rsidP="00ED58E9">
      <w:pPr>
        <w:tabs>
          <w:tab w:val="left" w:pos="3969"/>
        </w:tabs>
      </w:pPr>
    </w:p>
    <w:p w:rsidR="006F407D" w:rsidRPr="00412898" w:rsidRDefault="006F407D" w:rsidP="00ED58E9">
      <w:pPr>
        <w:tabs>
          <w:tab w:val="left" w:pos="3969"/>
        </w:tabs>
      </w:pPr>
      <w:r w:rsidRPr="00412898">
        <w:t>Plazo de la controversia</w:t>
      </w:r>
    </w:p>
    <w:p w:rsidR="0054017E" w:rsidRPr="00412898" w:rsidRDefault="000C0A3E" w:rsidP="00ED58E9">
      <w:pPr>
        <w:tabs>
          <w:tab w:val="left" w:pos="3969"/>
        </w:tabs>
      </w:pPr>
      <w:r>
        <w:t>h</w:t>
      </w:r>
      <w:r w:rsidR="006F407D" w:rsidRPr="00412898">
        <w:t>asta recurrir a la mediación</w:t>
      </w:r>
      <w:r w:rsidR="0054017E" w:rsidRPr="00412898">
        <w:t>:</w:t>
      </w:r>
      <w:r w:rsidR="0054017E" w:rsidRPr="00412898">
        <w:tab/>
      </w:r>
      <w:r w:rsidR="0054017E" w:rsidRPr="00412898">
        <w:tab/>
        <w:t xml:space="preserve">6 </w:t>
      </w:r>
      <w:r w:rsidR="006F407D" w:rsidRPr="00412898">
        <w:t>años</w:t>
      </w:r>
    </w:p>
    <w:p w:rsidR="0054017E" w:rsidRPr="00412898" w:rsidRDefault="0054017E" w:rsidP="00ED58E9">
      <w:pPr>
        <w:tabs>
          <w:tab w:val="left" w:pos="3969"/>
        </w:tabs>
      </w:pPr>
    </w:p>
    <w:p w:rsidR="0054017E" w:rsidRPr="00412898" w:rsidRDefault="006F407D" w:rsidP="00ED58E9">
      <w:pPr>
        <w:tabs>
          <w:tab w:val="left" w:pos="3969"/>
        </w:tabs>
      </w:pPr>
      <w:r w:rsidRPr="00412898">
        <w:t>Plazo de la mediación</w:t>
      </w:r>
      <w:r w:rsidR="0054017E" w:rsidRPr="00412898">
        <w:t>:</w:t>
      </w:r>
      <w:r w:rsidR="0054017E" w:rsidRPr="00412898">
        <w:tab/>
      </w:r>
      <w:r w:rsidR="0054017E" w:rsidRPr="00412898">
        <w:tab/>
      </w:r>
      <w:r w:rsidRPr="00412898">
        <w:t>1,5 días</w:t>
      </w:r>
    </w:p>
    <w:p w:rsidR="0054017E" w:rsidRPr="00412898" w:rsidRDefault="0054017E" w:rsidP="00ED58E9">
      <w:pPr>
        <w:tabs>
          <w:tab w:val="left" w:pos="3969"/>
        </w:tabs>
      </w:pPr>
    </w:p>
    <w:p w:rsidR="006F407D" w:rsidRPr="00412898" w:rsidRDefault="006F407D" w:rsidP="00ED58E9">
      <w:pPr>
        <w:tabs>
          <w:tab w:val="left" w:pos="3969"/>
        </w:tabs>
      </w:pPr>
      <w:r w:rsidRPr="00412898">
        <w:t>Organización de solución</w:t>
      </w:r>
    </w:p>
    <w:p w:rsidR="0054017E" w:rsidRPr="00412898" w:rsidRDefault="006F407D" w:rsidP="00ED58E9">
      <w:pPr>
        <w:tabs>
          <w:tab w:val="left" w:pos="3969"/>
        </w:tabs>
      </w:pPr>
      <w:r w:rsidRPr="00412898">
        <w:t>extrajudicial de controversias</w:t>
      </w:r>
      <w:r w:rsidR="0054017E" w:rsidRPr="00412898">
        <w:t>:</w:t>
      </w:r>
      <w:r w:rsidR="0054017E" w:rsidRPr="00412898">
        <w:tab/>
      </w:r>
      <w:r w:rsidR="0054017E" w:rsidRPr="00412898">
        <w:tab/>
      </w:r>
      <w:r w:rsidRPr="00412898">
        <w:t>Instituto Europeo de Gestión de Conflictos</w:t>
      </w:r>
      <w:r w:rsidR="00EC18DE" w:rsidRPr="00412898">
        <w:t xml:space="preserve"> (EUCON)</w:t>
      </w:r>
      <w:r w:rsidR="0054017E" w:rsidRPr="00412898">
        <w:t xml:space="preserve"> </w:t>
      </w:r>
      <w:r w:rsidRPr="00412898">
        <w:t>Múnich (Alemania)</w:t>
      </w:r>
    </w:p>
    <w:p w:rsidR="0054017E" w:rsidRPr="00412898" w:rsidRDefault="0054017E" w:rsidP="00ED58E9">
      <w:pPr>
        <w:tabs>
          <w:tab w:val="left" w:pos="3969"/>
        </w:tabs>
      </w:pPr>
    </w:p>
    <w:p w:rsidR="0054017E" w:rsidRPr="00412898" w:rsidRDefault="006F407D" w:rsidP="00ED58E9">
      <w:pPr>
        <w:tabs>
          <w:tab w:val="left" w:pos="3969"/>
        </w:tabs>
      </w:pPr>
      <w:r w:rsidRPr="00412898">
        <w:t>Nº de mediadores</w:t>
      </w:r>
      <w:r w:rsidR="0054017E" w:rsidRPr="00412898">
        <w:t>:</w:t>
      </w:r>
      <w:r w:rsidR="0054017E" w:rsidRPr="00412898">
        <w:tab/>
      </w:r>
      <w:r w:rsidR="0054017E" w:rsidRPr="00412898">
        <w:tab/>
        <w:t>2</w:t>
      </w:r>
    </w:p>
    <w:p w:rsidR="0054017E" w:rsidRPr="00412898" w:rsidRDefault="0054017E" w:rsidP="00ED58E9">
      <w:pPr>
        <w:tabs>
          <w:tab w:val="left" w:pos="3969"/>
        </w:tabs>
      </w:pPr>
    </w:p>
    <w:p w:rsidR="006F407D" w:rsidRPr="00412898" w:rsidRDefault="008A602C" w:rsidP="00ED58E9">
      <w:pPr>
        <w:tabs>
          <w:tab w:val="left" w:pos="3969"/>
        </w:tabs>
      </w:pPr>
      <w:r w:rsidRPr="00412898">
        <w:t>Cost</w:t>
      </w:r>
      <w:r w:rsidR="006F407D" w:rsidRPr="00412898">
        <w:t>o</w:t>
      </w:r>
      <w:r w:rsidRPr="00412898">
        <w:t>s:</w:t>
      </w:r>
      <w:r w:rsidRPr="00412898">
        <w:tab/>
      </w:r>
      <w:r w:rsidR="006F407D" w:rsidRPr="00412898">
        <w:t>Aprox.</w:t>
      </w:r>
      <w:r w:rsidRPr="00412898">
        <w:t xml:space="preserve"> 13</w:t>
      </w:r>
      <w:r w:rsidR="006F407D" w:rsidRPr="00412898">
        <w:t>.</w:t>
      </w:r>
      <w:r w:rsidRPr="00412898">
        <w:t>000 E</w:t>
      </w:r>
      <w:r w:rsidR="00ED58E9" w:rsidRPr="00412898">
        <w:t>uros</w:t>
      </w:r>
      <w:r w:rsidRPr="00412898">
        <w:t xml:space="preserve"> (</w:t>
      </w:r>
      <w:r w:rsidR="006F407D" w:rsidRPr="00412898">
        <w:t>aprox. 6.</w:t>
      </w:r>
      <w:r w:rsidR="0054017E" w:rsidRPr="00412898">
        <w:t>500</w:t>
      </w:r>
      <w:r w:rsidR="006F407D" w:rsidRPr="00412898">
        <w:t xml:space="preserve"> euros por cada</w:t>
      </w:r>
    </w:p>
    <w:p w:rsidR="0054017E" w:rsidRPr="00412898" w:rsidRDefault="006F407D" w:rsidP="00ED58E9">
      <w:pPr>
        <w:tabs>
          <w:tab w:val="left" w:pos="3969"/>
        </w:tabs>
      </w:pPr>
      <w:r w:rsidRPr="00412898">
        <w:tab/>
        <w:t>parte</w:t>
      </w:r>
      <w:r w:rsidR="0054017E" w:rsidRPr="00412898">
        <w:t xml:space="preserve">) </w:t>
      </w:r>
    </w:p>
    <w:p w:rsidR="0054017E" w:rsidRPr="00412898" w:rsidRDefault="0054017E" w:rsidP="00ED58E9">
      <w:pPr>
        <w:tabs>
          <w:tab w:val="left" w:pos="3969"/>
        </w:tabs>
      </w:pPr>
    </w:p>
    <w:p w:rsidR="0054017E" w:rsidRPr="00412898" w:rsidRDefault="006F407D" w:rsidP="00ED58E9">
      <w:pPr>
        <w:tabs>
          <w:tab w:val="left" w:pos="3969"/>
        </w:tabs>
      </w:pPr>
      <w:r w:rsidRPr="00412898">
        <w:t>Resultado de la mediación</w:t>
      </w:r>
      <w:r w:rsidR="0054017E" w:rsidRPr="00412898">
        <w:t>:</w:t>
      </w:r>
      <w:r w:rsidR="0054017E" w:rsidRPr="00412898">
        <w:tab/>
      </w:r>
      <w:r w:rsidR="00413F7C" w:rsidRPr="00412898">
        <w:rPr>
          <w:u w:val="single"/>
        </w:rPr>
        <w:t>Acuerdo</w:t>
      </w:r>
      <w:r w:rsidR="0054017E" w:rsidRPr="00412898">
        <w:rPr>
          <w:u w:val="single"/>
        </w:rPr>
        <w:t>:</w:t>
      </w:r>
      <w:r w:rsidR="0054017E" w:rsidRPr="00412898">
        <w:t xml:space="preserve"> </w:t>
      </w:r>
    </w:p>
    <w:p w:rsidR="0054017E" w:rsidRPr="00412898" w:rsidRDefault="0054017E" w:rsidP="00ED58E9">
      <w:pPr>
        <w:tabs>
          <w:tab w:val="left" w:pos="3969"/>
        </w:tabs>
      </w:pPr>
      <w:r w:rsidRPr="00412898">
        <w:tab/>
        <w:t xml:space="preserve">1 </w:t>
      </w:r>
      <w:r w:rsidR="00413F7C" w:rsidRPr="00412898">
        <w:t>Acuerdo marco de I+D</w:t>
      </w:r>
      <w:r w:rsidRPr="00412898">
        <w:t xml:space="preserve">, </w:t>
      </w:r>
      <w:r w:rsidR="000D1EEA" w:rsidRPr="00412898">
        <w:br/>
      </w:r>
      <w:r w:rsidR="000D1EEA" w:rsidRPr="00412898">
        <w:tab/>
      </w:r>
      <w:r w:rsidRPr="00412898">
        <w:t xml:space="preserve">2 </w:t>
      </w:r>
      <w:r w:rsidR="00413F7C" w:rsidRPr="00412898">
        <w:t>Acuerdos de licencia</w:t>
      </w:r>
    </w:p>
    <w:p w:rsidR="0054017E" w:rsidRPr="00412898" w:rsidRDefault="0054017E" w:rsidP="00ED58E9">
      <w:pPr>
        <w:tabs>
          <w:tab w:val="left" w:pos="3969"/>
        </w:tabs>
      </w:pPr>
    </w:p>
    <w:p w:rsidR="0054017E" w:rsidRPr="00412898" w:rsidRDefault="0054017E" w:rsidP="00ED58E9">
      <w:pPr>
        <w:tabs>
          <w:tab w:val="left" w:pos="3969"/>
        </w:tabs>
        <w:rPr>
          <w:u w:val="single"/>
        </w:rPr>
      </w:pPr>
      <w:r w:rsidRPr="00412898">
        <w:tab/>
      </w:r>
      <w:r w:rsidR="00413F7C" w:rsidRPr="00412898">
        <w:rPr>
          <w:u w:val="single"/>
        </w:rPr>
        <w:t>Motivos del acuerdo</w:t>
      </w:r>
      <w:r w:rsidRPr="00412898">
        <w:rPr>
          <w:u w:val="single"/>
        </w:rPr>
        <w:t>:</w:t>
      </w:r>
    </w:p>
    <w:p w:rsidR="0054017E" w:rsidRPr="00412898" w:rsidRDefault="0054017E" w:rsidP="008216C7">
      <w:pPr>
        <w:tabs>
          <w:tab w:val="left" w:pos="3969"/>
        </w:tabs>
        <w:ind w:left="3969" w:hanging="3969"/>
      </w:pPr>
      <w:r w:rsidRPr="00412898">
        <w:tab/>
      </w:r>
      <w:r w:rsidR="00252CFF" w:rsidRPr="00412898">
        <w:t>-</w:t>
      </w:r>
      <w:r w:rsidR="000D1EEA" w:rsidRPr="00412898">
        <w:tab/>
      </w:r>
      <w:r w:rsidR="00413F7C" w:rsidRPr="00412898">
        <w:t>Las partes hablaron entre sí sin la presencia de sus abogados</w:t>
      </w:r>
      <w:r w:rsidR="00ED58E9" w:rsidRPr="00412898">
        <w:t>;</w:t>
      </w:r>
    </w:p>
    <w:p w:rsidR="0054017E" w:rsidRPr="00412898" w:rsidRDefault="00252CFF" w:rsidP="008216C7">
      <w:pPr>
        <w:tabs>
          <w:tab w:val="left" w:pos="3969"/>
        </w:tabs>
        <w:ind w:left="3969" w:hanging="3969"/>
      </w:pPr>
      <w:r w:rsidRPr="00412898">
        <w:tab/>
        <w:t>-</w:t>
      </w:r>
      <w:r w:rsidR="000D1EEA" w:rsidRPr="00412898">
        <w:tab/>
      </w:r>
      <w:r w:rsidR="00413F7C" w:rsidRPr="00412898">
        <w:t>Se intercambiaron los antiguos negociadores de las partes</w:t>
      </w:r>
      <w:r w:rsidR="00ED58E9" w:rsidRPr="00412898">
        <w:t xml:space="preserve">;  </w:t>
      </w:r>
    </w:p>
    <w:p w:rsidR="0054017E" w:rsidRPr="00412898" w:rsidRDefault="0054017E" w:rsidP="008216C7">
      <w:pPr>
        <w:tabs>
          <w:tab w:val="left" w:pos="3969"/>
        </w:tabs>
        <w:ind w:left="3969" w:hanging="3969"/>
      </w:pPr>
      <w:r w:rsidRPr="00412898">
        <w:tab/>
      </w:r>
      <w:r w:rsidR="00252CFF" w:rsidRPr="00412898">
        <w:t>-</w:t>
      </w:r>
      <w:r w:rsidR="000D1EEA" w:rsidRPr="00412898">
        <w:tab/>
      </w:r>
      <w:r w:rsidR="00413F7C" w:rsidRPr="00412898">
        <w:t>Actualmente las partes eligen a negociadores</w:t>
      </w:r>
      <w:r w:rsidR="004A3DBB">
        <w:t xml:space="preserve"> con experiencia</w:t>
      </w:r>
      <w:r w:rsidR="00413F7C" w:rsidRPr="00412898">
        <w:t xml:space="preserve">, propios o externos </w:t>
      </w:r>
      <w:r w:rsidR="00ED58E9" w:rsidRPr="00412898">
        <w:t>(</w:t>
      </w:r>
      <w:r w:rsidR="00413F7C" w:rsidRPr="00412898">
        <w:t xml:space="preserve">parcialmente, mediadores </w:t>
      </w:r>
      <w:r w:rsidR="004A3DBB">
        <w:t>con experiencia</w:t>
      </w:r>
      <w:r w:rsidRPr="00412898">
        <w:t>)</w:t>
      </w:r>
      <w:r w:rsidR="00ED58E9" w:rsidRPr="00412898">
        <w:t>.</w:t>
      </w:r>
    </w:p>
    <w:p w:rsidR="0054017E" w:rsidRPr="00412898" w:rsidRDefault="0054017E" w:rsidP="00165E11">
      <w:pPr>
        <w:tabs>
          <w:tab w:val="left" w:pos="5103"/>
        </w:tabs>
      </w:pPr>
    </w:p>
    <w:p w:rsidR="0054017E" w:rsidRPr="00412898" w:rsidRDefault="00413F7C" w:rsidP="00165E11">
      <w:pPr>
        <w:pStyle w:val="Heading1"/>
      </w:pPr>
      <w:r w:rsidRPr="00412898">
        <w:lastRenderedPageBreak/>
        <w:t>conclusión</w:t>
      </w:r>
    </w:p>
    <w:p w:rsidR="0054017E" w:rsidRPr="00412898" w:rsidRDefault="0054017E" w:rsidP="00165E11"/>
    <w:p w:rsidR="00413F7C" w:rsidRPr="00412898" w:rsidRDefault="00570C07" w:rsidP="00165E11">
      <w:r w:rsidRPr="00412898">
        <w:fldChar w:fldCharType="begin"/>
      </w:r>
      <w:r w:rsidRPr="00412898">
        <w:instrText xml:space="preserve"> AUTONUM  </w:instrText>
      </w:r>
      <w:r w:rsidRPr="00412898">
        <w:fldChar w:fldCharType="end"/>
      </w:r>
      <w:r w:rsidRPr="00412898">
        <w:tab/>
      </w:r>
      <w:r w:rsidR="00413F7C" w:rsidRPr="00412898">
        <w:t xml:space="preserve">La experiencia práctica de la institución </w:t>
      </w:r>
      <w:r w:rsidR="00413F7C" w:rsidRPr="00412898">
        <w:rPr>
          <w:i/>
        </w:rPr>
        <w:t xml:space="preserve">Fraunhofer-Gesellschaft </w:t>
      </w:r>
      <w:r w:rsidR="00413F7C" w:rsidRPr="00412898">
        <w:t xml:space="preserve">muestra que establecer con éxito un sistema de gestión de conflictos a fin de ahorrar tiempo y dinero no es fácil, y que para ello </w:t>
      </w:r>
      <w:r w:rsidR="00412898" w:rsidRPr="00412898">
        <w:t>debe aplicarse</w:t>
      </w:r>
      <w:r w:rsidR="00413F7C" w:rsidRPr="00412898">
        <w:t xml:space="preserve"> un método de largo plazo</w:t>
      </w:r>
      <w:r w:rsidR="00412898" w:rsidRPr="00412898">
        <w:t>.</w:t>
      </w:r>
      <w:r w:rsidR="00413F7C" w:rsidRPr="00412898">
        <w:t xml:space="preserve">  </w:t>
      </w:r>
    </w:p>
    <w:p w:rsidR="0054017E" w:rsidRPr="00412898" w:rsidRDefault="0054017E" w:rsidP="00165E11"/>
    <w:p w:rsidR="00413F7C" w:rsidRPr="00412898" w:rsidRDefault="00570C07" w:rsidP="00165E11">
      <w:r w:rsidRPr="00412898">
        <w:fldChar w:fldCharType="begin"/>
      </w:r>
      <w:r w:rsidRPr="00412898">
        <w:instrText xml:space="preserve"> AUTONUM  </w:instrText>
      </w:r>
      <w:r w:rsidRPr="00412898">
        <w:fldChar w:fldCharType="end"/>
      </w:r>
      <w:r w:rsidRPr="00412898">
        <w:tab/>
      </w:r>
      <w:r w:rsidR="00413F7C" w:rsidRPr="00412898">
        <w:t>Pero, desde mi punto de vista, puede afirmar lo siguiente:  ¡Vale la pena!</w:t>
      </w:r>
    </w:p>
    <w:p w:rsidR="00413F7C" w:rsidRPr="00412898" w:rsidRDefault="00413F7C" w:rsidP="00165E11"/>
    <w:p w:rsidR="00987466" w:rsidRPr="00412898" w:rsidRDefault="00987466" w:rsidP="00165E11"/>
    <w:p w:rsidR="00987466" w:rsidRPr="00412898" w:rsidRDefault="00987466" w:rsidP="00165E11"/>
    <w:p w:rsidR="00987466" w:rsidRPr="00412898" w:rsidRDefault="00987466" w:rsidP="00165E11"/>
    <w:p w:rsidR="002928D3" w:rsidRPr="00412898" w:rsidRDefault="000D1EEA" w:rsidP="008A602C">
      <w:pPr>
        <w:ind w:left="5390"/>
      </w:pPr>
      <w:r w:rsidRPr="00412898">
        <w:rPr>
          <w:szCs w:val="22"/>
        </w:rPr>
        <w:t>[</w:t>
      </w:r>
      <w:r w:rsidR="00CE4574" w:rsidRPr="00412898">
        <w:rPr>
          <w:szCs w:val="22"/>
        </w:rPr>
        <w:t>Fin del documento</w:t>
      </w:r>
      <w:r w:rsidRPr="00412898">
        <w:rPr>
          <w:szCs w:val="22"/>
        </w:rPr>
        <w:t>]</w:t>
      </w:r>
    </w:p>
    <w:sectPr w:rsidR="002928D3" w:rsidRPr="00412898" w:rsidSect="00217CF7">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510" w:rsidRDefault="00F37510">
      <w:r>
        <w:separator/>
      </w:r>
    </w:p>
  </w:endnote>
  <w:endnote w:type="continuationSeparator" w:id="0">
    <w:p w:rsidR="00F37510" w:rsidRDefault="00F37510" w:rsidP="003B38C1">
      <w:r>
        <w:separator/>
      </w:r>
    </w:p>
    <w:p w:rsidR="00F37510" w:rsidRPr="00F43419" w:rsidRDefault="00F37510" w:rsidP="003B38C1">
      <w:pPr>
        <w:spacing w:after="60"/>
        <w:rPr>
          <w:sz w:val="17"/>
          <w:lang w:val="en-US"/>
        </w:rPr>
      </w:pPr>
      <w:r w:rsidRPr="00F43419">
        <w:rPr>
          <w:sz w:val="17"/>
          <w:lang w:val="en-US"/>
        </w:rPr>
        <w:t>[Endnote continued from previous page]</w:t>
      </w:r>
    </w:p>
  </w:endnote>
  <w:endnote w:type="continuationNotice" w:id="1">
    <w:p w:rsidR="00F37510" w:rsidRPr="00F43419" w:rsidRDefault="00F37510" w:rsidP="003B38C1">
      <w:pPr>
        <w:spacing w:before="60"/>
        <w:jc w:val="right"/>
        <w:rPr>
          <w:sz w:val="17"/>
          <w:szCs w:val="17"/>
          <w:lang w:val="en-US"/>
        </w:rPr>
      </w:pPr>
      <w:r w:rsidRPr="00F4341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510" w:rsidRDefault="00F37510">
      <w:r>
        <w:separator/>
      </w:r>
    </w:p>
  </w:footnote>
  <w:footnote w:type="continuationSeparator" w:id="0">
    <w:p w:rsidR="00F37510" w:rsidRDefault="00F37510" w:rsidP="008B60B2">
      <w:r>
        <w:separator/>
      </w:r>
    </w:p>
    <w:p w:rsidR="00F37510" w:rsidRPr="00F43419" w:rsidRDefault="00F37510" w:rsidP="008B60B2">
      <w:pPr>
        <w:spacing w:after="60"/>
        <w:rPr>
          <w:sz w:val="17"/>
          <w:szCs w:val="17"/>
          <w:lang w:val="en-US"/>
        </w:rPr>
      </w:pPr>
      <w:r w:rsidRPr="00F43419">
        <w:rPr>
          <w:sz w:val="17"/>
          <w:szCs w:val="17"/>
          <w:lang w:val="en-US"/>
        </w:rPr>
        <w:t>[Footnote continued from previous page]</w:t>
      </w:r>
    </w:p>
  </w:footnote>
  <w:footnote w:type="continuationNotice" w:id="1">
    <w:p w:rsidR="00F37510" w:rsidRPr="00F43419" w:rsidRDefault="00F37510" w:rsidP="008B60B2">
      <w:pPr>
        <w:spacing w:before="60"/>
        <w:jc w:val="right"/>
        <w:rPr>
          <w:sz w:val="17"/>
          <w:szCs w:val="17"/>
          <w:lang w:val="en-US"/>
        </w:rPr>
      </w:pPr>
      <w:r w:rsidRPr="00F43419">
        <w:rPr>
          <w:sz w:val="17"/>
          <w:szCs w:val="17"/>
          <w:lang w:val="en-US"/>
        </w:rPr>
        <w:t>[Footnote continued on next page]</w:t>
      </w:r>
    </w:p>
  </w:footnote>
  <w:footnote w:id="2">
    <w:p w:rsidR="001A411F" w:rsidRPr="00A10FB9" w:rsidRDefault="001A411F" w:rsidP="001A411F">
      <w:pPr>
        <w:rPr>
          <w:sz w:val="18"/>
        </w:rPr>
      </w:pPr>
      <w:r w:rsidRPr="00DA44A6">
        <w:rPr>
          <w:rStyle w:val="FootnoteReference"/>
          <w:sz w:val="18"/>
        </w:rPr>
        <w:sym w:font="Symbol" w:char="F02A"/>
      </w:r>
      <w:r>
        <w:tab/>
      </w:r>
      <w:r w:rsidR="00F71BD4">
        <w:rPr>
          <w:sz w:val="18"/>
        </w:rPr>
        <w:t>Las opiniones que se expresan en el presente documento son las del autor y no reflejan necesariamente las de la Secretaría o las de los Estados miembros de la OMPI</w:t>
      </w:r>
      <w:r w:rsidRPr="00A10FB9">
        <w:rPr>
          <w:sz w:val="18"/>
        </w:rPr>
        <w:t>.</w:t>
      </w:r>
    </w:p>
    <w:p w:rsidR="001A411F" w:rsidRPr="00A10FB9" w:rsidRDefault="001A411F" w:rsidP="001A41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8E9" w:rsidRDefault="00ED58E9" w:rsidP="00477D6B">
    <w:pPr>
      <w:jc w:val="right"/>
    </w:pPr>
    <w:bookmarkStart w:id="6" w:name="Code2"/>
    <w:bookmarkEnd w:id="6"/>
    <w:r>
      <w:t>WIPO/ACE/9/</w:t>
    </w:r>
    <w:r w:rsidR="00A10FB9">
      <w:t>10</w:t>
    </w:r>
  </w:p>
  <w:p w:rsidR="00ED58E9" w:rsidRDefault="00ED58E9" w:rsidP="00477D6B">
    <w:pPr>
      <w:jc w:val="right"/>
    </w:pPr>
    <w:r>
      <w:t>p</w:t>
    </w:r>
    <w:r w:rsidR="00F71BD4">
      <w:t>ágina</w:t>
    </w:r>
    <w:r>
      <w:t xml:space="preserve"> </w:t>
    </w:r>
    <w:r>
      <w:fldChar w:fldCharType="begin"/>
    </w:r>
    <w:r>
      <w:instrText xml:space="preserve"> PAGE  \* MERGEFORMAT </w:instrText>
    </w:r>
    <w:r>
      <w:fldChar w:fldCharType="separate"/>
    </w:r>
    <w:r w:rsidR="000D50EA">
      <w:rPr>
        <w:noProof/>
      </w:rPr>
      <w:t>5</w:t>
    </w:r>
    <w:r>
      <w:fldChar w:fldCharType="end"/>
    </w:r>
  </w:p>
  <w:p w:rsidR="00ED58E9" w:rsidRDefault="00ED58E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8129DB"/>
    <w:multiLevelType w:val="hybridMultilevel"/>
    <w:tmpl w:val="C8FA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8B5B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081C66"/>
    <w:multiLevelType w:val="hybridMultilevel"/>
    <w:tmpl w:val="3CC0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56A6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38F4206F"/>
    <w:multiLevelType w:val="hybridMultilevel"/>
    <w:tmpl w:val="ED68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9907DA"/>
    <w:multiLevelType w:val="hybridMultilevel"/>
    <w:tmpl w:val="ED3A8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546143"/>
    <w:multiLevelType w:val="hybridMultilevel"/>
    <w:tmpl w:val="4C16601A"/>
    <w:lvl w:ilvl="0" w:tplc="EB467DB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E0027F"/>
    <w:multiLevelType w:val="hybridMultilevel"/>
    <w:tmpl w:val="03F8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228B2"/>
    <w:multiLevelType w:val="hybridMultilevel"/>
    <w:tmpl w:val="D1BA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2"/>
  </w:num>
  <w:num w:numId="5">
    <w:abstractNumId w:val="2"/>
  </w:num>
  <w:num w:numId="6">
    <w:abstractNumId w:val="5"/>
  </w:num>
  <w:num w:numId="7">
    <w:abstractNumId w:val="13"/>
  </w:num>
  <w:num w:numId="8">
    <w:abstractNumId w:val="14"/>
  </w:num>
  <w:num w:numId="9">
    <w:abstractNumId w:val="8"/>
  </w:num>
  <w:num w:numId="10">
    <w:abstractNumId w:val="11"/>
  </w:num>
  <w:num w:numId="11">
    <w:abstractNumId w:val="6"/>
  </w:num>
  <w:num w:numId="12">
    <w:abstractNumId w:val="1"/>
  </w:num>
  <w:num w:numId="13">
    <w:abstractNumId w:val="9"/>
  </w:num>
  <w:num w:numId="14">
    <w:abstractNumId w:val="7"/>
  </w:num>
  <w:num w:numId="15">
    <w:abstractNumId w:val="3"/>
  </w:num>
  <w:num w:numId="16">
    <w:abstractNumId w:val="7"/>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F7"/>
    <w:rsid w:val="00043CAA"/>
    <w:rsid w:val="00061D47"/>
    <w:rsid w:val="0007401E"/>
    <w:rsid w:val="00075432"/>
    <w:rsid w:val="000828E8"/>
    <w:rsid w:val="00090B62"/>
    <w:rsid w:val="00091B7B"/>
    <w:rsid w:val="00091EFA"/>
    <w:rsid w:val="00092F03"/>
    <w:rsid w:val="000968ED"/>
    <w:rsid w:val="000A39A4"/>
    <w:rsid w:val="000C0A3E"/>
    <w:rsid w:val="000C1BA8"/>
    <w:rsid w:val="000D1EEA"/>
    <w:rsid w:val="000D50EA"/>
    <w:rsid w:val="000F5E56"/>
    <w:rsid w:val="00133B81"/>
    <w:rsid w:val="001362EE"/>
    <w:rsid w:val="00152D35"/>
    <w:rsid w:val="00156193"/>
    <w:rsid w:val="00165E11"/>
    <w:rsid w:val="00171CCD"/>
    <w:rsid w:val="00174FC8"/>
    <w:rsid w:val="001832A6"/>
    <w:rsid w:val="001838C9"/>
    <w:rsid w:val="001A201F"/>
    <w:rsid w:val="001A411F"/>
    <w:rsid w:val="00204215"/>
    <w:rsid w:val="0020758E"/>
    <w:rsid w:val="00217CF7"/>
    <w:rsid w:val="00252CFF"/>
    <w:rsid w:val="002634C4"/>
    <w:rsid w:val="00266A82"/>
    <w:rsid w:val="00277E08"/>
    <w:rsid w:val="00280A2D"/>
    <w:rsid w:val="002847A0"/>
    <w:rsid w:val="002869EF"/>
    <w:rsid w:val="002928D3"/>
    <w:rsid w:val="002F1FE6"/>
    <w:rsid w:val="002F4E68"/>
    <w:rsid w:val="00312F7F"/>
    <w:rsid w:val="003263F1"/>
    <w:rsid w:val="00334141"/>
    <w:rsid w:val="00361450"/>
    <w:rsid w:val="003673CF"/>
    <w:rsid w:val="003845C1"/>
    <w:rsid w:val="003A6F89"/>
    <w:rsid w:val="003B3625"/>
    <w:rsid w:val="003B38C1"/>
    <w:rsid w:val="003C3DEA"/>
    <w:rsid w:val="003F5AEB"/>
    <w:rsid w:val="004058E9"/>
    <w:rsid w:val="00412898"/>
    <w:rsid w:val="00413F7C"/>
    <w:rsid w:val="00416AEC"/>
    <w:rsid w:val="00416B77"/>
    <w:rsid w:val="00423E3E"/>
    <w:rsid w:val="0042670A"/>
    <w:rsid w:val="00427AF4"/>
    <w:rsid w:val="0043439C"/>
    <w:rsid w:val="004647DA"/>
    <w:rsid w:val="00474062"/>
    <w:rsid w:val="00476878"/>
    <w:rsid w:val="00477D6B"/>
    <w:rsid w:val="0048320E"/>
    <w:rsid w:val="004A3DBB"/>
    <w:rsid w:val="004D0E53"/>
    <w:rsid w:val="005019FF"/>
    <w:rsid w:val="0053057A"/>
    <w:rsid w:val="0054017E"/>
    <w:rsid w:val="00550133"/>
    <w:rsid w:val="00560A29"/>
    <w:rsid w:val="00570C07"/>
    <w:rsid w:val="0057431D"/>
    <w:rsid w:val="00591AB2"/>
    <w:rsid w:val="005A0B43"/>
    <w:rsid w:val="005C6649"/>
    <w:rsid w:val="005E7D64"/>
    <w:rsid w:val="005F2F92"/>
    <w:rsid w:val="00605827"/>
    <w:rsid w:val="00606BAE"/>
    <w:rsid w:val="00607F42"/>
    <w:rsid w:val="00624DA5"/>
    <w:rsid w:val="00646050"/>
    <w:rsid w:val="00647C01"/>
    <w:rsid w:val="006713CA"/>
    <w:rsid w:val="00671A18"/>
    <w:rsid w:val="00676C5C"/>
    <w:rsid w:val="00694F79"/>
    <w:rsid w:val="006F407D"/>
    <w:rsid w:val="007139D2"/>
    <w:rsid w:val="00714A7A"/>
    <w:rsid w:val="00757BA4"/>
    <w:rsid w:val="00771C72"/>
    <w:rsid w:val="00792F25"/>
    <w:rsid w:val="007B4412"/>
    <w:rsid w:val="007C331C"/>
    <w:rsid w:val="007D1613"/>
    <w:rsid w:val="007E1C23"/>
    <w:rsid w:val="007F1C1F"/>
    <w:rsid w:val="007F6FED"/>
    <w:rsid w:val="00801E1B"/>
    <w:rsid w:val="00803E89"/>
    <w:rsid w:val="008216C7"/>
    <w:rsid w:val="008224B4"/>
    <w:rsid w:val="00841F88"/>
    <w:rsid w:val="008613E8"/>
    <w:rsid w:val="00861729"/>
    <w:rsid w:val="00865EE0"/>
    <w:rsid w:val="00871BDC"/>
    <w:rsid w:val="008A602C"/>
    <w:rsid w:val="008B2CC1"/>
    <w:rsid w:val="008B60B2"/>
    <w:rsid w:val="008B6F75"/>
    <w:rsid w:val="008D4508"/>
    <w:rsid w:val="008E5627"/>
    <w:rsid w:val="009052D6"/>
    <w:rsid w:val="0090731E"/>
    <w:rsid w:val="00913078"/>
    <w:rsid w:val="00916EE2"/>
    <w:rsid w:val="0093145C"/>
    <w:rsid w:val="00932792"/>
    <w:rsid w:val="00966A22"/>
    <w:rsid w:val="0096722F"/>
    <w:rsid w:val="00980843"/>
    <w:rsid w:val="00980E04"/>
    <w:rsid w:val="00984EA3"/>
    <w:rsid w:val="0098558E"/>
    <w:rsid w:val="00987466"/>
    <w:rsid w:val="00996AC3"/>
    <w:rsid w:val="009A3582"/>
    <w:rsid w:val="009B73FE"/>
    <w:rsid w:val="009E2791"/>
    <w:rsid w:val="009E3F6F"/>
    <w:rsid w:val="009F088B"/>
    <w:rsid w:val="009F09BF"/>
    <w:rsid w:val="009F114A"/>
    <w:rsid w:val="009F499F"/>
    <w:rsid w:val="00A06EA9"/>
    <w:rsid w:val="00A10FB9"/>
    <w:rsid w:val="00A13642"/>
    <w:rsid w:val="00A3467E"/>
    <w:rsid w:val="00A42DAF"/>
    <w:rsid w:val="00A45BD8"/>
    <w:rsid w:val="00A65D39"/>
    <w:rsid w:val="00A8659D"/>
    <w:rsid w:val="00A869B7"/>
    <w:rsid w:val="00AA76E8"/>
    <w:rsid w:val="00AC205C"/>
    <w:rsid w:val="00AC4ECF"/>
    <w:rsid w:val="00AD4BAC"/>
    <w:rsid w:val="00AF0A6B"/>
    <w:rsid w:val="00B05A69"/>
    <w:rsid w:val="00B2478C"/>
    <w:rsid w:val="00B304A9"/>
    <w:rsid w:val="00B46FFD"/>
    <w:rsid w:val="00B50D30"/>
    <w:rsid w:val="00B52AF5"/>
    <w:rsid w:val="00B76457"/>
    <w:rsid w:val="00B771FF"/>
    <w:rsid w:val="00B9734B"/>
    <w:rsid w:val="00BD2AF6"/>
    <w:rsid w:val="00BE2554"/>
    <w:rsid w:val="00C05D61"/>
    <w:rsid w:val="00C11BFE"/>
    <w:rsid w:val="00C11C9C"/>
    <w:rsid w:val="00C46469"/>
    <w:rsid w:val="00C64461"/>
    <w:rsid w:val="00C83CBA"/>
    <w:rsid w:val="00C84CAF"/>
    <w:rsid w:val="00C93BD1"/>
    <w:rsid w:val="00CB7B06"/>
    <w:rsid w:val="00CE4574"/>
    <w:rsid w:val="00D17DB5"/>
    <w:rsid w:val="00D203BC"/>
    <w:rsid w:val="00D2796B"/>
    <w:rsid w:val="00D45252"/>
    <w:rsid w:val="00D64F77"/>
    <w:rsid w:val="00D71B4D"/>
    <w:rsid w:val="00D93D55"/>
    <w:rsid w:val="00DA1DE4"/>
    <w:rsid w:val="00DA44A6"/>
    <w:rsid w:val="00DA60E5"/>
    <w:rsid w:val="00DB16D1"/>
    <w:rsid w:val="00DD4476"/>
    <w:rsid w:val="00E335FE"/>
    <w:rsid w:val="00E43D17"/>
    <w:rsid w:val="00E72CB1"/>
    <w:rsid w:val="00E75ECC"/>
    <w:rsid w:val="00E85651"/>
    <w:rsid w:val="00E8662F"/>
    <w:rsid w:val="00EC18DE"/>
    <w:rsid w:val="00EC4E49"/>
    <w:rsid w:val="00EC6B5C"/>
    <w:rsid w:val="00ED58E9"/>
    <w:rsid w:val="00ED77FB"/>
    <w:rsid w:val="00EE45FA"/>
    <w:rsid w:val="00EF63A5"/>
    <w:rsid w:val="00F14FBA"/>
    <w:rsid w:val="00F332C6"/>
    <w:rsid w:val="00F37510"/>
    <w:rsid w:val="00F43419"/>
    <w:rsid w:val="00F66152"/>
    <w:rsid w:val="00F71BD4"/>
    <w:rsid w:val="00FA120C"/>
    <w:rsid w:val="00FA4162"/>
    <w:rsid w:val="00FF1A0F"/>
    <w:rsid w:val="00FF2FCE"/>
    <w:rsid w:val="00FF415D"/>
    <w:rsid w:val="00FF7B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numPr>
        <w:numId w:val="14"/>
      </w:numPr>
      <w:spacing w:before="240" w:after="60"/>
      <w:outlineLvl w:val="0"/>
    </w:pPr>
    <w:rPr>
      <w:b/>
      <w:bCs/>
      <w:caps/>
      <w:kern w:val="32"/>
      <w:szCs w:val="32"/>
    </w:rPr>
  </w:style>
  <w:style w:type="paragraph" w:styleId="Heading2">
    <w:name w:val="heading 2"/>
    <w:basedOn w:val="Normal"/>
    <w:next w:val="Normal"/>
    <w:qFormat/>
    <w:rsid w:val="00676C5C"/>
    <w:pPr>
      <w:keepNext/>
      <w:numPr>
        <w:ilvl w:val="1"/>
        <w:numId w:val="14"/>
      </w:numPr>
      <w:spacing w:before="240" w:after="60"/>
      <w:outlineLvl w:val="1"/>
    </w:pPr>
    <w:rPr>
      <w:bCs/>
      <w:iCs/>
      <w:caps/>
      <w:szCs w:val="28"/>
    </w:rPr>
  </w:style>
  <w:style w:type="paragraph" w:styleId="Heading3">
    <w:name w:val="heading 3"/>
    <w:basedOn w:val="Normal"/>
    <w:next w:val="Normal"/>
    <w:qFormat/>
    <w:rsid w:val="00676C5C"/>
    <w:pPr>
      <w:keepNext/>
      <w:numPr>
        <w:ilvl w:val="2"/>
        <w:numId w:val="14"/>
      </w:numPr>
      <w:spacing w:before="240" w:after="60"/>
      <w:outlineLvl w:val="2"/>
    </w:pPr>
    <w:rPr>
      <w:bCs/>
      <w:szCs w:val="26"/>
      <w:u w:val="single"/>
    </w:rPr>
  </w:style>
  <w:style w:type="paragraph" w:styleId="Heading4">
    <w:name w:val="heading 4"/>
    <w:basedOn w:val="Normal"/>
    <w:next w:val="Normal"/>
    <w:qFormat/>
    <w:rsid w:val="00676C5C"/>
    <w:pPr>
      <w:keepNext/>
      <w:numPr>
        <w:ilvl w:val="3"/>
        <w:numId w:val="14"/>
      </w:numPr>
      <w:spacing w:before="240" w:after="60"/>
      <w:outlineLvl w:val="3"/>
    </w:pPr>
    <w:rPr>
      <w:bCs/>
      <w:i/>
      <w:szCs w:val="28"/>
    </w:rPr>
  </w:style>
  <w:style w:type="paragraph" w:styleId="Heading5">
    <w:name w:val="heading 5"/>
    <w:basedOn w:val="Normal"/>
    <w:next w:val="Normal"/>
    <w:link w:val="Heading5Char"/>
    <w:semiHidden/>
    <w:unhideWhenUsed/>
    <w:qFormat/>
    <w:rsid w:val="00416AEC"/>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6AEC"/>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6AEC"/>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6AEC"/>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16AEC"/>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54017E"/>
    <w:rPr>
      <w:rFonts w:ascii="Tahoma" w:hAnsi="Tahoma" w:cs="Tahoma"/>
      <w:sz w:val="16"/>
      <w:szCs w:val="16"/>
    </w:rPr>
  </w:style>
  <w:style w:type="character" w:customStyle="1" w:styleId="BalloonTextChar">
    <w:name w:val="Balloon Text Char"/>
    <w:basedOn w:val="DefaultParagraphFont"/>
    <w:link w:val="BalloonText"/>
    <w:rsid w:val="0054017E"/>
    <w:rPr>
      <w:rFonts w:ascii="Tahoma" w:eastAsia="SimSun" w:hAnsi="Tahoma" w:cs="Tahoma"/>
      <w:sz w:val="16"/>
      <w:szCs w:val="16"/>
      <w:lang w:eastAsia="zh-CN"/>
    </w:rPr>
  </w:style>
  <w:style w:type="paragraph" w:styleId="ListParagraph">
    <w:name w:val="List Paragraph"/>
    <w:basedOn w:val="Normal"/>
    <w:uiPriority w:val="34"/>
    <w:qFormat/>
    <w:rsid w:val="00D2796B"/>
    <w:pPr>
      <w:ind w:left="720"/>
      <w:contextualSpacing/>
    </w:pPr>
  </w:style>
  <w:style w:type="character" w:styleId="FootnoteReference">
    <w:name w:val="footnote reference"/>
    <w:basedOn w:val="DefaultParagraphFont"/>
    <w:rsid w:val="00A10FB9"/>
    <w:rPr>
      <w:vertAlign w:val="superscript"/>
    </w:rPr>
  </w:style>
  <w:style w:type="character" w:customStyle="1" w:styleId="Heading5Char">
    <w:name w:val="Heading 5 Char"/>
    <w:basedOn w:val="DefaultParagraphFont"/>
    <w:link w:val="Heading5"/>
    <w:semiHidden/>
    <w:rsid w:val="00416AEC"/>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semiHidden/>
    <w:rsid w:val="00416AEC"/>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semiHidden/>
    <w:rsid w:val="00416AEC"/>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416AEC"/>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416AEC"/>
    <w:rPr>
      <w:rFonts w:asciiTheme="majorHAnsi" w:eastAsiaTheme="majorEastAsia" w:hAnsiTheme="majorHAnsi" w:cstheme="majorBidi"/>
      <w:i/>
      <w:iCs/>
      <w:color w:val="404040" w:themeColor="text1" w:themeTint="BF"/>
      <w:lang w:eastAsia="zh-CN"/>
    </w:rPr>
  </w:style>
  <w:style w:type="character" w:styleId="Hyperlink">
    <w:name w:val="Hyperlink"/>
    <w:basedOn w:val="DefaultParagraphFont"/>
    <w:rsid w:val="00C93BD1"/>
    <w:rPr>
      <w:color w:val="0000FF" w:themeColor="hyperlink"/>
      <w:u w:val="single"/>
    </w:rPr>
  </w:style>
  <w:style w:type="character" w:styleId="FollowedHyperlink">
    <w:name w:val="FollowedHyperlink"/>
    <w:basedOn w:val="DefaultParagraphFont"/>
    <w:rsid w:val="00B764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numPr>
        <w:numId w:val="14"/>
      </w:numPr>
      <w:spacing w:before="240" w:after="60"/>
      <w:outlineLvl w:val="0"/>
    </w:pPr>
    <w:rPr>
      <w:b/>
      <w:bCs/>
      <w:caps/>
      <w:kern w:val="32"/>
      <w:szCs w:val="32"/>
    </w:rPr>
  </w:style>
  <w:style w:type="paragraph" w:styleId="Heading2">
    <w:name w:val="heading 2"/>
    <w:basedOn w:val="Normal"/>
    <w:next w:val="Normal"/>
    <w:qFormat/>
    <w:rsid w:val="00676C5C"/>
    <w:pPr>
      <w:keepNext/>
      <w:numPr>
        <w:ilvl w:val="1"/>
        <w:numId w:val="14"/>
      </w:numPr>
      <w:spacing w:before="240" w:after="60"/>
      <w:outlineLvl w:val="1"/>
    </w:pPr>
    <w:rPr>
      <w:bCs/>
      <w:iCs/>
      <w:caps/>
      <w:szCs w:val="28"/>
    </w:rPr>
  </w:style>
  <w:style w:type="paragraph" w:styleId="Heading3">
    <w:name w:val="heading 3"/>
    <w:basedOn w:val="Normal"/>
    <w:next w:val="Normal"/>
    <w:qFormat/>
    <w:rsid w:val="00676C5C"/>
    <w:pPr>
      <w:keepNext/>
      <w:numPr>
        <w:ilvl w:val="2"/>
        <w:numId w:val="14"/>
      </w:numPr>
      <w:spacing w:before="240" w:after="60"/>
      <w:outlineLvl w:val="2"/>
    </w:pPr>
    <w:rPr>
      <w:bCs/>
      <w:szCs w:val="26"/>
      <w:u w:val="single"/>
    </w:rPr>
  </w:style>
  <w:style w:type="paragraph" w:styleId="Heading4">
    <w:name w:val="heading 4"/>
    <w:basedOn w:val="Normal"/>
    <w:next w:val="Normal"/>
    <w:qFormat/>
    <w:rsid w:val="00676C5C"/>
    <w:pPr>
      <w:keepNext/>
      <w:numPr>
        <w:ilvl w:val="3"/>
        <w:numId w:val="14"/>
      </w:numPr>
      <w:spacing w:before="240" w:after="60"/>
      <w:outlineLvl w:val="3"/>
    </w:pPr>
    <w:rPr>
      <w:bCs/>
      <w:i/>
      <w:szCs w:val="28"/>
    </w:rPr>
  </w:style>
  <w:style w:type="paragraph" w:styleId="Heading5">
    <w:name w:val="heading 5"/>
    <w:basedOn w:val="Normal"/>
    <w:next w:val="Normal"/>
    <w:link w:val="Heading5Char"/>
    <w:semiHidden/>
    <w:unhideWhenUsed/>
    <w:qFormat/>
    <w:rsid w:val="00416AEC"/>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16AEC"/>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16AEC"/>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6AEC"/>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16AEC"/>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54017E"/>
    <w:rPr>
      <w:rFonts w:ascii="Tahoma" w:hAnsi="Tahoma" w:cs="Tahoma"/>
      <w:sz w:val="16"/>
      <w:szCs w:val="16"/>
    </w:rPr>
  </w:style>
  <w:style w:type="character" w:customStyle="1" w:styleId="BalloonTextChar">
    <w:name w:val="Balloon Text Char"/>
    <w:basedOn w:val="DefaultParagraphFont"/>
    <w:link w:val="BalloonText"/>
    <w:rsid w:val="0054017E"/>
    <w:rPr>
      <w:rFonts w:ascii="Tahoma" w:eastAsia="SimSun" w:hAnsi="Tahoma" w:cs="Tahoma"/>
      <w:sz w:val="16"/>
      <w:szCs w:val="16"/>
      <w:lang w:eastAsia="zh-CN"/>
    </w:rPr>
  </w:style>
  <w:style w:type="paragraph" w:styleId="ListParagraph">
    <w:name w:val="List Paragraph"/>
    <w:basedOn w:val="Normal"/>
    <w:uiPriority w:val="34"/>
    <w:qFormat/>
    <w:rsid w:val="00D2796B"/>
    <w:pPr>
      <w:ind w:left="720"/>
      <w:contextualSpacing/>
    </w:pPr>
  </w:style>
  <w:style w:type="character" w:styleId="FootnoteReference">
    <w:name w:val="footnote reference"/>
    <w:basedOn w:val="DefaultParagraphFont"/>
    <w:rsid w:val="00A10FB9"/>
    <w:rPr>
      <w:vertAlign w:val="superscript"/>
    </w:rPr>
  </w:style>
  <w:style w:type="character" w:customStyle="1" w:styleId="Heading5Char">
    <w:name w:val="Heading 5 Char"/>
    <w:basedOn w:val="DefaultParagraphFont"/>
    <w:link w:val="Heading5"/>
    <w:semiHidden/>
    <w:rsid w:val="00416AEC"/>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semiHidden/>
    <w:rsid w:val="00416AEC"/>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semiHidden/>
    <w:rsid w:val="00416AEC"/>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416AEC"/>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416AEC"/>
    <w:rPr>
      <w:rFonts w:asciiTheme="majorHAnsi" w:eastAsiaTheme="majorEastAsia" w:hAnsiTheme="majorHAnsi" w:cstheme="majorBidi"/>
      <w:i/>
      <w:iCs/>
      <w:color w:val="404040" w:themeColor="text1" w:themeTint="BF"/>
      <w:lang w:eastAsia="zh-CN"/>
    </w:rPr>
  </w:style>
  <w:style w:type="character" w:styleId="Hyperlink">
    <w:name w:val="Hyperlink"/>
    <w:basedOn w:val="DefaultParagraphFont"/>
    <w:rsid w:val="00C93BD1"/>
    <w:rPr>
      <w:color w:val="0000FF" w:themeColor="hyperlink"/>
      <w:u w:val="single"/>
    </w:rPr>
  </w:style>
  <w:style w:type="character" w:styleId="FollowedHyperlink">
    <w:name w:val="FollowedHyperlink"/>
    <w:basedOn w:val="DefaultParagraphFont"/>
    <w:rsid w:val="00B76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tion@Fraunhofer.de" TargetMode="External"/><Relationship Id="rId5" Type="http://schemas.openxmlformats.org/officeDocument/2006/relationships/settings" Target="settings.xml"/><Relationship Id="rId10" Type="http://schemas.openxmlformats.org/officeDocument/2006/relationships/hyperlink" Target="http://www.RTMKM.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5C71-C584-43EA-BE28-AC15D342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7687</Characters>
  <Application>Microsoft Office Word</Application>
  <DocSecurity>4</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WIPO/ACE/9/10</vt:lpstr>
      <vt:lpstr>WIPO/ACE/9/</vt:lpstr>
    </vt:vector>
  </TitlesOfParts>
  <Company>WIPO</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WIPO/ACE/9/10</dc:title>
  <dc:creator>COLIN Isabelle</dc:creator>
  <dc:description>ID/Rev. LM/vz_x000d_
29.01.14</dc:description>
  <cp:lastModifiedBy>DUBUISSON Thomas</cp:lastModifiedBy>
  <cp:revision>2</cp:revision>
  <cp:lastPrinted>2014-01-28T12:22:00Z</cp:lastPrinted>
  <dcterms:created xsi:type="dcterms:W3CDTF">2014-01-30T11:20:00Z</dcterms:created>
  <dcterms:modified xsi:type="dcterms:W3CDTF">2014-01-30T11:20:00Z</dcterms:modified>
</cp:coreProperties>
</file>