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72B99" w14:textId="77777777" w:rsidR="00FC486C" w:rsidRPr="002C0082" w:rsidRDefault="00FC486C" w:rsidP="00FC486C">
      <w:pPr>
        <w:jc w:val="right"/>
        <w:rPr>
          <w:rFonts w:ascii="Arial Black" w:hAnsi="Arial Black"/>
          <w:caps/>
          <w:sz w:val="15"/>
        </w:rPr>
      </w:pPr>
      <w:r w:rsidRPr="002C0082">
        <w:rPr>
          <w:rFonts w:cs="Times New Roman"/>
          <w:noProof/>
        </w:rPr>
        <w:drawing>
          <wp:inline distT="0" distB="0" distL="0" distR="0" wp14:anchorId="2AB3AF3A" wp14:editId="4A55FAB1">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E06CF0" w14:textId="7E1008A8" w:rsidR="00FC486C" w:rsidRPr="00996801" w:rsidRDefault="00FC486C" w:rsidP="00FC486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sidR="00420F91">
        <w:rPr>
          <w:rFonts w:ascii="Arial Black" w:hAnsi="Arial Black" w:cs="Times New Roman" w:hint="eastAsia"/>
          <w:b/>
          <w:caps/>
          <w:sz w:val="15"/>
          <w:szCs w:val="21"/>
        </w:rPr>
        <w:t>1</w:t>
      </w:r>
      <w:r w:rsidR="00C52672">
        <w:rPr>
          <w:rFonts w:ascii="Arial Black" w:hAnsi="Arial Black" w:cs="Times New Roman" w:hint="eastAsia"/>
          <w:b/>
          <w:caps/>
          <w:sz w:val="15"/>
          <w:szCs w:val="21"/>
        </w:rPr>
        <w:t>5</w:t>
      </w:r>
    </w:p>
    <w:bookmarkEnd w:id="0"/>
    <w:p w14:paraId="3EC023A8" w14:textId="77777777" w:rsidR="00FC486C" w:rsidRPr="00996801" w:rsidRDefault="00FC486C" w:rsidP="00FC486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6C24B03B" w14:textId="6832325F" w:rsidR="00FC486C" w:rsidRPr="00996801" w:rsidRDefault="00FC486C" w:rsidP="00FC486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sidR="00420F9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420F91">
        <w:rPr>
          <w:rFonts w:ascii="Arial Black" w:eastAsia="SimHei" w:hAnsi="Arial Black" w:cs="Times New Roman" w:hint="eastAsia"/>
          <w:b/>
          <w:sz w:val="15"/>
          <w:szCs w:val="15"/>
          <w:lang w:val="pt-BR"/>
        </w:rPr>
        <w:t>1</w:t>
      </w:r>
      <w:r w:rsidR="00C52672">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日</w:t>
      </w:r>
    </w:p>
    <w:bookmarkEnd w:id="2"/>
    <w:p w14:paraId="5689BD38" w14:textId="77777777" w:rsidR="00FC486C" w:rsidRPr="00716AE2" w:rsidRDefault="00FC486C" w:rsidP="00FC486C">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7D2CFBDC" w14:textId="77777777" w:rsidR="00FC486C" w:rsidRPr="002C0082" w:rsidRDefault="00FC486C" w:rsidP="00FC486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41C7240D" w14:textId="5C30E26F" w:rsidR="00FC486C" w:rsidRPr="002C0082" w:rsidRDefault="00BA0A96" w:rsidP="00FC486C">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条约第</w:t>
      </w:r>
      <w:r w:rsidR="00AC095B">
        <w:rPr>
          <w:rFonts w:ascii="KaiTi" w:eastAsia="KaiTi" w:hAnsi="KaiTi" w:cs="Times New Roman" w:hint="eastAsia"/>
          <w:sz w:val="24"/>
          <w:szCs w:val="32"/>
        </w:rPr>
        <w:t>二十</w:t>
      </w:r>
      <w:r w:rsidR="00B9270A">
        <w:rPr>
          <w:rFonts w:ascii="KaiTi" w:eastAsia="KaiTi" w:hAnsi="KaiTi" w:cs="Times New Roman" w:hint="eastAsia"/>
          <w:sz w:val="24"/>
          <w:szCs w:val="32"/>
        </w:rPr>
        <w:t>三</w:t>
      </w:r>
      <w:r w:rsidR="00AC095B">
        <w:rPr>
          <w:rFonts w:ascii="KaiTi" w:eastAsia="KaiTi" w:hAnsi="KaiTi" w:cs="Times New Roman" w:hint="eastAsia"/>
          <w:sz w:val="24"/>
          <w:szCs w:val="32"/>
        </w:rPr>
        <w:t>条第</w:t>
      </w:r>
      <w:r w:rsidR="00B9270A">
        <w:rPr>
          <w:rFonts w:ascii="KaiTi" w:eastAsia="KaiTi" w:hAnsi="KaiTi" w:cs="Times New Roman" w:hint="eastAsia"/>
          <w:sz w:val="24"/>
          <w:szCs w:val="32"/>
        </w:rPr>
        <w:t>三</w:t>
      </w:r>
      <w:r w:rsidR="00AC095B">
        <w:rPr>
          <w:rFonts w:ascii="KaiTi" w:eastAsia="KaiTi" w:hAnsi="KaiTi" w:cs="Times New Roman" w:hint="eastAsia"/>
          <w:sz w:val="24"/>
          <w:szCs w:val="32"/>
        </w:rPr>
        <w:t>款第（</w:t>
      </w:r>
      <w:r w:rsidR="00B9270A">
        <w:rPr>
          <w:rFonts w:ascii="KaiTi" w:eastAsia="KaiTi" w:hAnsi="KaiTi" w:cs="Times New Roman" w:hint="eastAsia"/>
          <w:sz w:val="24"/>
          <w:szCs w:val="32"/>
        </w:rPr>
        <w:t>一</w:t>
      </w:r>
      <w:r w:rsidR="00AC095B">
        <w:rPr>
          <w:rFonts w:ascii="KaiTi" w:eastAsia="KaiTi" w:hAnsi="KaiTi" w:cs="Times New Roman" w:hint="eastAsia"/>
          <w:sz w:val="24"/>
          <w:szCs w:val="32"/>
        </w:rPr>
        <w:t>）项</w:t>
      </w:r>
      <w:r w:rsidR="00A56B2E">
        <w:rPr>
          <w:rFonts w:ascii="KaiTi" w:eastAsia="KaiTi" w:hAnsi="KaiTi" w:cs="Times New Roman" w:hint="eastAsia"/>
          <w:sz w:val="24"/>
          <w:szCs w:val="32"/>
        </w:rPr>
        <w:t>下</w:t>
      </w:r>
      <w:r w:rsidR="00B9270A">
        <w:rPr>
          <w:rFonts w:ascii="KaiTi" w:eastAsia="KaiTi" w:hAnsi="KaiTi" w:cs="Times New Roman" w:hint="eastAsia"/>
          <w:sz w:val="24"/>
          <w:szCs w:val="32"/>
        </w:rPr>
        <w:t>的新细则</w:t>
      </w:r>
    </w:p>
    <w:p w14:paraId="104FABFE" w14:textId="77777777" w:rsidR="00C52672" w:rsidRPr="00CB22A3" w:rsidRDefault="00C52672" w:rsidP="00FC486C">
      <w:pPr>
        <w:spacing w:after="960"/>
        <w:rPr>
          <w:rFonts w:ascii="KaiTi" w:eastAsia="KaiTi" w:hAnsi="KaiTi" w:cs="Times New Roman"/>
          <w:szCs w:val="22"/>
        </w:rPr>
      </w:pPr>
      <w:bookmarkStart w:id="4" w:name="Prepared"/>
      <w:bookmarkEnd w:id="3"/>
      <w:r w:rsidRPr="00CB22A3">
        <w:rPr>
          <w:rFonts w:ascii="KaiTi" w:eastAsia="KaiTi" w:hAnsi="KaiTi" w:cs="Times New Roman" w:hint="eastAsia"/>
          <w:szCs w:val="22"/>
        </w:rPr>
        <w:t>印度代表团的提案</w:t>
      </w:r>
    </w:p>
    <w:p w14:paraId="311DC919" w14:textId="77777777" w:rsidR="00C52672" w:rsidRPr="00CB22A3" w:rsidRDefault="00C52672" w:rsidP="00BA0A96">
      <w:pPr>
        <w:pStyle w:val="ONUME"/>
        <w:numPr>
          <w:ilvl w:val="0"/>
          <w:numId w:val="0"/>
        </w:numPr>
        <w:overflowPunct w:val="0"/>
        <w:spacing w:afterLines="50" w:after="120" w:line="340" w:lineRule="atLeast"/>
        <w:ind w:firstLine="568"/>
        <w:rPr>
          <w:rFonts w:ascii="SimSun" w:hAnsi="SimSun"/>
          <w:iCs/>
          <w:szCs w:val="22"/>
        </w:rPr>
      </w:pPr>
      <w:bookmarkStart w:id="5" w:name="_Hlk162271766"/>
      <w:bookmarkEnd w:id="4"/>
      <w:r w:rsidRPr="00CB22A3">
        <w:rPr>
          <w:rFonts w:ascii="SimSun" w:hAnsi="SimSun" w:hint="eastAsia"/>
          <w:szCs w:val="22"/>
        </w:rPr>
        <w:t>印度代表团向外交会议秘书处传送了本文件附件中所载的提案。</w:t>
      </w:r>
    </w:p>
    <w:bookmarkEnd w:id="5"/>
    <w:p w14:paraId="3D49F6A4" w14:textId="77777777" w:rsidR="00FC486C" w:rsidRPr="00CB22A3" w:rsidRDefault="00742C81" w:rsidP="00FC486C">
      <w:pPr>
        <w:pStyle w:val="Endofdocument-Annex"/>
        <w:spacing w:before="720" w:afterLines="50" w:after="120" w:line="340" w:lineRule="atLeast"/>
        <w:rPr>
          <w:rFonts w:ascii="KaiTi" w:eastAsia="KaiTi" w:hAnsi="KaiTi"/>
          <w:iCs/>
          <w:szCs w:val="22"/>
        </w:rPr>
      </w:pPr>
      <w:r w:rsidRPr="00CB22A3">
        <w:rPr>
          <w:rFonts w:ascii="KaiTi" w:eastAsia="KaiTi" w:hAnsi="KaiTi" w:hint="eastAsia"/>
          <w:iCs/>
          <w:szCs w:val="22"/>
        </w:rPr>
        <w:t>[后接附件]</w:t>
      </w:r>
    </w:p>
    <w:p w14:paraId="08DA2F3A" w14:textId="7E9BE26A" w:rsidR="006442E1" w:rsidRPr="00CB22A3" w:rsidRDefault="006442E1" w:rsidP="006442E1">
      <w:pPr>
        <w:pStyle w:val="Endofdocument-Annex"/>
        <w:rPr>
          <w:szCs w:val="22"/>
          <w:u w:val="single"/>
        </w:rPr>
      </w:pPr>
      <w:r w:rsidRPr="00CB22A3">
        <w:rPr>
          <w:szCs w:val="22"/>
          <w:u w:val="single"/>
        </w:rPr>
        <w:br w:type="page"/>
      </w:r>
    </w:p>
    <w:p w14:paraId="0961C4D3" w14:textId="678B98E8" w:rsidR="00EE2C7F" w:rsidRPr="00CB22A3" w:rsidRDefault="00C52672" w:rsidP="00C52672">
      <w:pPr>
        <w:spacing w:afterLines="50" w:after="120" w:line="340" w:lineRule="atLeast"/>
        <w:jc w:val="center"/>
        <w:rPr>
          <w:rFonts w:ascii="SimSun" w:hAnsi="SimSun"/>
          <w:szCs w:val="22"/>
          <w:u w:val="single"/>
        </w:rPr>
      </w:pPr>
      <w:r w:rsidRPr="00CB22A3">
        <w:rPr>
          <w:rFonts w:ascii="SimSun" w:hAnsi="SimSun" w:hint="eastAsia"/>
          <w:szCs w:val="22"/>
          <w:u w:val="single"/>
        </w:rPr>
        <w:lastRenderedPageBreak/>
        <w:t>印度代表团的</w:t>
      </w:r>
      <w:r w:rsidR="00EE2C7F" w:rsidRPr="00CB22A3">
        <w:rPr>
          <w:rFonts w:ascii="SimSun" w:hAnsi="SimSun" w:hint="eastAsia"/>
          <w:szCs w:val="22"/>
          <w:u w:val="single"/>
        </w:rPr>
        <w:t>提</w:t>
      </w:r>
      <w:r w:rsidR="00E32983" w:rsidRPr="00CB22A3">
        <w:rPr>
          <w:rFonts w:ascii="Times New Roman" w:hAnsi="Times New Roman" w:cs="Times New Roman"/>
          <w:szCs w:val="22"/>
          <w:u w:val="single"/>
        </w:rPr>
        <w:t>‍</w:t>
      </w:r>
      <w:r w:rsidR="00EE2C7F" w:rsidRPr="00CB22A3">
        <w:rPr>
          <w:rFonts w:ascii="SimSun" w:hAnsi="SimSun" w:hint="eastAsia"/>
          <w:szCs w:val="22"/>
          <w:u w:val="single"/>
        </w:rPr>
        <w:t>案</w:t>
      </w:r>
    </w:p>
    <w:p w14:paraId="428D1F24" w14:textId="4015BADD" w:rsidR="00C52672" w:rsidRPr="00CB22A3" w:rsidRDefault="00C52672" w:rsidP="00C52672">
      <w:pPr>
        <w:overflowPunct w:val="0"/>
        <w:spacing w:afterLines="50" w:after="120" w:line="340" w:lineRule="atLeast"/>
        <w:ind w:firstLineChars="200" w:firstLine="440"/>
        <w:jc w:val="both"/>
        <w:rPr>
          <w:rFonts w:ascii="SimSun" w:hAnsi="SimSun" w:hint="eastAsia"/>
          <w:szCs w:val="22"/>
        </w:rPr>
      </w:pPr>
      <w:r w:rsidRPr="00CB22A3">
        <w:rPr>
          <w:rFonts w:ascii="SimSun" w:hAnsi="SimSun" w:hint="eastAsia"/>
          <w:szCs w:val="22"/>
        </w:rPr>
        <w:t>条约第</w:t>
      </w:r>
      <w:r w:rsidRPr="00CB22A3">
        <w:rPr>
          <w:rFonts w:ascii="SimSun" w:hAnsi="SimSun" w:hint="eastAsia"/>
          <w:szCs w:val="22"/>
        </w:rPr>
        <w:t>二十三</w:t>
      </w:r>
      <w:r w:rsidRPr="00CB22A3">
        <w:rPr>
          <w:rFonts w:ascii="SimSun" w:hAnsi="SimSun" w:hint="eastAsia"/>
          <w:szCs w:val="22"/>
        </w:rPr>
        <w:t>条中有一项规定，</w:t>
      </w:r>
      <w:r w:rsidRPr="00CB22A3">
        <w:rPr>
          <w:rFonts w:ascii="SimSun" w:hAnsi="SimSun" w:hint="eastAsia"/>
          <w:szCs w:val="22"/>
        </w:rPr>
        <w:t>实施细则</w:t>
      </w:r>
      <w:r w:rsidRPr="00CB22A3">
        <w:rPr>
          <w:rFonts w:ascii="SimSun" w:hAnsi="SimSun" w:hint="eastAsia"/>
          <w:szCs w:val="22"/>
        </w:rPr>
        <w:t>可</w:t>
      </w:r>
      <w:r w:rsidRPr="00CB22A3">
        <w:rPr>
          <w:rFonts w:ascii="SimSun" w:hAnsi="SimSun" w:hint="eastAsia"/>
          <w:szCs w:val="22"/>
        </w:rPr>
        <w:t>指明哪些条款</w:t>
      </w:r>
      <w:r w:rsidRPr="00CB22A3">
        <w:rPr>
          <w:rFonts w:ascii="SimSun" w:hAnsi="SimSun" w:hint="eastAsia"/>
          <w:szCs w:val="22"/>
        </w:rPr>
        <w:t>只有</w:t>
      </w:r>
      <w:r w:rsidRPr="00CB22A3">
        <w:rPr>
          <w:rFonts w:ascii="SimSun" w:hAnsi="SimSun" w:hint="eastAsia"/>
          <w:szCs w:val="22"/>
        </w:rPr>
        <w:t>经</w:t>
      </w:r>
      <w:r w:rsidRPr="00CB22A3">
        <w:rPr>
          <w:rFonts w:ascii="SimSun" w:hAnsi="SimSun" w:hint="eastAsia"/>
          <w:szCs w:val="22"/>
        </w:rPr>
        <w:t>一致同意</w:t>
      </w:r>
      <w:r w:rsidRPr="00CB22A3">
        <w:rPr>
          <w:rFonts w:ascii="SimSun" w:hAnsi="SimSun" w:hint="eastAsia"/>
          <w:szCs w:val="22"/>
        </w:rPr>
        <w:t>方可</w:t>
      </w:r>
      <w:r w:rsidRPr="00CB22A3">
        <w:rPr>
          <w:rFonts w:ascii="SimSun" w:hAnsi="SimSun" w:hint="eastAsia"/>
          <w:szCs w:val="22"/>
        </w:rPr>
        <w:t>修</w:t>
      </w:r>
      <w:r w:rsidRPr="00CB22A3">
        <w:rPr>
          <w:rFonts w:ascii="SimSun" w:hAnsi="SimSun" w:hint="eastAsia"/>
          <w:szCs w:val="22"/>
        </w:rPr>
        <w:t>正</w:t>
      </w:r>
      <w:r w:rsidRPr="00CB22A3">
        <w:rPr>
          <w:rFonts w:ascii="SimSun" w:hAnsi="SimSun" w:hint="eastAsia"/>
          <w:szCs w:val="22"/>
        </w:rPr>
        <w:t>。然而，目前</w:t>
      </w:r>
      <w:r w:rsidRPr="00CB22A3">
        <w:rPr>
          <w:rFonts w:ascii="SimSun" w:hAnsi="SimSun" w:hint="eastAsia"/>
          <w:szCs w:val="22"/>
        </w:rPr>
        <w:t>的实施细则案文</w:t>
      </w:r>
      <w:r w:rsidRPr="00CB22A3">
        <w:rPr>
          <w:rFonts w:ascii="SimSun" w:hAnsi="SimSun" w:hint="eastAsia"/>
          <w:szCs w:val="22"/>
        </w:rPr>
        <w:t>中</w:t>
      </w:r>
      <w:r w:rsidRPr="00CB22A3">
        <w:rPr>
          <w:rFonts w:ascii="SimSun" w:hAnsi="SimSun" w:hint="eastAsia"/>
          <w:szCs w:val="22"/>
        </w:rPr>
        <w:t>并</w:t>
      </w:r>
      <w:r w:rsidRPr="00CB22A3">
        <w:rPr>
          <w:rFonts w:ascii="SimSun" w:hAnsi="SimSun" w:hint="eastAsia"/>
          <w:szCs w:val="22"/>
        </w:rPr>
        <w:t>没有规定只有</w:t>
      </w:r>
      <w:r w:rsidRPr="00CB22A3">
        <w:rPr>
          <w:rFonts w:ascii="SimSun" w:hAnsi="SimSun" w:hint="eastAsia"/>
          <w:szCs w:val="22"/>
        </w:rPr>
        <w:t>经</w:t>
      </w:r>
      <w:r w:rsidRPr="00CB22A3">
        <w:rPr>
          <w:rFonts w:ascii="SimSun" w:hAnsi="SimSun" w:hint="eastAsia"/>
          <w:szCs w:val="22"/>
        </w:rPr>
        <w:t>一致同意</w:t>
      </w:r>
      <w:r w:rsidRPr="00CB22A3">
        <w:rPr>
          <w:rFonts w:ascii="SimSun" w:hAnsi="SimSun" w:hint="eastAsia"/>
          <w:szCs w:val="22"/>
        </w:rPr>
        <w:t>方可修正</w:t>
      </w:r>
      <w:r w:rsidRPr="00CB22A3">
        <w:rPr>
          <w:rFonts w:ascii="SimSun" w:hAnsi="SimSun" w:hint="eastAsia"/>
          <w:szCs w:val="22"/>
        </w:rPr>
        <w:t>的条款。</w:t>
      </w:r>
    </w:p>
    <w:p w14:paraId="3AF06F09" w14:textId="77777777" w:rsidR="00C52672" w:rsidRPr="00CB22A3" w:rsidRDefault="00C52672" w:rsidP="00C52672">
      <w:pPr>
        <w:overflowPunct w:val="0"/>
        <w:spacing w:afterLines="50" w:after="120" w:line="340" w:lineRule="atLeast"/>
        <w:ind w:firstLineChars="200" w:firstLine="440"/>
        <w:jc w:val="both"/>
        <w:rPr>
          <w:rFonts w:ascii="SimSun" w:hAnsi="SimSun" w:hint="eastAsia"/>
          <w:szCs w:val="22"/>
        </w:rPr>
      </w:pPr>
      <w:r w:rsidRPr="00CB22A3">
        <w:rPr>
          <w:rFonts w:ascii="SimSun" w:hAnsi="SimSun" w:hint="eastAsia"/>
          <w:szCs w:val="22"/>
        </w:rPr>
        <w:t>以下是对此的一些看法：</w:t>
      </w:r>
    </w:p>
    <w:p w14:paraId="34E086A2" w14:textId="359DD711" w:rsidR="00C52672" w:rsidRPr="00CB22A3" w:rsidRDefault="00C52672" w:rsidP="00C52672">
      <w:pPr>
        <w:overflowPunct w:val="0"/>
        <w:spacing w:afterLines="50" w:after="120" w:line="340" w:lineRule="atLeast"/>
        <w:ind w:firstLineChars="200" w:firstLine="440"/>
        <w:jc w:val="both"/>
        <w:rPr>
          <w:rFonts w:ascii="SimSun" w:hAnsi="SimSun" w:hint="eastAsia"/>
          <w:szCs w:val="22"/>
        </w:rPr>
      </w:pPr>
      <w:r w:rsidRPr="00CB22A3">
        <w:rPr>
          <w:rFonts w:ascii="SimSun" w:hAnsi="SimSun" w:hint="eastAsia"/>
          <w:szCs w:val="22"/>
        </w:rPr>
        <w:t>延迟公布的最短期限目前定为</w:t>
      </w:r>
      <w:r w:rsidRPr="00CB22A3">
        <w:rPr>
          <w:rFonts w:ascii="SimSun" w:hAnsi="SimSun" w:hint="eastAsia"/>
          <w:szCs w:val="22"/>
        </w:rPr>
        <w:t>六个月</w:t>
      </w:r>
      <w:r w:rsidRPr="00CB22A3">
        <w:rPr>
          <w:rFonts w:ascii="SimSun" w:hAnsi="SimSun" w:hint="eastAsia"/>
          <w:szCs w:val="22"/>
        </w:rPr>
        <w:t>，这个期限除非应一致同意，否则</w:t>
      </w:r>
      <w:r w:rsidRPr="00CB22A3">
        <w:rPr>
          <w:rFonts w:ascii="SimSun" w:hAnsi="SimSun" w:hint="eastAsia"/>
          <w:szCs w:val="22"/>
        </w:rPr>
        <w:t>应保持不变。这一点至关重要，因为有些国家可能允许</w:t>
      </w:r>
      <w:r w:rsidRPr="00CB22A3">
        <w:rPr>
          <w:rFonts w:ascii="SimSun" w:hAnsi="SimSun" w:hint="eastAsia"/>
          <w:szCs w:val="22"/>
        </w:rPr>
        <w:t>延迟公布期限</w:t>
      </w:r>
      <w:r w:rsidRPr="00CB22A3">
        <w:rPr>
          <w:rFonts w:ascii="SimSun" w:hAnsi="SimSun" w:hint="eastAsia"/>
          <w:szCs w:val="22"/>
        </w:rPr>
        <w:t>超过</w:t>
      </w:r>
      <w:r w:rsidRPr="00CB22A3">
        <w:rPr>
          <w:rFonts w:ascii="SimSun" w:hAnsi="SimSun" w:hint="eastAsia"/>
          <w:szCs w:val="22"/>
        </w:rPr>
        <w:t>三十</w:t>
      </w:r>
      <w:r w:rsidRPr="00CB22A3">
        <w:rPr>
          <w:rFonts w:ascii="SimSun" w:hAnsi="SimSun" w:hint="eastAsia"/>
          <w:szCs w:val="22"/>
        </w:rPr>
        <w:t>个月，而</w:t>
      </w:r>
      <w:r w:rsidR="00A56B2E">
        <w:rPr>
          <w:rFonts w:ascii="SimSun" w:hAnsi="SimSun" w:hint="eastAsia"/>
          <w:szCs w:val="22"/>
        </w:rPr>
        <w:t>这在</w:t>
      </w:r>
      <w:r w:rsidRPr="00CB22A3">
        <w:rPr>
          <w:rFonts w:ascii="SimSun" w:hAnsi="SimSun" w:hint="eastAsia"/>
          <w:szCs w:val="22"/>
        </w:rPr>
        <w:t>其他国家可能</w:t>
      </w:r>
      <w:r w:rsidR="00A56B2E">
        <w:rPr>
          <w:rFonts w:ascii="SimSun" w:hAnsi="SimSun" w:hint="eastAsia"/>
          <w:szCs w:val="22"/>
        </w:rPr>
        <w:t>引起争议</w:t>
      </w:r>
      <w:r w:rsidRPr="00CB22A3">
        <w:rPr>
          <w:rFonts w:ascii="SimSun" w:hAnsi="SimSun" w:hint="eastAsia"/>
          <w:szCs w:val="22"/>
        </w:rPr>
        <w:t>；因此，</w:t>
      </w:r>
      <w:r w:rsidRPr="00CB22A3">
        <w:rPr>
          <w:rFonts w:ascii="SimSun" w:hAnsi="SimSun" w:hint="eastAsia"/>
          <w:szCs w:val="22"/>
        </w:rPr>
        <w:t>实施细则</w:t>
      </w:r>
      <w:r w:rsidRPr="00CB22A3">
        <w:rPr>
          <w:rFonts w:ascii="SimSun" w:hAnsi="SimSun" w:hint="eastAsia"/>
          <w:szCs w:val="22"/>
        </w:rPr>
        <w:t>中</w:t>
      </w:r>
      <w:r w:rsidRPr="00CB22A3">
        <w:rPr>
          <w:rFonts w:ascii="SimSun" w:hAnsi="SimSun" w:hint="eastAsia"/>
          <w:szCs w:val="22"/>
        </w:rPr>
        <w:t>指明</w:t>
      </w:r>
      <w:r w:rsidRPr="00CB22A3">
        <w:rPr>
          <w:rFonts w:ascii="SimSun" w:hAnsi="SimSun" w:hint="eastAsia"/>
          <w:szCs w:val="22"/>
        </w:rPr>
        <w:t>的任何最短</w:t>
      </w:r>
      <w:r w:rsidRPr="00CB22A3">
        <w:rPr>
          <w:rFonts w:ascii="SimSun" w:hAnsi="SimSun" w:hint="eastAsia"/>
          <w:szCs w:val="22"/>
        </w:rPr>
        <w:t>延迟</w:t>
      </w:r>
      <w:r w:rsidR="00A56B2E">
        <w:rPr>
          <w:rFonts w:ascii="SimSun" w:hAnsi="SimSun" w:hint="eastAsia"/>
          <w:szCs w:val="22"/>
        </w:rPr>
        <w:t>公布</w:t>
      </w:r>
      <w:r w:rsidRPr="00CB22A3">
        <w:rPr>
          <w:rFonts w:ascii="SimSun" w:hAnsi="SimSun" w:hint="eastAsia"/>
          <w:szCs w:val="22"/>
        </w:rPr>
        <w:t>期限</w:t>
      </w:r>
      <w:r w:rsidRPr="00CB22A3">
        <w:rPr>
          <w:rFonts w:ascii="SimSun" w:hAnsi="SimSun" w:hint="eastAsia"/>
          <w:szCs w:val="22"/>
        </w:rPr>
        <w:t>应当</w:t>
      </w:r>
      <w:r w:rsidRPr="00CB22A3">
        <w:rPr>
          <w:rFonts w:ascii="SimSun" w:hAnsi="SimSun" w:hint="eastAsia"/>
          <w:szCs w:val="22"/>
        </w:rPr>
        <w:t>只</w:t>
      </w:r>
      <w:r w:rsidRPr="00CB22A3">
        <w:rPr>
          <w:rFonts w:ascii="SimSun" w:hAnsi="SimSun" w:hint="eastAsia"/>
          <w:szCs w:val="22"/>
        </w:rPr>
        <w:t>有经</w:t>
      </w:r>
      <w:r w:rsidRPr="00CB22A3">
        <w:rPr>
          <w:rFonts w:ascii="SimSun" w:hAnsi="SimSun" w:hint="eastAsia"/>
          <w:szCs w:val="22"/>
        </w:rPr>
        <w:t>一致同意</w:t>
      </w:r>
      <w:r w:rsidRPr="00CB22A3">
        <w:rPr>
          <w:rFonts w:ascii="SimSun" w:hAnsi="SimSun" w:hint="eastAsia"/>
          <w:szCs w:val="22"/>
        </w:rPr>
        <w:t>方可修正</w:t>
      </w:r>
      <w:r w:rsidRPr="00CB22A3">
        <w:rPr>
          <w:rFonts w:ascii="SimSun" w:hAnsi="SimSun" w:hint="eastAsia"/>
          <w:szCs w:val="22"/>
        </w:rPr>
        <w:t>。</w:t>
      </w:r>
    </w:p>
    <w:p w14:paraId="596F3D2A" w14:textId="202C9835" w:rsidR="00C52672" w:rsidRPr="00CB22A3" w:rsidRDefault="00A56B2E" w:rsidP="00C52672">
      <w:pPr>
        <w:overflowPunct w:val="0"/>
        <w:spacing w:afterLines="50" w:after="120" w:line="340" w:lineRule="atLeast"/>
        <w:ind w:firstLineChars="200" w:firstLine="440"/>
        <w:jc w:val="both"/>
        <w:rPr>
          <w:rFonts w:ascii="SimSun" w:hAnsi="SimSun"/>
          <w:szCs w:val="22"/>
        </w:rPr>
      </w:pPr>
      <w:r>
        <w:rPr>
          <w:rFonts w:ascii="SimSun" w:hAnsi="SimSun" w:hint="eastAsia"/>
          <w:szCs w:val="22"/>
        </w:rPr>
        <w:t>鉴于此</w:t>
      </w:r>
      <w:r w:rsidR="00C52672" w:rsidRPr="00CB22A3">
        <w:rPr>
          <w:rFonts w:ascii="SimSun" w:hAnsi="SimSun" w:hint="eastAsia"/>
          <w:szCs w:val="22"/>
        </w:rPr>
        <w:t>，印度建议增加一条新</w:t>
      </w:r>
      <w:r w:rsidR="00C52672" w:rsidRPr="00CB22A3">
        <w:rPr>
          <w:rFonts w:ascii="SimSun" w:hAnsi="SimSun" w:hint="eastAsia"/>
          <w:szCs w:val="22"/>
        </w:rPr>
        <w:t>细则</w:t>
      </w:r>
      <w:r w:rsidR="00C52672" w:rsidRPr="00CB22A3">
        <w:rPr>
          <w:rFonts w:ascii="SimSun" w:hAnsi="SimSun" w:hint="eastAsia"/>
          <w:szCs w:val="22"/>
        </w:rPr>
        <w:t>，内容如下</w:t>
      </w:r>
      <w:r w:rsidR="00C52672" w:rsidRPr="00CB22A3">
        <w:rPr>
          <w:rFonts w:ascii="SimSun" w:hAnsi="SimSun" w:hint="eastAsia"/>
          <w:szCs w:val="22"/>
        </w:rPr>
        <w:t>：</w:t>
      </w:r>
    </w:p>
    <w:p w14:paraId="37E6686A" w14:textId="4571A25E" w:rsidR="00C52672" w:rsidRPr="00A56B2E" w:rsidRDefault="00C52672" w:rsidP="00C52672">
      <w:pPr>
        <w:overflowPunct w:val="0"/>
        <w:spacing w:afterLines="50" w:after="120" w:line="340" w:lineRule="atLeast"/>
        <w:ind w:firstLineChars="200" w:firstLine="440"/>
        <w:jc w:val="both"/>
        <w:rPr>
          <w:rFonts w:ascii="KaiTi" w:eastAsia="KaiTi" w:hAnsi="KaiTi"/>
          <w:kern w:val="2"/>
          <w:szCs w:val="22"/>
          <w14:ligatures w14:val="standardContextual"/>
        </w:rPr>
      </w:pPr>
      <w:r w:rsidRPr="00A56B2E">
        <w:rPr>
          <w:rFonts w:ascii="KaiTi" w:eastAsia="KaiTi" w:hAnsi="KaiTi" w:hint="eastAsia"/>
          <w:szCs w:val="22"/>
        </w:rPr>
        <w:t>细则</w:t>
      </w:r>
      <w:r w:rsidRPr="00A56B2E">
        <w:rPr>
          <w:rFonts w:ascii="KaiTi" w:eastAsia="KaiTi" w:hAnsi="KaiTi"/>
          <w:i/>
          <w:iCs/>
          <w:kern w:val="2"/>
          <w:szCs w:val="22"/>
          <w14:ligatures w14:val="standardContextual"/>
        </w:rPr>
        <w:t>____</w:t>
      </w:r>
    </w:p>
    <w:p w14:paraId="5D47361F" w14:textId="3F3F2132" w:rsidR="00C52672" w:rsidRPr="00A56B2E" w:rsidRDefault="00C52672" w:rsidP="00C52672">
      <w:pPr>
        <w:overflowPunct w:val="0"/>
        <w:spacing w:afterLines="50" w:after="120" w:line="340" w:lineRule="atLeast"/>
        <w:ind w:firstLineChars="200" w:firstLine="440"/>
        <w:jc w:val="both"/>
        <w:rPr>
          <w:rFonts w:ascii="KaiTi" w:eastAsia="KaiTi" w:hAnsi="KaiTi"/>
          <w:kern w:val="2"/>
          <w:szCs w:val="22"/>
          <w14:ligatures w14:val="standardContextual"/>
        </w:rPr>
      </w:pPr>
      <w:r w:rsidRPr="00A56B2E">
        <w:rPr>
          <w:rFonts w:ascii="KaiTi" w:eastAsia="KaiTi" w:hAnsi="KaiTi" w:hint="eastAsia"/>
          <w:kern w:val="2"/>
          <w:szCs w:val="22"/>
          <w14:ligatures w14:val="standardContextual"/>
        </w:rPr>
        <w:t>条约第二十三条第三款第（一）项规定的一致同意</w:t>
      </w:r>
    </w:p>
    <w:p w14:paraId="282F83A3" w14:textId="11CB7FC5" w:rsidR="00B61FAD" w:rsidRPr="00A56B2E" w:rsidRDefault="00C52672" w:rsidP="00C52672">
      <w:pPr>
        <w:overflowPunct w:val="0"/>
        <w:spacing w:afterLines="50" w:after="120" w:line="340" w:lineRule="atLeast"/>
        <w:ind w:firstLineChars="200" w:firstLine="440"/>
        <w:jc w:val="both"/>
        <w:rPr>
          <w:rFonts w:ascii="KaiTi" w:eastAsia="KaiTi" w:hAnsi="KaiTi"/>
          <w:kern w:val="2"/>
          <w:szCs w:val="22"/>
          <w14:ligatures w14:val="standardContextual"/>
        </w:rPr>
      </w:pPr>
      <w:r w:rsidRPr="00A56B2E">
        <w:rPr>
          <w:rFonts w:ascii="KaiTi" w:eastAsia="KaiTi" w:hAnsi="KaiTi" w:hint="eastAsia"/>
          <w:kern w:val="2"/>
          <w:szCs w:val="22"/>
          <w14:ligatures w14:val="standardContextual"/>
        </w:rPr>
        <w:t>修正以下细则应</w:t>
      </w:r>
      <w:r w:rsidR="00A56B2E">
        <w:rPr>
          <w:rFonts w:ascii="KaiTi" w:eastAsia="KaiTi" w:hAnsi="KaiTi" w:hint="eastAsia"/>
          <w:kern w:val="2"/>
          <w:szCs w:val="22"/>
          <w14:ligatures w14:val="standardContextual"/>
        </w:rPr>
        <w:t>要求</w:t>
      </w:r>
      <w:r w:rsidRPr="00A56B2E">
        <w:rPr>
          <w:rFonts w:ascii="KaiTi" w:eastAsia="KaiTi" w:hAnsi="KaiTi" w:hint="eastAsia"/>
          <w:kern w:val="2"/>
          <w:szCs w:val="22"/>
          <w14:ligatures w14:val="standardContextual"/>
        </w:rPr>
        <w:t>经过一致同意：</w:t>
      </w:r>
    </w:p>
    <w:p w14:paraId="2DF71E67" w14:textId="23817BAF" w:rsidR="00CB22A3" w:rsidRPr="00A56B2E" w:rsidRDefault="00CB22A3" w:rsidP="00CB22A3">
      <w:pPr>
        <w:pStyle w:val="ListParagraph"/>
        <w:numPr>
          <w:ilvl w:val="0"/>
          <w:numId w:val="7"/>
        </w:numPr>
        <w:overflowPunct w:val="0"/>
        <w:spacing w:afterLines="50" w:after="120" w:line="340" w:lineRule="atLeast"/>
        <w:jc w:val="both"/>
        <w:rPr>
          <w:rFonts w:ascii="KaiTi" w:eastAsia="KaiTi" w:hAnsi="KaiTi"/>
          <w:kern w:val="2"/>
          <w:szCs w:val="22"/>
          <w14:ligatures w14:val="standardContextual"/>
        </w:rPr>
      </w:pPr>
      <w:r w:rsidRPr="00A56B2E">
        <w:rPr>
          <w:rFonts w:ascii="KaiTi" w:eastAsia="KaiTi" w:hAnsi="KaiTi" w:hint="eastAsia"/>
          <w:kern w:val="2"/>
          <w:szCs w:val="22"/>
          <w14:ligatures w14:val="standardContextual"/>
        </w:rPr>
        <w:t>细则第六条</w:t>
      </w:r>
    </w:p>
    <w:p w14:paraId="0E2E5BB9" w14:textId="0DAAD219" w:rsidR="00CB22A3" w:rsidRPr="00A56B2E" w:rsidRDefault="00CB22A3" w:rsidP="00CB22A3">
      <w:pPr>
        <w:pStyle w:val="ListParagraph"/>
        <w:numPr>
          <w:ilvl w:val="0"/>
          <w:numId w:val="7"/>
        </w:numPr>
        <w:overflowPunct w:val="0"/>
        <w:spacing w:afterLines="50" w:after="120" w:line="340" w:lineRule="atLeast"/>
        <w:jc w:val="both"/>
        <w:rPr>
          <w:rFonts w:ascii="KaiTi" w:eastAsia="KaiTi" w:hAnsi="KaiTi" w:hint="eastAsia"/>
          <w:szCs w:val="22"/>
        </w:rPr>
      </w:pPr>
      <w:r w:rsidRPr="00A56B2E">
        <w:rPr>
          <w:rFonts w:ascii="KaiTi" w:eastAsia="KaiTi" w:hAnsi="KaiTi" w:hint="eastAsia"/>
          <w:szCs w:val="22"/>
        </w:rPr>
        <w:t>本条细则。</w:t>
      </w:r>
    </w:p>
    <w:p w14:paraId="0663FA8E" w14:textId="7C3F9887" w:rsidR="006C00BB" w:rsidRPr="00A56B2E" w:rsidRDefault="006C00BB" w:rsidP="006C00BB">
      <w:pPr>
        <w:overflowPunct w:val="0"/>
        <w:spacing w:afterLines="50" w:after="120" w:line="340" w:lineRule="atLeast"/>
        <w:ind w:firstLineChars="200" w:firstLine="440"/>
        <w:jc w:val="both"/>
        <w:rPr>
          <w:rFonts w:ascii="KaiTi" w:eastAsia="KaiTi" w:hAnsi="KaiTi"/>
          <w:bCs/>
          <w:iCs/>
          <w:szCs w:val="22"/>
        </w:rPr>
      </w:pPr>
    </w:p>
    <w:p w14:paraId="739BBA87" w14:textId="0B1D1207" w:rsidR="009456CE" w:rsidRPr="00CB22A3" w:rsidRDefault="00742C81" w:rsidP="00FC486C">
      <w:pPr>
        <w:pStyle w:val="Endofdocument-Annex"/>
        <w:spacing w:before="720" w:afterLines="50" w:after="120" w:line="340" w:lineRule="atLeast"/>
        <w:rPr>
          <w:szCs w:val="22"/>
        </w:rPr>
      </w:pPr>
      <w:r w:rsidRPr="00CB22A3">
        <w:rPr>
          <w:rFonts w:ascii="KaiTi" w:eastAsia="KaiTi" w:hAnsi="KaiTi" w:hint="eastAsia"/>
          <w:szCs w:val="22"/>
        </w:rPr>
        <w:t>[附件和</w:t>
      </w:r>
      <w:r w:rsidRPr="00CB22A3">
        <w:rPr>
          <w:rFonts w:ascii="KaiTi" w:eastAsia="KaiTi" w:hAnsi="KaiTi" w:cs="Microsoft YaHei" w:hint="eastAsia"/>
          <w:iCs/>
          <w:szCs w:val="22"/>
        </w:rPr>
        <w:t>文件</w:t>
      </w:r>
      <w:r w:rsidRPr="00CB22A3">
        <w:rPr>
          <w:rFonts w:ascii="KaiTi" w:eastAsia="KaiTi" w:hAnsi="KaiTi" w:hint="eastAsia"/>
          <w:szCs w:val="22"/>
        </w:rPr>
        <w:t>完]</w:t>
      </w:r>
    </w:p>
    <w:sectPr w:rsidR="009456CE" w:rsidRPr="00CB22A3" w:rsidSect="006442E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F123B" w14:textId="77777777" w:rsidR="00805AE6" w:rsidRDefault="00805AE6">
      <w:r>
        <w:separator/>
      </w:r>
    </w:p>
  </w:endnote>
  <w:endnote w:type="continuationSeparator" w:id="0">
    <w:p w14:paraId="591A76A8" w14:textId="77777777" w:rsidR="00805AE6" w:rsidRDefault="00805AE6" w:rsidP="003B38C1">
      <w:r>
        <w:separator/>
      </w:r>
    </w:p>
    <w:p w14:paraId="6746ED8F" w14:textId="77777777" w:rsidR="00805AE6" w:rsidRPr="003B38C1" w:rsidRDefault="00805AE6" w:rsidP="003B38C1">
      <w:pPr>
        <w:spacing w:after="60"/>
        <w:rPr>
          <w:sz w:val="17"/>
        </w:rPr>
      </w:pPr>
      <w:r>
        <w:rPr>
          <w:sz w:val="17"/>
        </w:rPr>
        <w:t>[Endnote continued from previous page]</w:t>
      </w:r>
    </w:p>
  </w:endnote>
  <w:endnote w:type="continuationNotice" w:id="1">
    <w:p w14:paraId="58BFDE48" w14:textId="77777777" w:rsidR="00805AE6" w:rsidRPr="003B38C1" w:rsidRDefault="00805AE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379DF" w14:textId="77777777" w:rsidR="00805AE6" w:rsidRDefault="00805AE6">
      <w:r>
        <w:separator/>
      </w:r>
    </w:p>
  </w:footnote>
  <w:footnote w:type="continuationSeparator" w:id="0">
    <w:p w14:paraId="206C2CC1" w14:textId="77777777" w:rsidR="00805AE6" w:rsidRDefault="00805AE6" w:rsidP="008B60B2">
      <w:r>
        <w:separator/>
      </w:r>
    </w:p>
    <w:p w14:paraId="70FDA1BB" w14:textId="77777777" w:rsidR="00805AE6" w:rsidRPr="00ED77FB" w:rsidRDefault="00805AE6" w:rsidP="008B60B2">
      <w:pPr>
        <w:spacing w:after="60"/>
        <w:rPr>
          <w:sz w:val="17"/>
          <w:szCs w:val="17"/>
        </w:rPr>
      </w:pPr>
      <w:r w:rsidRPr="00ED77FB">
        <w:rPr>
          <w:sz w:val="17"/>
          <w:szCs w:val="17"/>
        </w:rPr>
        <w:t>[Footnote continued from previous page]</w:t>
      </w:r>
    </w:p>
  </w:footnote>
  <w:footnote w:type="continuationNotice" w:id="1">
    <w:p w14:paraId="24091C78" w14:textId="77777777" w:rsidR="00805AE6" w:rsidRPr="00ED77FB" w:rsidRDefault="00805AE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16E1" w14:textId="7AE8D1C7" w:rsidR="00EC4E49" w:rsidRPr="00FC486C" w:rsidRDefault="006442E1" w:rsidP="00477D6B">
    <w:pPr>
      <w:jc w:val="right"/>
      <w:rPr>
        <w:rFonts w:ascii="SimSun" w:hAnsi="SimSun"/>
        <w:sz w:val="21"/>
        <w:szCs w:val="18"/>
      </w:rPr>
    </w:pPr>
    <w:bookmarkStart w:id="6" w:name="Code2"/>
    <w:r w:rsidRPr="00FC486C">
      <w:rPr>
        <w:rFonts w:ascii="SimSun" w:hAnsi="SimSun"/>
        <w:sz w:val="21"/>
        <w:szCs w:val="18"/>
      </w:rPr>
      <w:t>DLT/DC/</w:t>
    </w:r>
    <w:r w:rsidR="00536C55">
      <w:rPr>
        <w:rFonts w:ascii="SimSun" w:hAnsi="SimSun" w:hint="eastAsia"/>
        <w:sz w:val="21"/>
        <w:szCs w:val="18"/>
      </w:rPr>
      <w:t>1</w:t>
    </w:r>
    <w:r w:rsidR="00A56B2E">
      <w:rPr>
        <w:rFonts w:ascii="SimSun" w:hAnsi="SimSun" w:hint="eastAsia"/>
        <w:sz w:val="21"/>
        <w:szCs w:val="18"/>
      </w:rPr>
      <w:t>5</w:t>
    </w:r>
  </w:p>
  <w:bookmarkEnd w:id="6"/>
  <w:p w14:paraId="5D644C1E" w14:textId="7B524CF0" w:rsidR="00B50B99" w:rsidRPr="00FC486C" w:rsidRDefault="004D280E" w:rsidP="00FC486C">
    <w:pPr>
      <w:spacing w:afterLines="100" w:after="240"/>
      <w:jc w:val="right"/>
      <w:rPr>
        <w:rFonts w:ascii="SimSun" w:hAnsi="SimSun"/>
        <w:sz w:val="21"/>
        <w:szCs w:val="18"/>
      </w:rPr>
    </w:pPr>
    <w:r w:rsidRPr="00FC486C">
      <w:rPr>
        <w:rFonts w:ascii="SimSun" w:hAnsi="SimSun" w:hint="eastAsia"/>
        <w:sz w:val="21"/>
        <w:szCs w:val="18"/>
      </w:rPr>
      <w:t>附</w:t>
    </w:r>
    <w:r w:rsidR="00FC486C">
      <w:rPr>
        <w:rFonts w:ascii="SimSun" w:hAnsi="SimSun" w:hint="eastAsia"/>
        <w:sz w:val="21"/>
        <w:szCs w:val="18"/>
      </w:rPr>
      <w:t xml:space="preserve">　</w:t>
    </w:r>
    <w:r w:rsidRPr="00FC486C">
      <w:rPr>
        <w:rFonts w:ascii="SimSun" w:hAnsi="SimSun" w:hint="eastAsia"/>
        <w:sz w:val="21"/>
        <w:szCs w:val="18"/>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44287E"/>
    <w:multiLevelType w:val="hybridMultilevel"/>
    <w:tmpl w:val="DC064D80"/>
    <w:lvl w:ilvl="0" w:tplc="293EB010">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5"/>
  </w:num>
  <w:num w:numId="3" w16cid:durableId="1356350649">
    <w:abstractNumId w:val="0"/>
  </w:num>
  <w:num w:numId="4" w16cid:durableId="1151099335">
    <w:abstractNumId w:val="6"/>
  </w:num>
  <w:num w:numId="5" w16cid:durableId="797770133">
    <w:abstractNumId w:val="1"/>
  </w:num>
  <w:num w:numId="6" w16cid:durableId="878471050">
    <w:abstractNumId w:val="4"/>
  </w:num>
  <w:num w:numId="7" w16cid:durableId="1829589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E1"/>
    <w:rsid w:val="000101FA"/>
    <w:rsid w:val="0001647B"/>
    <w:rsid w:val="00043CAA"/>
    <w:rsid w:val="00047A68"/>
    <w:rsid w:val="00075432"/>
    <w:rsid w:val="000968ED"/>
    <w:rsid w:val="000B263F"/>
    <w:rsid w:val="000D4C4B"/>
    <w:rsid w:val="000F5E56"/>
    <w:rsid w:val="001024FE"/>
    <w:rsid w:val="00103DDF"/>
    <w:rsid w:val="00124096"/>
    <w:rsid w:val="001362EE"/>
    <w:rsid w:val="00142868"/>
    <w:rsid w:val="001832A6"/>
    <w:rsid w:val="001A53C2"/>
    <w:rsid w:val="001C6808"/>
    <w:rsid w:val="001E3D38"/>
    <w:rsid w:val="001F7D79"/>
    <w:rsid w:val="002121FA"/>
    <w:rsid w:val="00216EAB"/>
    <w:rsid w:val="00230C7F"/>
    <w:rsid w:val="00252D88"/>
    <w:rsid w:val="002634C4"/>
    <w:rsid w:val="00272F90"/>
    <w:rsid w:val="00280F50"/>
    <w:rsid w:val="002928D3"/>
    <w:rsid w:val="00296E66"/>
    <w:rsid w:val="002B2646"/>
    <w:rsid w:val="002F1FE6"/>
    <w:rsid w:val="002F4E68"/>
    <w:rsid w:val="002F584C"/>
    <w:rsid w:val="00305B34"/>
    <w:rsid w:val="00312F7F"/>
    <w:rsid w:val="00315164"/>
    <w:rsid w:val="003228B7"/>
    <w:rsid w:val="003508A3"/>
    <w:rsid w:val="003673CF"/>
    <w:rsid w:val="003845C1"/>
    <w:rsid w:val="003853E6"/>
    <w:rsid w:val="003A0A94"/>
    <w:rsid w:val="003A6F89"/>
    <w:rsid w:val="003B02EF"/>
    <w:rsid w:val="003B38C1"/>
    <w:rsid w:val="003D352A"/>
    <w:rsid w:val="00420F91"/>
    <w:rsid w:val="00423E3E"/>
    <w:rsid w:val="00427AF4"/>
    <w:rsid w:val="00430B25"/>
    <w:rsid w:val="00431E11"/>
    <w:rsid w:val="004400E2"/>
    <w:rsid w:val="00454E52"/>
    <w:rsid w:val="00461632"/>
    <w:rsid w:val="004647DA"/>
    <w:rsid w:val="00474062"/>
    <w:rsid w:val="00477D6B"/>
    <w:rsid w:val="004956FA"/>
    <w:rsid w:val="004A5F32"/>
    <w:rsid w:val="004C4CCC"/>
    <w:rsid w:val="004D1295"/>
    <w:rsid w:val="004D280E"/>
    <w:rsid w:val="004D39C4"/>
    <w:rsid w:val="004E3AA5"/>
    <w:rsid w:val="0053057A"/>
    <w:rsid w:val="00536C55"/>
    <w:rsid w:val="00560798"/>
    <w:rsid w:val="00560A29"/>
    <w:rsid w:val="005613F4"/>
    <w:rsid w:val="00594812"/>
    <w:rsid w:val="00594D27"/>
    <w:rsid w:val="005F10BC"/>
    <w:rsid w:val="00601760"/>
    <w:rsid w:val="00605827"/>
    <w:rsid w:val="0061150D"/>
    <w:rsid w:val="00624A5E"/>
    <w:rsid w:val="00630284"/>
    <w:rsid w:val="0063382C"/>
    <w:rsid w:val="00636E87"/>
    <w:rsid w:val="006442E1"/>
    <w:rsid w:val="00646050"/>
    <w:rsid w:val="006713CA"/>
    <w:rsid w:val="00676C5C"/>
    <w:rsid w:val="00686EB2"/>
    <w:rsid w:val="00695558"/>
    <w:rsid w:val="006C00BB"/>
    <w:rsid w:val="006D5E0F"/>
    <w:rsid w:val="007058FB"/>
    <w:rsid w:val="00742C81"/>
    <w:rsid w:val="00754A1F"/>
    <w:rsid w:val="00787DFC"/>
    <w:rsid w:val="007A7A25"/>
    <w:rsid w:val="007B6A58"/>
    <w:rsid w:val="007C4DED"/>
    <w:rsid w:val="007D1613"/>
    <w:rsid w:val="007E09F5"/>
    <w:rsid w:val="00805AE6"/>
    <w:rsid w:val="00813C5E"/>
    <w:rsid w:val="00826109"/>
    <w:rsid w:val="008417FC"/>
    <w:rsid w:val="00873EE5"/>
    <w:rsid w:val="008A4252"/>
    <w:rsid w:val="008B2CC1"/>
    <w:rsid w:val="008B2E23"/>
    <w:rsid w:val="008B4B5E"/>
    <w:rsid w:val="008B60B2"/>
    <w:rsid w:val="0090731E"/>
    <w:rsid w:val="00914A04"/>
    <w:rsid w:val="00916EE2"/>
    <w:rsid w:val="009317A4"/>
    <w:rsid w:val="00940091"/>
    <w:rsid w:val="009456CE"/>
    <w:rsid w:val="00966A22"/>
    <w:rsid w:val="0096722F"/>
    <w:rsid w:val="00980843"/>
    <w:rsid w:val="009B1DAE"/>
    <w:rsid w:val="009B30D3"/>
    <w:rsid w:val="009D69F1"/>
    <w:rsid w:val="009E2791"/>
    <w:rsid w:val="009E3F6F"/>
    <w:rsid w:val="009F3BF9"/>
    <w:rsid w:val="009F499F"/>
    <w:rsid w:val="009F7A74"/>
    <w:rsid w:val="00A12721"/>
    <w:rsid w:val="00A42DAF"/>
    <w:rsid w:val="00A45BD8"/>
    <w:rsid w:val="00A56B2E"/>
    <w:rsid w:val="00A74FF6"/>
    <w:rsid w:val="00A778BF"/>
    <w:rsid w:val="00A85B8E"/>
    <w:rsid w:val="00AC095B"/>
    <w:rsid w:val="00AC205C"/>
    <w:rsid w:val="00AD5BAC"/>
    <w:rsid w:val="00AF5C73"/>
    <w:rsid w:val="00B05A69"/>
    <w:rsid w:val="00B25E1F"/>
    <w:rsid w:val="00B40598"/>
    <w:rsid w:val="00B50B99"/>
    <w:rsid w:val="00B53445"/>
    <w:rsid w:val="00B61FAD"/>
    <w:rsid w:val="00B62CD9"/>
    <w:rsid w:val="00B9270A"/>
    <w:rsid w:val="00B9734B"/>
    <w:rsid w:val="00BA0A96"/>
    <w:rsid w:val="00BF4BB8"/>
    <w:rsid w:val="00C11BFE"/>
    <w:rsid w:val="00C42425"/>
    <w:rsid w:val="00C52672"/>
    <w:rsid w:val="00C94629"/>
    <w:rsid w:val="00CA73B1"/>
    <w:rsid w:val="00CB22A3"/>
    <w:rsid w:val="00CC5C67"/>
    <w:rsid w:val="00CE65D4"/>
    <w:rsid w:val="00D45252"/>
    <w:rsid w:val="00D71B4D"/>
    <w:rsid w:val="00D90B0E"/>
    <w:rsid w:val="00D93D55"/>
    <w:rsid w:val="00D95A79"/>
    <w:rsid w:val="00D97594"/>
    <w:rsid w:val="00DD6049"/>
    <w:rsid w:val="00E05FA2"/>
    <w:rsid w:val="00E161A2"/>
    <w:rsid w:val="00E32983"/>
    <w:rsid w:val="00E335FE"/>
    <w:rsid w:val="00E37094"/>
    <w:rsid w:val="00E42BB0"/>
    <w:rsid w:val="00E44C74"/>
    <w:rsid w:val="00E5021F"/>
    <w:rsid w:val="00E671A6"/>
    <w:rsid w:val="00EB5F5C"/>
    <w:rsid w:val="00EC1DAE"/>
    <w:rsid w:val="00EC4E49"/>
    <w:rsid w:val="00ED77FB"/>
    <w:rsid w:val="00EE2C7F"/>
    <w:rsid w:val="00EF0D3D"/>
    <w:rsid w:val="00EF5FCE"/>
    <w:rsid w:val="00F021A6"/>
    <w:rsid w:val="00F11D94"/>
    <w:rsid w:val="00F301AE"/>
    <w:rsid w:val="00F31D29"/>
    <w:rsid w:val="00F66152"/>
    <w:rsid w:val="00FC486C"/>
    <w:rsid w:val="00FF2C9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A0D75"/>
  <w15:docId w15:val="{3FEB814B-6CA9-4F52-B6DD-D472F54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6442E1"/>
    <w:rPr>
      <w:i/>
      <w:iCs/>
    </w:rPr>
  </w:style>
  <w:style w:type="paragraph" w:styleId="Revision">
    <w:name w:val="Revision"/>
    <w:hidden/>
    <w:uiPriority w:val="99"/>
    <w:semiHidden/>
    <w:rsid w:val="00315164"/>
    <w:rPr>
      <w:rFonts w:ascii="Arial" w:hAnsi="Arial" w:cs="Arial"/>
      <w:sz w:val="22"/>
      <w:lang w:val="en-US" w:eastAsia="zh-CN"/>
    </w:rPr>
  </w:style>
  <w:style w:type="character" w:styleId="CommentReference">
    <w:name w:val="annotation reference"/>
    <w:basedOn w:val="DefaultParagraphFont"/>
    <w:semiHidden/>
    <w:unhideWhenUsed/>
    <w:rsid w:val="00216EAB"/>
    <w:rPr>
      <w:sz w:val="16"/>
      <w:szCs w:val="16"/>
    </w:rPr>
  </w:style>
  <w:style w:type="paragraph" w:styleId="CommentSubject">
    <w:name w:val="annotation subject"/>
    <w:basedOn w:val="CommentText"/>
    <w:next w:val="CommentText"/>
    <w:link w:val="CommentSubjectChar"/>
    <w:semiHidden/>
    <w:unhideWhenUsed/>
    <w:rsid w:val="00216EAB"/>
    <w:rPr>
      <w:b/>
      <w:bCs/>
      <w:sz w:val="20"/>
    </w:rPr>
  </w:style>
  <w:style w:type="character" w:customStyle="1" w:styleId="CommentTextChar">
    <w:name w:val="Comment Text Char"/>
    <w:basedOn w:val="DefaultParagraphFont"/>
    <w:link w:val="CommentText"/>
    <w:semiHidden/>
    <w:rsid w:val="00216EA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16EAB"/>
    <w:rPr>
      <w:rFonts w:ascii="Arial" w:eastAsia="SimSun" w:hAnsi="Arial" w:cs="Arial"/>
      <w:b/>
      <w:bCs/>
      <w:sz w:val="18"/>
      <w:lang w:val="en-US" w:eastAsia="zh-CN"/>
    </w:rPr>
  </w:style>
  <w:style w:type="paragraph" w:styleId="NormalWeb">
    <w:name w:val="Normal (Web)"/>
    <w:basedOn w:val="Normal"/>
    <w:semiHidden/>
    <w:unhideWhenUsed/>
    <w:rsid w:val="00B25E1F"/>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locked/>
    <w:rsid w:val="00AC095B"/>
    <w:rPr>
      <w:rFonts w:ascii="Arial" w:hAnsi="Arial" w:cs="Arial"/>
      <w:sz w:val="18"/>
      <w:lang w:val="en-US" w:eastAsia="zh-CN"/>
    </w:rPr>
  </w:style>
  <w:style w:type="character" w:styleId="FootnoteReference">
    <w:name w:val="footnote reference"/>
    <w:basedOn w:val="DefaultParagraphFont"/>
    <w:uiPriority w:val="99"/>
    <w:rsid w:val="00AC095B"/>
    <w:rPr>
      <w:rFonts w:cs="Times New Roman"/>
      <w:vertAlign w:val="superscript"/>
    </w:rPr>
  </w:style>
  <w:style w:type="paragraph" w:styleId="ListParagraph">
    <w:name w:val="List Paragraph"/>
    <w:basedOn w:val="Normal"/>
    <w:uiPriority w:val="34"/>
    <w:qFormat/>
    <w:rsid w:val="00CB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239583">
      <w:bodyDiv w:val="1"/>
      <w:marLeft w:val="0"/>
      <w:marRight w:val="0"/>
      <w:marTop w:val="0"/>
      <w:marBottom w:val="0"/>
      <w:divBdr>
        <w:top w:val="none" w:sz="0" w:space="0" w:color="auto"/>
        <w:left w:val="none" w:sz="0" w:space="0" w:color="auto"/>
        <w:bottom w:val="none" w:sz="0" w:space="0" w:color="auto"/>
        <w:right w:val="none" w:sz="0" w:space="0" w:color="auto"/>
      </w:divBdr>
    </w:div>
    <w:div w:id="367068991">
      <w:bodyDiv w:val="1"/>
      <w:marLeft w:val="0"/>
      <w:marRight w:val="0"/>
      <w:marTop w:val="0"/>
      <w:marBottom w:val="0"/>
      <w:divBdr>
        <w:top w:val="none" w:sz="0" w:space="0" w:color="auto"/>
        <w:left w:val="none" w:sz="0" w:space="0" w:color="auto"/>
        <w:bottom w:val="none" w:sz="0" w:space="0" w:color="auto"/>
        <w:right w:val="none" w:sz="0" w:space="0" w:color="auto"/>
      </w:divBdr>
    </w:div>
    <w:div w:id="559630613">
      <w:bodyDiv w:val="1"/>
      <w:marLeft w:val="0"/>
      <w:marRight w:val="0"/>
      <w:marTop w:val="0"/>
      <w:marBottom w:val="0"/>
      <w:divBdr>
        <w:top w:val="none" w:sz="0" w:space="0" w:color="auto"/>
        <w:left w:val="none" w:sz="0" w:space="0" w:color="auto"/>
        <w:bottom w:val="none" w:sz="0" w:space="0" w:color="auto"/>
        <w:right w:val="none" w:sz="0" w:space="0" w:color="auto"/>
      </w:divBdr>
    </w:div>
    <w:div w:id="612513083">
      <w:bodyDiv w:val="1"/>
      <w:marLeft w:val="0"/>
      <w:marRight w:val="0"/>
      <w:marTop w:val="0"/>
      <w:marBottom w:val="0"/>
      <w:divBdr>
        <w:top w:val="none" w:sz="0" w:space="0" w:color="auto"/>
        <w:left w:val="none" w:sz="0" w:space="0" w:color="auto"/>
        <w:bottom w:val="none" w:sz="0" w:space="0" w:color="auto"/>
        <w:right w:val="none" w:sz="0" w:space="0" w:color="auto"/>
      </w:divBdr>
    </w:div>
    <w:div w:id="656767202">
      <w:bodyDiv w:val="1"/>
      <w:marLeft w:val="0"/>
      <w:marRight w:val="0"/>
      <w:marTop w:val="0"/>
      <w:marBottom w:val="0"/>
      <w:divBdr>
        <w:top w:val="none" w:sz="0" w:space="0" w:color="auto"/>
        <w:left w:val="none" w:sz="0" w:space="0" w:color="auto"/>
        <w:bottom w:val="none" w:sz="0" w:space="0" w:color="auto"/>
        <w:right w:val="none" w:sz="0" w:space="0" w:color="auto"/>
      </w:divBdr>
    </w:div>
    <w:div w:id="760295261">
      <w:bodyDiv w:val="1"/>
      <w:marLeft w:val="0"/>
      <w:marRight w:val="0"/>
      <w:marTop w:val="0"/>
      <w:marBottom w:val="0"/>
      <w:divBdr>
        <w:top w:val="none" w:sz="0" w:space="0" w:color="auto"/>
        <w:left w:val="none" w:sz="0" w:space="0" w:color="auto"/>
        <w:bottom w:val="none" w:sz="0" w:space="0" w:color="auto"/>
        <w:right w:val="none" w:sz="0" w:space="0" w:color="auto"/>
      </w:divBdr>
    </w:div>
    <w:div w:id="813136256">
      <w:bodyDiv w:val="1"/>
      <w:marLeft w:val="0"/>
      <w:marRight w:val="0"/>
      <w:marTop w:val="0"/>
      <w:marBottom w:val="0"/>
      <w:divBdr>
        <w:top w:val="none" w:sz="0" w:space="0" w:color="auto"/>
        <w:left w:val="none" w:sz="0" w:space="0" w:color="auto"/>
        <w:bottom w:val="none" w:sz="0" w:space="0" w:color="auto"/>
        <w:right w:val="none" w:sz="0" w:space="0" w:color="auto"/>
      </w:divBdr>
    </w:div>
    <w:div w:id="1246764318">
      <w:bodyDiv w:val="1"/>
      <w:marLeft w:val="0"/>
      <w:marRight w:val="0"/>
      <w:marTop w:val="0"/>
      <w:marBottom w:val="0"/>
      <w:divBdr>
        <w:top w:val="none" w:sz="0" w:space="0" w:color="auto"/>
        <w:left w:val="none" w:sz="0" w:space="0" w:color="auto"/>
        <w:bottom w:val="none" w:sz="0" w:space="0" w:color="auto"/>
        <w:right w:val="none" w:sz="0" w:space="0" w:color="auto"/>
      </w:divBdr>
    </w:div>
    <w:div w:id="1763994189">
      <w:bodyDiv w:val="1"/>
      <w:marLeft w:val="0"/>
      <w:marRight w:val="0"/>
      <w:marTop w:val="0"/>
      <w:marBottom w:val="0"/>
      <w:divBdr>
        <w:top w:val="none" w:sz="0" w:space="0" w:color="auto"/>
        <w:left w:val="none" w:sz="0" w:space="0" w:color="auto"/>
        <w:bottom w:val="none" w:sz="0" w:space="0" w:color="auto"/>
        <w:right w:val="none" w:sz="0" w:space="0" w:color="auto"/>
      </w:divBdr>
    </w:div>
    <w:div w:id="1848328062">
      <w:bodyDiv w:val="1"/>
      <w:marLeft w:val="0"/>
      <w:marRight w:val="0"/>
      <w:marTop w:val="0"/>
      <w:marBottom w:val="0"/>
      <w:divBdr>
        <w:top w:val="none" w:sz="0" w:space="0" w:color="auto"/>
        <w:left w:val="none" w:sz="0" w:space="0" w:color="auto"/>
        <w:bottom w:val="none" w:sz="0" w:space="0" w:color="auto"/>
        <w:right w:val="none" w:sz="0" w:space="0" w:color="auto"/>
      </w:divBdr>
    </w:div>
    <w:div w:id="2055153794">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4</TotalTime>
  <Pages>2</Pages>
  <Words>397</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DLT/DC/15</vt:lpstr>
    </vt:vector>
  </TitlesOfParts>
  <Company>WIPO</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DLT/DC/15</dc:title>
  <dc:subject>接纳观察员</dc:subject>
  <dc:creator>Raquel Mallo Alvarez</dc:creator>
  <cp:keywords>FOR OFFICIAL USE ONLY</cp:keywords>
  <cp:lastModifiedBy>LI Yanmei</cp:lastModifiedBy>
  <cp:revision>3</cp:revision>
  <cp:lastPrinted>2024-11-13T09:41:00Z</cp:lastPrinted>
  <dcterms:created xsi:type="dcterms:W3CDTF">2024-11-13T12:28:00Z</dcterms:created>
  <dcterms:modified xsi:type="dcterms:W3CDTF">2024-11-13T12:32:00Z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