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9039A" w:rsidRDefault="00DB0349" w:rsidP="0010601F">
      <w:pPr>
        <w:spacing w:after="120"/>
        <w:jc w:val="right"/>
        <w:rPr>
          <w:lang w:val="fr-FR"/>
        </w:rPr>
      </w:pPr>
      <w:bookmarkStart w:id="0" w:name="_GoBack"/>
      <w:bookmarkEnd w:id="0"/>
      <w:r w:rsidRPr="0059039A">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59039A">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4EB3F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59039A" w:rsidRDefault="007C1928" w:rsidP="0010601F">
      <w:pPr>
        <w:jc w:val="right"/>
        <w:rPr>
          <w:rFonts w:ascii="Arial Black" w:hAnsi="Arial Black"/>
          <w:caps/>
          <w:sz w:val="15"/>
          <w:szCs w:val="15"/>
          <w:lang w:val="fr-FR"/>
        </w:rPr>
      </w:pPr>
      <w:r w:rsidRPr="0059039A">
        <w:rPr>
          <w:rFonts w:ascii="Arial Black" w:hAnsi="Arial Black"/>
          <w:caps/>
          <w:sz w:val="15"/>
          <w:lang w:val="fr-FR"/>
        </w:rPr>
        <w:t>GRATK/PM/</w:t>
      </w:r>
      <w:bookmarkStart w:id="1" w:name="Code"/>
      <w:r w:rsidR="003B640C" w:rsidRPr="0059039A">
        <w:rPr>
          <w:rFonts w:ascii="Arial Black" w:hAnsi="Arial Black"/>
          <w:caps/>
          <w:sz w:val="15"/>
          <w:szCs w:val="15"/>
          <w:lang w:val="fr-FR"/>
        </w:rPr>
        <w:t>2</w:t>
      </w:r>
    </w:p>
    <w:bookmarkEnd w:id="1"/>
    <w:p w:rsidR="008B2CC1" w:rsidRPr="0059039A" w:rsidRDefault="00DB0349" w:rsidP="0010601F">
      <w:pPr>
        <w:jc w:val="right"/>
        <w:rPr>
          <w:rFonts w:ascii="Arial Black" w:hAnsi="Arial Black"/>
          <w:caps/>
          <w:sz w:val="15"/>
          <w:szCs w:val="15"/>
          <w:lang w:val="fr-FR"/>
        </w:rPr>
      </w:pPr>
      <w:r w:rsidRPr="0059039A">
        <w:rPr>
          <w:rFonts w:ascii="Arial Black" w:hAnsi="Arial Black"/>
          <w:caps/>
          <w:sz w:val="15"/>
          <w:szCs w:val="15"/>
          <w:lang w:val="fr-FR"/>
        </w:rPr>
        <w:t>Original</w:t>
      </w:r>
      <w:r w:rsidR="00260BE8" w:rsidRPr="0059039A">
        <w:rPr>
          <w:rFonts w:ascii="Arial Black" w:hAnsi="Arial Black"/>
          <w:caps/>
          <w:sz w:val="15"/>
          <w:szCs w:val="15"/>
          <w:lang w:val="fr-FR"/>
        </w:rPr>
        <w:t> :</w:t>
      </w:r>
      <w:r w:rsidRPr="0059039A">
        <w:rPr>
          <w:rFonts w:ascii="Arial Black" w:hAnsi="Arial Black"/>
          <w:caps/>
          <w:sz w:val="15"/>
          <w:szCs w:val="15"/>
          <w:lang w:val="fr-FR"/>
        </w:rPr>
        <w:t xml:space="preserve"> </w:t>
      </w:r>
      <w:bookmarkStart w:id="2" w:name="Original"/>
      <w:r w:rsidR="003B640C" w:rsidRPr="0059039A">
        <w:rPr>
          <w:rFonts w:ascii="Arial Black" w:hAnsi="Arial Black"/>
          <w:caps/>
          <w:sz w:val="15"/>
          <w:szCs w:val="15"/>
          <w:lang w:val="fr-FR"/>
        </w:rPr>
        <w:t>anglais</w:t>
      </w:r>
    </w:p>
    <w:bookmarkEnd w:id="2"/>
    <w:p w:rsidR="008B2CC1" w:rsidRPr="0059039A" w:rsidRDefault="00DB0349" w:rsidP="0010601F">
      <w:pPr>
        <w:spacing w:after="1200"/>
        <w:jc w:val="right"/>
        <w:rPr>
          <w:rFonts w:ascii="Arial Black" w:hAnsi="Arial Black"/>
          <w:caps/>
          <w:sz w:val="15"/>
          <w:szCs w:val="15"/>
          <w:lang w:val="fr-FR"/>
        </w:rPr>
      </w:pPr>
      <w:r w:rsidRPr="0059039A">
        <w:rPr>
          <w:rFonts w:ascii="Arial Black" w:hAnsi="Arial Black"/>
          <w:caps/>
          <w:sz w:val="15"/>
          <w:szCs w:val="15"/>
          <w:lang w:val="fr-FR"/>
        </w:rPr>
        <w:t>date</w:t>
      </w:r>
      <w:r w:rsidR="00260BE8" w:rsidRPr="0059039A">
        <w:rPr>
          <w:rFonts w:ascii="Arial Black" w:hAnsi="Arial Black"/>
          <w:caps/>
          <w:sz w:val="15"/>
          <w:szCs w:val="15"/>
          <w:lang w:val="fr-FR"/>
        </w:rPr>
        <w:t> :</w:t>
      </w:r>
      <w:r w:rsidRPr="0059039A">
        <w:rPr>
          <w:rFonts w:ascii="Arial Black" w:hAnsi="Arial Black"/>
          <w:caps/>
          <w:sz w:val="15"/>
          <w:szCs w:val="15"/>
          <w:lang w:val="fr-FR"/>
        </w:rPr>
        <w:t xml:space="preserve"> </w:t>
      </w:r>
      <w:bookmarkStart w:id="3" w:name="Date"/>
      <w:r w:rsidR="008D6A88">
        <w:rPr>
          <w:rFonts w:ascii="Arial Black" w:hAnsi="Arial Black"/>
          <w:caps/>
          <w:sz w:val="15"/>
          <w:szCs w:val="15"/>
          <w:lang w:val="fr-FR"/>
        </w:rPr>
        <w:t>10</w:t>
      </w:r>
      <w:r w:rsidR="00260BE8" w:rsidRPr="0059039A">
        <w:rPr>
          <w:rFonts w:ascii="Arial Black" w:hAnsi="Arial Black"/>
          <w:caps/>
          <w:sz w:val="15"/>
          <w:szCs w:val="15"/>
          <w:lang w:val="fr-FR"/>
        </w:rPr>
        <w:t> juillet 20</w:t>
      </w:r>
      <w:r w:rsidR="003B640C" w:rsidRPr="0059039A">
        <w:rPr>
          <w:rFonts w:ascii="Arial Black" w:hAnsi="Arial Black"/>
          <w:caps/>
          <w:sz w:val="15"/>
          <w:szCs w:val="15"/>
          <w:lang w:val="fr-FR"/>
        </w:rPr>
        <w:t>23</w:t>
      </w:r>
    </w:p>
    <w:bookmarkEnd w:id="3"/>
    <w:p w:rsidR="00C40E15" w:rsidRPr="0059039A" w:rsidRDefault="007C1928" w:rsidP="0010601F">
      <w:pPr>
        <w:spacing w:after="600"/>
        <w:rPr>
          <w:b/>
          <w:sz w:val="28"/>
          <w:szCs w:val="28"/>
          <w:lang w:val="fr-FR"/>
        </w:rPr>
      </w:pPr>
      <w:r w:rsidRPr="0059039A">
        <w:rPr>
          <w:b/>
          <w:sz w:val="28"/>
          <w:szCs w:val="28"/>
          <w:lang w:val="fr-FR"/>
        </w:rPr>
        <w:t xml:space="preserve">Comité préparatoire de la </w:t>
      </w:r>
      <w:r w:rsidR="00370764" w:rsidRPr="0059039A">
        <w:rPr>
          <w:b/>
          <w:sz w:val="28"/>
          <w:szCs w:val="28"/>
          <w:lang w:val="fr-FR"/>
        </w:rPr>
        <w:t>Conférence diplomatique pour la </w:t>
      </w:r>
      <w:r w:rsidRPr="0059039A">
        <w:rPr>
          <w:b/>
          <w:sz w:val="28"/>
          <w:szCs w:val="28"/>
          <w:lang w:val="fr-FR"/>
        </w:rPr>
        <w:t>conclusion d</w:t>
      </w:r>
      <w:r w:rsidR="00260BE8" w:rsidRPr="0059039A">
        <w:rPr>
          <w:b/>
          <w:sz w:val="28"/>
          <w:szCs w:val="28"/>
          <w:lang w:val="fr-FR"/>
        </w:rPr>
        <w:t>’</w:t>
      </w:r>
      <w:r w:rsidRPr="0059039A">
        <w:rPr>
          <w:b/>
          <w:sz w:val="28"/>
          <w:szCs w:val="28"/>
          <w:lang w:val="fr-FR"/>
        </w:rPr>
        <w:t>un instrument juridique international sur la propriété intellectuelle relative aux ressources génétiques</w:t>
      </w:r>
      <w:r w:rsidR="00370764" w:rsidRPr="0059039A">
        <w:rPr>
          <w:lang w:val="fr-FR"/>
        </w:rPr>
        <w:t xml:space="preserve"> </w:t>
      </w:r>
      <w:r w:rsidR="00370764" w:rsidRPr="0059039A">
        <w:rPr>
          <w:b/>
          <w:sz w:val="28"/>
          <w:szCs w:val="28"/>
          <w:lang w:val="fr-FR"/>
        </w:rPr>
        <w:t>et aux savoirs traditionnels associés aux ressources génétiques</w:t>
      </w:r>
    </w:p>
    <w:p w:rsidR="008B2CC1" w:rsidRPr="0059039A" w:rsidRDefault="007C1928" w:rsidP="0010601F">
      <w:pPr>
        <w:spacing w:after="720"/>
        <w:rPr>
          <w:b/>
          <w:sz w:val="24"/>
          <w:szCs w:val="24"/>
          <w:lang w:val="fr-FR"/>
        </w:rPr>
      </w:pPr>
      <w:r w:rsidRPr="0059039A">
        <w:rPr>
          <w:b/>
          <w:sz w:val="24"/>
          <w:szCs w:val="24"/>
          <w:lang w:val="fr-FR"/>
        </w:rPr>
        <w:t>Genève, 11 – 1</w:t>
      </w:r>
      <w:r w:rsidR="00260BE8" w:rsidRPr="0059039A">
        <w:rPr>
          <w:b/>
          <w:sz w:val="24"/>
          <w:szCs w:val="24"/>
          <w:lang w:val="fr-FR"/>
        </w:rPr>
        <w:t>3 septembre 20</w:t>
      </w:r>
      <w:r w:rsidRPr="0059039A">
        <w:rPr>
          <w:b/>
          <w:sz w:val="24"/>
          <w:szCs w:val="24"/>
          <w:lang w:val="fr-FR"/>
        </w:rPr>
        <w:t>23</w:t>
      </w:r>
    </w:p>
    <w:p w:rsidR="008B2CC1" w:rsidRPr="0059039A" w:rsidRDefault="003B640C" w:rsidP="0010601F">
      <w:pPr>
        <w:spacing w:after="360"/>
        <w:rPr>
          <w:caps/>
          <w:sz w:val="24"/>
          <w:lang w:val="fr-FR"/>
        </w:rPr>
      </w:pPr>
      <w:bookmarkStart w:id="4" w:name="TitleOfDoc"/>
      <w:r w:rsidRPr="0059039A">
        <w:rPr>
          <w:caps/>
          <w:sz w:val="24"/>
          <w:lang w:val="fr-FR"/>
        </w:rPr>
        <w:t>Projet de dispositions administratives et de clauses finales de l</w:t>
      </w:r>
      <w:r w:rsidR="00260BE8" w:rsidRPr="0059039A">
        <w:rPr>
          <w:caps/>
          <w:sz w:val="24"/>
          <w:lang w:val="fr-FR"/>
        </w:rPr>
        <w:t>’</w:t>
      </w:r>
      <w:r w:rsidRPr="0059039A">
        <w:rPr>
          <w:caps/>
          <w:sz w:val="24"/>
          <w:lang w:val="fr-FR"/>
        </w:rPr>
        <w:t>instrument à soumettre à la conférence diplomatique</w:t>
      </w:r>
    </w:p>
    <w:p w:rsidR="00525B63" w:rsidRPr="0059039A" w:rsidRDefault="003B640C" w:rsidP="0010601F">
      <w:pPr>
        <w:spacing w:after="960"/>
        <w:rPr>
          <w:lang w:val="fr-FR"/>
        </w:rPr>
      </w:pPr>
      <w:bookmarkStart w:id="5" w:name="Prepared"/>
      <w:bookmarkEnd w:id="4"/>
      <w:r w:rsidRPr="0059039A">
        <w:rPr>
          <w:i/>
          <w:lang w:val="fr-FR"/>
        </w:rPr>
        <w:t>Document établi par le Secrétariat</w:t>
      </w:r>
    </w:p>
    <w:bookmarkEnd w:id="5"/>
    <w:p w:rsidR="003B640C" w:rsidRPr="0059039A" w:rsidRDefault="003B640C" w:rsidP="0010601F">
      <w:pPr>
        <w:pStyle w:val="Heading2"/>
        <w:rPr>
          <w:lang w:val="fr-FR"/>
        </w:rPr>
      </w:pPr>
      <w:r w:rsidRPr="0059039A">
        <w:rPr>
          <w:lang w:val="fr-FR"/>
        </w:rPr>
        <w:t>Présent</w:t>
      </w:r>
      <w:r w:rsidR="00CB4DAF" w:rsidRPr="0059039A">
        <w:rPr>
          <w:lang w:val="fr-FR"/>
        </w:rPr>
        <w:t>ation du projet de dispositions</w:t>
      </w:r>
    </w:p>
    <w:p w:rsidR="003B640C" w:rsidRPr="0059039A" w:rsidRDefault="003B640C" w:rsidP="0010601F">
      <w:pPr>
        <w:pStyle w:val="ONUMFS"/>
        <w:rPr>
          <w:lang w:val="fr-FR"/>
        </w:rPr>
      </w:pPr>
      <w:r w:rsidRPr="0059039A">
        <w:rPr>
          <w:lang w:val="fr-FR"/>
        </w:rPr>
        <w:t>L</w:t>
      </w:r>
      <w:r w:rsidR="00260BE8" w:rsidRPr="0059039A">
        <w:rPr>
          <w:lang w:val="fr-FR"/>
        </w:rPr>
        <w:t>’</w:t>
      </w:r>
      <w:r w:rsidRPr="0059039A">
        <w:rPr>
          <w:lang w:val="fr-FR"/>
        </w:rPr>
        <w:t>Assemblée générale de l</w:t>
      </w:r>
      <w:r w:rsidR="00260BE8" w:rsidRPr="0059039A">
        <w:rPr>
          <w:lang w:val="fr-FR"/>
        </w:rPr>
        <w:t>’</w:t>
      </w:r>
      <w:r w:rsidRPr="0059039A">
        <w:rPr>
          <w:lang w:val="fr-FR"/>
        </w:rPr>
        <w:t>OMPI, à sa cinquante</w:t>
      </w:r>
      <w:r w:rsidR="0010601F">
        <w:rPr>
          <w:lang w:val="fr-FR"/>
        </w:rPr>
        <w:noBreakHyphen/>
      </w:r>
      <w:r w:rsidRPr="0059039A">
        <w:rPr>
          <w:lang w:val="fr-FR"/>
        </w:rPr>
        <w:t>cinquième série de réunions tenue du</w:t>
      </w:r>
      <w:r w:rsidR="008D6A88">
        <w:rPr>
          <w:lang w:val="fr-FR"/>
        </w:rPr>
        <w:t> </w:t>
      </w:r>
      <w:r w:rsidRPr="0059039A">
        <w:rPr>
          <w:lang w:val="fr-FR"/>
        </w:rPr>
        <w:t>14</w:t>
      </w:r>
      <w:r w:rsidR="008D6A88">
        <w:rPr>
          <w:lang w:val="fr-FR"/>
        </w:rPr>
        <w:t> </w:t>
      </w:r>
      <w:r w:rsidRPr="0059039A">
        <w:rPr>
          <w:lang w:val="fr-FR"/>
        </w:rPr>
        <w:t>au</w:t>
      </w:r>
      <w:r w:rsidR="008D6A88">
        <w:rPr>
          <w:lang w:val="fr-FR"/>
        </w:rPr>
        <w:t> </w:t>
      </w:r>
      <w:r w:rsidRPr="0059039A">
        <w:rPr>
          <w:lang w:val="fr-FR"/>
        </w:rPr>
        <w:t>2</w:t>
      </w:r>
      <w:r w:rsidR="00260BE8" w:rsidRPr="0059039A">
        <w:rPr>
          <w:lang w:val="fr-FR"/>
        </w:rPr>
        <w:t>2 juillet 20</w:t>
      </w:r>
      <w:r w:rsidRPr="0059039A">
        <w:rPr>
          <w:lang w:val="fr-FR"/>
        </w:rPr>
        <w:t>22, a décidé de convoquer une Conférence diplomatique en vue de la conclusion d</w:t>
      </w:r>
      <w:r w:rsidR="00260BE8" w:rsidRPr="0059039A">
        <w:rPr>
          <w:lang w:val="fr-FR"/>
        </w:rPr>
        <w:t>’</w:t>
      </w:r>
      <w:r w:rsidRPr="0059039A">
        <w:rPr>
          <w:lang w:val="fr-FR"/>
        </w:rPr>
        <w:t>un instrument juridique international sur la propriété intellectuelle relative aux ressources génétiques et aux savoirs traditionnels associés aux ressources génétiques.  L</w:t>
      </w:r>
      <w:r w:rsidR="00260BE8" w:rsidRPr="0059039A">
        <w:rPr>
          <w:lang w:val="fr-FR"/>
        </w:rPr>
        <w:t>’</w:t>
      </w:r>
      <w:r w:rsidRPr="0059039A">
        <w:rPr>
          <w:lang w:val="fr-FR"/>
        </w:rPr>
        <w:t>Assemblée générale de l</w:t>
      </w:r>
      <w:r w:rsidR="00260BE8" w:rsidRPr="0059039A">
        <w:rPr>
          <w:lang w:val="fr-FR"/>
        </w:rPr>
        <w:t>’</w:t>
      </w:r>
      <w:r w:rsidRPr="0059039A">
        <w:rPr>
          <w:lang w:val="fr-FR"/>
        </w:rPr>
        <w:t>OMPI a en outre décidé “de convoquer un comité préparatoire au cours du second semestre de 2023, afin d</w:t>
      </w:r>
      <w:r w:rsidR="00260BE8" w:rsidRPr="0059039A">
        <w:rPr>
          <w:lang w:val="fr-FR"/>
        </w:rPr>
        <w:t>’</w:t>
      </w:r>
      <w:r w:rsidRPr="0059039A">
        <w:rPr>
          <w:lang w:val="fr-FR"/>
        </w:rPr>
        <w:t>établir les modalités d</w:t>
      </w:r>
      <w:r w:rsidR="00260BE8" w:rsidRPr="0059039A">
        <w:rPr>
          <w:lang w:val="fr-FR"/>
        </w:rPr>
        <w:t>’</w:t>
      </w:r>
      <w:r w:rsidRPr="0059039A">
        <w:rPr>
          <w:lang w:val="fr-FR"/>
        </w:rPr>
        <w:t>organisation de la conférence diplomatique” [</w:t>
      </w:r>
      <w:r w:rsidR="005D3F2A" w:rsidRPr="0059039A">
        <w:rPr>
          <w:lang w:val="fr-FR"/>
        </w:rPr>
        <w:t>…</w:t>
      </w:r>
      <w:r w:rsidRPr="0059039A">
        <w:rPr>
          <w:lang w:val="fr-FR"/>
        </w:rPr>
        <w:t>] et d</w:t>
      </w:r>
      <w:r w:rsidR="00260BE8" w:rsidRPr="0059039A">
        <w:rPr>
          <w:lang w:val="fr-FR"/>
        </w:rPr>
        <w:t>’</w:t>
      </w:r>
      <w:r w:rsidRPr="0059039A">
        <w:rPr>
          <w:lang w:val="fr-FR"/>
        </w:rPr>
        <w:t xml:space="preserve">“approuver également la proposition de base concernant les dispositions administratives et finales du traité” (voir le </w:t>
      </w:r>
      <w:r w:rsidR="00260BE8" w:rsidRPr="0059039A">
        <w:rPr>
          <w:lang w:val="fr-FR"/>
        </w:rPr>
        <w:t>paragraphe 3</w:t>
      </w:r>
      <w:r w:rsidRPr="0059039A">
        <w:rPr>
          <w:lang w:val="fr-FR"/>
        </w:rPr>
        <w:t>09 du document</w:t>
      </w:r>
      <w:r w:rsidR="008D6A88">
        <w:rPr>
          <w:lang w:val="fr-FR"/>
        </w:rPr>
        <w:t> </w:t>
      </w:r>
      <w:r w:rsidRPr="0059039A">
        <w:rPr>
          <w:lang w:val="fr-FR"/>
        </w:rPr>
        <w:t>WO/GA/55/12).</w:t>
      </w:r>
    </w:p>
    <w:p w:rsidR="003B640C" w:rsidRPr="0059039A" w:rsidRDefault="003B640C" w:rsidP="0010601F">
      <w:pPr>
        <w:pStyle w:val="ONUMFS"/>
        <w:rPr>
          <w:rStyle w:val="ui-provider"/>
          <w:lang w:val="fr-FR"/>
        </w:rPr>
      </w:pPr>
      <w:r w:rsidRPr="0059039A">
        <w:rPr>
          <w:lang w:val="fr-FR"/>
        </w:rPr>
        <w:t xml:space="preserve">Les </w:t>
      </w:r>
      <w:r w:rsidRPr="0059039A">
        <w:rPr>
          <w:rStyle w:val="ui-provider"/>
          <w:lang w:val="fr-FR"/>
        </w:rPr>
        <w:t>dispositions administratives et les clauses finales proposées, reproduites dans le présent document, s</w:t>
      </w:r>
      <w:r w:rsidR="00260BE8" w:rsidRPr="0059039A">
        <w:rPr>
          <w:rStyle w:val="ui-provider"/>
          <w:lang w:val="fr-FR"/>
        </w:rPr>
        <w:t>’</w:t>
      </w:r>
      <w:r w:rsidRPr="0059039A">
        <w:rPr>
          <w:rStyle w:val="ui-provider"/>
          <w:lang w:val="fr-FR"/>
        </w:rPr>
        <w:t>inspirent des</w:t>
      </w:r>
      <w:r w:rsidRPr="0059039A">
        <w:rPr>
          <w:lang w:val="fr-FR"/>
        </w:rPr>
        <w:t xml:space="preserve"> dispositions correspondantes des traités récents administrés par l</w:t>
      </w:r>
      <w:r w:rsidR="00260BE8" w:rsidRPr="0059039A">
        <w:rPr>
          <w:lang w:val="fr-FR"/>
        </w:rPr>
        <w:t>’</w:t>
      </w:r>
      <w:r w:rsidRPr="0059039A">
        <w:rPr>
          <w:lang w:val="fr-FR"/>
        </w:rPr>
        <w:t>OMPI, qui sont l</w:t>
      </w:r>
      <w:r w:rsidR="00260BE8" w:rsidRPr="0059039A">
        <w:rPr>
          <w:lang w:val="fr-FR"/>
        </w:rPr>
        <w:t>’</w:t>
      </w:r>
      <w:r w:rsidRPr="0059039A">
        <w:rPr>
          <w:lang w:val="fr-FR"/>
        </w:rPr>
        <w:t>expression la plus pertinente de la volonté et de la pratique des États membres de l</w:t>
      </w:r>
      <w:r w:rsidR="00260BE8" w:rsidRPr="0059039A">
        <w:rPr>
          <w:lang w:val="fr-FR"/>
        </w:rPr>
        <w:t>’</w:t>
      </w:r>
      <w:r w:rsidRPr="0059039A">
        <w:rPr>
          <w:lang w:val="fr-FR"/>
        </w:rPr>
        <w:t xml:space="preserve">OMPI en ce qui concerne de telles dispositions dans les instruments juridiques internationaux.  Elles tiennent également compte des dispositions pertinentes, </w:t>
      </w:r>
      <w:r w:rsidR="00260BE8" w:rsidRPr="0059039A">
        <w:rPr>
          <w:lang w:val="fr-FR"/>
        </w:rPr>
        <w:t>à savoir</w:t>
      </w:r>
      <w:r w:rsidRPr="0059039A">
        <w:rPr>
          <w:lang w:val="fr-FR"/>
        </w:rPr>
        <w:t xml:space="preserve"> les </w:t>
      </w:r>
      <w:r w:rsidR="00260BE8" w:rsidRPr="0059039A">
        <w:rPr>
          <w:lang w:val="fr-FR"/>
        </w:rPr>
        <w:t>article</w:t>
      </w:r>
      <w:r w:rsidR="00C12CC6">
        <w:rPr>
          <w:lang w:val="fr-FR"/>
        </w:rPr>
        <w:t>s</w:t>
      </w:r>
      <w:r w:rsidR="00260BE8" w:rsidRPr="0059039A">
        <w:rPr>
          <w:lang w:val="fr-FR"/>
        </w:rPr>
        <w:t> 1</w:t>
      </w:r>
      <w:r w:rsidR="0010601F">
        <w:rPr>
          <w:lang w:val="fr-FR"/>
        </w:rPr>
        <w:t>0 à </w:t>
      </w:r>
      <w:r w:rsidRPr="0059039A">
        <w:rPr>
          <w:lang w:val="fr-FR"/>
        </w:rPr>
        <w:t>20, contenues dans l</w:t>
      </w:r>
      <w:r w:rsidR="00260BE8" w:rsidRPr="0059039A">
        <w:rPr>
          <w:lang w:val="fr-FR"/>
        </w:rPr>
        <w:t>’</w:t>
      </w:r>
      <w:r w:rsidRPr="0059039A">
        <w:rPr>
          <w:lang w:val="fr-FR"/>
        </w:rPr>
        <w:t>annexe du document</w:t>
      </w:r>
      <w:r w:rsidR="008D6A88">
        <w:rPr>
          <w:lang w:val="fr-FR"/>
        </w:rPr>
        <w:t> </w:t>
      </w:r>
      <w:r w:rsidRPr="0059039A">
        <w:rPr>
          <w:lang w:val="fr-FR"/>
        </w:rPr>
        <w:t>WIPO/GRTKF/IC/43/5</w:t>
      </w:r>
      <w:r w:rsidRPr="0059039A">
        <w:rPr>
          <w:rStyle w:val="ui-provider"/>
          <w:lang w:val="fr-FR"/>
        </w:rPr>
        <w:t>.</w:t>
      </w:r>
    </w:p>
    <w:p w:rsidR="003B640C" w:rsidRPr="0059039A" w:rsidRDefault="003B640C" w:rsidP="0010601F">
      <w:pPr>
        <w:pStyle w:val="ONUMFS"/>
        <w:keepLines/>
        <w:ind w:left="5533"/>
        <w:rPr>
          <w:i/>
          <w:lang w:val="fr-FR"/>
        </w:rPr>
      </w:pPr>
      <w:r w:rsidRPr="0059039A">
        <w:rPr>
          <w:i/>
          <w:lang w:val="fr-FR"/>
        </w:rPr>
        <w:lastRenderedPageBreak/>
        <w:t>Le comité préparatoire est invité à examiner et à approuver les dispositions administratives et les clauses finales reproduites dans le document</w:t>
      </w:r>
      <w:r w:rsidR="008D6A88">
        <w:rPr>
          <w:lang w:val="fr-FR"/>
        </w:rPr>
        <w:t> </w:t>
      </w:r>
      <w:r w:rsidR="008D6A88">
        <w:rPr>
          <w:i/>
          <w:lang w:val="fr-FR"/>
        </w:rPr>
        <w:t>GRAT</w:t>
      </w:r>
      <w:r w:rsidRPr="0059039A">
        <w:rPr>
          <w:i/>
          <w:lang w:val="fr-FR"/>
        </w:rPr>
        <w:t>K/PM/2, qui seront ensuite examinées par la conférence diplomatique.</w:t>
      </w:r>
    </w:p>
    <w:p w:rsidR="003B640C" w:rsidRPr="0059039A" w:rsidRDefault="003B640C" w:rsidP="0010601F">
      <w:pPr>
        <w:rPr>
          <w:rFonts w:eastAsia="Times New Roman"/>
          <w:bCs/>
          <w:lang w:val="fr-FR"/>
        </w:rPr>
      </w:pPr>
      <w:r w:rsidRPr="0059039A">
        <w:rPr>
          <w:lang w:val="fr-FR"/>
        </w:rPr>
        <w:br w:type="page"/>
      </w:r>
    </w:p>
    <w:p w:rsidR="003B640C" w:rsidRPr="0059039A" w:rsidRDefault="003B640C" w:rsidP="0010601F">
      <w:pPr>
        <w:spacing w:after="220"/>
        <w:jc w:val="center"/>
        <w:textAlignment w:val="baseline"/>
        <w:rPr>
          <w:rFonts w:eastAsia="Times New Roman"/>
          <w:bCs/>
          <w:u w:val="single"/>
          <w:lang w:val="fr-FR"/>
        </w:rPr>
      </w:pPr>
      <w:r w:rsidRPr="0059039A">
        <w:rPr>
          <w:u w:val="single"/>
          <w:lang w:val="fr-FR"/>
        </w:rPr>
        <w:lastRenderedPageBreak/>
        <w:t>Projet de dispositions administratives et de clauses finales d</w:t>
      </w:r>
      <w:r w:rsidR="00260BE8" w:rsidRPr="0059039A">
        <w:rPr>
          <w:u w:val="single"/>
          <w:lang w:val="fr-FR"/>
        </w:rPr>
        <w:t>’</w:t>
      </w:r>
      <w:r w:rsidRPr="0059039A">
        <w:rPr>
          <w:u w:val="single"/>
          <w:lang w:val="fr-FR"/>
        </w:rPr>
        <w:t>un instrument juridique international sur la propriété intellectuelle relative aux ressources génétiques et aux savoirs traditionnels associés aux ressources génétiques</w:t>
      </w:r>
    </w:p>
    <w:p w:rsidR="003B640C" w:rsidRPr="0059039A" w:rsidRDefault="003B640C" w:rsidP="0010601F">
      <w:pPr>
        <w:spacing w:after="480"/>
        <w:jc w:val="center"/>
        <w:textAlignment w:val="baseline"/>
        <w:rPr>
          <w:rFonts w:eastAsia="Times New Roman"/>
          <w:szCs w:val="22"/>
          <w:lang w:val="fr-FR"/>
        </w:rPr>
      </w:pPr>
      <w:r w:rsidRPr="0059039A">
        <w:rPr>
          <w:b/>
          <w:lang w:val="fr-FR"/>
        </w:rPr>
        <w:t>Table des matières</w:t>
      </w:r>
    </w:p>
    <w:p w:rsidR="003B640C" w:rsidRPr="0059039A" w:rsidRDefault="00260BE8" w:rsidP="0010601F">
      <w:pPr>
        <w:spacing w:after="220"/>
        <w:textAlignment w:val="baseline"/>
        <w:rPr>
          <w:rFonts w:eastAsia="Times New Roman"/>
          <w:szCs w:val="22"/>
          <w:lang w:val="fr-FR"/>
        </w:rPr>
      </w:pPr>
      <w:r w:rsidRPr="0059039A">
        <w:rPr>
          <w:lang w:val="fr-FR"/>
        </w:rPr>
        <w:t>Article 1</w:t>
      </w:r>
      <w:r w:rsidR="003B640C" w:rsidRPr="0059039A">
        <w:rPr>
          <w:lang w:val="fr-FR"/>
        </w:rPr>
        <w:t>0</w:t>
      </w:r>
      <w:r w:rsidRPr="0059039A">
        <w:rPr>
          <w:lang w:val="fr-FR"/>
        </w:rPr>
        <w:t> :</w:t>
      </w:r>
      <w:r w:rsidR="005D3F2A" w:rsidRPr="0059039A">
        <w:rPr>
          <w:lang w:val="fr-FR"/>
        </w:rPr>
        <w:t xml:space="preserve"> </w:t>
      </w:r>
      <w:r w:rsidR="003B640C" w:rsidRPr="0059039A">
        <w:rPr>
          <w:lang w:val="fr-FR"/>
        </w:rPr>
        <w:tab/>
        <w:t>Principes généraux de mise en œuvre</w:t>
      </w:r>
    </w:p>
    <w:p w:rsidR="00260BE8" w:rsidRPr="0059039A" w:rsidRDefault="00260BE8" w:rsidP="0010601F">
      <w:pPr>
        <w:spacing w:after="220"/>
        <w:textAlignment w:val="baseline"/>
        <w:rPr>
          <w:lang w:val="fr-FR"/>
        </w:rPr>
      </w:pPr>
      <w:r w:rsidRPr="0059039A">
        <w:rPr>
          <w:lang w:val="fr-FR"/>
        </w:rPr>
        <w:t>Article 1</w:t>
      </w:r>
      <w:r w:rsidR="003B640C" w:rsidRPr="0059039A">
        <w:rPr>
          <w:lang w:val="fr-FR"/>
        </w:rPr>
        <w:t>1</w:t>
      </w:r>
      <w:r w:rsidRPr="0059039A">
        <w:rPr>
          <w:lang w:val="fr-FR"/>
        </w:rPr>
        <w:t> :</w:t>
      </w:r>
      <w:r w:rsidR="005D3F2A" w:rsidRPr="0059039A">
        <w:rPr>
          <w:lang w:val="fr-FR"/>
        </w:rPr>
        <w:t xml:space="preserve"> </w:t>
      </w:r>
      <w:r w:rsidR="003B640C" w:rsidRPr="0059039A">
        <w:rPr>
          <w:lang w:val="fr-FR"/>
        </w:rPr>
        <w:tab/>
        <w:t>Assemblée</w:t>
      </w:r>
    </w:p>
    <w:p w:rsidR="003B640C" w:rsidRPr="0059039A" w:rsidRDefault="00260BE8" w:rsidP="0010601F">
      <w:pPr>
        <w:spacing w:after="220"/>
        <w:textAlignment w:val="baseline"/>
        <w:rPr>
          <w:rFonts w:eastAsia="Times New Roman"/>
          <w:szCs w:val="22"/>
          <w:lang w:val="fr-FR"/>
        </w:rPr>
      </w:pPr>
      <w:r w:rsidRPr="0059039A">
        <w:rPr>
          <w:lang w:val="fr-FR"/>
        </w:rPr>
        <w:t>Article 1</w:t>
      </w:r>
      <w:r w:rsidR="003B640C" w:rsidRPr="0059039A">
        <w:rPr>
          <w:lang w:val="fr-FR"/>
        </w:rPr>
        <w:t>2</w:t>
      </w:r>
      <w:r w:rsidRPr="0059039A">
        <w:rPr>
          <w:lang w:val="fr-FR"/>
        </w:rPr>
        <w:t> :</w:t>
      </w:r>
      <w:r w:rsidR="005D3F2A" w:rsidRPr="0059039A">
        <w:rPr>
          <w:lang w:val="fr-FR"/>
        </w:rPr>
        <w:t xml:space="preserve"> </w:t>
      </w:r>
      <w:r w:rsidR="003B640C" w:rsidRPr="0059039A">
        <w:rPr>
          <w:lang w:val="fr-FR"/>
        </w:rPr>
        <w:tab/>
        <w:t>Bureau international</w:t>
      </w:r>
    </w:p>
    <w:p w:rsidR="003B640C" w:rsidRPr="0059039A" w:rsidRDefault="00260BE8" w:rsidP="0010601F">
      <w:pPr>
        <w:spacing w:after="220"/>
        <w:textAlignment w:val="baseline"/>
        <w:rPr>
          <w:rFonts w:eastAsia="Times New Roman"/>
          <w:szCs w:val="22"/>
          <w:lang w:val="fr-FR"/>
        </w:rPr>
      </w:pPr>
      <w:r w:rsidRPr="0059039A">
        <w:rPr>
          <w:lang w:val="fr-FR"/>
        </w:rPr>
        <w:t>Article 1</w:t>
      </w:r>
      <w:r w:rsidR="003B640C" w:rsidRPr="0059039A">
        <w:rPr>
          <w:lang w:val="fr-FR"/>
        </w:rPr>
        <w:t>3</w:t>
      </w:r>
      <w:r w:rsidRPr="0059039A">
        <w:rPr>
          <w:lang w:val="fr-FR"/>
        </w:rPr>
        <w:t> :</w:t>
      </w:r>
      <w:r w:rsidR="005D3F2A" w:rsidRPr="0059039A">
        <w:rPr>
          <w:lang w:val="fr-FR"/>
        </w:rPr>
        <w:t xml:space="preserve"> </w:t>
      </w:r>
      <w:r w:rsidR="003B640C" w:rsidRPr="0059039A">
        <w:rPr>
          <w:lang w:val="fr-FR"/>
        </w:rPr>
        <w:tab/>
        <w:t>Conditions à remplir pour devenir partie à l</w:t>
      </w:r>
      <w:r w:rsidRPr="0059039A">
        <w:rPr>
          <w:lang w:val="fr-FR"/>
        </w:rPr>
        <w:t>’</w:t>
      </w:r>
      <w:r w:rsidR="003B640C" w:rsidRPr="0059039A">
        <w:rPr>
          <w:lang w:val="fr-FR"/>
        </w:rPr>
        <w:t>instrument</w:t>
      </w:r>
    </w:p>
    <w:p w:rsidR="003B640C" w:rsidRPr="0059039A" w:rsidRDefault="00260BE8" w:rsidP="0010601F">
      <w:pPr>
        <w:spacing w:after="220"/>
        <w:textAlignment w:val="baseline"/>
        <w:rPr>
          <w:rFonts w:eastAsia="Times New Roman"/>
          <w:bCs/>
          <w:lang w:val="fr-FR"/>
        </w:rPr>
      </w:pPr>
      <w:r w:rsidRPr="0059039A">
        <w:rPr>
          <w:lang w:val="fr-FR"/>
        </w:rPr>
        <w:t>Article 1</w:t>
      </w:r>
      <w:r w:rsidR="003B640C" w:rsidRPr="0059039A">
        <w:rPr>
          <w:lang w:val="fr-FR"/>
        </w:rPr>
        <w:t>4</w:t>
      </w:r>
      <w:r w:rsidRPr="0059039A">
        <w:rPr>
          <w:lang w:val="fr-FR"/>
        </w:rPr>
        <w:t> :</w:t>
      </w:r>
      <w:r w:rsidR="005D3F2A" w:rsidRPr="0059039A">
        <w:rPr>
          <w:lang w:val="fr-FR"/>
        </w:rPr>
        <w:t xml:space="preserve"> </w:t>
      </w:r>
      <w:r w:rsidR="003B640C" w:rsidRPr="0059039A">
        <w:rPr>
          <w:lang w:val="fr-FR"/>
        </w:rPr>
        <w:tab/>
        <w:t>Ratification et adhésion</w:t>
      </w:r>
    </w:p>
    <w:p w:rsidR="003B640C" w:rsidRPr="0059039A" w:rsidRDefault="00260BE8" w:rsidP="0010601F">
      <w:pPr>
        <w:spacing w:after="220"/>
        <w:textAlignment w:val="baseline"/>
        <w:rPr>
          <w:rFonts w:eastAsia="Times New Roman"/>
          <w:bCs/>
          <w:lang w:val="fr-FR"/>
        </w:rPr>
      </w:pPr>
      <w:r w:rsidRPr="0059039A">
        <w:rPr>
          <w:lang w:val="fr-FR"/>
        </w:rPr>
        <w:t>Article 1</w:t>
      </w:r>
      <w:r w:rsidR="003B640C" w:rsidRPr="0059039A">
        <w:rPr>
          <w:lang w:val="fr-FR"/>
        </w:rPr>
        <w:t>5</w:t>
      </w:r>
      <w:r w:rsidRPr="0059039A">
        <w:rPr>
          <w:lang w:val="fr-FR"/>
        </w:rPr>
        <w:t> :</w:t>
      </w:r>
      <w:r w:rsidR="005D3F2A" w:rsidRPr="0059039A">
        <w:rPr>
          <w:lang w:val="fr-FR"/>
        </w:rPr>
        <w:t xml:space="preserve"> </w:t>
      </w:r>
      <w:r w:rsidR="003B640C" w:rsidRPr="0059039A">
        <w:rPr>
          <w:lang w:val="fr-FR"/>
        </w:rPr>
        <w:tab/>
        <w:t>Révision</w:t>
      </w:r>
    </w:p>
    <w:p w:rsidR="003B640C" w:rsidRPr="0059039A" w:rsidRDefault="00260BE8" w:rsidP="0010601F">
      <w:pPr>
        <w:spacing w:after="220"/>
        <w:textAlignment w:val="baseline"/>
        <w:rPr>
          <w:rFonts w:eastAsia="Times New Roman"/>
          <w:bCs/>
          <w:lang w:val="fr-FR"/>
        </w:rPr>
      </w:pPr>
      <w:r w:rsidRPr="0059039A">
        <w:rPr>
          <w:lang w:val="fr-FR"/>
        </w:rPr>
        <w:t>Article 1</w:t>
      </w:r>
      <w:r w:rsidR="003B640C" w:rsidRPr="0059039A">
        <w:rPr>
          <w:lang w:val="fr-FR"/>
        </w:rPr>
        <w:t>6</w:t>
      </w:r>
      <w:r w:rsidRPr="0059039A">
        <w:rPr>
          <w:lang w:val="fr-FR"/>
        </w:rPr>
        <w:t> :</w:t>
      </w:r>
      <w:r w:rsidR="005D3F2A" w:rsidRPr="0059039A">
        <w:rPr>
          <w:lang w:val="fr-FR"/>
        </w:rPr>
        <w:t xml:space="preserve"> </w:t>
      </w:r>
      <w:r w:rsidR="003B640C" w:rsidRPr="0059039A">
        <w:rPr>
          <w:lang w:val="fr-FR"/>
        </w:rPr>
        <w:tab/>
        <w:t>Modification des articles [11] et [12]</w:t>
      </w:r>
    </w:p>
    <w:p w:rsidR="003B640C" w:rsidRPr="0059039A" w:rsidRDefault="00260BE8" w:rsidP="0010601F">
      <w:pPr>
        <w:spacing w:after="220"/>
        <w:textAlignment w:val="baseline"/>
        <w:rPr>
          <w:rFonts w:eastAsia="Times New Roman"/>
          <w:szCs w:val="22"/>
          <w:lang w:val="fr-FR"/>
        </w:rPr>
      </w:pPr>
      <w:r w:rsidRPr="0059039A">
        <w:rPr>
          <w:lang w:val="fr-FR"/>
        </w:rPr>
        <w:t>Article 1</w:t>
      </w:r>
      <w:r w:rsidR="003B640C" w:rsidRPr="0059039A">
        <w:rPr>
          <w:lang w:val="fr-FR"/>
        </w:rPr>
        <w:t>7</w:t>
      </w:r>
      <w:r w:rsidRPr="0059039A">
        <w:rPr>
          <w:lang w:val="fr-FR"/>
        </w:rPr>
        <w:t> :</w:t>
      </w:r>
      <w:r w:rsidR="005D3F2A" w:rsidRPr="0059039A">
        <w:rPr>
          <w:lang w:val="fr-FR"/>
        </w:rPr>
        <w:t xml:space="preserve"> </w:t>
      </w:r>
      <w:r w:rsidR="003B640C" w:rsidRPr="0059039A">
        <w:rPr>
          <w:lang w:val="fr-FR"/>
        </w:rPr>
        <w:tab/>
        <w:t>Signature</w:t>
      </w:r>
    </w:p>
    <w:p w:rsidR="003B640C" w:rsidRPr="0059039A" w:rsidRDefault="00260BE8" w:rsidP="0010601F">
      <w:pPr>
        <w:spacing w:after="220"/>
        <w:textAlignment w:val="baseline"/>
        <w:rPr>
          <w:rFonts w:eastAsia="Times New Roman"/>
          <w:szCs w:val="22"/>
          <w:lang w:val="fr-FR"/>
        </w:rPr>
      </w:pPr>
      <w:r w:rsidRPr="0059039A">
        <w:rPr>
          <w:lang w:val="fr-FR"/>
        </w:rPr>
        <w:t>Article 1</w:t>
      </w:r>
      <w:r w:rsidR="003B640C" w:rsidRPr="0059039A">
        <w:rPr>
          <w:lang w:val="fr-FR"/>
        </w:rPr>
        <w:t>8</w:t>
      </w:r>
      <w:r w:rsidRPr="0059039A">
        <w:rPr>
          <w:lang w:val="fr-FR"/>
        </w:rPr>
        <w:t> :</w:t>
      </w:r>
      <w:r w:rsidR="005D3F2A" w:rsidRPr="0059039A">
        <w:rPr>
          <w:lang w:val="fr-FR"/>
        </w:rPr>
        <w:t xml:space="preserve"> </w:t>
      </w:r>
      <w:r w:rsidR="003B640C" w:rsidRPr="0059039A">
        <w:rPr>
          <w:lang w:val="fr-FR"/>
        </w:rPr>
        <w:tab/>
        <w:t>Entrée en vigueur</w:t>
      </w:r>
    </w:p>
    <w:p w:rsidR="003B640C" w:rsidRPr="0059039A" w:rsidRDefault="00260BE8" w:rsidP="0010601F">
      <w:pPr>
        <w:spacing w:after="220"/>
        <w:textAlignment w:val="baseline"/>
        <w:rPr>
          <w:rFonts w:eastAsia="Times New Roman"/>
          <w:bCs/>
          <w:lang w:val="fr-FR"/>
        </w:rPr>
      </w:pPr>
      <w:r w:rsidRPr="0059039A">
        <w:rPr>
          <w:lang w:val="fr-FR"/>
        </w:rPr>
        <w:t>Article 1</w:t>
      </w:r>
      <w:r w:rsidR="003B640C" w:rsidRPr="0059039A">
        <w:rPr>
          <w:lang w:val="fr-FR"/>
        </w:rPr>
        <w:t>9</w:t>
      </w:r>
      <w:r w:rsidRPr="0059039A">
        <w:rPr>
          <w:lang w:val="fr-FR"/>
        </w:rPr>
        <w:t> :</w:t>
      </w:r>
      <w:r w:rsidR="005D3F2A" w:rsidRPr="0059039A">
        <w:rPr>
          <w:lang w:val="fr-FR"/>
        </w:rPr>
        <w:t xml:space="preserve"> </w:t>
      </w:r>
      <w:r w:rsidR="003B640C" w:rsidRPr="0059039A">
        <w:rPr>
          <w:lang w:val="fr-FR"/>
        </w:rPr>
        <w:tab/>
        <w:t>Date de prise d</w:t>
      </w:r>
      <w:r w:rsidRPr="0059039A">
        <w:rPr>
          <w:lang w:val="fr-FR"/>
        </w:rPr>
        <w:t>’</w:t>
      </w:r>
      <w:r w:rsidR="003B640C" w:rsidRPr="0059039A">
        <w:rPr>
          <w:lang w:val="fr-FR"/>
        </w:rPr>
        <w:t>effet pour les parties</w:t>
      </w:r>
    </w:p>
    <w:p w:rsidR="003B640C" w:rsidRPr="0059039A" w:rsidRDefault="00260BE8" w:rsidP="0010601F">
      <w:pPr>
        <w:spacing w:after="220"/>
        <w:textAlignment w:val="baseline"/>
        <w:rPr>
          <w:rFonts w:eastAsia="Times New Roman"/>
          <w:szCs w:val="22"/>
          <w:lang w:val="fr-FR"/>
        </w:rPr>
      </w:pPr>
      <w:r w:rsidRPr="0059039A">
        <w:rPr>
          <w:lang w:val="fr-FR"/>
        </w:rPr>
        <w:t>Article 2</w:t>
      </w:r>
      <w:r w:rsidR="003B640C" w:rsidRPr="0059039A">
        <w:rPr>
          <w:lang w:val="fr-FR"/>
        </w:rPr>
        <w:t>0</w:t>
      </w:r>
      <w:r w:rsidRPr="0059039A">
        <w:rPr>
          <w:lang w:val="fr-FR"/>
        </w:rPr>
        <w:t> :</w:t>
      </w:r>
      <w:r w:rsidR="005D3F2A" w:rsidRPr="0059039A">
        <w:rPr>
          <w:lang w:val="fr-FR"/>
        </w:rPr>
        <w:t xml:space="preserve"> </w:t>
      </w:r>
      <w:r w:rsidR="003B640C" w:rsidRPr="0059039A">
        <w:rPr>
          <w:lang w:val="fr-FR"/>
        </w:rPr>
        <w:tab/>
        <w:t>Dénonciation</w:t>
      </w:r>
    </w:p>
    <w:p w:rsidR="003B640C" w:rsidRPr="0059039A" w:rsidRDefault="00260BE8" w:rsidP="0010601F">
      <w:pPr>
        <w:spacing w:after="220"/>
        <w:textAlignment w:val="baseline"/>
        <w:rPr>
          <w:rFonts w:eastAsia="Times New Roman"/>
          <w:szCs w:val="22"/>
          <w:lang w:val="fr-FR"/>
        </w:rPr>
      </w:pPr>
      <w:r w:rsidRPr="0059039A">
        <w:rPr>
          <w:lang w:val="fr-FR"/>
        </w:rPr>
        <w:t>Article 2</w:t>
      </w:r>
      <w:r w:rsidR="003B640C" w:rsidRPr="0059039A">
        <w:rPr>
          <w:lang w:val="fr-FR"/>
        </w:rPr>
        <w:t>1</w:t>
      </w:r>
      <w:r w:rsidRPr="0059039A">
        <w:rPr>
          <w:lang w:val="fr-FR"/>
        </w:rPr>
        <w:t> :</w:t>
      </w:r>
      <w:r w:rsidR="005D3F2A" w:rsidRPr="0059039A">
        <w:rPr>
          <w:lang w:val="fr-FR"/>
        </w:rPr>
        <w:t xml:space="preserve"> </w:t>
      </w:r>
      <w:r w:rsidR="003B640C" w:rsidRPr="0059039A">
        <w:rPr>
          <w:lang w:val="fr-FR"/>
        </w:rPr>
        <w:tab/>
        <w:t>Réserves</w:t>
      </w:r>
    </w:p>
    <w:p w:rsidR="003B640C" w:rsidRPr="0059039A" w:rsidRDefault="00260BE8" w:rsidP="0010601F">
      <w:pPr>
        <w:spacing w:after="220"/>
        <w:textAlignment w:val="baseline"/>
        <w:rPr>
          <w:rFonts w:eastAsia="Times New Roman"/>
          <w:szCs w:val="22"/>
          <w:lang w:val="fr-FR"/>
        </w:rPr>
      </w:pPr>
      <w:r w:rsidRPr="0059039A">
        <w:rPr>
          <w:lang w:val="fr-FR"/>
        </w:rPr>
        <w:t>Article 2</w:t>
      </w:r>
      <w:r w:rsidR="003B640C" w:rsidRPr="0059039A">
        <w:rPr>
          <w:lang w:val="fr-FR"/>
        </w:rPr>
        <w:t>2</w:t>
      </w:r>
      <w:r w:rsidRPr="0059039A">
        <w:rPr>
          <w:lang w:val="fr-FR"/>
        </w:rPr>
        <w:t> :</w:t>
      </w:r>
      <w:r w:rsidR="005D3F2A" w:rsidRPr="0059039A">
        <w:rPr>
          <w:lang w:val="fr-FR"/>
        </w:rPr>
        <w:t xml:space="preserve"> </w:t>
      </w:r>
      <w:r w:rsidR="003B640C" w:rsidRPr="0059039A">
        <w:rPr>
          <w:lang w:val="fr-FR"/>
        </w:rPr>
        <w:tab/>
        <w:t>Langues</w:t>
      </w:r>
    </w:p>
    <w:p w:rsidR="003B640C" w:rsidRPr="0059039A" w:rsidRDefault="00260BE8" w:rsidP="0010601F">
      <w:pPr>
        <w:spacing w:after="220"/>
        <w:textAlignment w:val="baseline"/>
        <w:rPr>
          <w:rFonts w:eastAsia="Times New Roman"/>
          <w:szCs w:val="22"/>
          <w:lang w:val="fr-FR"/>
        </w:rPr>
      </w:pPr>
      <w:r w:rsidRPr="0059039A">
        <w:rPr>
          <w:lang w:val="fr-FR"/>
        </w:rPr>
        <w:t>Article 2</w:t>
      </w:r>
      <w:r w:rsidR="003B640C" w:rsidRPr="0059039A">
        <w:rPr>
          <w:lang w:val="fr-FR"/>
        </w:rPr>
        <w:t>3</w:t>
      </w:r>
      <w:r w:rsidRPr="0059039A">
        <w:rPr>
          <w:lang w:val="fr-FR"/>
        </w:rPr>
        <w:t> :</w:t>
      </w:r>
      <w:r w:rsidR="005D3F2A" w:rsidRPr="0059039A">
        <w:rPr>
          <w:lang w:val="fr-FR"/>
        </w:rPr>
        <w:t xml:space="preserve"> </w:t>
      </w:r>
      <w:r w:rsidR="003B640C" w:rsidRPr="0059039A">
        <w:rPr>
          <w:lang w:val="fr-FR"/>
        </w:rPr>
        <w:tab/>
        <w:t>Dépositaire</w:t>
      </w:r>
    </w:p>
    <w:p w:rsidR="003B640C" w:rsidRPr="0059039A" w:rsidRDefault="003B640C" w:rsidP="0010601F">
      <w:pPr>
        <w:rPr>
          <w:lang w:val="fr-FR"/>
        </w:rPr>
      </w:pPr>
      <w:r w:rsidRPr="0059039A">
        <w:rPr>
          <w:lang w:val="fr-FR"/>
        </w:rPr>
        <w:br w:type="page"/>
      </w:r>
    </w:p>
    <w:p w:rsidR="003B640C" w:rsidRPr="0059039A" w:rsidRDefault="0010601F" w:rsidP="0010601F">
      <w:pPr>
        <w:jc w:val="center"/>
        <w:textAlignment w:val="baseline"/>
        <w:rPr>
          <w:rFonts w:eastAsia="Times New Roman"/>
          <w:b/>
          <w:bCs/>
          <w:lang w:val="fr-FR"/>
        </w:rPr>
      </w:pPr>
      <w:r w:rsidRPr="0059039A">
        <w:rPr>
          <w:b/>
          <w:lang w:val="fr-FR"/>
        </w:rPr>
        <w:t>ARTICLE 10</w:t>
      </w:r>
    </w:p>
    <w:p w:rsidR="003B640C" w:rsidRPr="0059039A" w:rsidRDefault="003B640C" w:rsidP="0010601F">
      <w:pPr>
        <w:spacing w:after="220"/>
        <w:jc w:val="center"/>
        <w:textAlignment w:val="baseline"/>
        <w:rPr>
          <w:rFonts w:eastAsia="Times New Roman"/>
          <w:b/>
          <w:bCs/>
          <w:lang w:val="fr-FR"/>
        </w:rPr>
      </w:pPr>
      <w:r w:rsidRPr="0059039A">
        <w:rPr>
          <w:b/>
          <w:lang w:val="fr-FR"/>
        </w:rPr>
        <w:t>PRINCIPES GÉNÉRAUX DE MISE EN ŒUVRE</w:t>
      </w:r>
    </w:p>
    <w:p w:rsidR="003B640C" w:rsidRPr="0059039A" w:rsidRDefault="00751175" w:rsidP="008E68C2">
      <w:pPr>
        <w:tabs>
          <w:tab w:val="left" w:pos="567"/>
        </w:tabs>
        <w:spacing w:after="220"/>
        <w:textAlignment w:val="baseline"/>
        <w:rPr>
          <w:rFonts w:eastAsia="Times New Roman"/>
          <w:lang w:val="fr-FR"/>
        </w:rPr>
      </w:pPr>
      <w:r>
        <w:rPr>
          <w:lang w:val="fr-FR"/>
        </w:rPr>
        <w:t>10.1</w:t>
      </w:r>
      <w:r w:rsidR="008E68C2">
        <w:rPr>
          <w:lang w:val="fr-FR"/>
        </w:rPr>
        <w:tab/>
      </w:r>
      <w:r w:rsidR="003B640C" w:rsidRPr="0059039A">
        <w:rPr>
          <w:lang w:val="fr-FR"/>
        </w:rPr>
        <w:t>Les parties contractantes s</w:t>
      </w:r>
      <w:r w:rsidR="00260BE8" w:rsidRPr="0059039A">
        <w:rPr>
          <w:lang w:val="fr-FR"/>
        </w:rPr>
        <w:t>’</w:t>
      </w:r>
      <w:r w:rsidR="003B640C" w:rsidRPr="0059039A">
        <w:rPr>
          <w:lang w:val="fr-FR"/>
        </w:rPr>
        <w:t>engagent à adopter les mesures nécessaires pour assurer l</w:t>
      </w:r>
      <w:r w:rsidR="00260BE8" w:rsidRPr="0059039A">
        <w:rPr>
          <w:lang w:val="fr-FR"/>
        </w:rPr>
        <w:t>’</w:t>
      </w:r>
      <w:r w:rsidR="003B640C" w:rsidRPr="0059039A">
        <w:rPr>
          <w:lang w:val="fr-FR"/>
        </w:rPr>
        <w:t>application du présent instrument.</w:t>
      </w:r>
    </w:p>
    <w:p w:rsidR="003B640C" w:rsidRPr="0059039A" w:rsidRDefault="00751175" w:rsidP="008E68C2">
      <w:pPr>
        <w:tabs>
          <w:tab w:val="left" w:pos="567"/>
        </w:tabs>
        <w:spacing w:after="480"/>
        <w:textAlignment w:val="baseline"/>
        <w:rPr>
          <w:rFonts w:eastAsia="Times New Roman"/>
          <w:lang w:val="fr-FR"/>
        </w:rPr>
      </w:pPr>
      <w:r>
        <w:rPr>
          <w:lang w:val="fr-FR"/>
        </w:rPr>
        <w:t>10.2</w:t>
      </w:r>
      <w:r w:rsidR="008E68C2">
        <w:rPr>
          <w:lang w:val="fr-FR"/>
        </w:rPr>
        <w:tab/>
      </w:r>
      <w:r w:rsidR="003B640C" w:rsidRPr="0059039A">
        <w:rPr>
          <w:lang w:val="fr-FR"/>
        </w:rPr>
        <w:t>Rien ne doit empêcher les parties contractantes de déterminer la méthode appropriée pour mettre en œuvre les dispositions du présent instrument dans le cadre de leurs propres systèmes et pratiques juridiques.</w:t>
      </w:r>
    </w:p>
    <w:p w:rsidR="003B640C" w:rsidRPr="0059039A" w:rsidRDefault="0010601F" w:rsidP="008E68C2">
      <w:pPr>
        <w:tabs>
          <w:tab w:val="left" w:pos="567"/>
        </w:tabs>
        <w:jc w:val="center"/>
        <w:textAlignment w:val="baseline"/>
        <w:rPr>
          <w:rFonts w:eastAsia="Times New Roman"/>
          <w:b/>
          <w:bCs/>
          <w:lang w:val="fr-FR"/>
        </w:rPr>
      </w:pPr>
      <w:r w:rsidRPr="0059039A">
        <w:rPr>
          <w:b/>
          <w:lang w:val="fr-FR"/>
        </w:rPr>
        <w:t>ARTICLE 11</w:t>
      </w:r>
    </w:p>
    <w:p w:rsidR="003B640C" w:rsidRPr="0059039A" w:rsidRDefault="003B640C" w:rsidP="008E68C2">
      <w:pPr>
        <w:tabs>
          <w:tab w:val="left" w:pos="567"/>
        </w:tabs>
        <w:spacing w:after="220"/>
        <w:jc w:val="center"/>
        <w:textAlignment w:val="baseline"/>
        <w:rPr>
          <w:rFonts w:eastAsia="Times New Roman"/>
          <w:b/>
          <w:bCs/>
          <w:lang w:val="fr-FR"/>
        </w:rPr>
      </w:pPr>
      <w:r w:rsidRPr="0059039A">
        <w:rPr>
          <w:b/>
          <w:lang w:val="fr-FR"/>
        </w:rPr>
        <w:t>ASSEMBLÉE</w:t>
      </w:r>
    </w:p>
    <w:p w:rsidR="003B640C" w:rsidRPr="0059039A" w:rsidRDefault="00751175" w:rsidP="008E68C2">
      <w:pPr>
        <w:tabs>
          <w:tab w:val="left" w:pos="567"/>
        </w:tabs>
        <w:spacing w:after="220"/>
        <w:textAlignment w:val="baseline"/>
        <w:rPr>
          <w:rFonts w:eastAsia="Times New Roman"/>
          <w:lang w:val="fr-FR"/>
        </w:rPr>
      </w:pPr>
      <w:r>
        <w:rPr>
          <w:lang w:val="fr-FR"/>
        </w:rPr>
        <w:t>11.1</w:t>
      </w:r>
      <w:r w:rsidR="008E68C2">
        <w:rPr>
          <w:lang w:val="fr-FR"/>
        </w:rPr>
        <w:tab/>
      </w:r>
      <w:r w:rsidR="003B640C" w:rsidRPr="0059039A">
        <w:rPr>
          <w:lang w:val="fr-FR"/>
        </w:rPr>
        <w:t>Les parties contractantes ont une assemblée</w:t>
      </w:r>
      <w:r w:rsidR="00260BE8" w:rsidRPr="0059039A">
        <w:rPr>
          <w:lang w:val="fr-FR"/>
        </w:rPr>
        <w:t> :</w:t>
      </w:r>
    </w:p>
    <w:p w:rsidR="003B640C" w:rsidRPr="001E6AAF" w:rsidRDefault="003B640C" w:rsidP="008E68C2">
      <w:pPr>
        <w:pStyle w:val="ListParagraph"/>
        <w:numPr>
          <w:ilvl w:val="0"/>
          <w:numId w:val="7"/>
        </w:numPr>
        <w:tabs>
          <w:tab w:val="left" w:pos="567"/>
        </w:tabs>
        <w:spacing w:after="220"/>
        <w:contextualSpacing w:val="0"/>
        <w:textAlignment w:val="baseline"/>
        <w:rPr>
          <w:rFonts w:eastAsia="Times New Roman"/>
          <w:szCs w:val="22"/>
        </w:rPr>
      </w:pPr>
      <w:r w:rsidRPr="0059039A">
        <w:t>Chaque partie contractante est représentée à l</w:t>
      </w:r>
      <w:r w:rsidR="00260BE8" w:rsidRPr="0059039A">
        <w:t>’</w:t>
      </w:r>
      <w:r w:rsidRPr="0059039A">
        <w:t>assemblée par un délégué, qui peut être assisté de suppléants, de conseillers et d</w:t>
      </w:r>
      <w:r w:rsidR="00260BE8" w:rsidRPr="0059039A">
        <w:t>’</w:t>
      </w:r>
      <w:r w:rsidRPr="0059039A">
        <w:t>experts. </w:t>
      </w:r>
    </w:p>
    <w:p w:rsidR="003B640C" w:rsidRPr="0059039A" w:rsidRDefault="003B640C" w:rsidP="008E68C2">
      <w:pPr>
        <w:pStyle w:val="ListParagraph"/>
        <w:numPr>
          <w:ilvl w:val="0"/>
          <w:numId w:val="7"/>
        </w:numPr>
        <w:tabs>
          <w:tab w:val="left" w:pos="567"/>
        </w:tabs>
        <w:spacing w:after="220"/>
        <w:contextualSpacing w:val="0"/>
        <w:textAlignment w:val="baseline"/>
        <w:rPr>
          <w:rFonts w:eastAsia="Times New Roman"/>
          <w:szCs w:val="22"/>
        </w:rPr>
      </w:pPr>
      <w:r w:rsidRPr="0059039A">
        <w:t>Les dépenses de chaque délégation doivent être supportées par la partie contractante qui l</w:t>
      </w:r>
      <w:r w:rsidR="00260BE8" w:rsidRPr="0059039A">
        <w:t>’</w:t>
      </w:r>
      <w:r w:rsidRPr="0059039A">
        <w:t>a désign</w:t>
      </w:r>
      <w:r w:rsidR="0059039A" w:rsidRPr="0059039A">
        <w:t>ée.  L’a</w:t>
      </w:r>
      <w:r w:rsidRPr="0059039A">
        <w:t>ssemblée peut demander au Bureau international d</w:t>
      </w:r>
      <w:r w:rsidR="00260BE8" w:rsidRPr="0059039A">
        <w:t>’</w:t>
      </w:r>
      <w:r w:rsidRPr="0059039A">
        <w:t>accorder une assistance financière pour faciliter la participation de délégations des parties contractantes qui sont considérées comme des pays en développement ou qui sont des pays en transition vers une économie de marché. </w:t>
      </w:r>
    </w:p>
    <w:p w:rsidR="003B640C" w:rsidRPr="0059039A" w:rsidRDefault="003B640C" w:rsidP="008E68C2">
      <w:pPr>
        <w:tabs>
          <w:tab w:val="left" w:pos="567"/>
        </w:tabs>
        <w:spacing w:after="220"/>
        <w:rPr>
          <w:lang w:val="fr-FR"/>
        </w:rPr>
      </w:pPr>
      <w:r w:rsidRPr="0059039A">
        <w:rPr>
          <w:lang w:val="fr-FR"/>
        </w:rPr>
        <w:t>11.2</w:t>
      </w:r>
      <w:r w:rsidR="008E68C2">
        <w:rPr>
          <w:lang w:val="fr-FR"/>
        </w:rPr>
        <w:tab/>
      </w:r>
      <w:r w:rsidRPr="0059039A">
        <w:rPr>
          <w:lang w:val="fr-FR"/>
        </w:rPr>
        <w:t>L</w:t>
      </w:r>
      <w:r w:rsidR="00260BE8" w:rsidRPr="0059039A">
        <w:rPr>
          <w:lang w:val="fr-FR"/>
        </w:rPr>
        <w:t>’</w:t>
      </w:r>
      <w:r w:rsidRPr="0059039A">
        <w:rPr>
          <w:lang w:val="fr-FR"/>
        </w:rPr>
        <w:t>assemblée</w:t>
      </w:r>
    </w:p>
    <w:p w:rsidR="003B640C" w:rsidRPr="008E68C2" w:rsidRDefault="003B640C" w:rsidP="008E68C2">
      <w:pPr>
        <w:pStyle w:val="ListParagraph"/>
        <w:numPr>
          <w:ilvl w:val="0"/>
          <w:numId w:val="9"/>
        </w:numPr>
        <w:tabs>
          <w:tab w:val="left" w:pos="567"/>
        </w:tabs>
        <w:spacing w:after="220"/>
        <w:contextualSpacing w:val="0"/>
        <w:textAlignment w:val="baseline"/>
      </w:pPr>
      <w:r w:rsidRPr="0059039A">
        <w:t>traite de toutes les questions concernant le maintien et le développement du présent instrument, ainsi que son application et son fonctionnement;</w:t>
      </w:r>
    </w:p>
    <w:p w:rsidR="003B640C" w:rsidRPr="008E68C2" w:rsidRDefault="003B640C" w:rsidP="008E68C2">
      <w:pPr>
        <w:pStyle w:val="ListParagraph"/>
        <w:numPr>
          <w:ilvl w:val="0"/>
          <w:numId w:val="9"/>
        </w:numPr>
        <w:tabs>
          <w:tab w:val="left" w:pos="567"/>
        </w:tabs>
        <w:spacing w:after="220"/>
        <w:contextualSpacing w:val="0"/>
        <w:textAlignment w:val="baseline"/>
      </w:pPr>
      <w:r w:rsidRPr="0059039A">
        <w:t>s</w:t>
      </w:r>
      <w:r w:rsidR="00260BE8" w:rsidRPr="0059039A">
        <w:t>’</w:t>
      </w:r>
      <w:r w:rsidRPr="0059039A">
        <w:t>acquitte du rôle qui lui est attribué aux termes de l</w:t>
      </w:r>
      <w:r w:rsidR="00260BE8" w:rsidRPr="0059039A">
        <w:t>’</w:t>
      </w:r>
      <w:r w:rsidRPr="0059039A">
        <w:t>article</w:t>
      </w:r>
      <w:r w:rsidR="001E6AAF">
        <w:t> </w:t>
      </w:r>
      <w:r w:rsidRPr="0059039A">
        <w:t>[13.2] concernant l</w:t>
      </w:r>
      <w:r w:rsidR="00260BE8" w:rsidRPr="0059039A">
        <w:t>’</w:t>
      </w:r>
      <w:r w:rsidRPr="0059039A">
        <w:t>adhésion de certaines organisations intergouvernementales au présent instrument;</w:t>
      </w:r>
    </w:p>
    <w:p w:rsidR="00260BE8" w:rsidRPr="0059039A" w:rsidRDefault="003B640C" w:rsidP="008E68C2">
      <w:pPr>
        <w:pStyle w:val="ListParagraph"/>
        <w:numPr>
          <w:ilvl w:val="0"/>
          <w:numId w:val="9"/>
        </w:numPr>
        <w:tabs>
          <w:tab w:val="left" w:pos="567"/>
        </w:tabs>
        <w:spacing w:after="220"/>
        <w:contextualSpacing w:val="0"/>
        <w:textAlignment w:val="baseline"/>
      </w:pPr>
      <w:r w:rsidRPr="0059039A">
        <w:t>procède à l</w:t>
      </w:r>
      <w:r w:rsidR="00260BE8" w:rsidRPr="0059039A">
        <w:t>’</w:t>
      </w:r>
      <w:r w:rsidRPr="0059039A">
        <w:t>examen visé à l</w:t>
      </w:r>
      <w:r w:rsidR="00260BE8" w:rsidRPr="0059039A">
        <w:t>’</w:t>
      </w:r>
      <w:r w:rsidRPr="0059039A">
        <w:t>article</w:t>
      </w:r>
      <w:r w:rsidR="001E6AAF">
        <w:t> </w:t>
      </w:r>
      <w:r w:rsidRPr="0059039A">
        <w:t>[9];</w:t>
      </w:r>
    </w:p>
    <w:p w:rsidR="003B640C" w:rsidRPr="008E68C2" w:rsidRDefault="003B640C" w:rsidP="008E68C2">
      <w:pPr>
        <w:pStyle w:val="ListParagraph"/>
        <w:numPr>
          <w:ilvl w:val="0"/>
          <w:numId w:val="9"/>
        </w:numPr>
        <w:tabs>
          <w:tab w:val="left" w:pos="567"/>
        </w:tabs>
        <w:spacing w:after="220"/>
        <w:contextualSpacing w:val="0"/>
        <w:textAlignment w:val="baseline"/>
      </w:pPr>
      <w:r w:rsidRPr="0059039A">
        <w:t>décide de la convocation d</w:t>
      </w:r>
      <w:r w:rsidR="00260BE8" w:rsidRPr="0059039A">
        <w:t>’</w:t>
      </w:r>
      <w:r w:rsidRPr="0059039A">
        <w:t>une conférence diplomatique de révision du présent instrument visée à l</w:t>
      </w:r>
      <w:r w:rsidR="00260BE8" w:rsidRPr="0059039A">
        <w:t>’</w:t>
      </w:r>
      <w:r w:rsidRPr="0059039A">
        <w:t>article</w:t>
      </w:r>
      <w:r w:rsidR="001E6AAF">
        <w:t> </w:t>
      </w:r>
      <w:r w:rsidRPr="0059039A">
        <w:t xml:space="preserve">[15], </w:t>
      </w:r>
      <w:r w:rsidR="00260BE8" w:rsidRPr="0059039A">
        <w:t>y compris</w:t>
      </w:r>
      <w:r w:rsidRPr="0059039A">
        <w:t xml:space="preserve"> à la suite de l</w:t>
      </w:r>
      <w:r w:rsidR="00260BE8" w:rsidRPr="0059039A">
        <w:t>’</w:t>
      </w:r>
      <w:r w:rsidRPr="0059039A">
        <w:t>examen visé à l</w:t>
      </w:r>
      <w:r w:rsidR="00260BE8" w:rsidRPr="0059039A">
        <w:t>’</w:t>
      </w:r>
      <w:r w:rsidRPr="0059039A">
        <w:t>article</w:t>
      </w:r>
      <w:r w:rsidR="001E6AAF">
        <w:t> </w:t>
      </w:r>
      <w:r w:rsidRPr="0059039A">
        <w:t>[9], et donne les instructions nécessaires au Directeur général de l</w:t>
      </w:r>
      <w:r w:rsidR="00260BE8" w:rsidRPr="0059039A">
        <w:t>’</w:t>
      </w:r>
      <w:r w:rsidRPr="0059039A">
        <w:t>OMPI pour la préparation de celle</w:t>
      </w:r>
      <w:r w:rsidR="0010601F">
        <w:noBreakHyphen/>
      </w:r>
      <w:r w:rsidRPr="0059039A">
        <w:t>ci;</w:t>
      </w:r>
    </w:p>
    <w:p w:rsidR="003B640C" w:rsidRPr="008E68C2" w:rsidRDefault="003B640C" w:rsidP="008E68C2">
      <w:pPr>
        <w:pStyle w:val="ListParagraph"/>
        <w:numPr>
          <w:ilvl w:val="0"/>
          <w:numId w:val="9"/>
        </w:numPr>
        <w:tabs>
          <w:tab w:val="left" w:pos="567"/>
        </w:tabs>
        <w:spacing w:after="220"/>
        <w:contextualSpacing w:val="0"/>
        <w:textAlignment w:val="baseline"/>
      </w:pPr>
      <w:r w:rsidRPr="0059039A">
        <w:t>peut créer les groupes de travail techniques qu</w:t>
      </w:r>
      <w:r w:rsidR="00260BE8" w:rsidRPr="0059039A">
        <w:t>’</w:t>
      </w:r>
      <w:r w:rsidRPr="0059039A">
        <w:t>elle juge utiles pour la conseiller sur les questions visées aux articles</w:t>
      </w:r>
      <w:r w:rsidR="001E6AAF">
        <w:t> [7] et </w:t>
      </w:r>
      <w:r w:rsidRPr="0059039A">
        <w:t>[9], ainsi que sur toute autre question;</w:t>
      </w:r>
    </w:p>
    <w:p w:rsidR="003B640C" w:rsidRPr="008E68C2" w:rsidRDefault="003B640C" w:rsidP="008E68C2">
      <w:pPr>
        <w:pStyle w:val="ListParagraph"/>
        <w:numPr>
          <w:ilvl w:val="0"/>
          <w:numId w:val="9"/>
        </w:numPr>
        <w:tabs>
          <w:tab w:val="left" w:pos="567"/>
        </w:tabs>
        <w:spacing w:after="220"/>
        <w:contextualSpacing w:val="0"/>
        <w:textAlignment w:val="baseline"/>
      </w:pPr>
      <w:r w:rsidRPr="0059039A">
        <w:t>peut adopter les modifications du présent article et de l</w:t>
      </w:r>
      <w:r w:rsidR="00260BE8" w:rsidRPr="0059039A">
        <w:t>’</w:t>
      </w:r>
      <w:r w:rsidRPr="0059039A">
        <w:t>article</w:t>
      </w:r>
      <w:r w:rsidR="001E6AAF">
        <w:t> </w:t>
      </w:r>
      <w:r w:rsidRPr="0059039A">
        <w:t xml:space="preserve">[12]; </w:t>
      </w:r>
      <w:r w:rsidR="005D3F2A" w:rsidRPr="0059039A">
        <w:t xml:space="preserve"> </w:t>
      </w:r>
      <w:r w:rsidRPr="0059039A">
        <w:t>et</w:t>
      </w:r>
    </w:p>
    <w:p w:rsidR="00260BE8" w:rsidRPr="0059039A" w:rsidRDefault="003B640C" w:rsidP="008E68C2">
      <w:pPr>
        <w:pStyle w:val="ListParagraph"/>
        <w:numPr>
          <w:ilvl w:val="0"/>
          <w:numId w:val="9"/>
        </w:numPr>
        <w:tabs>
          <w:tab w:val="left" w:pos="567"/>
        </w:tabs>
        <w:spacing w:after="220"/>
        <w:contextualSpacing w:val="0"/>
        <w:textAlignment w:val="baseline"/>
      </w:pPr>
      <w:r w:rsidRPr="0059039A">
        <w:t>s</w:t>
      </w:r>
      <w:r w:rsidR="00260BE8" w:rsidRPr="0059039A">
        <w:t>’</w:t>
      </w:r>
      <w:r w:rsidRPr="0059039A">
        <w:t>acquitte de toute autre tâche qu</w:t>
      </w:r>
      <w:r w:rsidR="00260BE8" w:rsidRPr="0059039A">
        <w:t>’</w:t>
      </w:r>
      <w:r w:rsidRPr="0059039A">
        <w:t>implique la mise en œuvre des dispositions du présent instrument.</w:t>
      </w:r>
    </w:p>
    <w:p w:rsidR="00260BE8" w:rsidRPr="0059039A" w:rsidRDefault="00751175" w:rsidP="008E68C2">
      <w:pPr>
        <w:tabs>
          <w:tab w:val="left" w:pos="567"/>
        </w:tabs>
        <w:spacing w:after="220"/>
        <w:textAlignment w:val="baseline"/>
        <w:rPr>
          <w:lang w:val="fr-FR"/>
        </w:rPr>
      </w:pPr>
      <w:r>
        <w:rPr>
          <w:lang w:val="fr-FR"/>
        </w:rPr>
        <w:t>11.3</w:t>
      </w:r>
      <w:r w:rsidR="008E68C2">
        <w:rPr>
          <w:lang w:val="fr-FR"/>
        </w:rPr>
        <w:tab/>
      </w:r>
      <w:r w:rsidR="003B640C" w:rsidRPr="0059039A">
        <w:rPr>
          <w:lang w:val="fr-FR"/>
        </w:rPr>
        <w:t>L</w:t>
      </w:r>
      <w:r w:rsidR="00260BE8" w:rsidRPr="0059039A">
        <w:rPr>
          <w:lang w:val="fr-FR"/>
        </w:rPr>
        <w:t>’</w:t>
      </w:r>
      <w:r w:rsidR="003B640C" w:rsidRPr="0059039A">
        <w:rPr>
          <w:lang w:val="fr-FR"/>
        </w:rPr>
        <w:t>assemblée s</w:t>
      </w:r>
      <w:r w:rsidR="00260BE8" w:rsidRPr="0059039A">
        <w:rPr>
          <w:lang w:val="fr-FR"/>
        </w:rPr>
        <w:t>’</w:t>
      </w:r>
      <w:r w:rsidR="003B640C" w:rsidRPr="0059039A">
        <w:rPr>
          <w:lang w:val="fr-FR"/>
        </w:rPr>
        <w:t>efforce de prendre ses décisions par consens</w:t>
      </w:r>
      <w:r w:rsidR="0059039A" w:rsidRPr="0059039A">
        <w:rPr>
          <w:lang w:val="fr-FR"/>
        </w:rPr>
        <w:t>us.  Lo</w:t>
      </w:r>
      <w:r w:rsidR="003B640C" w:rsidRPr="0059039A">
        <w:rPr>
          <w:lang w:val="fr-FR"/>
        </w:rPr>
        <w:t>rsqu</w:t>
      </w:r>
      <w:r w:rsidR="00260BE8" w:rsidRPr="0059039A">
        <w:rPr>
          <w:lang w:val="fr-FR"/>
        </w:rPr>
        <w:t>’</w:t>
      </w:r>
      <w:r w:rsidR="003B640C" w:rsidRPr="0059039A">
        <w:rPr>
          <w:lang w:val="fr-FR"/>
        </w:rPr>
        <w:t>il n</w:t>
      </w:r>
      <w:r w:rsidR="00260BE8" w:rsidRPr="0059039A">
        <w:rPr>
          <w:lang w:val="fr-FR"/>
        </w:rPr>
        <w:t>’</w:t>
      </w:r>
      <w:r w:rsidR="003B640C" w:rsidRPr="0059039A">
        <w:rPr>
          <w:lang w:val="fr-FR"/>
        </w:rPr>
        <w:t>est pas possible d</w:t>
      </w:r>
      <w:r w:rsidR="00260BE8" w:rsidRPr="0059039A">
        <w:rPr>
          <w:lang w:val="fr-FR"/>
        </w:rPr>
        <w:t>’</w:t>
      </w:r>
      <w:r w:rsidR="003B640C" w:rsidRPr="0059039A">
        <w:rPr>
          <w:lang w:val="fr-FR"/>
        </w:rPr>
        <w:t>aboutir à une décision par consensus, la décision sur la question à l</w:t>
      </w:r>
      <w:r w:rsidR="00260BE8" w:rsidRPr="0059039A">
        <w:rPr>
          <w:lang w:val="fr-FR"/>
        </w:rPr>
        <w:t>’</w:t>
      </w:r>
      <w:r w:rsidR="003B640C" w:rsidRPr="0059039A">
        <w:rPr>
          <w:lang w:val="fr-FR"/>
        </w:rPr>
        <w:t>examen est soumise à un vo</w:t>
      </w:r>
      <w:r w:rsidR="0059039A" w:rsidRPr="0059039A">
        <w:rPr>
          <w:lang w:val="fr-FR"/>
        </w:rPr>
        <w:t>te.  Da</w:t>
      </w:r>
      <w:r w:rsidR="003B640C" w:rsidRPr="0059039A">
        <w:rPr>
          <w:lang w:val="fr-FR"/>
        </w:rPr>
        <w:t>ns ce cas,</w:t>
      </w:r>
    </w:p>
    <w:p w:rsidR="00260BE8" w:rsidRPr="0059039A" w:rsidRDefault="003B640C" w:rsidP="008E68C2">
      <w:pPr>
        <w:pStyle w:val="ListParagraph"/>
        <w:numPr>
          <w:ilvl w:val="0"/>
          <w:numId w:val="10"/>
        </w:numPr>
        <w:tabs>
          <w:tab w:val="left" w:pos="567"/>
        </w:tabs>
        <w:spacing w:after="220"/>
        <w:contextualSpacing w:val="0"/>
        <w:textAlignment w:val="baseline"/>
      </w:pPr>
      <w:r w:rsidRPr="0059039A">
        <w:t>chaque partie contractante qui est un État dispose d</w:t>
      </w:r>
      <w:r w:rsidR="00260BE8" w:rsidRPr="0059039A">
        <w:t>’</w:t>
      </w:r>
      <w:r w:rsidRPr="0059039A">
        <w:t>une voix et vote uniquement en son propre nom;  et</w:t>
      </w:r>
    </w:p>
    <w:p w:rsidR="003B640C" w:rsidRPr="008E68C2" w:rsidRDefault="003B640C" w:rsidP="008E68C2">
      <w:pPr>
        <w:pStyle w:val="ListParagraph"/>
        <w:numPr>
          <w:ilvl w:val="0"/>
          <w:numId w:val="10"/>
        </w:numPr>
        <w:tabs>
          <w:tab w:val="left" w:pos="567"/>
        </w:tabs>
        <w:spacing w:after="220"/>
        <w:contextualSpacing w:val="0"/>
        <w:textAlignment w:val="baseline"/>
      </w:pPr>
      <w:r w:rsidRPr="0059039A">
        <w:t>toute partie contractante qui est une organisation intergouvernementale peut participer au vote, à la place de ses États membres, avec un nombre de voix égal au nombre de ses États membres qui sont parties au présent instrume</w:t>
      </w:r>
      <w:r w:rsidR="0059039A" w:rsidRPr="0059039A">
        <w:t>nt.  Au</w:t>
      </w:r>
      <w:r w:rsidRPr="0059039A">
        <w:t>cune organisation intergouvernementale ne participe au vote si l</w:t>
      </w:r>
      <w:r w:rsidR="00260BE8" w:rsidRPr="0059039A">
        <w:t>’</w:t>
      </w:r>
      <w:r w:rsidRPr="0059039A">
        <w:t>un de ses États membres exerce so</w:t>
      </w:r>
      <w:r w:rsidR="00751175">
        <w:t>n droit de vote et inversement.</w:t>
      </w:r>
    </w:p>
    <w:p w:rsidR="003B640C" w:rsidRPr="0059039A" w:rsidRDefault="00751175" w:rsidP="008E68C2">
      <w:pPr>
        <w:tabs>
          <w:tab w:val="left" w:pos="567"/>
        </w:tabs>
        <w:spacing w:after="220"/>
        <w:textAlignment w:val="baseline"/>
        <w:rPr>
          <w:rFonts w:eastAsia="Times New Roman"/>
          <w:lang w:val="fr-FR"/>
        </w:rPr>
      </w:pPr>
      <w:r>
        <w:rPr>
          <w:lang w:val="fr-FR"/>
        </w:rPr>
        <w:t>11.4</w:t>
      </w:r>
      <w:r w:rsidR="008E68C2">
        <w:rPr>
          <w:lang w:val="fr-FR"/>
        </w:rPr>
        <w:tab/>
      </w:r>
      <w:r w:rsidR="003B640C" w:rsidRPr="0059039A">
        <w:rPr>
          <w:lang w:val="fr-FR"/>
        </w:rPr>
        <w:t>L</w:t>
      </w:r>
      <w:r w:rsidR="00260BE8" w:rsidRPr="0059039A">
        <w:rPr>
          <w:lang w:val="fr-FR"/>
        </w:rPr>
        <w:t>’</w:t>
      </w:r>
      <w:r w:rsidR="003B640C" w:rsidRPr="0059039A">
        <w:rPr>
          <w:lang w:val="fr-FR"/>
        </w:rPr>
        <w:t>assemblée se réunit sur convocation du Directeur général de l</w:t>
      </w:r>
      <w:r w:rsidR="00260BE8" w:rsidRPr="0059039A">
        <w:rPr>
          <w:lang w:val="fr-FR"/>
        </w:rPr>
        <w:t>’</w:t>
      </w:r>
      <w:r w:rsidR="003B640C" w:rsidRPr="0059039A">
        <w:rPr>
          <w:lang w:val="fr-FR"/>
        </w:rPr>
        <w:t>OMPI et, sauf cas exceptionnels, pendant la même période et au même lieu que l</w:t>
      </w:r>
      <w:r w:rsidR="00260BE8" w:rsidRPr="0059039A">
        <w:rPr>
          <w:lang w:val="fr-FR"/>
        </w:rPr>
        <w:t>’</w:t>
      </w:r>
      <w:r w:rsidR="003B640C" w:rsidRPr="0059039A">
        <w:rPr>
          <w:lang w:val="fr-FR"/>
        </w:rPr>
        <w:t>Assemblée générale de l</w:t>
      </w:r>
      <w:r w:rsidR="00260BE8" w:rsidRPr="0059039A">
        <w:rPr>
          <w:lang w:val="fr-FR"/>
        </w:rPr>
        <w:t>’</w:t>
      </w:r>
      <w:r w:rsidR="003B640C" w:rsidRPr="0059039A">
        <w:rPr>
          <w:lang w:val="fr-FR"/>
        </w:rPr>
        <w:t>OMPI.</w:t>
      </w:r>
    </w:p>
    <w:p w:rsidR="003B640C" w:rsidRPr="0059039A" w:rsidRDefault="00751175" w:rsidP="008E68C2">
      <w:pPr>
        <w:tabs>
          <w:tab w:val="left" w:pos="567"/>
        </w:tabs>
        <w:spacing w:after="480"/>
        <w:textAlignment w:val="baseline"/>
        <w:rPr>
          <w:rFonts w:eastAsia="Times New Roman"/>
          <w:szCs w:val="22"/>
          <w:lang w:val="fr-FR"/>
        </w:rPr>
      </w:pPr>
      <w:r>
        <w:rPr>
          <w:lang w:val="fr-FR"/>
        </w:rPr>
        <w:t>11.5</w:t>
      </w:r>
      <w:r w:rsidR="008E68C2">
        <w:rPr>
          <w:lang w:val="fr-FR"/>
        </w:rPr>
        <w:tab/>
      </w:r>
      <w:r w:rsidR="003B640C" w:rsidRPr="0059039A">
        <w:rPr>
          <w:lang w:val="fr-FR"/>
        </w:rPr>
        <w:t>L</w:t>
      </w:r>
      <w:r w:rsidR="00260BE8" w:rsidRPr="0059039A">
        <w:rPr>
          <w:lang w:val="fr-FR"/>
        </w:rPr>
        <w:t>’</w:t>
      </w:r>
      <w:r w:rsidR="003B640C" w:rsidRPr="0059039A">
        <w:rPr>
          <w:lang w:val="fr-FR"/>
        </w:rPr>
        <w:t xml:space="preserve">assemblée établit son règlement intérieur, </w:t>
      </w:r>
      <w:r w:rsidR="00260BE8" w:rsidRPr="0059039A">
        <w:rPr>
          <w:lang w:val="fr-FR"/>
        </w:rPr>
        <w:t>y compris</w:t>
      </w:r>
      <w:r w:rsidR="003B640C" w:rsidRPr="0059039A">
        <w:rPr>
          <w:lang w:val="fr-FR"/>
        </w:rPr>
        <w:t xml:space="preserve"> en ce qui concerne sa convocation en session extraordinaire, les règles relatives au quorum et, sous réserve des dispositions du présent instrument, la majorité requise pour divers types de décisions.</w:t>
      </w:r>
    </w:p>
    <w:p w:rsidR="003B640C" w:rsidRPr="0059039A" w:rsidRDefault="0010601F" w:rsidP="008E68C2">
      <w:pPr>
        <w:tabs>
          <w:tab w:val="left" w:pos="567"/>
        </w:tabs>
        <w:jc w:val="center"/>
        <w:rPr>
          <w:b/>
          <w:lang w:val="fr-FR"/>
        </w:rPr>
      </w:pPr>
      <w:r w:rsidRPr="0059039A">
        <w:rPr>
          <w:b/>
          <w:lang w:val="fr-FR"/>
        </w:rPr>
        <w:t>ARTICLE 12</w:t>
      </w:r>
    </w:p>
    <w:p w:rsidR="00260BE8" w:rsidRPr="0059039A" w:rsidRDefault="003B640C" w:rsidP="008E68C2">
      <w:pPr>
        <w:tabs>
          <w:tab w:val="left" w:pos="567"/>
        </w:tabs>
        <w:spacing w:after="220"/>
        <w:jc w:val="center"/>
        <w:textAlignment w:val="baseline"/>
        <w:rPr>
          <w:b/>
          <w:lang w:val="fr-FR"/>
        </w:rPr>
      </w:pPr>
      <w:r w:rsidRPr="0059039A">
        <w:rPr>
          <w:b/>
          <w:lang w:val="fr-FR"/>
        </w:rPr>
        <w:t>BUREAU INTERNATIONAL</w:t>
      </w:r>
    </w:p>
    <w:p w:rsidR="00260BE8" w:rsidRPr="0059039A" w:rsidRDefault="00751175" w:rsidP="008E68C2">
      <w:pPr>
        <w:tabs>
          <w:tab w:val="left" w:pos="567"/>
        </w:tabs>
        <w:spacing w:after="220"/>
        <w:textAlignment w:val="baseline"/>
        <w:rPr>
          <w:lang w:val="fr-FR"/>
        </w:rPr>
      </w:pPr>
      <w:r>
        <w:rPr>
          <w:lang w:val="fr-FR"/>
        </w:rPr>
        <w:t>12.1</w:t>
      </w:r>
      <w:r w:rsidR="008E68C2">
        <w:rPr>
          <w:lang w:val="fr-FR"/>
        </w:rPr>
        <w:tab/>
      </w:r>
      <w:r w:rsidR="003B640C" w:rsidRPr="0059039A">
        <w:rPr>
          <w:lang w:val="fr-FR"/>
        </w:rPr>
        <w:t>Le Bureau international de l</w:t>
      </w:r>
      <w:r w:rsidR="00260BE8" w:rsidRPr="0059039A">
        <w:rPr>
          <w:lang w:val="fr-FR"/>
        </w:rPr>
        <w:t>’</w:t>
      </w:r>
      <w:r w:rsidR="003B640C" w:rsidRPr="0059039A">
        <w:rPr>
          <w:lang w:val="fr-FR"/>
        </w:rPr>
        <w:t>OMPI s</w:t>
      </w:r>
      <w:r w:rsidR="00260BE8" w:rsidRPr="0059039A">
        <w:rPr>
          <w:lang w:val="fr-FR"/>
        </w:rPr>
        <w:t>’</w:t>
      </w:r>
      <w:r w:rsidR="003B640C" w:rsidRPr="0059039A">
        <w:rPr>
          <w:lang w:val="fr-FR"/>
        </w:rPr>
        <w:t>acquitte des tâches administratives concernant le présent instrume</w:t>
      </w:r>
      <w:r w:rsidR="0059039A" w:rsidRPr="0059039A">
        <w:rPr>
          <w:lang w:val="fr-FR"/>
        </w:rPr>
        <w:t>nt.  En</w:t>
      </w:r>
      <w:r w:rsidR="003B640C" w:rsidRPr="0059039A">
        <w:rPr>
          <w:lang w:val="fr-FR"/>
        </w:rPr>
        <w:t xml:space="preserve"> particulier, le Bureau international prépare les réunions et assure le secrétariat de l</w:t>
      </w:r>
      <w:r w:rsidR="00260BE8" w:rsidRPr="0059039A">
        <w:rPr>
          <w:lang w:val="fr-FR"/>
        </w:rPr>
        <w:t>’</w:t>
      </w:r>
      <w:r w:rsidR="003B640C" w:rsidRPr="0059039A">
        <w:rPr>
          <w:lang w:val="fr-FR"/>
        </w:rPr>
        <w:t>assemblée et des groupes de travail techniques qu</w:t>
      </w:r>
      <w:r w:rsidR="00260BE8" w:rsidRPr="0059039A">
        <w:rPr>
          <w:lang w:val="fr-FR"/>
        </w:rPr>
        <w:t>’</w:t>
      </w:r>
      <w:r w:rsidR="003B640C" w:rsidRPr="0059039A">
        <w:rPr>
          <w:lang w:val="fr-FR"/>
        </w:rPr>
        <w:t>elle peut créer.</w:t>
      </w:r>
    </w:p>
    <w:p w:rsidR="003B640C" w:rsidRPr="0059039A" w:rsidRDefault="00751175" w:rsidP="008E68C2">
      <w:pPr>
        <w:tabs>
          <w:tab w:val="left" w:pos="567"/>
        </w:tabs>
        <w:spacing w:after="220"/>
        <w:textAlignment w:val="baseline"/>
        <w:rPr>
          <w:rFonts w:eastAsia="Times New Roman"/>
          <w:lang w:val="fr-FR"/>
        </w:rPr>
      </w:pPr>
      <w:r>
        <w:rPr>
          <w:lang w:val="fr-FR"/>
        </w:rPr>
        <w:t>12.2</w:t>
      </w:r>
      <w:r w:rsidR="008E68C2">
        <w:rPr>
          <w:lang w:val="fr-FR"/>
        </w:rPr>
        <w:tab/>
      </w:r>
      <w:r w:rsidR="003B640C" w:rsidRPr="0059039A">
        <w:rPr>
          <w:lang w:val="fr-FR"/>
        </w:rPr>
        <w:t>Le Directeur général de l</w:t>
      </w:r>
      <w:r w:rsidR="00260BE8" w:rsidRPr="0059039A">
        <w:rPr>
          <w:lang w:val="fr-FR"/>
        </w:rPr>
        <w:t>’</w:t>
      </w:r>
      <w:r w:rsidR="003B640C" w:rsidRPr="0059039A">
        <w:rPr>
          <w:lang w:val="fr-FR"/>
        </w:rPr>
        <w:t>OMPI et tout fonctionnaire désigné par le Directeur général prennent part, sans droit de vote, à toutes les réunions de l</w:t>
      </w:r>
      <w:r w:rsidR="00260BE8" w:rsidRPr="0059039A">
        <w:rPr>
          <w:lang w:val="fr-FR"/>
        </w:rPr>
        <w:t>’</w:t>
      </w:r>
      <w:r w:rsidR="003B640C" w:rsidRPr="0059039A">
        <w:rPr>
          <w:lang w:val="fr-FR"/>
        </w:rPr>
        <w:t>assemblée et des groupes de travail techniques créés par l</w:t>
      </w:r>
      <w:r w:rsidR="00260BE8" w:rsidRPr="0059039A">
        <w:rPr>
          <w:lang w:val="fr-FR"/>
        </w:rPr>
        <w:t>’</w:t>
      </w:r>
      <w:r w:rsidR="003B640C" w:rsidRPr="0059039A">
        <w:rPr>
          <w:lang w:val="fr-FR"/>
        </w:rPr>
        <w:t>assembl</w:t>
      </w:r>
      <w:r w:rsidR="0059039A" w:rsidRPr="0059039A">
        <w:rPr>
          <w:lang w:val="fr-FR"/>
        </w:rPr>
        <w:t>ée.  Le</w:t>
      </w:r>
      <w:r w:rsidR="003B640C" w:rsidRPr="0059039A">
        <w:rPr>
          <w:lang w:val="fr-FR"/>
        </w:rPr>
        <w:t xml:space="preserve"> Directeur général, ou un fonctionnaire désigné par </w:t>
      </w:r>
      <w:r w:rsidR="00C12CC6">
        <w:rPr>
          <w:lang w:val="fr-FR"/>
        </w:rPr>
        <w:t xml:space="preserve">le </w:t>
      </w:r>
      <w:r w:rsidR="003B640C" w:rsidRPr="0059039A">
        <w:rPr>
          <w:lang w:val="fr-FR"/>
        </w:rPr>
        <w:t>Directeur général, est d</w:t>
      </w:r>
      <w:r w:rsidR="00260BE8" w:rsidRPr="0059039A">
        <w:rPr>
          <w:lang w:val="fr-FR"/>
        </w:rPr>
        <w:t>’</w:t>
      </w:r>
      <w:r w:rsidR="003B640C" w:rsidRPr="0059039A">
        <w:rPr>
          <w:lang w:val="fr-FR"/>
        </w:rPr>
        <w:t>office secrétaire de ces organes.</w:t>
      </w:r>
    </w:p>
    <w:p w:rsidR="003B640C" w:rsidRPr="0059039A" w:rsidRDefault="00751175" w:rsidP="008E68C2">
      <w:pPr>
        <w:tabs>
          <w:tab w:val="left" w:pos="567"/>
        </w:tabs>
        <w:spacing w:after="480"/>
        <w:textAlignment w:val="baseline"/>
        <w:rPr>
          <w:rFonts w:eastAsia="Times New Roman"/>
          <w:lang w:val="fr-FR"/>
        </w:rPr>
      </w:pPr>
      <w:r>
        <w:rPr>
          <w:lang w:val="fr-FR"/>
        </w:rPr>
        <w:t>12.3</w:t>
      </w:r>
      <w:r w:rsidR="008E68C2">
        <w:rPr>
          <w:lang w:val="fr-FR"/>
        </w:rPr>
        <w:tab/>
      </w:r>
      <w:r w:rsidR="003B640C" w:rsidRPr="0059039A">
        <w:rPr>
          <w:lang w:val="fr-FR"/>
        </w:rPr>
        <w:t>Le Bureau international, selon les directives de l</w:t>
      </w:r>
      <w:r w:rsidR="00260BE8" w:rsidRPr="0059039A">
        <w:rPr>
          <w:lang w:val="fr-FR"/>
        </w:rPr>
        <w:t>’</w:t>
      </w:r>
      <w:r w:rsidR="003B640C" w:rsidRPr="0059039A">
        <w:rPr>
          <w:lang w:val="fr-FR"/>
        </w:rPr>
        <w:t>assemblée, prépare les conférences diplomatiqu</w:t>
      </w:r>
      <w:r w:rsidR="0059039A" w:rsidRPr="0059039A">
        <w:rPr>
          <w:lang w:val="fr-FR"/>
        </w:rPr>
        <w:t>es.  Le</w:t>
      </w:r>
      <w:r w:rsidR="003B640C" w:rsidRPr="0059039A">
        <w:rPr>
          <w:lang w:val="fr-FR"/>
        </w:rPr>
        <w:t xml:space="preserve"> Directeur général de l</w:t>
      </w:r>
      <w:r w:rsidR="00260BE8" w:rsidRPr="0059039A">
        <w:rPr>
          <w:lang w:val="fr-FR"/>
        </w:rPr>
        <w:t>’</w:t>
      </w:r>
      <w:r w:rsidR="003B640C" w:rsidRPr="0059039A">
        <w:rPr>
          <w:lang w:val="fr-FR"/>
        </w:rPr>
        <w:t>OMPI et les personnes désignées par le Directeur général prennent part, sans droit de vote, aux délibérations de ces conférences.</w:t>
      </w:r>
    </w:p>
    <w:p w:rsidR="003B640C" w:rsidRPr="0059039A" w:rsidRDefault="003B640C" w:rsidP="008E68C2">
      <w:pPr>
        <w:tabs>
          <w:tab w:val="left" w:pos="567"/>
        </w:tabs>
        <w:jc w:val="center"/>
        <w:textAlignment w:val="baseline"/>
        <w:rPr>
          <w:b/>
          <w:lang w:val="fr-FR"/>
        </w:rPr>
      </w:pPr>
      <w:r w:rsidRPr="0059039A">
        <w:rPr>
          <w:b/>
          <w:lang w:val="fr-FR"/>
        </w:rPr>
        <w:t>ARTICLE 13</w:t>
      </w:r>
    </w:p>
    <w:p w:rsidR="003B640C" w:rsidRPr="0059039A" w:rsidRDefault="003B640C" w:rsidP="008E68C2">
      <w:pPr>
        <w:tabs>
          <w:tab w:val="left" w:pos="567"/>
        </w:tabs>
        <w:spacing w:after="220"/>
        <w:jc w:val="center"/>
        <w:textAlignment w:val="baseline"/>
        <w:rPr>
          <w:b/>
          <w:lang w:val="fr-FR"/>
        </w:rPr>
      </w:pPr>
      <w:r w:rsidRPr="0059039A">
        <w:rPr>
          <w:b/>
          <w:lang w:val="fr-FR"/>
        </w:rPr>
        <w:t>CONDITIONS À REMPLIR POUR DEVENIR PARTIE À L</w:t>
      </w:r>
      <w:r w:rsidR="00260BE8" w:rsidRPr="0059039A">
        <w:rPr>
          <w:b/>
          <w:lang w:val="fr-FR"/>
        </w:rPr>
        <w:t>’</w:t>
      </w:r>
      <w:r w:rsidRPr="0059039A">
        <w:rPr>
          <w:b/>
          <w:lang w:val="fr-FR"/>
        </w:rPr>
        <w:t>INSTRUMENT</w:t>
      </w:r>
    </w:p>
    <w:p w:rsidR="003B640C" w:rsidRPr="0059039A" w:rsidRDefault="00751175" w:rsidP="008E68C2">
      <w:pPr>
        <w:tabs>
          <w:tab w:val="left" w:pos="567"/>
        </w:tabs>
        <w:spacing w:after="220"/>
        <w:textAlignment w:val="baseline"/>
        <w:rPr>
          <w:rFonts w:eastAsia="Times New Roman"/>
          <w:lang w:val="fr-FR"/>
        </w:rPr>
      </w:pPr>
      <w:r>
        <w:rPr>
          <w:lang w:val="fr-FR"/>
        </w:rPr>
        <w:t>13.1</w:t>
      </w:r>
      <w:r w:rsidR="008E68C2">
        <w:rPr>
          <w:lang w:val="fr-FR"/>
        </w:rPr>
        <w:tab/>
      </w:r>
      <w:r w:rsidR="003B640C" w:rsidRPr="0059039A">
        <w:rPr>
          <w:lang w:val="fr-FR"/>
        </w:rPr>
        <w:t>Tout État membre de l</w:t>
      </w:r>
      <w:r w:rsidR="00260BE8" w:rsidRPr="0059039A">
        <w:rPr>
          <w:lang w:val="fr-FR"/>
        </w:rPr>
        <w:t>’</w:t>
      </w:r>
      <w:r w:rsidR="003B640C" w:rsidRPr="0059039A">
        <w:rPr>
          <w:lang w:val="fr-FR"/>
        </w:rPr>
        <w:t>OMPI peut devenir partie au présent instrument.</w:t>
      </w:r>
    </w:p>
    <w:p w:rsidR="003B640C" w:rsidRPr="0059039A" w:rsidRDefault="00751175" w:rsidP="008E68C2">
      <w:pPr>
        <w:tabs>
          <w:tab w:val="left" w:pos="567"/>
        </w:tabs>
        <w:spacing w:after="480"/>
        <w:textAlignment w:val="baseline"/>
        <w:rPr>
          <w:rFonts w:eastAsia="Times New Roman"/>
          <w:lang w:val="fr-FR"/>
        </w:rPr>
      </w:pPr>
      <w:r>
        <w:rPr>
          <w:lang w:val="fr-FR"/>
        </w:rPr>
        <w:t>13.2</w:t>
      </w:r>
      <w:r w:rsidR="008E68C2">
        <w:rPr>
          <w:lang w:val="fr-FR"/>
        </w:rPr>
        <w:tab/>
      </w:r>
      <w:r w:rsidR="003B640C" w:rsidRPr="0059039A">
        <w:rPr>
          <w:lang w:val="fr-FR"/>
        </w:rPr>
        <w:t>L</w:t>
      </w:r>
      <w:r w:rsidR="00260BE8" w:rsidRPr="0059039A">
        <w:rPr>
          <w:lang w:val="fr-FR"/>
        </w:rPr>
        <w:t>’</w:t>
      </w:r>
      <w:r w:rsidR="003B640C" w:rsidRPr="0059039A">
        <w:rPr>
          <w:lang w:val="fr-FR"/>
        </w:rPr>
        <w:t>assemblée peut décider d</w:t>
      </w:r>
      <w:r w:rsidR="00260BE8" w:rsidRPr="0059039A">
        <w:rPr>
          <w:lang w:val="fr-FR"/>
        </w:rPr>
        <w:t>’</w:t>
      </w:r>
      <w:r w:rsidR="003B640C" w:rsidRPr="0059039A">
        <w:rPr>
          <w:lang w:val="fr-FR"/>
        </w:rPr>
        <w:t>autoriser à devenir partie au présent instrument toute organisation intergouvernementale qui déclare qu</w:t>
      </w:r>
      <w:r w:rsidR="00260BE8" w:rsidRPr="0059039A">
        <w:rPr>
          <w:lang w:val="fr-FR"/>
        </w:rPr>
        <w:t>’</w:t>
      </w:r>
      <w:r w:rsidR="003B640C" w:rsidRPr="0059039A">
        <w:rPr>
          <w:lang w:val="fr-FR"/>
        </w:rPr>
        <w:t>elle a compétence, et dispose d</w:t>
      </w:r>
      <w:r w:rsidR="00260BE8" w:rsidRPr="0059039A">
        <w:rPr>
          <w:lang w:val="fr-FR"/>
        </w:rPr>
        <w:t>’</w:t>
      </w:r>
      <w:r w:rsidR="003B640C" w:rsidRPr="0059039A">
        <w:rPr>
          <w:lang w:val="fr-FR"/>
        </w:rPr>
        <w:t>une législation propre liant tous ses États membres en ce qui concerne les questions régies par le présent instrument, et qu</w:t>
      </w:r>
      <w:r w:rsidR="00260BE8" w:rsidRPr="0059039A">
        <w:rPr>
          <w:lang w:val="fr-FR"/>
        </w:rPr>
        <w:t>’</w:t>
      </w:r>
      <w:r w:rsidR="003B640C" w:rsidRPr="0059039A">
        <w:rPr>
          <w:lang w:val="fr-FR"/>
        </w:rPr>
        <w:t>elle a été dûment autorisée, conformément à ses procédures internes, à devenir partie au présent instrument.</w:t>
      </w:r>
    </w:p>
    <w:p w:rsidR="00260BE8" w:rsidRPr="0059039A" w:rsidRDefault="003B640C" w:rsidP="008E68C2">
      <w:pPr>
        <w:tabs>
          <w:tab w:val="left" w:pos="567"/>
        </w:tabs>
        <w:jc w:val="center"/>
        <w:textAlignment w:val="baseline"/>
        <w:rPr>
          <w:b/>
          <w:lang w:val="fr-FR"/>
        </w:rPr>
      </w:pPr>
      <w:r w:rsidRPr="0059039A">
        <w:rPr>
          <w:b/>
          <w:lang w:val="fr-FR"/>
        </w:rPr>
        <w:t>ARTICLE 14</w:t>
      </w:r>
    </w:p>
    <w:p w:rsidR="003B640C" w:rsidRPr="0059039A" w:rsidRDefault="003B640C" w:rsidP="008E68C2">
      <w:pPr>
        <w:tabs>
          <w:tab w:val="left" w:pos="567"/>
        </w:tabs>
        <w:spacing w:after="220"/>
        <w:jc w:val="center"/>
        <w:textAlignment w:val="baseline"/>
        <w:rPr>
          <w:b/>
          <w:lang w:val="fr-FR"/>
        </w:rPr>
      </w:pPr>
      <w:r w:rsidRPr="0059039A">
        <w:rPr>
          <w:b/>
          <w:lang w:val="fr-FR"/>
        </w:rPr>
        <w:t>RATIFICATION ET ADHÉSION</w:t>
      </w:r>
    </w:p>
    <w:p w:rsidR="00260BE8" w:rsidRPr="0059039A" w:rsidRDefault="00751175" w:rsidP="008E68C2">
      <w:pPr>
        <w:tabs>
          <w:tab w:val="left" w:pos="567"/>
        </w:tabs>
        <w:spacing w:after="220"/>
        <w:textAlignment w:val="baseline"/>
        <w:rPr>
          <w:lang w:val="fr-FR"/>
        </w:rPr>
      </w:pPr>
      <w:r>
        <w:rPr>
          <w:lang w:val="fr-FR"/>
        </w:rPr>
        <w:t>14.1</w:t>
      </w:r>
      <w:r w:rsidR="008E68C2">
        <w:rPr>
          <w:lang w:val="fr-FR"/>
        </w:rPr>
        <w:tab/>
      </w:r>
      <w:r w:rsidR="003B640C" w:rsidRPr="0059039A">
        <w:rPr>
          <w:lang w:val="fr-FR"/>
        </w:rPr>
        <w:t>Tout État ou organisation intergouvernementale visé à l</w:t>
      </w:r>
      <w:r w:rsidR="00260BE8" w:rsidRPr="0059039A">
        <w:rPr>
          <w:lang w:val="fr-FR"/>
        </w:rPr>
        <w:t>’</w:t>
      </w:r>
      <w:r w:rsidR="003B640C" w:rsidRPr="0059039A">
        <w:rPr>
          <w:lang w:val="fr-FR"/>
        </w:rPr>
        <w:t>article</w:t>
      </w:r>
      <w:r w:rsidR="001E6AAF">
        <w:rPr>
          <w:lang w:val="fr-FR"/>
        </w:rPr>
        <w:t> </w:t>
      </w:r>
      <w:r w:rsidR="003B640C" w:rsidRPr="0059039A">
        <w:rPr>
          <w:lang w:val="fr-FR"/>
        </w:rPr>
        <w:t>[13] peut déposer auprès du Directeur général de l</w:t>
      </w:r>
      <w:r w:rsidR="00260BE8" w:rsidRPr="0059039A">
        <w:rPr>
          <w:lang w:val="fr-FR"/>
        </w:rPr>
        <w:t>’</w:t>
      </w:r>
      <w:r w:rsidR="003B640C" w:rsidRPr="0059039A">
        <w:rPr>
          <w:lang w:val="fr-FR"/>
        </w:rPr>
        <w:t>OMPI</w:t>
      </w:r>
      <w:r w:rsidR="00260BE8" w:rsidRPr="0059039A">
        <w:rPr>
          <w:lang w:val="fr-FR"/>
        </w:rPr>
        <w:t> :</w:t>
      </w:r>
    </w:p>
    <w:p w:rsidR="003B640C" w:rsidRPr="0059039A" w:rsidRDefault="003B640C" w:rsidP="008E68C2">
      <w:pPr>
        <w:pStyle w:val="ListParagraph"/>
        <w:numPr>
          <w:ilvl w:val="0"/>
          <w:numId w:val="11"/>
        </w:numPr>
        <w:tabs>
          <w:tab w:val="left" w:pos="567"/>
        </w:tabs>
        <w:spacing w:after="220"/>
        <w:contextualSpacing w:val="0"/>
        <w:textAlignment w:val="baseline"/>
      </w:pPr>
      <w:r w:rsidRPr="0059039A">
        <w:t>un instrument de ratification, s</w:t>
      </w:r>
      <w:r w:rsidR="00260BE8" w:rsidRPr="0059039A">
        <w:t>’</w:t>
      </w:r>
      <w:r w:rsidRPr="0059039A">
        <w:t>il a signé le présent instrument</w:t>
      </w:r>
      <w:r w:rsidR="001E6AAF">
        <w:t xml:space="preserve">; </w:t>
      </w:r>
      <w:r w:rsidRPr="0059039A">
        <w:t xml:space="preserve"> ou</w:t>
      </w:r>
    </w:p>
    <w:p w:rsidR="00260BE8" w:rsidRPr="0059039A" w:rsidRDefault="003B640C" w:rsidP="008E68C2">
      <w:pPr>
        <w:pStyle w:val="ListParagraph"/>
        <w:numPr>
          <w:ilvl w:val="0"/>
          <w:numId w:val="11"/>
        </w:numPr>
        <w:tabs>
          <w:tab w:val="left" w:pos="567"/>
        </w:tabs>
        <w:spacing w:after="220"/>
        <w:contextualSpacing w:val="0"/>
        <w:textAlignment w:val="baseline"/>
      </w:pPr>
      <w:r w:rsidRPr="0059039A">
        <w:t>un instrument d</w:t>
      </w:r>
      <w:r w:rsidR="00260BE8" w:rsidRPr="0059039A">
        <w:t>’</w:t>
      </w:r>
      <w:r w:rsidRPr="0059039A">
        <w:t>adhésion, s</w:t>
      </w:r>
      <w:r w:rsidR="00260BE8" w:rsidRPr="0059039A">
        <w:t>’</w:t>
      </w:r>
      <w:r w:rsidRPr="0059039A">
        <w:t>il n</w:t>
      </w:r>
      <w:r w:rsidR="00260BE8" w:rsidRPr="0059039A">
        <w:t>’</w:t>
      </w:r>
      <w:r w:rsidRPr="0059039A">
        <w:t>a pas signé le présent instrument.</w:t>
      </w:r>
    </w:p>
    <w:p w:rsidR="003B640C" w:rsidRPr="0059039A" w:rsidRDefault="00751175" w:rsidP="008E68C2">
      <w:pPr>
        <w:tabs>
          <w:tab w:val="left" w:pos="567"/>
        </w:tabs>
        <w:spacing w:after="480"/>
        <w:textAlignment w:val="baseline"/>
        <w:rPr>
          <w:rFonts w:eastAsia="Times New Roman"/>
          <w:lang w:val="fr-FR"/>
        </w:rPr>
      </w:pPr>
      <w:r>
        <w:rPr>
          <w:lang w:val="fr-FR"/>
        </w:rPr>
        <w:t>14.2</w:t>
      </w:r>
      <w:r w:rsidR="008E68C2">
        <w:rPr>
          <w:lang w:val="fr-FR"/>
        </w:rPr>
        <w:tab/>
      </w:r>
      <w:r w:rsidR="003B640C" w:rsidRPr="0059039A">
        <w:rPr>
          <w:lang w:val="fr-FR"/>
        </w:rPr>
        <w:t>La date de prise d</w:t>
      </w:r>
      <w:r w:rsidR="00260BE8" w:rsidRPr="0059039A">
        <w:rPr>
          <w:lang w:val="fr-FR"/>
        </w:rPr>
        <w:t>’</w:t>
      </w:r>
      <w:r w:rsidR="003B640C" w:rsidRPr="0059039A">
        <w:rPr>
          <w:lang w:val="fr-FR"/>
        </w:rPr>
        <w:t>effet du dépôt d</w:t>
      </w:r>
      <w:r w:rsidR="00260BE8" w:rsidRPr="0059039A">
        <w:rPr>
          <w:lang w:val="fr-FR"/>
        </w:rPr>
        <w:t>’</w:t>
      </w:r>
      <w:r w:rsidR="003B640C" w:rsidRPr="0059039A">
        <w:rPr>
          <w:lang w:val="fr-FR"/>
        </w:rPr>
        <w:t>un instrument de ratification ou d</w:t>
      </w:r>
      <w:r w:rsidR="00260BE8" w:rsidRPr="0059039A">
        <w:rPr>
          <w:lang w:val="fr-FR"/>
        </w:rPr>
        <w:t>’</w:t>
      </w:r>
      <w:r w:rsidR="003B640C" w:rsidRPr="0059039A">
        <w:rPr>
          <w:lang w:val="fr-FR"/>
        </w:rPr>
        <w:t>adhésion est la date à laquelle cet instrument est déposé.</w:t>
      </w:r>
    </w:p>
    <w:p w:rsidR="003B640C" w:rsidRPr="0059039A" w:rsidRDefault="003B640C" w:rsidP="008E68C2">
      <w:pPr>
        <w:keepNext/>
        <w:tabs>
          <w:tab w:val="left" w:pos="567"/>
        </w:tabs>
        <w:jc w:val="center"/>
        <w:textAlignment w:val="baseline"/>
        <w:rPr>
          <w:rFonts w:eastAsia="Times New Roman"/>
          <w:b/>
          <w:lang w:val="fr-FR"/>
        </w:rPr>
      </w:pPr>
      <w:r w:rsidRPr="0059039A">
        <w:rPr>
          <w:b/>
          <w:lang w:val="fr-FR"/>
        </w:rPr>
        <w:t>ARTICLE 15</w:t>
      </w:r>
    </w:p>
    <w:p w:rsidR="003B640C" w:rsidRPr="0059039A" w:rsidRDefault="003B640C" w:rsidP="008E68C2">
      <w:pPr>
        <w:tabs>
          <w:tab w:val="left" w:pos="567"/>
        </w:tabs>
        <w:spacing w:after="220"/>
        <w:jc w:val="center"/>
        <w:textAlignment w:val="baseline"/>
        <w:rPr>
          <w:rFonts w:eastAsia="Times New Roman"/>
          <w:b/>
          <w:lang w:val="fr-FR"/>
        </w:rPr>
      </w:pPr>
      <w:r w:rsidRPr="0059039A">
        <w:rPr>
          <w:b/>
          <w:lang w:val="fr-FR"/>
        </w:rPr>
        <w:t>RÉVISION</w:t>
      </w:r>
    </w:p>
    <w:p w:rsidR="003B640C" w:rsidRPr="0059039A" w:rsidRDefault="003B640C" w:rsidP="008E68C2">
      <w:pPr>
        <w:tabs>
          <w:tab w:val="left" w:pos="567"/>
        </w:tabs>
        <w:spacing w:after="480"/>
        <w:textAlignment w:val="baseline"/>
        <w:rPr>
          <w:rFonts w:eastAsia="Times New Roman"/>
          <w:lang w:val="fr-FR"/>
        </w:rPr>
      </w:pPr>
      <w:r w:rsidRPr="0059039A">
        <w:rPr>
          <w:lang w:val="fr-FR"/>
        </w:rPr>
        <w:t>Le présent instrument ne peut être révisé que par une conférence diplomatiq</w:t>
      </w:r>
      <w:r w:rsidR="0059039A" w:rsidRPr="0059039A">
        <w:rPr>
          <w:lang w:val="fr-FR"/>
        </w:rPr>
        <w:t>ue.  La</w:t>
      </w:r>
      <w:r w:rsidRPr="0059039A">
        <w:rPr>
          <w:lang w:val="fr-FR"/>
        </w:rPr>
        <w:t xml:space="preserve"> convocation d</w:t>
      </w:r>
      <w:r w:rsidR="00260BE8" w:rsidRPr="0059039A">
        <w:rPr>
          <w:lang w:val="fr-FR"/>
        </w:rPr>
        <w:t>’</w:t>
      </w:r>
      <w:r w:rsidRPr="0059039A">
        <w:rPr>
          <w:lang w:val="fr-FR"/>
        </w:rPr>
        <w:t>une conférence diplomatique est décidée par l</w:t>
      </w:r>
      <w:r w:rsidR="00260BE8" w:rsidRPr="0059039A">
        <w:rPr>
          <w:lang w:val="fr-FR"/>
        </w:rPr>
        <w:t>’</w:t>
      </w:r>
      <w:r w:rsidRPr="0059039A">
        <w:rPr>
          <w:lang w:val="fr-FR"/>
        </w:rPr>
        <w:t>assemblée.</w:t>
      </w:r>
    </w:p>
    <w:p w:rsidR="003B640C" w:rsidRPr="0059039A" w:rsidRDefault="003B640C" w:rsidP="008E68C2">
      <w:pPr>
        <w:tabs>
          <w:tab w:val="left" w:pos="567"/>
        </w:tabs>
        <w:jc w:val="center"/>
        <w:textAlignment w:val="baseline"/>
        <w:rPr>
          <w:rFonts w:eastAsia="Times New Roman"/>
          <w:b/>
          <w:lang w:val="fr-FR"/>
        </w:rPr>
      </w:pPr>
      <w:r w:rsidRPr="0059039A">
        <w:rPr>
          <w:b/>
          <w:lang w:val="fr-FR"/>
        </w:rPr>
        <w:t>ARTICLE 16</w:t>
      </w:r>
    </w:p>
    <w:p w:rsidR="003B640C" w:rsidRPr="0059039A" w:rsidRDefault="003B640C" w:rsidP="008E68C2">
      <w:pPr>
        <w:tabs>
          <w:tab w:val="left" w:pos="567"/>
        </w:tabs>
        <w:spacing w:after="220"/>
        <w:jc w:val="center"/>
        <w:textAlignment w:val="baseline"/>
        <w:rPr>
          <w:rFonts w:eastAsia="Times New Roman"/>
          <w:b/>
          <w:lang w:val="fr-FR"/>
        </w:rPr>
      </w:pPr>
      <w:r w:rsidRPr="0059039A">
        <w:rPr>
          <w:b/>
          <w:lang w:val="fr-FR"/>
        </w:rPr>
        <w:t>MODIFICATION DES ARTICLES [11] ET [12]</w:t>
      </w:r>
    </w:p>
    <w:p w:rsidR="003B640C" w:rsidRPr="0059039A" w:rsidRDefault="00751175" w:rsidP="008E68C2">
      <w:pPr>
        <w:tabs>
          <w:tab w:val="left" w:pos="567"/>
        </w:tabs>
        <w:spacing w:after="220"/>
        <w:textAlignment w:val="baseline"/>
        <w:rPr>
          <w:rFonts w:eastAsia="Times New Roman"/>
          <w:lang w:val="fr-FR"/>
        </w:rPr>
      </w:pPr>
      <w:r>
        <w:rPr>
          <w:lang w:val="fr-FR"/>
        </w:rPr>
        <w:t>16.1</w:t>
      </w:r>
      <w:r w:rsidR="008E68C2">
        <w:rPr>
          <w:lang w:val="fr-FR"/>
        </w:rPr>
        <w:tab/>
      </w:r>
      <w:r w:rsidR="001E6AAF">
        <w:rPr>
          <w:lang w:val="fr-FR"/>
        </w:rPr>
        <w:t>Les articles </w:t>
      </w:r>
      <w:r w:rsidR="003B640C" w:rsidRPr="0059039A">
        <w:rPr>
          <w:lang w:val="fr-FR"/>
        </w:rPr>
        <w:t>[11] et</w:t>
      </w:r>
      <w:r w:rsidR="001E6AAF">
        <w:rPr>
          <w:lang w:val="fr-FR"/>
        </w:rPr>
        <w:t> </w:t>
      </w:r>
      <w:r w:rsidR="003B640C" w:rsidRPr="0059039A">
        <w:rPr>
          <w:lang w:val="fr-FR"/>
        </w:rPr>
        <w:t>[12] du présent instrument peuvent être modifiés par l</w:t>
      </w:r>
      <w:r w:rsidR="00260BE8" w:rsidRPr="0059039A">
        <w:rPr>
          <w:lang w:val="fr-FR"/>
        </w:rPr>
        <w:t>’</w:t>
      </w:r>
      <w:r w:rsidR="003B640C" w:rsidRPr="0059039A">
        <w:rPr>
          <w:lang w:val="fr-FR"/>
        </w:rPr>
        <w:t>assemblée.</w:t>
      </w:r>
    </w:p>
    <w:p w:rsidR="003B640C" w:rsidRPr="0059039A" w:rsidRDefault="00751175" w:rsidP="008E68C2">
      <w:pPr>
        <w:tabs>
          <w:tab w:val="left" w:pos="567"/>
        </w:tabs>
        <w:spacing w:after="220"/>
        <w:textAlignment w:val="baseline"/>
        <w:rPr>
          <w:rFonts w:eastAsia="Times New Roman"/>
          <w:lang w:val="fr-FR"/>
        </w:rPr>
      </w:pPr>
      <w:r>
        <w:rPr>
          <w:lang w:val="fr-FR"/>
        </w:rPr>
        <w:t>16.2</w:t>
      </w:r>
      <w:r w:rsidR="008E68C2">
        <w:rPr>
          <w:lang w:val="fr-FR"/>
        </w:rPr>
        <w:tab/>
      </w:r>
      <w:r w:rsidR="003B640C" w:rsidRPr="0059039A">
        <w:rPr>
          <w:lang w:val="fr-FR"/>
        </w:rPr>
        <w:t>Des propositions de modification des articles visés à l</w:t>
      </w:r>
      <w:r w:rsidR="00260BE8" w:rsidRPr="0059039A">
        <w:rPr>
          <w:lang w:val="fr-FR"/>
        </w:rPr>
        <w:t>’</w:t>
      </w:r>
      <w:r w:rsidR="001E6AAF">
        <w:rPr>
          <w:lang w:val="fr-FR"/>
        </w:rPr>
        <w:t>article </w:t>
      </w:r>
      <w:r w:rsidR="003B640C" w:rsidRPr="0059039A">
        <w:rPr>
          <w:lang w:val="fr-FR"/>
        </w:rPr>
        <w:t>[16.1] peuvent être présentées par toute partie contractante ou par le Directeur général de l</w:t>
      </w:r>
      <w:r w:rsidR="00260BE8" w:rsidRPr="0059039A">
        <w:rPr>
          <w:lang w:val="fr-FR"/>
        </w:rPr>
        <w:t>’</w:t>
      </w:r>
      <w:r w:rsidR="003B640C" w:rsidRPr="0059039A">
        <w:rPr>
          <w:lang w:val="fr-FR"/>
        </w:rPr>
        <w:t>O</w:t>
      </w:r>
      <w:r w:rsidR="0059039A" w:rsidRPr="0059039A">
        <w:rPr>
          <w:lang w:val="fr-FR"/>
        </w:rPr>
        <w:t>MPI.  Ce</w:t>
      </w:r>
      <w:r w:rsidR="003B640C" w:rsidRPr="0059039A">
        <w:rPr>
          <w:lang w:val="fr-FR"/>
        </w:rPr>
        <w:t>s propositions sont communiquées par ce dernier aux parties contractantes six</w:t>
      </w:r>
      <w:r w:rsidR="005D3F2A" w:rsidRPr="0059039A">
        <w:rPr>
          <w:lang w:val="fr-FR"/>
        </w:rPr>
        <w:t> </w:t>
      </w:r>
      <w:r w:rsidR="003B640C" w:rsidRPr="0059039A">
        <w:rPr>
          <w:lang w:val="fr-FR"/>
        </w:rPr>
        <w:t>mois au moins avant d</w:t>
      </w:r>
      <w:r w:rsidR="00260BE8" w:rsidRPr="0059039A">
        <w:rPr>
          <w:lang w:val="fr-FR"/>
        </w:rPr>
        <w:t>’</w:t>
      </w:r>
      <w:r w:rsidR="003B640C" w:rsidRPr="0059039A">
        <w:rPr>
          <w:lang w:val="fr-FR"/>
        </w:rPr>
        <w:t>être soumises à l</w:t>
      </w:r>
      <w:r w:rsidR="00260BE8" w:rsidRPr="0059039A">
        <w:rPr>
          <w:lang w:val="fr-FR"/>
        </w:rPr>
        <w:t>’</w:t>
      </w:r>
      <w:r w:rsidR="003B640C" w:rsidRPr="0059039A">
        <w:rPr>
          <w:lang w:val="fr-FR"/>
        </w:rPr>
        <w:t>examen de l</w:t>
      </w:r>
      <w:r w:rsidR="00260BE8" w:rsidRPr="0059039A">
        <w:rPr>
          <w:lang w:val="fr-FR"/>
        </w:rPr>
        <w:t>’</w:t>
      </w:r>
      <w:r w:rsidR="003B640C" w:rsidRPr="0059039A">
        <w:rPr>
          <w:lang w:val="fr-FR"/>
        </w:rPr>
        <w:t>assemblée.</w:t>
      </w:r>
    </w:p>
    <w:p w:rsidR="00260BE8" w:rsidRPr="0059039A" w:rsidRDefault="00751175" w:rsidP="008E68C2">
      <w:pPr>
        <w:tabs>
          <w:tab w:val="left" w:pos="567"/>
        </w:tabs>
        <w:spacing w:after="220"/>
        <w:textAlignment w:val="baseline"/>
        <w:rPr>
          <w:lang w:val="fr-FR"/>
        </w:rPr>
      </w:pPr>
      <w:r>
        <w:rPr>
          <w:lang w:val="fr-FR"/>
        </w:rPr>
        <w:t>16.3</w:t>
      </w:r>
      <w:r w:rsidR="008E68C2">
        <w:rPr>
          <w:lang w:val="fr-FR"/>
        </w:rPr>
        <w:tab/>
      </w:r>
      <w:r w:rsidR="003B640C" w:rsidRPr="0059039A">
        <w:rPr>
          <w:lang w:val="fr-FR"/>
        </w:rPr>
        <w:t>L</w:t>
      </w:r>
      <w:r w:rsidR="00260BE8" w:rsidRPr="0059039A">
        <w:rPr>
          <w:lang w:val="fr-FR"/>
        </w:rPr>
        <w:t>’</w:t>
      </w:r>
      <w:r w:rsidR="003B640C" w:rsidRPr="0059039A">
        <w:rPr>
          <w:lang w:val="fr-FR"/>
        </w:rPr>
        <w:t>adoption de toute modification des articles visés à l</w:t>
      </w:r>
      <w:r w:rsidR="00260BE8" w:rsidRPr="0059039A">
        <w:rPr>
          <w:lang w:val="fr-FR"/>
        </w:rPr>
        <w:t>’</w:t>
      </w:r>
      <w:r w:rsidR="001E6AAF">
        <w:rPr>
          <w:lang w:val="fr-FR"/>
        </w:rPr>
        <w:t>article </w:t>
      </w:r>
      <w:r w:rsidR="003B640C" w:rsidRPr="0059039A">
        <w:rPr>
          <w:lang w:val="fr-FR"/>
        </w:rPr>
        <w:t>[16.1] requiert une majorité des trois</w:t>
      </w:r>
      <w:r w:rsidR="005D3F2A" w:rsidRPr="0059039A">
        <w:rPr>
          <w:lang w:val="fr-FR"/>
        </w:rPr>
        <w:t> </w:t>
      </w:r>
      <w:r w:rsidR="003B640C" w:rsidRPr="0059039A">
        <w:rPr>
          <w:lang w:val="fr-FR"/>
        </w:rPr>
        <w:t>quarts.</w:t>
      </w:r>
    </w:p>
    <w:p w:rsidR="003B640C" w:rsidRPr="0059039A" w:rsidRDefault="00751175" w:rsidP="008E68C2">
      <w:pPr>
        <w:tabs>
          <w:tab w:val="left" w:pos="567"/>
        </w:tabs>
        <w:spacing w:after="480"/>
        <w:textAlignment w:val="baseline"/>
        <w:rPr>
          <w:rFonts w:eastAsia="Times New Roman"/>
          <w:lang w:val="fr-FR"/>
        </w:rPr>
      </w:pPr>
      <w:r>
        <w:rPr>
          <w:lang w:val="fr-FR"/>
        </w:rPr>
        <w:t>16.4</w:t>
      </w:r>
      <w:r w:rsidR="008E68C2">
        <w:rPr>
          <w:lang w:val="fr-FR"/>
        </w:rPr>
        <w:tab/>
      </w:r>
      <w:r w:rsidR="003B640C" w:rsidRPr="0059039A">
        <w:rPr>
          <w:lang w:val="fr-FR"/>
        </w:rPr>
        <w:t>Toute modification entre en vigueur un mois après la réception par le Directeur général des notifications écrites d</w:t>
      </w:r>
      <w:r w:rsidR="00260BE8" w:rsidRPr="0059039A">
        <w:rPr>
          <w:lang w:val="fr-FR"/>
        </w:rPr>
        <w:t>’</w:t>
      </w:r>
      <w:r w:rsidR="003B640C" w:rsidRPr="0059039A">
        <w:rPr>
          <w:lang w:val="fr-FR"/>
        </w:rPr>
        <w:t>acceptation des parties contractantes, effectuée en conformité avec leurs règles constitutionnelles respectives, de la part des trois</w:t>
      </w:r>
      <w:r w:rsidR="005D3F2A" w:rsidRPr="0059039A">
        <w:rPr>
          <w:lang w:val="fr-FR"/>
        </w:rPr>
        <w:t> </w:t>
      </w:r>
      <w:r w:rsidR="003B640C" w:rsidRPr="0059039A">
        <w:rPr>
          <w:lang w:val="fr-FR"/>
        </w:rPr>
        <w:t>quarts des parties qui étaient des parties contractantes au moment où la modification a été adoptée par l</w:t>
      </w:r>
      <w:r w:rsidR="00260BE8" w:rsidRPr="0059039A">
        <w:rPr>
          <w:lang w:val="fr-FR"/>
        </w:rPr>
        <w:t>’</w:t>
      </w:r>
      <w:r w:rsidR="003B640C" w:rsidRPr="0059039A">
        <w:rPr>
          <w:lang w:val="fr-FR"/>
        </w:rPr>
        <w:t>assembl</w:t>
      </w:r>
      <w:r w:rsidR="0059039A" w:rsidRPr="0059039A">
        <w:rPr>
          <w:lang w:val="fr-FR"/>
        </w:rPr>
        <w:t>ée.  To</w:t>
      </w:r>
      <w:r w:rsidR="003B640C" w:rsidRPr="0059039A">
        <w:rPr>
          <w:lang w:val="fr-FR"/>
        </w:rPr>
        <w:t>ute modification ainsi acceptée lie toutes les parties qui étaient des parties contractantes au moment où la modification entre en vigueur, ou qui le deviennent à une date ultérieure.</w:t>
      </w:r>
    </w:p>
    <w:p w:rsidR="003B640C" w:rsidRPr="0059039A" w:rsidRDefault="003B640C" w:rsidP="008E68C2">
      <w:pPr>
        <w:tabs>
          <w:tab w:val="left" w:pos="567"/>
        </w:tabs>
        <w:jc w:val="center"/>
        <w:textAlignment w:val="baseline"/>
        <w:rPr>
          <w:rFonts w:eastAsia="Times New Roman"/>
          <w:b/>
          <w:bCs/>
          <w:lang w:val="fr-FR"/>
        </w:rPr>
      </w:pPr>
      <w:r w:rsidRPr="0059039A">
        <w:rPr>
          <w:b/>
          <w:lang w:val="fr-FR"/>
        </w:rPr>
        <w:t>ARTICLE 17</w:t>
      </w:r>
    </w:p>
    <w:p w:rsidR="003B640C" w:rsidRPr="0059039A" w:rsidRDefault="003B640C" w:rsidP="008E68C2">
      <w:pPr>
        <w:tabs>
          <w:tab w:val="left" w:pos="567"/>
        </w:tabs>
        <w:spacing w:after="220"/>
        <w:jc w:val="center"/>
        <w:textAlignment w:val="baseline"/>
        <w:rPr>
          <w:rFonts w:eastAsia="Times New Roman"/>
          <w:b/>
          <w:bCs/>
          <w:lang w:val="fr-FR"/>
        </w:rPr>
      </w:pPr>
      <w:r w:rsidRPr="0059039A">
        <w:rPr>
          <w:b/>
          <w:lang w:val="fr-FR"/>
        </w:rPr>
        <w:t>SIGNATURE</w:t>
      </w:r>
    </w:p>
    <w:p w:rsidR="003B640C" w:rsidRPr="0059039A" w:rsidRDefault="003B640C" w:rsidP="008E68C2">
      <w:pPr>
        <w:tabs>
          <w:tab w:val="left" w:pos="567"/>
        </w:tabs>
        <w:spacing w:after="480"/>
        <w:textAlignment w:val="baseline"/>
        <w:rPr>
          <w:rFonts w:eastAsia="Times New Roman"/>
          <w:lang w:val="fr-FR"/>
        </w:rPr>
      </w:pPr>
      <w:r w:rsidRPr="0059039A">
        <w:rPr>
          <w:lang w:val="fr-FR"/>
        </w:rPr>
        <w:t>Le présent instrument sera ouvert à la signature à la conférence diplomatique de</w:t>
      </w:r>
      <w:r w:rsidR="00C12CC6">
        <w:rPr>
          <w:lang w:val="fr-FR"/>
        </w:rPr>
        <w:t xml:space="preserve"> </w:t>
      </w:r>
      <w:r w:rsidRPr="0059039A">
        <w:rPr>
          <w:lang w:val="fr-FR"/>
        </w:rPr>
        <w:t>………, puis au siège de l</w:t>
      </w:r>
      <w:r w:rsidR="00260BE8" w:rsidRPr="0059039A">
        <w:rPr>
          <w:lang w:val="fr-FR"/>
        </w:rPr>
        <w:t>’</w:t>
      </w:r>
      <w:r w:rsidRPr="0059039A">
        <w:rPr>
          <w:lang w:val="fr-FR"/>
        </w:rPr>
        <w:t>OMPI par toute partie remplissant les conditions requises pour devenir partie à l</w:t>
      </w:r>
      <w:r w:rsidR="00260BE8" w:rsidRPr="0059039A">
        <w:rPr>
          <w:lang w:val="fr-FR"/>
        </w:rPr>
        <w:t>’</w:t>
      </w:r>
      <w:r w:rsidRPr="0059039A">
        <w:rPr>
          <w:lang w:val="fr-FR"/>
        </w:rPr>
        <w:t>instrument pendant un an après son adoption.</w:t>
      </w:r>
    </w:p>
    <w:p w:rsidR="003B640C" w:rsidRPr="0059039A" w:rsidRDefault="003B640C" w:rsidP="008E68C2">
      <w:pPr>
        <w:tabs>
          <w:tab w:val="left" w:pos="567"/>
        </w:tabs>
        <w:jc w:val="center"/>
        <w:textAlignment w:val="baseline"/>
        <w:rPr>
          <w:rFonts w:eastAsia="Times New Roman"/>
          <w:b/>
          <w:bCs/>
          <w:lang w:val="fr-FR"/>
        </w:rPr>
      </w:pPr>
      <w:r w:rsidRPr="0059039A">
        <w:rPr>
          <w:b/>
          <w:lang w:val="fr-FR"/>
        </w:rPr>
        <w:t>ARTICLE 18 </w:t>
      </w:r>
    </w:p>
    <w:p w:rsidR="003B640C" w:rsidRPr="0059039A" w:rsidRDefault="003B640C" w:rsidP="008E68C2">
      <w:pPr>
        <w:tabs>
          <w:tab w:val="left" w:pos="567"/>
        </w:tabs>
        <w:spacing w:after="220"/>
        <w:jc w:val="center"/>
        <w:textAlignment w:val="baseline"/>
        <w:rPr>
          <w:rFonts w:eastAsia="Times New Roman"/>
          <w:b/>
          <w:bCs/>
          <w:lang w:val="fr-FR"/>
        </w:rPr>
      </w:pPr>
      <w:r w:rsidRPr="0059039A">
        <w:rPr>
          <w:b/>
          <w:lang w:val="fr-FR"/>
        </w:rPr>
        <w:t>ENTRÉE EN VIGUEUR</w:t>
      </w:r>
    </w:p>
    <w:p w:rsidR="003B640C" w:rsidRPr="0059039A" w:rsidRDefault="003B640C" w:rsidP="008E68C2">
      <w:pPr>
        <w:tabs>
          <w:tab w:val="left" w:pos="567"/>
        </w:tabs>
        <w:spacing w:after="480"/>
        <w:textAlignment w:val="baseline"/>
        <w:rPr>
          <w:rFonts w:eastAsia="Times New Roman"/>
          <w:lang w:val="fr-FR"/>
        </w:rPr>
      </w:pPr>
      <w:r w:rsidRPr="0059039A">
        <w:rPr>
          <w:lang w:val="fr-FR"/>
        </w:rPr>
        <w:t>Le présent instrument entrera en vigueur trois</w:t>
      </w:r>
      <w:r w:rsidR="005D3F2A" w:rsidRPr="0059039A">
        <w:rPr>
          <w:lang w:val="fr-FR"/>
        </w:rPr>
        <w:t> </w:t>
      </w:r>
      <w:r w:rsidR="008D6A88">
        <w:rPr>
          <w:lang w:val="fr-FR"/>
        </w:rPr>
        <w:t>mois après que 15</w:t>
      </w:r>
      <w:r w:rsidR="001E6AAF">
        <w:rPr>
          <w:lang w:val="fr-FR"/>
        </w:rPr>
        <w:t> </w:t>
      </w:r>
      <w:r w:rsidRPr="0059039A">
        <w:rPr>
          <w:lang w:val="fr-FR"/>
        </w:rPr>
        <w:t>parties remplissant les conditions visées à l</w:t>
      </w:r>
      <w:r w:rsidR="00260BE8" w:rsidRPr="0059039A">
        <w:rPr>
          <w:lang w:val="fr-FR"/>
        </w:rPr>
        <w:t>’</w:t>
      </w:r>
      <w:r w:rsidR="008E68C2">
        <w:rPr>
          <w:lang w:val="fr-FR"/>
        </w:rPr>
        <w:t>article </w:t>
      </w:r>
      <w:r w:rsidRPr="0059039A">
        <w:rPr>
          <w:lang w:val="fr-FR"/>
        </w:rPr>
        <w:t>[13] auront déposé leur instrument de ratification ou d</w:t>
      </w:r>
      <w:r w:rsidR="00260BE8" w:rsidRPr="0059039A">
        <w:rPr>
          <w:lang w:val="fr-FR"/>
        </w:rPr>
        <w:t>’</w:t>
      </w:r>
      <w:r w:rsidRPr="0059039A">
        <w:rPr>
          <w:lang w:val="fr-FR"/>
        </w:rPr>
        <w:t>adhésion.</w:t>
      </w:r>
    </w:p>
    <w:p w:rsidR="003B640C" w:rsidRPr="0059039A" w:rsidRDefault="003B640C" w:rsidP="008E68C2">
      <w:pPr>
        <w:tabs>
          <w:tab w:val="left" w:pos="567"/>
        </w:tabs>
        <w:jc w:val="center"/>
        <w:textAlignment w:val="baseline"/>
        <w:rPr>
          <w:rFonts w:eastAsia="Times New Roman"/>
          <w:b/>
          <w:bCs/>
          <w:lang w:val="fr-FR"/>
        </w:rPr>
      </w:pPr>
      <w:r w:rsidRPr="0059039A">
        <w:rPr>
          <w:lang w:val="fr-FR"/>
        </w:rPr>
        <w:t> </w:t>
      </w:r>
      <w:r w:rsidRPr="0059039A">
        <w:rPr>
          <w:b/>
          <w:lang w:val="fr-FR"/>
        </w:rPr>
        <w:t>ARTICLE 19</w:t>
      </w:r>
    </w:p>
    <w:p w:rsidR="003B640C" w:rsidRPr="0059039A" w:rsidRDefault="003B640C" w:rsidP="008E68C2">
      <w:pPr>
        <w:tabs>
          <w:tab w:val="left" w:pos="567"/>
        </w:tabs>
        <w:spacing w:after="220"/>
        <w:jc w:val="center"/>
        <w:textAlignment w:val="baseline"/>
        <w:rPr>
          <w:rFonts w:eastAsia="Times New Roman"/>
          <w:szCs w:val="22"/>
          <w:lang w:val="fr-FR"/>
        </w:rPr>
      </w:pPr>
      <w:r w:rsidRPr="0059039A">
        <w:rPr>
          <w:b/>
          <w:lang w:val="fr-FR"/>
        </w:rPr>
        <w:t>DATE DE PRISE D</w:t>
      </w:r>
      <w:r w:rsidR="00260BE8" w:rsidRPr="0059039A">
        <w:rPr>
          <w:b/>
          <w:lang w:val="fr-FR"/>
        </w:rPr>
        <w:t>’</w:t>
      </w:r>
      <w:r w:rsidRPr="0059039A">
        <w:rPr>
          <w:b/>
          <w:lang w:val="fr-FR"/>
        </w:rPr>
        <w:t>EFFET POUR LES PARTIES</w:t>
      </w:r>
    </w:p>
    <w:p w:rsidR="003B640C" w:rsidRPr="0059039A" w:rsidRDefault="003B640C" w:rsidP="008E68C2">
      <w:pPr>
        <w:tabs>
          <w:tab w:val="left" w:pos="567"/>
        </w:tabs>
        <w:spacing w:after="220"/>
        <w:textAlignment w:val="baseline"/>
        <w:rPr>
          <w:rFonts w:eastAsia="Times New Roman"/>
          <w:lang w:val="fr-FR"/>
        </w:rPr>
      </w:pPr>
      <w:r w:rsidRPr="0059039A">
        <w:rPr>
          <w:lang w:val="fr-FR"/>
        </w:rPr>
        <w:t>Le présent instrument lie</w:t>
      </w:r>
      <w:r w:rsidR="00260BE8" w:rsidRPr="0059039A">
        <w:rPr>
          <w:lang w:val="fr-FR"/>
        </w:rPr>
        <w:t> :</w:t>
      </w:r>
    </w:p>
    <w:p w:rsidR="00260BE8" w:rsidRPr="0059039A" w:rsidRDefault="008D6A88" w:rsidP="001E6AAF">
      <w:pPr>
        <w:pStyle w:val="ListParagraph"/>
        <w:numPr>
          <w:ilvl w:val="0"/>
          <w:numId w:val="12"/>
        </w:numPr>
        <w:tabs>
          <w:tab w:val="left" w:pos="567"/>
        </w:tabs>
        <w:spacing w:after="220"/>
        <w:contextualSpacing w:val="0"/>
        <w:textAlignment w:val="baseline"/>
      </w:pPr>
      <w:r>
        <w:t>les 15</w:t>
      </w:r>
      <w:r w:rsidR="008E68C2">
        <w:t> </w:t>
      </w:r>
      <w:r w:rsidR="003B640C" w:rsidRPr="0059039A">
        <w:t>parties remplissant les conditions requises visées à l</w:t>
      </w:r>
      <w:r w:rsidR="00260BE8" w:rsidRPr="0059039A">
        <w:t>’</w:t>
      </w:r>
      <w:r w:rsidR="003B640C" w:rsidRPr="0059039A">
        <w:t>article</w:t>
      </w:r>
      <w:r w:rsidR="008E68C2">
        <w:t> </w:t>
      </w:r>
      <w:r w:rsidR="003B640C" w:rsidRPr="0059039A">
        <w:t>[18], à compter de la date à laquelle le présent instrument est entré en vigueur;  et</w:t>
      </w:r>
    </w:p>
    <w:p w:rsidR="00260BE8" w:rsidRPr="0059039A" w:rsidRDefault="003B640C" w:rsidP="001E6AAF">
      <w:pPr>
        <w:pStyle w:val="ListParagraph"/>
        <w:numPr>
          <w:ilvl w:val="0"/>
          <w:numId w:val="12"/>
        </w:numPr>
        <w:tabs>
          <w:tab w:val="left" w:pos="567"/>
        </w:tabs>
        <w:spacing w:after="220"/>
        <w:contextualSpacing w:val="0"/>
        <w:textAlignment w:val="baseline"/>
      </w:pPr>
      <w:r w:rsidRPr="0059039A">
        <w:t>toute autre partie remplissant les conditions requises visée à l</w:t>
      </w:r>
      <w:r w:rsidR="00260BE8" w:rsidRPr="0059039A">
        <w:t>’</w:t>
      </w:r>
      <w:r w:rsidRPr="0059039A">
        <w:t>article</w:t>
      </w:r>
      <w:r w:rsidR="001E6AAF">
        <w:t> </w:t>
      </w:r>
      <w:r w:rsidRPr="0059039A">
        <w:t>[13], à l</w:t>
      </w:r>
      <w:r w:rsidR="00260BE8" w:rsidRPr="0059039A">
        <w:t>’</w:t>
      </w:r>
      <w:r w:rsidRPr="0059039A">
        <w:t>expiration d</w:t>
      </w:r>
      <w:r w:rsidR="00260BE8" w:rsidRPr="0059039A">
        <w:t>’</w:t>
      </w:r>
      <w:r w:rsidRPr="0059039A">
        <w:t>un délai de trois</w:t>
      </w:r>
      <w:r w:rsidR="005D3F2A" w:rsidRPr="0059039A">
        <w:t> </w:t>
      </w:r>
      <w:r w:rsidRPr="0059039A">
        <w:t>mois à compter de la date à laquelle elle a déposé son instrument de ratification ou d</w:t>
      </w:r>
      <w:r w:rsidR="00260BE8" w:rsidRPr="0059039A">
        <w:t>’</w:t>
      </w:r>
      <w:r w:rsidRPr="0059039A">
        <w:t>adhésion auprès du Directeur général de l</w:t>
      </w:r>
      <w:r w:rsidR="00260BE8" w:rsidRPr="0059039A">
        <w:t>’</w:t>
      </w:r>
      <w:r w:rsidRPr="0059039A">
        <w:t>OMPI.</w:t>
      </w:r>
    </w:p>
    <w:p w:rsidR="003B640C" w:rsidRPr="0059039A" w:rsidRDefault="003B640C" w:rsidP="001E6AAF">
      <w:pPr>
        <w:keepNext/>
        <w:tabs>
          <w:tab w:val="left" w:pos="567"/>
        </w:tabs>
        <w:jc w:val="center"/>
        <w:textAlignment w:val="baseline"/>
        <w:rPr>
          <w:rFonts w:eastAsia="Times New Roman"/>
          <w:b/>
          <w:lang w:val="fr-FR"/>
        </w:rPr>
      </w:pPr>
      <w:r w:rsidRPr="0059039A">
        <w:rPr>
          <w:b/>
          <w:lang w:val="fr-FR"/>
        </w:rPr>
        <w:t>ARTICLE 20</w:t>
      </w:r>
    </w:p>
    <w:p w:rsidR="003B640C" w:rsidRPr="0059039A" w:rsidRDefault="003B640C" w:rsidP="008E68C2">
      <w:pPr>
        <w:tabs>
          <w:tab w:val="left" w:pos="567"/>
        </w:tabs>
        <w:spacing w:after="220"/>
        <w:jc w:val="center"/>
        <w:textAlignment w:val="baseline"/>
        <w:rPr>
          <w:rFonts w:eastAsia="Times New Roman"/>
          <w:b/>
          <w:lang w:val="fr-FR"/>
        </w:rPr>
      </w:pPr>
      <w:r w:rsidRPr="0059039A">
        <w:rPr>
          <w:b/>
          <w:lang w:val="fr-FR"/>
        </w:rPr>
        <w:t>DÉNONCIATION </w:t>
      </w:r>
    </w:p>
    <w:p w:rsidR="003B640C" w:rsidRPr="0059039A" w:rsidRDefault="003B640C" w:rsidP="008E68C2">
      <w:pPr>
        <w:tabs>
          <w:tab w:val="left" w:pos="567"/>
        </w:tabs>
        <w:spacing w:after="480"/>
        <w:textAlignment w:val="baseline"/>
        <w:rPr>
          <w:rFonts w:eastAsia="Times New Roman"/>
          <w:lang w:val="fr-FR"/>
        </w:rPr>
      </w:pPr>
      <w:r w:rsidRPr="0059039A">
        <w:rPr>
          <w:lang w:val="fr-FR"/>
        </w:rPr>
        <w:t>Toute partie contractante peut dénoncer le présent instrument par une notification adressée au Directeur général de l</w:t>
      </w:r>
      <w:r w:rsidR="00260BE8" w:rsidRPr="0059039A">
        <w:rPr>
          <w:lang w:val="fr-FR"/>
        </w:rPr>
        <w:t>’</w:t>
      </w:r>
      <w:r w:rsidRPr="0059039A">
        <w:rPr>
          <w:lang w:val="fr-FR"/>
        </w:rPr>
        <w:t>O</w:t>
      </w:r>
      <w:r w:rsidR="0059039A" w:rsidRPr="0059039A">
        <w:rPr>
          <w:lang w:val="fr-FR"/>
        </w:rPr>
        <w:t>MPI.  La</w:t>
      </w:r>
      <w:r w:rsidRPr="0059039A">
        <w:rPr>
          <w:lang w:val="fr-FR"/>
        </w:rPr>
        <w:t xml:space="preserve"> dénonciation prend effet un an après la date à laquelle le Directeur général a reçu la notificati</w:t>
      </w:r>
      <w:r w:rsidR="0059039A" w:rsidRPr="0059039A">
        <w:rPr>
          <w:lang w:val="fr-FR"/>
        </w:rPr>
        <w:t xml:space="preserve">on.  </w:t>
      </w:r>
      <w:r w:rsidR="0059039A" w:rsidRPr="0059039A">
        <w:rPr>
          <w:color w:val="1A1A1A"/>
          <w:lang w:val="fr-FR"/>
        </w:rPr>
        <w:t>El</w:t>
      </w:r>
      <w:r w:rsidRPr="0059039A">
        <w:rPr>
          <w:color w:val="1A1A1A"/>
          <w:lang w:val="fr-FR"/>
        </w:rPr>
        <w:t>le n</w:t>
      </w:r>
      <w:r w:rsidR="00260BE8" w:rsidRPr="0059039A">
        <w:rPr>
          <w:color w:val="1A1A1A"/>
          <w:lang w:val="fr-FR"/>
        </w:rPr>
        <w:t>’</w:t>
      </w:r>
      <w:r w:rsidRPr="0059039A">
        <w:rPr>
          <w:color w:val="1A1A1A"/>
          <w:lang w:val="fr-FR"/>
        </w:rPr>
        <w:t>a aucune incidence sur l</w:t>
      </w:r>
      <w:r w:rsidR="00260BE8" w:rsidRPr="0059039A">
        <w:rPr>
          <w:color w:val="1A1A1A"/>
          <w:lang w:val="fr-FR"/>
        </w:rPr>
        <w:t>’</w:t>
      </w:r>
      <w:r w:rsidRPr="0059039A">
        <w:rPr>
          <w:color w:val="1A1A1A"/>
          <w:lang w:val="fr-FR"/>
        </w:rPr>
        <w:t>applica</w:t>
      </w:r>
      <w:r w:rsidR="008D6A88">
        <w:rPr>
          <w:color w:val="1A1A1A"/>
          <w:lang w:val="fr-FR"/>
        </w:rPr>
        <w:t xml:space="preserve">tion du présent instrument aux </w:t>
      </w:r>
      <w:r w:rsidRPr="0059039A">
        <w:rPr>
          <w:color w:val="1A1A1A"/>
          <w:lang w:val="fr-FR"/>
        </w:rPr>
        <w:t>demandes de brevet qui sont en instance et aux enregistrements int</w:t>
      </w:r>
      <w:r w:rsidR="008D6A88">
        <w:rPr>
          <w:color w:val="1A1A1A"/>
          <w:lang w:val="fr-FR"/>
        </w:rPr>
        <w:t>ernationaux qui sont en vigueur</w:t>
      </w:r>
      <w:r w:rsidRPr="0059039A">
        <w:rPr>
          <w:color w:val="1A1A1A"/>
          <w:lang w:val="fr-FR"/>
        </w:rPr>
        <w:t>, en ce qui concerne la partie contractante en cause, au moment de la prise d</w:t>
      </w:r>
      <w:r w:rsidR="00260BE8" w:rsidRPr="0059039A">
        <w:rPr>
          <w:color w:val="1A1A1A"/>
          <w:lang w:val="fr-FR"/>
        </w:rPr>
        <w:t>’</w:t>
      </w:r>
      <w:r w:rsidRPr="0059039A">
        <w:rPr>
          <w:color w:val="1A1A1A"/>
          <w:lang w:val="fr-FR"/>
        </w:rPr>
        <w:t>effet de la dénonciation.</w:t>
      </w:r>
    </w:p>
    <w:p w:rsidR="003B640C" w:rsidRPr="0059039A" w:rsidRDefault="003B640C" w:rsidP="008E68C2">
      <w:pPr>
        <w:tabs>
          <w:tab w:val="left" w:pos="567"/>
        </w:tabs>
        <w:jc w:val="center"/>
        <w:textAlignment w:val="baseline"/>
        <w:rPr>
          <w:rFonts w:eastAsia="Times New Roman"/>
          <w:b/>
          <w:lang w:val="fr-FR"/>
        </w:rPr>
      </w:pPr>
      <w:r w:rsidRPr="0059039A">
        <w:rPr>
          <w:b/>
          <w:lang w:val="fr-FR"/>
        </w:rPr>
        <w:t>ARTICLE 21</w:t>
      </w:r>
    </w:p>
    <w:p w:rsidR="003B640C" w:rsidRPr="0059039A" w:rsidRDefault="003B640C" w:rsidP="008E68C2">
      <w:pPr>
        <w:tabs>
          <w:tab w:val="left" w:pos="567"/>
        </w:tabs>
        <w:spacing w:after="220"/>
        <w:jc w:val="center"/>
        <w:textAlignment w:val="baseline"/>
        <w:rPr>
          <w:rFonts w:eastAsia="Times New Roman"/>
          <w:b/>
          <w:lang w:val="fr-FR"/>
        </w:rPr>
      </w:pPr>
      <w:r w:rsidRPr="0059039A">
        <w:rPr>
          <w:b/>
          <w:lang w:val="fr-FR"/>
        </w:rPr>
        <w:t>RÉSERVES </w:t>
      </w:r>
    </w:p>
    <w:p w:rsidR="003B640C" w:rsidRPr="0059039A" w:rsidRDefault="003B640C" w:rsidP="008E68C2">
      <w:pPr>
        <w:tabs>
          <w:tab w:val="left" w:pos="567"/>
        </w:tabs>
        <w:spacing w:after="480"/>
        <w:textAlignment w:val="baseline"/>
        <w:rPr>
          <w:rFonts w:eastAsia="Times New Roman"/>
          <w:lang w:val="fr-FR"/>
        </w:rPr>
      </w:pPr>
      <w:r w:rsidRPr="0059039A">
        <w:rPr>
          <w:lang w:val="fr-FR"/>
        </w:rPr>
        <w:t xml:space="preserve">Aucune réserve ne peut être faite </w:t>
      </w:r>
      <w:r w:rsidR="00260BE8" w:rsidRPr="0059039A">
        <w:rPr>
          <w:lang w:val="fr-FR"/>
        </w:rPr>
        <w:t>à l’égard</w:t>
      </w:r>
      <w:r w:rsidRPr="0059039A">
        <w:rPr>
          <w:lang w:val="fr-FR"/>
        </w:rPr>
        <w:t xml:space="preserve"> du présent instrument.</w:t>
      </w:r>
    </w:p>
    <w:p w:rsidR="003B640C" w:rsidRPr="0059039A" w:rsidRDefault="003B640C" w:rsidP="008E68C2">
      <w:pPr>
        <w:tabs>
          <w:tab w:val="left" w:pos="567"/>
        </w:tabs>
        <w:jc w:val="center"/>
        <w:textAlignment w:val="baseline"/>
        <w:rPr>
          <w:rFonts w:eastAsia="Times New Roman"/>
          <w:b/>
          <w:lang w:val="fr-FR"/>
        </w:rPr>
      </w:pPr>
      <w:r w:rsidRPr="0059039A">
        <w:rPr>
          <w:b/>
          <w:lang w:val="fr-FR"/>
        </w:rPr>
        <w:t>ARTICLE 22</w:t>
      </w:r>
    </w:p>
    <w:p w:rsidR="00260BE8" w:rsidRPr="0059039A" w:rsidRDefault="003B640C" w:rsidP="008E68C2">
      <w:pPr>
        <w:tabs>
          <w:tab w:val="left" w:pos="567"/>
        </w:tabs>
        <w:spacing w:after="220"/>
        <w:jc w:val="center"/>
        <w:textAlignment w:val="baseline"/>
        <w:rPr>
          <w:b/>
          <w:lang w:val="fr-FR"/>
        </w:rPr>
      </w:pPr>
      <w:r w:rsidRPr="0059039A">
        <w:rPr>
          <w:b/>
          <w:lang w:val="fr-FR"/>
        </w:rPr>
        <w:t>LANGUES</w:t>
      </w:r>
    </w:p>
    <w:p w:rsidR="003B640C" w:rsidRPr="0059039A" w:rsidRDefault="009A19FE" w:rsidP="008E68C2">
      <w:pPr>
        <w:tabs>
          <w:tab w:val="left" w:pos="567"/>
        </w:tabs>
        <w:spacing w:after="220"/>
        <w:textAlignment w:val="baseline"/>
        <w:rPr>
          <w:rFonts w:eastAsia="Times New Roman"/>
          <w:lang w:val="fr-FR"/>
        </w:rPr>
      </w:pPr>
      <w:r>
        <w:rPr>
          <w:lang w:val="fr-FR"/>
        </w:rPr>
        <w:t>22.1</w:t>
      </w:r>
      <w:r w:rsidR="008E68C2">
        <w:rPr>
          <w:lang w:val="fr-FR"/>
        </w:rPr>
        <w:tab/>
      </w:r>
      <w:r w:rsidR="003B640C" w:rsidRPr="0059039A">
        <w:rPr>
          <w:lang w:val="fr-FR"/>
        </w:rPr>
        <w:t xml:space="preserve">Le présent instrument est signé en un seul exemplaire original en langues française, anglaise, arabe, chinoise, espagnole et russe, </w:t>
      </w:r>
      <w:r w:rsidR="003B640C" w:rsidRPr="0059039A">
        <w:rPr>
          <w:color w:val="000000" w:themeColor="text1"/>
          <w:lang w:val="fr-FR"/>
        </w:rPr>
        <w:t>tous ces textes faisant également foi</w:t>
      </w:r>
      <w:r w:rsidR="003B640C" w:rsidRPr="0059039A">
        <w:rPr>
          <w:lang w:val="fr-FR"/>
        </w:rPr>
        <w:t>.</w:t>
      </w:r>
    </w:p>
    <w:p w:rsidR="003B640C" w:rsidRPr="0059039A" w:rsidRDefault="009A19FE" w:rsidP="008E68C2">
      <w:pPr>
        <w:tabs>
          <w:tab w:val="left" w:pos="567"/>
        </w:tabs>
        <w:spacing w:after="480"/>
        <w:textAlignment w:val="baseline"/>
        <w:rPr>
          <w:rFonts w:eastAsia="Times New Roman"/>
          <w:lang w:val="fr-FR"/>
        </w:rPr>
      </w:pPr>
      <w:r>
        <w:rPr>
          <w:lang w:val="fr-FR"/>
        </w:rPr>
        <w:t>22.2</w:t>
      </w:r>
      <w:r w:rsidR="008E68C2">
        <w:rPr>
          <w:lang w:val="fr-FR"/>
        </w:rPr>
        <w:tab/>
      </w:r>
      <w:r w:rsidR="003B640C" w:rsidRPr="0059039A">
        <w:rPr>
          <w:lang w:val="fr-FR"/>
        </w:rPr>
        <w:t>Un texte officiel dans une langue non visée à l</w:t>
      </w:r>
      <w:r w:rsidR="00260BE8" w:rsidRPr="0059039A">
        <w:rPr>
          <w:lang w:val="fr-FR"/>
        </w:rPr>
        <w:t>’</w:t>
      </w:r>
      <w:r w:rsidR="003B640C" w:rsidRPr="0059039A">
        <w:rPr>
          <w:lang w:val="fr-FR"/>
        </w:rPr>
        <w:t>article</w:t>
      </w:r>
      <w:r w:rsidR="001E6AAF">
        <w:rPr>
          <w:lang w:val="fr-FR"/>
        </w:rPr>
        <w:t> </w:t>
      </w:r>
      <w:r w:rsidR="003B640C" w:rsidRPr="0059039A">
        <w:rPr>
          <w:lang w:val="fr-FR"/>
        </w:rPr>
        <w:t>[22.1] est établi par le Directeur général de l</w:t>
      </w:r>
      <w:r w:rsidR="00260BE8" w:rsidRPr="0059039A">
        <w:rPr>
          <w:lang w:val="fr-FR"/>
        </w:rPr>
        <w:t>’</w:t>
      </w:r>
      <w:r w:rsidR="003B640C" w:rsidRPr="0059039A">
        <w:rPr>
          <w:lang w:val="fr-FR"/>
        </w:rPr>
        <w:t>OMPI, après consultation de toutes les parties intéressées, dans les autres langues que l</w:t>
      </w:r>
      <w:r w:rsidR="00260BE8" w:rsidRPr="0059039A">
        <w:rPr>
          <w:lang w:val="fr-FR"/>
        </w:rPr>
        <w:t>’</w:t>
      </w:r>
      <w:r w:rsidR="003B640C" w:rsidRPr="0059039A">
        <w:rPr>
          <w:lang w:val="fr-FR"/>
        </w:rPr>
        <w:t>assemblée pourra indiqu</w:t>
      </w:r>
      <w:r w:rsidR="0059039A" w:rsidRPr="0059039A">
        <w:rPr>
          <w:lang w:val="fr-FR"/>
        </w:rPr>
        <w:t>er.  Au</w:t>
      </w:r>
      <w:r w:rsidR="003B640C" w:rsidRPr="0059039A">
        <w:rPr>
          <w:lang w:val="fr-FR"/>
        </w:rPr>
        <w:t>x fins du présent alinéa, on entend par “partie intéressée” toute partie contractante dont la langue officielle ou l</w:t>
      </w:r>
      <w:r w:rsidR="00260BE8" w:rsidRPr="0059039A">
        <w:rPr>
          <w:lang w:val="fr-FR"/>
        </w:rPr>
        <w:t>’</w:t>
      </w:r>
      <w:r w:rsidR="003B640C" w:rsidRPr="0059039A">
        <w:rPr>
          <w:lang w:val="fr-FR"/>
        </w:rPr>
        <w:t>une des langues officielles est en cause.</w:t>
      </w:r>
    </w:p>
    <w:p w:rsidR="00260BE8" w:rsidRPr="0059039A" w:rsidRDefault="003B640C" w:rsidP="008E68C2">
      <w:pPr>
        <w:tabs>
          <w:tab w:val="left" w:pos="567"/>
        </w:tabs>
        <w:jc w:val="center"/>
        <w:textAlignment w:val="baseline"/>
        <w:rPr>
          <w:b/>
          <w:lang w:val="fr-FR"/>
        </w:rPr>
      </w:pPr>
      <w:r w:rsidRPr="0059039A">
        <w:rPr>
          <w:b/>
          <w:lang w:val="fr-FR"/>
        </w:rPr>
        <w:t>ARTICLE 23  </w:t>
      </w:r>
    </w:p>
    <w:p w:rsidR="00260BE8" w:rsidRPr="0059039A" w:rsidRDefault="003B640C" w:rsidP="008E68C2">
      <w:pPr>
        <w:tabs>
          <w:tab w:val="left" w:pos="567"/>
        </w:tabs>
        <w:spacing w:after="220"/>
        <w:jc w:val="center"/>
        <w:textAlignment w:val="baseline"/>
        <w:rPr>
          <w:b/>
          <w:lang w:val="fr-FR"/>
        </w:rPr>
      </w:pPr>
      <w:r w:rsidRPr="0059039A">
        <w:rPr>
          <w:b/>
          <w:lang w:val="fr-FR"/>
        </w:rPr>
        <w:t>DÉPOSITAIRE </w:t>
      </w:r>
    </w:p>
    <w:p w:rsidR="003B640C" w:rsidRPr="0059039A" w:rsidRDefault="003B640C" w:rsidP="008E68C2">
      <w:pPr>
        <w:tabs>
          <w:tab w:val="left" w:pos="567"/>
        </w:tabs>
        <w:spacing w:after="220"/>
        <w:textAlignment w:val="baseline"/>
        <w:rPr>
          <w:rFonts w:eastAsia="Times New Roman"/>
          <w:lang w:val="fr-FR"/>
        </w:rPr>
      </w:pPr>
      <w:r w:rsidRPr="0059039A">
        <w:rPr>
          <w:lang w:val="fr-FR"/>
        </w:rPr>
        <w:t>Le Directeur général de l</w:t>
      </w:r>
      <w:r w:rsidR="00260BE8" w:rsidRPr="0059039A">
        <w:rPr>
          <w:lang w:val="fr-FR"/>
        </w:rPr>
        <w:t>’</w:t>
      </w:r>
      <w:r w:rsidRPr="0059039A">
        <w:rPr>
          <w:lang w:val="fr-FR"/>
        </w:rPr>
        <w:t>OMPI est le dépositaire du présent instrument.</w:t>
      </w:r>
    </w:p>
    <w:p w:rsidR="003B640C" w:rsidRPr="0059039A" w:rsidRDefault="003B640C" w:rsidP="008E68C2">
      <w:pPr>
        <w:tabs>
          <w:tab w:val="left" w:pos="567"/>
        </w:tabs>
        <w:spacing w:after="840"/>
        <w:rPr>
          <w:lang w:val="fr-FR"/>
        </w:rPr>
      </w:pPr>
      <w:r w:rsidRPr="0059039A">
        <w:rPr>
          <w:lang w:val="fr-FR"/>
        </w:rPr>
        <w:t>Fait à</w:t>
      </w:r>
      <w:r w:rsidR="00C12CC6">
        <w:rPr>
          <w:lang w:val="fr-FR"/>
        </w:rPr>
        <w:t xml:space="preserve"> </w:t>
      </w:r>
      <w:r w:rsidRPr="0059039A">
        <w:rPr>
          <w:lang w:val="fr-FR"/>
        </w:rPr>
        <w:t>…….  </w:t>
      </w:r>
    </w:p>
    <w:p w:rsidR="000F5E56" w:rsidRPr="0059039A" w:rsidRDefault="003B640C" w:rsidP="008E68C2">
      <w:pPr>
        <w:pStyle w:val="Endofdocument-Annex"/>
        <w:tabs>
          <w:tab w:val="left" w:pos="567"/>
        </w:tabs>
        <w:rPr>
          <w:lang w:val="fr-FR"/>
        </w:rPr>
      </w:pPr>
      <w:r w:rsidRPr="0059039A">
        <w:rPr>
          <w:lang w:val="fr-FR"/>
        </w:rPr>
        <w:t>[Fin du document]</w:t>
      </w:r>
    </w:p>
    <w:sectPr w:rsidR="000F5E56" w:rsidRPr="0059039A" w:rsidSect="003B640C">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40C" w:rsidRDefault="003B640C">
      <w:r>
        <w:separator/>
      </w:r>
    </w:p>
  </w:endnote>
  <w:endnote w:type="continuationSeparator" w:id="0">
    <w:p w:rsidR="003B640C" w:rsidRPr="009D30E6" w:rsidRDefault="003B640C" w:rsidP="00D45252">
      <w:pPr>
        <w:rPr>
          <w:sz w:val="17"/>
          <w:szCs w:val="17"/>
        </w:rPr>
      </w:pPr>
      <w:r w:rsidRPr="009D30E6">
        <w:rPr>
          <w:sz w:val="17"/>
          <w:szCs w:val="17"/>
        </w:rPr>
        <w:separator/>
      </w:r>
    </w:p>
    <w:p w:rsidR="003B640C" w:rsidRPr="009D30E6" w:rsidRDefault="003B640C" w:rsidP="00D45252">
      <w:pPr>
        <w:spacing w:after="60"/>
        <w:rPr>
          <w:sz w:val="17"/>
          <w:szCs w:val="17"/>
        </w:rPr>
      </w:pPr>
      <w:r w:rsidRPr="009D30E6">
        <w:rPr>
          <w:sz w:val="17"/>
          <w:szCs w:val="17"/>
        </w:rPr>
        <w:t>[Suite de la note de la page précédente]</w:t>
      </w:r>
    </w:p>
  </w:endnote>
  <w:endnote w:type="continuationNotice" w:id="1">
    <w:p w:rsidR="003B640C" w:rsidRPr="009D30E6" w:rsidRDefault="003B640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altName w:val="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CC6" w:rsidRDefault="00C12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CC6" w:rsidRDefault="00C12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CC6" w:rsidRDefault="00C12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40C" w:rsidRDefault="003B640C">
      <w:r>
        <w:separator/>
      </w:r>
    </w:p>
  </w:footnote>
  <w:footnote w:type="continuationSeparator" w:id="0">
    <w:p w:rsidR="003B640C" w:rsidRDefault="003B640C" w:rsidP="007461F1">
      <w:r>
        <w:separator/>
      </w:r>
    </w:p>
    <w:p w:rsidR="003B640C" w:rsidRPr="009D30E6" w:rsidRDefault="003B640C" w:rsidP="007461F1">
      <w:pPr>
        <w:spacing w:after="60"/>
        <w:rPr>
          <w:sz w:val="17"/>
          <w:szCs w:val="17"/>
        </w:rPr>
      </w:pPr>
      <w:r w:rsidRPr="009D30E6">
        <w:rPr>
          <w:sz w:val="17"/>
          <w:szCs w:val="17"/>
        </w:rPr>
        <w:t>[Suite de la note de la page précédente]</w:t>
      </w:r>
    </w:p>
  </w:footnote>
  <w:footnote w:type="continuationNotice" w:id="1">
    <w:p w:rsidR="003B640C" w:rsidRPr="009D30E6" w:rsidRDefault="003B640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CC6" w:rsidRDefault="00C12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3B640C" w:rsidP="00477D6B">
    <w:pPr>
      <w:jc w:val="right"/>
    </w:pPr>
    <w:bookmarkStart w:id="6" w:name="Code2"/>
    <w:bookmarkEnd w:id="6"/>
    <w:r>
      <w:t>GRATK/PM/2</w:t>
    </w:r>
  </w:p>
  <w:p w:rsidR="004F4E31" w:rsidRDefault="00F16975" w:rsidP="00CB4DAF">
    <w:pPr>
      <w:spacing w:after="480"/>
      <w:jc w:val="right"/>
    </w:pPr>
    <w:r>
      <w:t>page</w:t>
    </w:r>
    <w:r w:rsidR="00CB4DAF">
      <w:t> </w:t>
    </w:r>
    <w:r>
      <w:fldChar w:fldCharType="begin"/>
    </w:r>
    <w:r>
      <w:instrText xml:space="preserve"> PAGE  \* MERGEFORMAT </w:instrText>
    </w:r>
    <w:r>
      <w:fldChar w:fldCharType="separate"/>
    </w:r>
    <w:r w:rsidR="00346A38">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CC6" w:rsidRDefault="00C12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51A6C20"/>
    <w:multiLevelType w:val="hybridMultilevel"/>
    <w:tmpl w:val="42FC3298"/>
    <w:lvl w:ilvl="0" w:tplc="D55471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E655C1E"/>
    <w:multiLevelType w:val="multilevel"/>
    <w:tmpl w:val="940CFAAE"/>
    <w:lvl w:ilvl="0">
      <w:start w:val="1"/>
      <w:numFmt w:val="lowerLetter"/>
      <w:lvlText w:val="%1)"/>
      <w:lvlJc w:val="left"/>
      <w:pPr>
        <w:ind w:left="1134" w:hanging="567"/>
      </w:pPr>
      <w:rPr>
        <w:rFonts w:ascii="Arial" w:hAnsi="Arial" w:cs="Arial" w:hint="default"/>
        <w:sz w:val="22"/>
      </w:rPr>
    </w:lvl>
    <w:lvl w:ilvl="1">
      <w:start w:val="1"/>
      <w:numFmt w:val="lowerLetter"/>
      <w:lvlText w:val="%2."/>
      <w:lvlJc w:val="left"/>
      <w:pPr>
        <w:ind w:left="1650" w:hanging="360"/>
      </w:pPr>
      <w:rPr>
        <w:rFonts w:hint="default"/>
      </w:rPr>
    </w:lvl>
    <w:lvl w:ilvl="2">
      <w:start w:val="1"/>
      <w:numFmt w:val="lowerRoman"/>
      <w:lvlText w:val="%3."/>
      <w:lvlJc w:val="right"/>
      <w:pPr>
        <w:ind w:left="2370" w:hanging="180"/>
      </w:pPr>
      <w:rPr>
        <w:rFonts w:hint="default"/>
      </w:rPr>
    </w:lvl>
    <w:lvl w:ilvl="3">
      <w:start w:val="1"/>
      <w:numFmt w:val="decimal"/>
      <w:lvlText w:val="%4."/>
      <w:lvlJc w:val="left"/>
      <w:pPr>
        <w:ind w:left="3090" w:hanging="360"/>
      </w:pPr>
      <w:rPr>
        <w:rFonts w:hint="default"/>
      </w:rPr>
    </w:lvl>
    <w:lvl w:ilvl="4">
      <w:start w:val="1"/>
      <w:numFmt w:val="lowerLetter"/>
      <w:lvlText w:val="%5."/>
      <w:lvlJc w:val="left"/>
      <w:pPr>
        <w:ind w:left="3810" w:hanging="360"/>
      </w:pPr>
      <w:rPr>
        <w:rFonts w:hint="default"/>
      </w:rPr>
    </w:lvl>
    <w:lvl w:ilvl="5">
      <w:start w:val="1"/>
      <w:numFmt w:val="lowerRoman"/>
      <w:lvlText w:val="%6."/>
      <w:lvlJc w:val="right"/>
      <w:pPr>
        <w:ind w:left="4530" w:hanging="180"/>
      </w:pPr>
      <w:rPr>
        <w:rFonts w:hint="default"/>
      </w:rPr>
    </w:lvl>
    <w:lvl w:ilvl="6">
      <w:start w:val="1"/>
      <w:numFmt w:val="decimal"/>
      <w:lvlText w:val="%7."/>
      <w:lvlJc w:val="left"/>
      <w:pPr>
        <w:ind w:left="5250" w:hanging="360"/>
      </w:pPr>
      <w:rPr>
        <w:rFonts w:hint="default"/>
      </w:rPr>
    </w:lvl>
    <w:lvl w:ilvl="7">
      <w:start w:val="1"/>
      <w:numFmt w:val="lowerLetter"/>
      <w:lvlText w:val="%8."/>
      <w:lvlJc w:val="left"/>
      <w:pPr>
        <w:ind w:left="5970" w:hanging="360"/>
      </w:pPr>
      <w:rPr>
        <w:rFonts w:hint="default"/>
      </w:rPr>
    </w:lvl>
    <w:lvl w:ilvl="8">
      <w:start w:val="1"/>
      <w:numFmt w:val="lowerRoman"/>
      <w:lvlText w:val="%9."/>
      <w:lvlJc w:val="right"/>
      <w:pPr>
        <w:ind w:left="6690" w:hanging="180"/>
      </w:pPr>
      <w:rPr>
        <w:rFonts w:hint="default"/>
      </w:rPr>
    </w:lvl>
  </w:abstractNum>
  <w:abstractNum w:abstractNumId="6" w15:restartNumberingAfterBreak="0">
    <w:nsid w:val="40413104"/>
    <w:multiLevelType w:val="multilevel"/>
    <w:tmpl w:val="940CFAAE"/>
    <w:lvl w:ilvl="0">
      <w:start w:val="1"/>
      <w:numFmt w:val="lowerLetter"/>
      <w:lvlText w:val="%1)"/>
      <w:lvlJc w:val="left"/>
      <w:pPr>
        <w:ind w:left="1134" w:hanging="567"/>
      </w:pPr>
      <w:rPr>
        <w:rFonts w:ascii="Arial" w:hAnsi="Arial" w:cs="Arial" w:hint="default"/>
        <w:sz w:val="22"/>
      </w:rPr>
    </w:lvl>
    <w:lvl w:ilvl="1">
      <w:start w:val="1"/>
      <w:numFmt w:val="lowerLetter"/>
      <w:lvlText w:val="%2."/>
      <w:lvlJc w:val="left"/>
      <w:pPr>
        <w:ind w:left="1650" w:hanging="360"/>
      </w:pPr>
      <w:rPr>
        <w:rFonts w:hint="default"/>
      </w:rPr>
    </w:lvl>
    <w:lvl w:ilvl="2">
      <w:start w:val="1"/>
      <w:numFmt w:val="lowerRoman"/>
      <w:lvlText w:val="%3."/>
      <w:lvlJc w:val="right"/>
      <w:pPr>
        <w:ind w:left="2370" w:hanging="180"/>
      </w:pPr>
      <w:rPr>
        <w:rFonts w:hint="default"/>
      </w:rPr>
    </w:lvl>
    <w:lvl w:ilvl="3">
      <w:start w:val="1"/>
      <w:numFmt w:val="decimal"/>
      <w:lvlText w:val="%4."/>
      <w:lvlJc w:val="left"/>
      <w:pPr>
        <w:ind w:left="3090" w:hanging="360"/>
      </w:pPr>
      <w:rPr>
        <w:rFonts w:hint="default"/>
      </w:rPr>
    </w:lvl>
    <w:lvl w:ilvl="4">
      <w:start w:val="1"/>
      <w:numFmt w:val="lowerLetter"/>
      <w:lvlText w:val="%5."/>
      <w:lvlJc w:val="left"/>
      <w:pPr>
        <w:ind w:left="3810" w:hanging="360"/>
      </w:pPr>
      <w:rPr>
        <w:rFonts w:hint="default"/>
      </w:rPr>
    </w:lvl>
    <w:lvl w:ilvl="5">
      <w:start w:val="1"/>
      <w:numFmt w:val="lowerRoman"/>
      <w:lvlText w:val="%6."/>
      <w:lvlJc w:val="right"/>
      <w:pPr>
        <w:ind w:left="4530" w:hanging="180"/>
      </w:pPr>
      <w:rPr>
        <w:rFonts w:hint="default"/>
      </w:rPr>
    </w:lvl>
    <w:lvl w:ilvl="6">
      <w:start w:val="1"/>
      <w:numFmt w:val="decimal"/>
      <w:lvlText w:val="%7."/>
      <w:lvlJc w:val="left"/>
      <w:pPr>
        <w:ind w:left="5250" w:hanging="360"/>
      </w:pPr>
      <w:rPr>
        <w:rFonts w:hint="default"/>
      </w:rPr>
    </w:lvl>
    <w:lvl w:ilvl="7">
      <w:start w:val="1"/>
      <w:numFmt w:val="lowerLetter"/>
      <w:lvlText w:val="%8."/>
      <w:lvlJc w:val="left"/>
      <w:pPr>
        <w:ind w:left="5970" w:hanging="360"/>
      </w:pPr>
      <w:rPr>
        <w:rFonts w:hint="default"/>
      </w:rPr>
    </w:lvl>
    <w:lvl w:ilvl="8">
      <w:start w:val="1"/>
      <w:numFmt w:val="lowerRoman"/>
      <w:lvlText w:val="%9."/>
      <w:lvlJc w:val="right"/>
      <w:pPr>
        <w:ind w:left="6690" w:hanging="18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E01815"/>
    <w:multiLevelType w:val="multilevel"/>
    <w:tmpl w:val="940CFAAE"/>
    <w:lvl w:ilvl="0">
      <w:start w:val="1"/>
      <w:numFmt w:val="lowerLetter"/>
      <w:lvlText w:val="%1)"/>
      <w:lvlJc w:val="left"/>
      <w:pPr>
        <w:ind w:left="1134" w:hanging="567"/>
      </w:pPr>
      <w:rPr>
        <w:rFonts w:ascii="Arial" w:hAnsi="Arial" w:cs="Arial" w:hint="default"/>
        <w:sz w:val="22"/>
      </w:rPr>
    </w:lvl>
    <w:lvl w:ilvl="1">
      <w:start w:val="1"/>
      <w:numFmt w:val="lowerLetter"/>
      <w:lvlText w:val="%2."/>
      <w:lvlJc w:val="left"/>
      <w:pPr>
        <w:ind w:left="1650" w:hanging="360"/>
      </w:pPr>
      <w:rPr>
        <w:rFonts w:hint="default"/>
      </w:rPr>
    </w:lvl>
    <w:lvl w:ilvl="2">
      <w:start w:val="1"/>
      <w:numFmt w:val="lowerRoman"/>
      <w:lvlText w:val="%3."/>
      <w:lvlJc w:val="right"/>
      <w:pPr>
        <w:ind w:left="2370" w:hanging="180"/>
      </w:pPr>
      <w:rPr>
        <w:rFonts w:hint="default"/>
      </w:rPr>
    </w:lvl>
    <w:lvl w:ilvl="3">
      <w:start w:val="1"/>
      <w:numFmt w:val="decimal"/>
      <w:lvlText w:val="%4."/>
      <w:lvlJc w:val="left"/>
      <w:pPr>
        <w:ind w:left="3090" w:hanging="360"/>
      </w:pPr>
      <w:rPr>
        <w:rFonts w:hint="default"/>
      </w:rPr>
    </w:lvl>
    <w:lvl w:ilvl="4">
      <w:start w:val="1"/>
      <w:numFmt w:val="lowerLetter"/>
      <w:lvlText w:val="%5."/>
      <w:lvlJc w:val="left"/>
      <w:pPr>
        <w:ind w:left="3810" w:hanging="360"/>
      </w:pPr>
      <w:rPr>
        <w:rFonts w:hint="default"/>
      </w:rPr>
    </w:lvl>
    <w:lvl w:ilvl="5">
      <w:start w:val="1"/>
      <w:numFmt w:val="lowerRoman"/>
      <w:lvlText w:val="%6."/>
      <w:lvlJc w:val="right"/>
      <w:pPr>
        <w:ind w:left="4530" w:hanging="180"/>
      </w:pPr>
      <w:rPr>
        <w:rFonts w:hint="default"/>
      </w:rPr>
    </w:lvl>
    <w:lvl w:ilvl="6">
      <w:start w:val="1"/>
      <w:numFmt w:val="decimal"/>
      <w:lvlText w:val="%7."/>
      <w:lvlJc w:val="left"/>
      <w:pPr>
        <w:ind w:left="5250" w:hanging="360"/>
      </w:pPr>
      <w:rPr>
        <w:rFonts w:hint="default"/>
      </w:rPr>
    </w:lvl>
    <w:lvl w:ilvl="7">
      <w:start w:val="1"/>
      <w:numFmt w:val="lowerLetter"/>
      <w:lvlText w:val="%8."/>
      <w:lvlJc w:val="left"/>
      <w:pPr>
        <w:ind w:left="5970" w:hanging="360"/>
      </w:pPr>
      <w:rPr>
        <w:rFonts w:hint="default"/>
      </w:rPr>
    </w:lvl>
    <w:lvl w:ilvl="8">
      <w:start w:val="1"/>
      <w:numFmt w:val="lowerRoman"/>
      <w:lvlText w:val="%9."/>
      <w:lvlJc w:val="right"/>
      <w:pPr>
        <w:ind w:left="6690" w:hanging="18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E87AF4"/>
    <w:multiLevelType w:val="multilevel"/>
    <w:tmpl w:val="940CFAAE"/>
    <w:lvl w:ilvl="0">
      <w:start w:val="1"/>
      <w:numFmt w:val="lowerLetter"/>
      <w:lvlText w:val="%1)"/>
      <w:lvlJc w:val="left"/>
      <w:pPr>
        <w:ind w:left="1134" w:hanging="567"/>
      </w:pPr>
      <w:rPr>
        <w:rFonts w:ascii="Arial" w:hAnsi="Arial" w:cs="Arial" w:hint="default"/>
        <w:sz w:val="22"/>
      </w:rPr>
    </w:lvl>
    <w:lvl w:ilvl="1">
      <w:start w:val="1"/>
      <w:numFmt w:val="lowerLetter"/>
      <w:lvlText w:val="%2."/>
      <w:lvlJc w:val="left"/>
      <w:pPr>
        <w:ind w:left="1650" w:hanging="360"/>
      </w:pPr>
      <w:rPr>
        <w:rFonts w:hint="default"/>
      </w:rPr>
    </w:lvl>
    <w:lvl w:ilvl="2">
      <w:start w:val="1"/>
      <w:numFmt w:val="lowerRoman"/>
      <w:lvlText w:val="%3."/>
      <w:lvlJc w:val="right"/>
      <w:pPr>
        <w:ind w:left="2370" w:hanging="180"/>
      </w:pPr>
      <w:rPr>
        <w:rFonts w:hint="default"/>
      </w:rPr>
    </w:lvl>
    <w:lvl w:ilvl="3">
      <w:start w:val="1"/>
      <w:numFmt w:val="decimal"/>
      <w:lvlText w:val="%4."/>
      <w:lvlJc w:val="left"/>
      <w:pPr>
        <w:ind w:left="3090" w:hanging="360"/>
      </w:pPr>
      <w:rPr>
        <w:rFonts w:hint="default"/>
      </w:rPr>
    </w:lvl>
    <w:lvl w:ilvl="4">
      <w:start w:val="1"/>
      <w:numFmt w:val="lowerLetter"/>
      <w:lvlText w:val="%5."/>
      <w:lvlJc w:val="left"/>
      <w:pPr>
        <w:ind w:left="3810" w:hanging="360"/>
      </w:pPr>
      <w:rPr>
        <w:rFonts w:hint="default"/>
      </w:rPr>
    </w:lvl>
    <w:lvl w:ilvl="5">
      <w:start w:val="1"/>
      <w:numFmt w:val="lowerRoman"/>
      <w:lvlText w:val="%6."/>
      <w:lvlJc w:val="right"/>
      <w:pPr>
        <w:ind w:left="4530" w:hanging="180"/>
      </w:pPr>
      <w:rPr>
        <w:rFonts w:hint="default"/>
      </w:rPr>
    </w:lvl>
    <w:lvl w:ilvl="6">
      <w:start w:val="1"/>
      <w:numFmt w:val="decimal"/>
      <w:lvlText w:val="%7."/>
      <w:lvlJc w:val="left"/>
      <w:pPr>
        <w:ind w:left="5250" w:hanging="360"/>
      </w:pPr>
      <w:rPr>
        <w:rFonts w:hint="default"/>
      </w:rPr>
    </w:lvl>
    <w:lvl w:ilvl="7">
      <w:start w:val="1"/>
      <w:numFmt w:val="lowerLetter"/>
      <w:lvlText w:val="%8."/>
      <w:lvlJc w:val="left"/>
      <w:pPr>
        <w:ind w:left="5970" w:hanging="360"/>
      </w:pPr>
      <w:rPr>
        <w:rFonts w:hint="default"/>
      </w:rPr>
    </w:lvl>
    <w:lvl w:ilvl="8">
      <w:start w:val="1"/>
      <w:numFmt w:val="lowerRoman"/>
      <w:lvlText w:val="%9."/>
      <w:lvlJc w:val="right"/>
      <w:pPr>
        <w:ind w:left="6690" w:hanging="180"/>
      </w:pPr>
      <w:rPr>
        <w:rFonts w:hint="default"/>
      </w:rPr>
    </w:lvl>
  </w:abstractNum>
  <w:abstractNum w:abstractNumId="11" w15:restartNumberingAfterBreak="0">
    <w:nsid w:val="7C04012E"/>
    <w:multiLevelType w:val="multilevel"/>
    <w:tmpl w:val="940CFAAE"/>
    <w:lvl w:ilvl="0">
      <w:start w:val="1"/>
      <w:numFmt w:val="lowerLetter"/>
      <w:lvlText w:val="%1)"/>
      <w:lvlJc w:val="left"/>
      <w:pPr>
        <w:ind w:left="1134" w:hanging="567"/>
      </w:pPr>
      <w:rPr>
        <w:rFonts w:ascii="Arial" w:hAnsi="Arial" w:cs="Arial" w:hint="default"/>
        <w:sz w:val="22"/>
      </w:rPr>
    </w:lvl>
    <w:lvl w:ilvl="1">
      <w:start w:val="1"/>
      <w:numFmt w:val="lowerLetter"/>
      <w:lvlText w:val="%2."/>
      <w:lvlJc w:val="left"/>
      <w:pPr>
        <w:ind w:left="1650" w:hanging="360"/>
      </w:pPr>
      <w:rPr>
        <w:rFonts w:hint="default"/>
      </w:rPr>
    </w:lvl>
    <w:lvl w:ilvl="2">
      <w:start w:val="1"/>
      <w:numFmt w:val="lowerRoman"/>
      <w:lvlText w:val="%3."/>
      <w:lvlJc w:val="right"/>
      <w:pPr>
        <w:ind w:left="2370" w:hanging="180"/>
      </w:pPr>
      <w:rPr>
        <w:rFonts w:hint="default"/>
      </w:rPr>
    </w:lvl>
    <w:lvl w:ilvl="3">
      <w:start w:val="1"/>
      <w:numFmt w:val="decimal"/>
      <w:lvlText w:val="%4."/>
      <w:lvlJc w:val="left"/>
      <w:pPr>
        <w:ind w:left="3090" w:hanging="360"/>
      </w:pPr>
      <w:rPr>
        <w:rFonts w:hint="default"/>
      </w:rPr>
    </w:lvl>
    <w:lvl w:ilvl="4">
      <w:start w:val="1"/>
      <w:numFmt w:val="lowerLetter"/>
      <w:lvlText w:val="%5."/>
      <w:lvlJc w:val="left"/>
      <w:pPr>
        <w:ind w:left="3810" w:hanging="360"/>
      </w:pPr>
      <w:rPr>
        <w:rFonts w:hint="default"/>
      </w:rPr>
    </w:lvl>
    <w:lvl w:ilvl="5">
      <w:start w:val="1"/>
      <w:numFmt w:val="lowerRoman"/>
      <w:lvlText w:val="%6."/>
      <w:lvlJc w:val="right"/>
      <w:pPr>
        <w:ind w:left="4530" w:hanging="180"/>
      </w:pPr>
      <w:rPr>
        <w:rFonts w:hint="default"/>
      </w:rPr>
    </w:lvl>
    <w:lvl w:ilvl="6">
      <w:start w:val="1"/>
      <w:numFmt w:val="decimal"/>
      <w:lvlText w:val="%7."/>
      <w:lvlJc w:val="left"/>
      <w:pPr>
        <w:ind w:left="5250" w:hanging="360"/>
      </w:pPr>
      <w:rPr>
        <w:rFonts w:hint="default"/>
      </w:rPr>
    </w:lvl>
    <w:lvl w:ilvl="7">
      <w:start w:val="1"/>
      <w:numFmt w:val="lowerLetter"/>
      <w:lvlText w:val="%8."/>
      <w:lvlJc w:val="left"/>
      <w:pPr>
        <w:ind w:left="5970" w:hanging="360"/>
      </w:pPr>
      <w:rPr>
        <w:rFonts w:hint="default"/>
      </w:rPr>
    </w:lvl>
    <w:lvl w:ilvl="8">
      <w:start w:val="1"/>
      <w:numFmt w:val="lowerRoman"/>
      <w:lvlText w:val="%9."/>
      <w:lvlJc w:val="right"/>
      <w:pPr>
        <w:ind w:left="6690" w:hanging="180"/>
      </w:pPr>
      <w:rPr>
        <w:rFonts w:hint="default"/>
      </w:rPr>
    </w:lvl>
  </w:abstractNum>
  <w:num w:numId="1">
    <w:abstractNumId w:val="3"/>
  </w:num>
  <w:num w:numId="2">
    <w:abstractNumId w:val="7"/>
  </w:num>
  <w:num w:numId="3">
    <w:abstractNumId w:val="0"/>
  </w:num>
  <w:num w:numId="4">
    <w:abstractNumId w:val="9"/>
  </w:num>
  <w:num w:numId="5">
    <w:abstractNumId w:val="2"/>
  </w:num>
  <w:num w:numId="6">
    <w:abstractNumId w:val="4"/>
  </w:num>
  <w:num w:numId="7">
    <w:abstractNumId w:val="6"/>
  </w:num>
  <w:num w:numId="8">
    <w:abstractNumId w:val="1"/>
  </w:num>
  <w:num w:numId="9">
    <w:abstractNumId w:val="10"/>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40C"/>
    <w:rsid w:val="00011B7D"/>
    <w:rsid w:val="00075432"/>
    <w:rsid w:val="000F5E56"/>
    <w:rsid w:val="0010601F"/>
    <w:rsid w:val="001362EE"/>
    <w:rsid w:val="001832A6"/>
    <w:rsid w:val="00195C6E"/>
    <w:rsid w:val="001B266A"/>
    <w:rsid w:val="001D3D56"/>
    <w:rsid w:val="001E6AAF"/>
    <w:rsid w:val="00240654"/>
    <w:rsid w:val="00260BE8"/>
    <w:rsid w:val="002634C4"/>
    <w:rsid w:val="002D4918"/>
    <w:rsid w:val="002E4D1A"/>
    <w:rsid w:val="002F16BC"/>
    <w:rsid w:val="002F4E68"/>
    <w:rsid w:val="00315FCA"/>
    <w:rsid w:val="00346A38"/>
    <w:rsid w:val="00370764"/>
    <w:rsid w:val="003845C1"/>
    <w:rsid w:val="003A1BCD"/>
    <w:rsid w:val="003B640C"/>
    <w:rsid w:val="004008A2"/>
    <w:rsid w:val="004025DF"/>
    <w:rsid w:val="00423E3E"/>
    <w:rsid w:val="00427AF4"/>
    <w:rsid w:val="004647DA"/>
    <w:rsid w:val="00477D6B"/>
    <w:rsid w:val="004D6471"/>
    <w:rsid w:val="004F4E31"/>
    <w:rsid w:val="00525B63"/>
    <w:rsid w:val="00547476"/>
    <w:rsid w:val="00561DB8"/>
    <w:rsid w:val="00567A4C"/>
    <w:rsid w:val="0059039A"/>
    <w:rsid w:val="005D3F2A"/>
    <w:rsid w:val="005E6516"/>
    <w:rsid w:val="00605827"/>
    <w:rsid w:val="00676936"/>
    <w:rsid w:val="006B0DB5"/>
    <w:rsid w:val="006E4243"/>
    <w:rsid w:val="007461F1"/>
    <w:rsid w:val="00751175"/>
    <w:rsid w:val="007C1928"/>
    <w:rsid w:val="007D6961"/>
    <w:rsid w:val="007F07CB"/>
    <w:rsid w:val="008052EE"/>
    <w:rsid w:val="00810CEF"/>
    <w:rsid w:val="0081208D"/>
    <w:rsid w:val="00842A13"/>
    <w:rsid w:val="008B2CC1"/>
    <w:rsid w:val="008D6A88"/>
    <w:rsid w:val="008E68C2"/>
    <w:rsid w:val="008E7930"/>
    <w:rsid w:val="0090731E"/>
    <w:rsid w:val="00966A22"/>
    <w:rsid w:val="00974CD6"/>
    <w:rsid w:val="009A19FE"/>
    <w:rsid w:val="009D30E6"/>
    <w:rsid w:val="009E3F6F"/>
    <w:rsid w:val="009F499F"/>
    <w:rsid w:val="00A02BD3"/>
    <w:rsid w:val="00AA1F20"/>
    <w:rsid w:val="00AC0AE4"/>
    <w:rsid w:val="00AD61DB"/>
    <w:rsid w:val="00B87BCF"/>
    <w:rsid w:val="00BA62D4"/>
    <w:rsid w:val="00C12CC6"/>
    <w:rsid w:val="00C40E15"/>
    <w:rsid w:val="00C664C8"/>
    <w:rsid w:val="00C76A79"/>
    <w:rsid w:val="00CA15F5"/>
    <w:rsid w:val="00CB4DAF"/>
    <w:rsid w:val="00CF0460"/>
    <w:rsid w:val="00D45252"/>
    <w:rsid w:val="00D71B4D"/>
    <w:rsid w:val="00D75C1E"/>
    <w:rsid w:val="00D93D55"/>
    <w:rsid w:val="00DB0349"/>
    <w:rsid w:val="00DD6A16"/>
    <w:rsid w:val="00E0091A"/>
    <w:rsid w:val="00E203AA"/>
    <w:rsid w:val="00E527A5"/>
    <w:rsid w:val="00E76456"/>
    <w:rsid w:val="00EE71CB"/>
    <w:rsid w:val="00F16975"/>
    <w:rsid w:val="00F66152"/>
    <w:rsid w:val="00FD16F1"/>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B41C51F-DBAE-4DDE-80EB-A4FF8D77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CB4DAF"/>
    <w:pPr>
      <w:keepNext/>
      <w:spacing w:before="240" w:after="24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CB4DAF"/>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3B640C"/>
    <w:pPr>
      <w:ind w:left="720"/>
      <w:contextualSpacing/>
    </w:pPr>
    <w:rPr>
      <w:lang w:val="fr-FR"/>
    </w:rPr>
  </w:style>
  <w:style w:type="character" w:customStyle="1" w:styleId="Heading2Char">
    <w:name w:val="Heading 2 Char"/>
    <w:basedOn w:val="DefaultParagraphFont"/>
    <w:link w:val="Heading2"/>
    <w:rsid w:val="00CB4DAF"/>
    <w:rPr>
      <w:rFonts w:ascii="Arial" w:eastAsia="SimSun" w:hAnsi="Arial" w:cs="Arial"/>
      <w:bCs/>
      <w:iCs/>
      <w:caps/>
      <w:sz w:val="22"/>
      <w:szCs w:val="28"/>
      <w:lang w:eastAsia="zh-CN"/>
    </w:rPr>
  </w:style>
  <w:style w:type="character" w:customStyle="1" w:styleId="ui-provider">
    <w:name w:val="ui-provider"/>
    <w:basedOn w:val="DefaultParagraphFont"/>
    <w:rsid w:val="003B640C"/>
  </w:style>
  <w:style w:type="character" w:styleId="Hyperlink">
    <w:name w:val="Hyperlink"/>
    <w:basedOn w:val="DefaultParagraphFont"/>
    <w:semiHidden/>
    <w:unhideWhenUsed/>
    <w:rsid w:val="005903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PM%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GRATK_PM (F).dotm</Template>
  <TotalTime>1</TotalTime>
  <Pages>7</Pages>
  <Words>1694</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GRATK/PM/2</vt:lpstr>
    </vt:vector>
  </TitlesOfParts>
  <Company>WIPO</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GRATK/PM/2</dc:title>
  <dc:creator>OLIVIÉ Karen</dc:creator>
  <cp:keywords>FOR OFFICIAL USE ONLY</cp:keywords>
  <cp:lastModifiedBy>MALLO ALVAREZ Raquel</cp:lastModifiedBy>
  <cp:revision>2</cp:revision>
  <cp:lastPrinted>2011-05-19T12:37:00Z</cp:lastPrinted>
  <dcterms:created xsi:type="dcterms:W3CDTF">2023-07-20T07:31:00Z</dcterms:created>
  <dcterms:modified xsi:type="dcterms:W3CDTF">2023-07-20T07:31:00Z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2023-07-07T12:35:01Z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4ee83a69-3f64-4944-82e6-de35361bb1db</vt:lpwstr>
  </property>
  <property fmtid="{D5CDD505-2E9C-101B-9397-08002B2CF9AE}" pid="14" name="MSIP_Label_20773ee6-353b-4fb9-a59d-0b94c8c67bea_ContentBits">
    <vt:lpwstr>0</vt:lpwstr>
  </property>
</Properties>
</file>