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B2AD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B2AD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B2AD3" w:rsidRDefault="006A629F" w:rsidP="00AB613D">
            <w:r w:rsidRPr="00CB2AD3">
              <w:rPr>
                <w:noProof/>
                <w:lang w:val="en-US" w:eastAsia="en-US"/>
              </w:rPr>
              <w:drawing>
                <wp:inline distT="0" distB="0" distL="0" distR="0" wp14:anchorId="10C59B3A" wp14:editId="07E0B9E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B2AD3" w:rsidRDefault="00E504E5" w:rsidP="00AB613D">
            <w:pPr>
              <w:jc w:val="right"/>
            </w:pPr>
            <w:r w:rsidRPr="00CB2AD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B2AD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2AD3" w:rsidRDefault="00337947" w:rsidP="007943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2AD3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79439A"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8B2CC1" w:rsidRPr="00CB2AD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B2AD3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2AD3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r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C5525" w:rsidRPr="00CB2AD3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CB2AD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B2AD3" w:rsidRDefault="00675021" w:rsidP="007943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2AD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B2AD3">
              <w:rPr>
                <w:rFonts w:ascii="Arial Black" w:hAnsi="Arial Black"/>
                <w:caps/>
                <w:sz w:val="15"/>
              </w:rPr>
              <w:t>:</w:t>
            </w:r>
            <w:r w:rsidR="00F84474"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B2AD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D31E0" w:rsidRPr="00CB2AD3">
              <w:rPr>
                <w:rFonts w:ascii="Arial Black" w:hAnsi="Arial Black"/>
                <w:caps/>
                <w:sz w:val="15"/>
              </w:rPr>
              <w:t>2</w:t>
            </w:r>
            <w:r w:rsidR="0079439A">
              <w:rPr>
                <w:rFonts w:ascii="Arial Black" w:hAnsi="Arial Black"/>
                <w:caps/>
                <w:sz w:val="15"/>
              </w:rPr>
              <w:t>1</w:t>
            </w:r>
            <w:r w:rsidR="00FD31E0" w:rsidRPr="00CB2AD3">
              <w:rPr>
                <w:rFonts w:ascii="Arial Black" w:hAnsi="Arial Black"/>
                <w:caps/>
                <w:sz w:val="15"/>
              </w:rPr>
              <w:t xml:space="preserve"> de mayo de 2015</w:t>
            </w:r>
          </w:p>
        </w:tc>
      </w:tr>
    </w:tbl>
    <w:p w:rsidR="008B2CC1" w:rsidRPr="00CB2AD3" w:rsidRDefault="008B2CC1" w:rsidP="008B2CC1"/>
    <w:p w:rsidR="008B2CC1" w:rsidRPr="00CB2AD3" w:rsidRDefault="008B2CC1" w:rsidP="008B2CC1"/>
    <w:p w:rsidR="008B2CC1" w:rsidRPr="00CB2AD3" w:rsidRDefault="008B2CC1" w:rsidP="008B2CC1"/>
    <w:p w:rsidR="008B2CC1" w:rsidRPr="00B83DB3" w:rsidRDefault="008B2CC1" w:rsidP="008B2CC1">
      <w:pPr>
        <w:rPr>
          <w:sz w:val="16"/>
          <w:szCs w:val="16"/>
        </w:rPr>
      </w:pPr>
    </w:p>
    <w:p w:rsidR="008B2CC1" w:rsidRPr="00CB2AD3" w:rsidRDefault="008B2CC1" w:rsidP="008B2CC1"/>
    <w:p w:rsidR="00B67CDC" w:rsidRPr="00CB2AD3" w:rsidRDefault="006F30E5" w:rsidP="00B67CDC">
      <w:pPr>
        <w:rPr>
          <w:b/>
          <w:sz w:val="28"/>
          <w:szCs w:val="28"/>
        </w:rPr>
      </w:pPr>
      <w:r w:rsidRPr="00CB2AD3">
        <w:rPr>
          <w:b/>
          <w:sz w:val="28"/>
          <w:szCs w:val="28"/>
        </w:rPr>
        <w:t>Conferencia diplomática para la adopción de una nueva Acta del Arreglo de Lisboa para la Protección de las Denominaciones de Origen y su Registro Internacional</w:t>
      </w:r>
    </w:p>
    <w:p w:rsidR="003845C1" w:rsidRPr="00CB2AD3" w:rsidRDefault="003845C1" w:rsidP="003845C1"/>
    <w:p w:rsidR="003845C1" w:rsidRPr="00CB2AD3" w:rsidRDefault="003845C1" w:rsidP="003845C1"/>
    <w:p w:rsidR="00B67CDC" w:rsidRPr="00CB2AD3" w:rsidRDefault="00B67CDC" w:rsidP="00B67CDC">
      <w:pPr>
        <w:rPr>
          <w:b/>
          <w:sz w:val="24"/>
          <w:szCs w:val="24"/>
        </w:rPr>
      </w:pPr>
    </w:p>
    <w:p w:rsidR="00B67CDC" w:rsidRPr="00CB2AD3" w:rsidRDefault="006F30E5" w:rsidP="00B67CDC">
      <w:pPr>
        <w:rPr>
          <w:b/>
          <w:sz w:val="24"/>
          <w:szCs w:val="24"/>
        </w:rPr>
      </w:pPr>
      <w:r w:rsidRPr="00CB2AD3">
        <w:rPr>
          <w:b/>
          <w:sz w:val="24"/>
          <w:szCs w:val="24"/>
        </w:rPr>
        <w:t>Ginebra, 11 a 21 de mayo de 2015</w:t>
      </w:r>
    </w:p>
    <w:p w:rsidR="008B2CC1" w:rsidRPr="00CB2AD3" w:rsidRDefault="008B2CC1" w:rsidP="008B2CC1"/>
    <w:p w:rsidR="008B2CC1" w:rsidRPr="00CB2AD3" w:rsidRDefault="008B2CC1" w:rsidP="008B2CC1"/>
    <w:p w:rsidR="008B2CC1" w:rsidRPr="00CB2AD3" w:rsidRDefault="008B2CC1" w:rsidP="008B2CC1"/>
    <w:p w:rsidR="00357A16" w:rsidRPr="00CB2AD3" w:rsidRDefault="00CB2AD3" w:rsidP="00357A16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ACTA </w:t>
      </w:r>
      <w:r w:rsidR="006803EE">
        <w:rPr>
          <w:caps/>
          <w:sz w:val="24"/>
        </w:rPr>
        <w:t>Final</w:t>
      </w:r>
    </w:p>
    <w:p w:rsidR="00357A16" w:rsidRPr="00CB2AD3" w:rsidRDefault="00357A16" w:rsidP="00357A16"/>
    <w:p w:rsidR="00357A16" w:rsidRPr="00CB2AD3" w:rsidRDefault="0079439A" w:rsidP="00CB2AD3">
      <w:pPr>
        <w:rPr>
          <w:i/>
        </w:rPr>
      </w:pPr>
      <w:bookmarkStart w:id="4" w:name="Prepared"/>
      <w:bookmarkEnd w:id="4"/>
      <w:r>
        <w:rPr>
          <w:i/>
        </w:rPr>
        <w:t xml:space="preserve">adoptado por la </w:t>
      </w:r>
      <w:r w:rsidR="00CB2AD3">
        <w:rPr>
          <w:i/>
        </w:rPr>
        <w:t>Conferencia</w:t>
      </w:r>
      <w:r>
        <w:rPr>
          <w:i/>
        </w:rPr>
        <w:t xml:space="preserve"> diplomática el 20 de mayo de 2015</w:t>
      </w:r>
    </w:p>
    <w:p w:rsidR="00357A16" w:rsidRPr="00B83DB3" w:rsidRDefault="00357A16" w:rsidP="00357A16">
      <w:pPr>
        <w:rPr>
          <w:sz w:val="18"/>
          <w:szCs w:val="18"/>
        </w:rPr>
      </w:pPr>
    </w:p>
    <w:p w:rsidR="00357A16" w:rsidRPr="00B83DB3" w:rsidRDefault="00357A16" w:rsidP="00357A16">
      <w:pPr>
        <w:rPr>
          <w:sz w:val="18"/>
          <w:szCs w:val="18"/>
        </w:rPr>
      </w:pPr>
    </w:p>
    <w:p w:rsidR="00357A16" w:rsidRPr="00B83DB3" w:rsidRDefault="00357A16" w:rsidP="00357A16">
      <w:pPr>
        <w:rPr>
          <w:sz w:val="18"/>
          <w:szCs w:val="18"/>
        </w:rPr>
      </w:pPr>
    </w:p>
    <w:p w:rsidR="00357A16" w:rsidRPr="00CB2AD3" w:rsidRDefault="004247D7" w:rsidP="0079439A">
      <w:pPr>
        <w:pStyle w:val="Default"/>
        <w:spacing w:line="240" w:lineRule="auto"/>
        <w:rPr>
          <w:lang w:val="es-ES"/>
        </w:rPr>
      </w:pPr>
      <w:r w:rsidRPr="004247D7">
        <w:rPr>
          <w:sz w:val="22"/>
          <w:szCs w:val="22"/>
          <w:lang w:val="es-ES"/>
        </w:rPr>
        <w:t>De conformidad con la decisión adoptada</w:t>
      </w:r>
      <w:r>
        <w:rPr>
          <w:sz w:val="22"/>
          <w:szCs w:val="22"/>
          <w:lang w:val="es-ES"/>
        </w:rPr>
        <w:t xml:space="preserve"> por la Asamble</w:t>
      </w:r>
      <w:r w:rsidR="00792B1A">
        <w:rPr>
          <w:sz w:val="22"/>
          <w:szCs w:val="22"/>
          <w:lang w:val="es-ES"/>
        </w:rPr>
        <w:t>a de la Unión de Lisboa en su v</w:t>
      </w:r>
      <w:r>
        <w:rPr>
          <w:sz w:val="22"/>
          <w:szCs w:val="22"/>
          <w:lang w:val="es-ES"/>
        </w:rPr>
        <w:t>ig</w:t>
      </w:r>
      <w:r w:rsidR="004A47BC">
        <w:rPr>
          <w:sz w:val="22"/>
          <w:szCs w:val="22"/>
          <w:lang w:val="es-ES"/>
        </w:rPr>
        <w:t>esimo</w:t>
      </w:r>
      <w:r>
        <w:rPr>
          <w:sz w:val="22"/>
          <w:szCs w:val="22"/>
          <w:lang w:val="es-ES"/>
        </w:rPr>
        <w:t>noveno período de sesiones (20º ordinario) en septiembre de 2013</w:t>
      </w:r>
      <w:r w:rsidR="00B83DB3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de convocar una conferencia diplomática en 2015, y tras los trabajos preparatorios efectuados por el Comité Preparatorio de dicha Conferencia y la </w:t>
      </w:r>
      <w:r w:rsidR="00B83DB3">
        <w:rPr>
          <w:sz w:val="22"/>
          <w:szCs w:val="22"/>
          <w:lang w:val="es-ES"/>
        </w:rPr>
        <w:t>Organización Mundial de la Propiedad Intelectual (</w:t>
      </w:r>
      <w:r>
        <w:rPr>
          <w:sz w:val="22"/>
          <w:szCs w:val="22"/>
          <w:lang w:val="es-ES"/>
        </w:rPr>
        <w:t>OMPI</w:t>
      </w:r>
      <w:r w:rsidR="00B83DB3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, esta última convocó la </w:t>
      </w:r>
      <w:r w:rsidRPr="004247D7">
        <w:rPr>
          <w:sz w:val="22"/>
          <w:szCs w:val="22"/>
          <w:lang w:val="es-ES"/>
        </w:rPr>
        <w:t>Conferencia diplomática para la adopción de una nueva Acta del Arreglo de Lisboa para la Protección de las Denominaciones de Origen y su Registro Internacional</w:t>
      </w:r>
      <w:r>
        <w:rPr>
          <w:sz w:val="22"/>
          <w:szCs w:val="22"/>
          <w:lang w:val="es-ES"/>
        </w:rPr>
        <w:t xml:space="preserve">, que se celebró en Ginebra del 11 al 21 de mayo de </w:t>
      </w:r>
      <w:r w:rsidR="00357A16" w:rsidRPr="00CB2AD3">
        <w:rPr>
          <w:sz w:val="22"/>
          <w:szCs w:val="22"/>
          <w:lang w:val="es-ES"/>
        </w:rPr>
        <w:t>2015.</w:t>
      </w:r>
    </w:p>
    <w:p w:rsidR="00357A16" w:rsidRPr="00CB2AD3" w:rsidRDefault="00357A16" w:rsidP="0079439A"/>
    <w:p w:rsidR="00357A16" w:rsidRPr="00CB2AD3" w:rsidRDefault="004247D7" w:rsidP="0079439A">
      <w:pPr>
        <w:jc w:val="both"/>
      </w:pPr>
      <w:r>
        <w:rPr>
          <w:szCs w:val="22"/>
        </w:rPr>
        <w:t xml:space="preserve">La </w:t>
      </w:r>
      <w:r w:rsidRPr="004247D7">
        <w:rPr>
          <w:szCs w:val="22"/>
        </w:rPr>
        <w:t>Conferencia Diplomática adoptó</w:t>
      </w:r>
      <w:r>
        <w:rPr>
          <w:szCs w:val="22"/>
        </w:rPr>
        <w:t xml:space="preserve">, el 20 de mayo de 2015, el Acta de Ginebra del </w:t>
      </w:r>
      <w:r w:rsidR="008C22F1">
        <w:rPr>
          <w:szCs w:val="22"/>
        </w:rPr>
        <w:t xml:space="preserve">Arreglo de Lisboa relativo a las Denominaciones de Origen y las Indicaciones Geográficas.  Dicha Acta </w:t>
      </w:r>
      <w:r w:rsidR="00764049">
        <w:rPr>
          <w:szCs w:val="22"/>
        </w:rPr>
        <w:t xml:space="preserve">se abrió a </w:t>
      </w:r>
      <w:r w:rsidR="008C22F1">
        <w:rPr>
          <w:szCs w:val="22"/>
        </w:rPr>
        <w:t xml:space="preserve">la firma </w:t>
      </w:r>
      <w:r w:rsidR="00764049">
        <w:rPr>
          <w:szCs w:val="22"/>
        </w:rPr>
        <w:t xml:space="preserve">el 21 de mayo de </w:t>
      </w:r>
      <w:r w:rsidR="00357A16" w:rsidRPr="00CB2AD3">
        <w:rPr>
          <w:szCs w:val="22"/>
        </w:rPr>
        <w:t>2015.</w:t>
      </w:r>
    </w:p>
    <w:p w:rsidR="00357A16" w:rsidRPr="00CB2AD3" w:rsidRDefault="00357A16" w:rsidP="0079439A">
      <w:pPr>
        <w:rPr>
          <w:szCs w:val="22"/>
        </w:rPr>
      </w:pPr>
    </w:p>
    <w:p w:rsidR="00357A16" w:rsidRPr="00CB2AD3" w:rsidRDefault="00764049" w:rsidP="0079439A">
      <w:pPr>
        <w:pStyle w:val="Footer"/>
        <w:rPr>
          <w:szCs w:val="22"/>
        </w:rPr>
      </w:pPr>
      <w:r>
        <w:rPr>
          <w:szCs w:val="22"/>
        </w:rPr>
        <w:t>E</w:t>
      </w:r>
      <w:r w:rsidR="00357A16" w:rsidRPr="00CB2AD3">
        <w:rPr>
          <w:szCs w:val="22"/>
        </w:rPr>
        <w:t xml:space="preserve">N </w:t>
      </w:r>
      <w:r>
        <w:rPr>
          <w:szCs w:val="22"/>
        </w:rPr>
        <w:t>TESTIMONIO DE LO CUAL, los abajo firmantes, debidamente autorizados</w:t>
      </w:r>
      <w:r w:rsidR="002E18E5">
        <w:rPr>
          <w:szCs w:val="22"/>
        </w:rPr>
        <w:t xml:space="preserve"> a tal efecto</w:t>
      </w:r>
      <w:r>
        <w:rPr>
          <w:szCs w:val="22"/>
        </w:rPr>
        <w:t>, firman la presente Acta final en Ginebra</w:t>
      </w:r>
      <w:bookmarkStart w:id="5" w:name="_GoBack"/>
      <w:bookmarkEnd w:id="5"/>
      <w:r>
        <w:rPr>
          <w:szCs w:val="22"/>
        </w:rPr>
        <w:t xml:space="preserve"> el 21 de mayo de </w:t>
      </w:r>
      <w:r w:rsidR="00357A16" w:rsidRPr="00CB2AD3">
        <w:rPr>
          <w:szCs w:val="22"/>
        </w:rPr>
        <w:t>2015:</w:t>
      </w:r>
    </w:p>
    <w:p w:rsidR="00357A16" w:rsidRPr="00CB2AD3" w:rsidRDefault="00357A16" w:rsidP="0079439A"/>
    <w:p w:rsidR="00B83DB3" w:rsidRPr="00343D18" w:rsidRDefault="00B83DB3" w:rsidP="00B83DB3">
      <w:pPr>
        <w:ind w:left="426"/>
      </w:pPr>
      <w:r>
        <w:t xml:space="preserve">Alemania, </w:t>
      </w:r>
      <w:r w:rsidRPr="00343D18">
        <w:t>A</w:t>
      </w:r>
      <w:r>
        <w:t>r</w:t>
      </w:r>
      <w:r w:rsidRPr="00343D18">
        <w:t>ge</w:t>
      </w:r>
      <w:r>
        <w:t>l</w:t>
      </w:r>
      <w:r w:rsidRPr="00343D18">
        <w:t xml:space="preserve">ia, Angola, Benin, Bosnia </w:t>
      </w:r>
      <w:r>
        <w:t>y</w:t>
      </w:r>
      <w:r w:rsidRPr="00343D18">
        <w:t xml:space="preserve"> Herzegovina, Bulgaria, Burkina Faso, Camer</w:t>
      </w:r>
      <w:r>
        <w:t>ú</w:t>
      </w:r>
      <w:r w:rsidRPr="00343D18">
        <w:t>n, China, Colombia, Congo, Costa Rica, C</w:t>
      </w:r>
      <w:r>
        <w:t>ô</w:t>
      </w:r>
      <w:r w:rsidRPr="00343D18">
        <w:t>te d’Ivo</w:t>
      </w:r>
      <w:r>
        <w:t>ire, Croac</w:t>
      </w:r>
      <w:r w:rsidRPr="00343D18">
        <w:t xml:space="preserve">ia, Cuba, </w:t>
      </w:r>
      <w:r>
        <w:t>Dina</w:t>
      </w:r>
      <w:r w:rsidRPr="00343D18">
        <w:t>mar</w:t>
      </w:r>
      <w:r>
        <w:t>ca</w:t>
      </w:r>
      <w:r w:rsidRPr="00343D18">
        <w:t>,</w:t>
      </w:r>
      <w:r>
        <w:t xml:space="preserve"> Es</w:t>
      </w:r>
      <w:r>
        <w:t>lova</w:t>
      </w:r>
      <w:r>
        <w:t>qu</w:t>
      </w:r>
      <w:r>
        <w:t xml:space="preserve">ia, </w:t>
      </w:r>
      <w:r>
        <w:t>España</w:t>
      </w:r>
      <w:r w:rsidRPr="00343D18">
        <w:t xml:space="preserve">, </w:t>
      </w:r>
      <w:r>
        <w:t xml:space="preserve">Federación de Rusia, </w:t>
      </w:r>
      <w:r w:rsidRPr="00343D18">
        <w:t>Finland</w:t>
      </w:r>
      <w:r>
        <w:t>ia</w:t>
      </w:r>
      <w:r w:rsidRPr="00343D18">
        <w:t xml:space="preserve">, </w:t>
      </w:r>
      <w:r w:rsidRPr="00D940AC">
        <w:t>Franc</w:t>
      </w:r>
      <w:r>
        <w:t>ia</w:t>
      </w:r>
      <w:r w:rsidRPr="00343D18">
        <w:t xml:space="preserve">, </w:t>
      </w:r>
      <w:r w:rsidRPr="00343D18">
        <w:t>Gabón</w:t>
      </w:r>
      <w:r w:rsidRPr="00343D18">
        <w:t>, Georgia, Grec</w:t>
      </w:r>
      <w:r>
        <w:t>ia</w:t>
      </w:r>
      <w:r w:rsidRPr="00343D18">
        <w:t xml:space="preserve">, </w:t>
      </w:r>
      <w:r w:rsidRPr="00343D18">
        <w:t>Haití</w:t>
      </w:r>
      <w:r w:rsidRPr="00343D18">
        <w:t>, Hungr</w:t>
      </w:r>
      <w:r>
        <w:t>ía</w:t>
      </w:r>
      <w:r w:rsidRPr="00343D18">
        <w:t>, Ir</w:t>
      </w:r>
      <w:r>
        <w:t>á</w:t>
      </w:r>
      <w:r w:rsidRPr="00343D18">
        <w:t>n</w:t>
      </w:r>
      <w:r>
        <w:t> </w:t>
      </w:r>
      <w:r w:rsidRPr="00343D18">
        <w:t>(</w:t>
      </w:r>
      <w:r>
        <w:t>República Islá</w:t>
      </w:r>
      <w:r w:rsidRPr="00343D18">
        <w:t>mic</w:t>
      </w:r>
      <w:r>
        <w:t>a del</w:t>
      </w:r>
      <w:r w:rsidRPr="00343D18">
        <w:t>), Isr</w:t>
      </w:r>
      <w:r>
        <w:t>ael, Ital</w:t>
      </w:r>
      <w:r>
        <w:t>ia</w:t>
      </w:r>
      <w:r>
        <w:t>, L</w:t>
      </w:r>
      <w:r>
        <w:t>etonia</w:t>
      </w:r>
      <w:r>
        <w:t>, Lituania, Luxemburg</w:t>
      </w:r>
      <w:r>
        <w:t>o</w:t>
      </w:r>
      <w:r>
        <w:t>, Mal</w:t>
      </w:r>
      <w:r>
        <w:t>í</w:t>
      </w:r>
      <w:r>
        <w:t xml:space="preserve">, Marruecos, </w:t>
      </w:r>
      <w:r>
        <w:t>México</w:t>
      </w:r>
      <w:r>
        <w:t xml:space="preserve">, Montenegro, Mozambique, Nicaragua, </w:t>
      </w:r>
      <w:r>
        <w:t>Omán</w:t>
      </w:r>
      <w:r>
        <w:t xml:space="preserve">, </w:t>
      </w:r>
      <w:r>
        <w:t>Países Bajos, Perú</w:t>
      </w:r>
      <w:r>
        <w:t xml:space="preserve">, Portugal, </w:t>
      </w:r>
      <w:r>
        <w:t>República Checa</w:t>
      </w:r>
      <w:r>
        <w:t xml:space="preserve">, </w:t>
      </w:r>
      <w:r>
        <w:t>República</w:t>
      </w:r>
      <w:r>
        <w:t xml:space="preserve"> </w:t>
      </w:r>
      <w:r>
        <w:t>de</w:t>
      </w:r>
      <w:r>
        <w:t xml:space="preserve"> Moldova, </w:t>
      </w:r>
      <w:r>
        <w:t>República Democrática del</w:t>
      </w:r>
      <w:r>
        <w:t xml:space="preserve"> Congo, </w:t>
      </w:r>
      <w:r>
        <w:t>República Popular Democrática de Corea</w:t>
      </w:r>
      <w:r>
        <w:t>, R</w:t>
      </w:r>
      <w:r>
        <w:t>u</w:t>
      </w:r>
      <w:r>
        <w:t>mania, Senegal, Serbia, S</w:t>
      </w:r>
      <w:r>
        <w:t>uiza</w:t>
      </w:r>
      <w:r>
        <w:t>, Togo, T</w:t>
      </w:r>
      <w:r>
        <w:t>únez</w:t>
      </w:r>
      <w:r>
        <w:t xml:space="preserve">, </w:t>
      </w:r>
      <w:r>
        <w:t xml:space="preserve">Organización </w:t>
      </w:r>
      <w:r>
        <w:t>African</w:t>
      </w:r>
      <w:r>
        <w:t>a de la Propiedad</w:t>
      </w:r>
      <w:r>
        <w:t xml:space="preserve"> Intelectual (OAPI), </w:t>
      </w:r>
      <w:r>
        <w:t xml:space="preserve">Unión </w:t>
      </w:r>
      <w:r>
        <w:t>Europea (54)</w:t>
      </w:r>
      <w:r>
        <w:t>.</w:t>
      </w:r>
    </w:p>
    <w:p w:rsidR="00357A16" w:rsidRDefault="00357A16" w:rsidP="0079439A"/>
    <w:p w:rsidR="00B83DB3" w:rsidRPr="00CB2AD3" w:rsidRDefault="00B83DB3" w:rsidP="0079439A"/>
    <w:p w:rsidR="00152CEA" w:rsidRPr="00B83DB3" w:rsidRDefault="00B83DB3" w:rsidP="00B83DB3">
      <w:pPr>
        <w:pStyle w:val="Endofdocument-Annex"/>
        <w:rPr>
          <w:lang w:val="es-ES"/>
        </w:rPr>
      </w:pPr>
      <w:r w:rsidRPr="00B83DB3">
        <w:rPr>
          <w:lang w:val="es-ES"/>
        </w:rPr>
        <w:t>[Fin del documento</w:t>
      </w:r>
      <w:r w:rsidR="00C83914">
        <w:rPr>
          <w:lang w:val="es-ES"/>
        </w:rPr>
        <w:t>]</w:t>
      </w:r>
    </w:p>
    <w:sectPr w:rsidR="00152CEA" w:rsidRPr="00B83DB3" w:rsidSect="00B83DB3">
      <w:headerReference w:type="default" r:id="rId9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25" w:rsidRDefault="008C5525">
      <w:r>
        <w:separator/>
      </w:r>
    </w:p>
  </w:endnote>
  <w:endnote w:type="continuationSeparator" w:id="0">
    <w:p w:rsidR="008C5525" w:rsidRPr="009D30E6" w:rsidRDefault="008C552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25" w:rsidRPr="007E663E" w:rsidRDefault="008C552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C5525" w:rsidRPr="007E663E" w:rsidRDefault="008C552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25" w:rsidRDefault="008C5525">
      <w:r>
        <w:separator/>
      </w:r>
    </w:p>
  </w:footnote>
  <w:footnote w:type="continuationSeparator" w:id="0">
    <w:p w:rsidR="008C5525" w:rsidRPr="009D30E6" w:rsidRDefault="008C552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C5525" w:rsidRPr="007E663E" w:rsidRDefault="008C552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C5525" w:rsidRPr="007E663E" w:rsidRDefault="008C552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8C5525" w:rsidP="00477D6B">
    <w:pPr>
      <w:jc w:val="right"/>
    </w:pPr>
    <w:bookmarkStart w:id="6" w:name="Code2"/>
    <w:bookmarkEnd w:id="6"/>
    <w:r>
      <w:t>LI/DC/</w:t>
    </w:r>
    <w:r w:rsidR="00FD31E0">
      <w:t>18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E2F98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5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E18E5"/>
    <w:rsid w:val="002F4E68"/>
    <w:rsid w:val="00337947"/>
    <w:rsid w:val="00354647"/>
    <w:rsid w:val="00357A16"/>
    <w:rsid w:val="00377273"/>
    <w:rsid w:val="003845C1"/>
    <w:rsid w:val="00387287"/>
    <w:rsid w:val="003A295E"/>
    <w:rsid w:val="003E2F98"/>
    <w:rsid w:val="003E48F1"/>
    <w:rsid w:val="003F347A"/>
    <w:rsid w:val="00423E3E"/>
    <w:rsid w:val="004247D7"/>
    <w:rsid w:val="00427AF4"/>
    <w:rsid w:val="0045231F"/>
    <w:rsid w:val="00453AAB"/>
    <w:rsid w:val="004647DA"/>
    <w:rsid w:val="00477808"/>
    <w:rsid w:val="00477D6B"/>
    <w:rsid w:val="004A47BC"/>
    <w:rsid w:val="004A6C37"/>
    <w:rsid w:val="004E297D"/>
    <w:rsid w:val="005332F0"/>
    <w:rsid w:val="00542818"/>
    <w:rsid w:val="0055013B"/>
    <w:rsid w:val="00571B99"/>
    <w:rsid w:val="005B3071"/>
    <w:rsid w:val="00605827"/>
    <w:rsid w:val="00675021"/>
    <w:rsid w:val="006803EE"/>
    <w:rsid w:val="006A06C6"/>
    <w:rsid w:val="006A5186"/>
    <w:rsid w:val="006A629F"/>
    <w:rsid w:val="006F30E5"/>
    <w:rsid w:val="007224C8"/>
    <w:rsid w:val="00764049"/>
    <w:rsid w:val="00782576"/>
    <w:rsid w:val="00792B1A"/>
    <w:rsid w:val="0079439A"/>
    <w:rsid w:val="00794BE2"/>
    <w:rsid w:val="007B2AE4"/>
    <w:rsid w:val="007B71FE"/>
    <w:rsid w:val="007D781E"/>
    <w:rsid w:val="007E663E"/>
    <w:rsid w:val="00815082"/>
    <w:rsid w:val="0088395E"/>
    <w:rsid w:val="008B2CC1"/>
    <w:rsid w:val="008C1A82"/>
    <w:rsid w:val="008C22F1"/>
    <w:rsid w:val="008C5525"/>
    <w:rsid w:val="008E6BD6"/>
    <w:rsid w:val="0090731E"/>
    <w:rsid w:val="00966A22"/>
    <w:rsid w:val="00972F03"/>
    <w:rsid w:val="009A0C8B"/>
    <w:rsid w:val="009B6241"/>
    <w:rsid w:val="00A16FC0"/>
    <w:rsid w:val="00A309F9"/>
    <w:rsid w:val="00A32C9E"/>
    <w:rsid w:val="00AB613D"/>
    <w:rsid w:val="00AE7F20"/>
    <w:rsid w:val="00B65A0A"/>
    <w:rsid w:val="00B67CDC"/>
    <w:rsid w:val="00B72D36"/>
    <w:rsid w:val="00B83DB3"/>
    <w:rsid w:val="00BC4164"/>
    <w:rsid w:val="00BD2DCC"/>
    <w:rsid w:val="00C10030"/>
    <w:rsid w:val="00C83914"/>
    <w:rsid w:val="00C90559"/>
    <w:rsid w:val="00CA2251"/>
    <w:rsid w:val="00CB2AD3"/>
    <w:rsid w:val="00D56C7C"/>
    <w:rsid w:val="00D71B4D"/>
    <w:rsid w:val="00D90289"/>
    <w:rsid w:val="00D93D55"/>
    <w:rsid w:val="00D9560D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31E0"/>
    <w:rsid w:val="00FD59D1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357A16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9F9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357A16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P%20Law\LI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(S).dotm</Template>
  <TotalTime>13</TotalTime>
  <Pages>1</Pages>
  <Words>306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LI/DC/</vt:lpstr>
      <vt:lpstr>LI/DC/</vt:lpstr>
    </vt:vector>
  </TitlesOfParts>
  <Company>WIPO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LOPEZ OLIVARES Dolores</dc:creator>
  <cp:lastModifiedBy>HALLER Mario</cp:lastModifiedBy>
  <cp:revision>5</cp:revision>
  <cp:lastPrinted>2015-05-22T14:31:00Z</cp:lastPrinted>
  <dcterms:created xsi:type="dcterms:W3CDTF">2015-05-22T14:19:00Z</dcterms:created>
  <dcterms:modified xsi:type="dcterms:W3CDTF">2015-05-22T14:32:00Z</dcterms:modified>
</cp:coreProperties>
</file>