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6C185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E2B03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C185F" w:rsidRDefault="001660E5" w:rsidP="00AB613D">
            <w:r w:rsidRPr="006C185F">
              <w:rPr>
                <w:noProof/>
                <w:lang w:val="en-US" w:eastAsia="en-US"/>
              </w:rPr>
              <w:drawing>
                <wp:inline distT="0" distB="0" distL="0" distR="0" wp14:anchorId="5E2B0CBA" wp14:editId="349435B4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C185F" w:rsidRDefault="00E504E5" w:rsidP="00AB613D">
            <w:pPr>
              <w:jc w:val="right"/>
            </w:pPr>
            <w:r w:rsidRPr="006C185F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6C185F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C185F" w:rsidRDefault="005350E3" w:rsidP="005350E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L</w:t>
            </w:r>
            <w:r w:rsidR="00062677" w:rsidRPr="006C185F">
              <w:rPr>
                <w:rFonts w:ascii="Arial Black" w:hAnsi="Arial Black"/>
                <w:caps/>
                <w:sz w:val="15"/>
              </w:rPr>
              <w:t>I/DC/</w:t>
            </w:r>
            <w:r>
              <w:rPr>
                <w:rFonts w:ascii="Arial Black" w:hAnsi="Arial Black"/>
                <w:caps/>
                <w:sz w:val="15"/>
              </w:rPr>
              <w:t>12</w:t>
            </w:r>
            <w:r w:rsidR="008B2CC1" w:rsidRPr="006C185F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6C185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C185F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C185F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6C185F">
              <w:rPr>
                <w:rFonts w:ascii="Arial Black" w:hAnsi="Arial Black"/>
                <w:caps/>
                <w:sz w:val="15"/>
              </w:rPr>
              <w:t xml:space="preserve"> </w:t>
            </w:r>
            <w:r w:rsidRPr="006C185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660E5" w:rsidRPr="006C185F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6C185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C185F" w:rsidRDefault="00675021" w:rsidP="005350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C185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6C185F">
              <w:rPr>
                <w:rFonts w:ascii="Arial Black" w:hAnsi="Arial Black"/>
                <w:caps/>
                <w:sz w:val="15"/>
              </w:rPr>
              <w:t>:</w:t>
            </w:r>
            <w:r w:rsidR="00F84474" w:rsidRPr="006C185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C185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350E3">
              <w:rPr>
                <w:rFonts w:ascii="Arial Black" w:hAnsi="Arial Black"/>
                <w:caps/>
                <w:sz w:val="15"/>
              </w:rPr>
              <w:t>18</w:t>
            </w:r>
            <w:r w:rsidR="001660E5" w:rsidRPr="006C185F">
              <w:rPr>
                <w:rFonts w:ascii="Arial Black" w:hAnsi="Arial Black"/>
                <w:caps/>
                <w:sz w:val="15"/>
              </w:rPr>
              <w:t xml:space="preserve"> de </w:t>
            </w:r>
            <w:r w:rsidR="005350E3">
              <w:rPr>
                <w:rFonts w:ascii="Arial Black" w:hAnsi="Arial Black"/>
                <w:caps/>
                <w:sz w:val="15"/>
              </w:rPr>
              <w:t>may</w:t>
            </w:r>
            <w:r w:rsidR="001660E5" w:rsidRPr="006C185F">
              <w:rPr>
                <w:rFonts w:ascii="Arial Black" w:hAnsi="Arial Black"/>
                <w:caps/>
                <w:sz w:val="15"/>
              </w:rPr>
              <w:t>o de 201</w:t>
            </w:r>
            <w:r w:rsidR="005350E3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6C185F" w:rsidRDefault="008B2CC1" w:rsidP="008B2CC1"/>
    <w:p w:rsidR="008B2CC1" w:rsidRPr="006C185F" w:rsidRDefault="008B2CC1" w:rsidP="008B2CC1"/>
    <w:p w:rsidR="008B2CC1" w:rsidRPr="006C185F" w:rsidRDefault="008B2CC1" w:rsidP="008B2CC1"/>
    <w:p w:rsidR="008B2CC1" w:rsidRPr="006C185F" w:rsidRDefault="008B2CC1" w:rsidP="008B2CC1"/>
    <w:p w:rsidR="008B2CC1" w:rsidRPr="006C185F" w:rsidRDefault="008B2CC1" w:rsidP="008B2CC1"/>
    <w:p w:rsidR="005350E3" w:rsidRPr="006D5C02" w:rsidRDefault="005350E3" w:rsidP="005350E3">
      <w:pPr>
        <w:rPr>
          <w:b/>
          <w:sz w:val="28"/>
          <w:szCs w:val="28"/>
        </w:rPr>
      </w:pPr>
      <w:r w:rsidRPr="006D5C02">
        <w:rPr>
          <w:b/>
          <w:sz w:val="28"/>
          <w:szCs w:val="28"/>
        </w:rPr>
        <w:t xml:space="preserve">Conferencia diplomática para la adopción de una nueva Acta del Arreglo de Lisboa para la Protección de las Denominaciones de Origen y su Registro Internacional </w:t>
      </w:r>
    </w:p>
    <w:p w:rsidR="005350E3" w:rsidRPr="006D5C02" w:rsidRDefault="005350E3" w:rsidP="005350E3"/>
    <w:p w:rsidR="005350E3" w:rsidRPr="006D5C02" w:rsidRDefault="005350E3" w:rsidP="005350E3"/>
    <w:p w:rsidR="005350E3" w:rsidRPr="006D5C02" w:rsidRDefault="005350E3" w:rsidP="005350E3">
      <w:pPr>
        <w:rPr>
          <w:b/>
          <w:sz w:val="24"/>
          <w:szCs w:val="24"/>
        </w:rPr>
      </w:pPr>
    </w:p>
    <w:p w:rsidR="005350E3" w:rsidRPr="006D5C02" w:rsidRDefault="005350E3" w:rsidP="005350E3">
      <w:pPr>
        <w:rPr>
          <w:b/>
          <w:sz w:val="24"/>
          <w:szCs w:val="24"/>
        </w:rPr>
      </w:pPr>
      <w:r w:rsidRPr="006D5C02">
        <w:rPr>
          <w:b/>
          <w:sz w:val="24"/>
          <w:szCs w:val="24"/>
        </w:rPr>
        <w:t>Ginebra, 11 a 21 de mayo de 2015</w:t>
      </w:r>
    </w:p>
    <w:p w:rsidR="005350E3" w:rsidRPr="006D5C02" w:rsidRDefault="005350E3" w:rsidP="005350E3"/>
    <w:p w:rsidR="005350E3" w:rsidRDefault="005350E3" w:rsidP="005350E3"/>
    <w:p w:rsidR="009E43D9" w:rsidRPr="006C185F" w:rsidRDefault="00482B96" w:rsidP="008B2CC1">
      <w:pPr>
        <w:rPr>
          <w:caps/>
          <w:sz w:val="24"/>
        </w:rPr>
      </w:pPr>
      <w:bookmarkStart w:id="3" w:name="TitleOfDoc"/>
      <w:bookmarkEnd w:id="3"/>
      <w:r w:rsidRPr="006C185F">
        <w:rPr>
          <w:caps/>
          <w:sz w:val="24"/>
        </w:rPr>
        <w:t>SEGUNDO INFORME</w:t>
      </w:r>
      <w:r w:rsidR="009E43D9" w:rsidRPr="006C185F">
        <w:rPr>
          <w:caps/>
          <w:sz w:val="24"/>
        </w:rPr>
        <w:t xml:space="preserve"> DE LA COMISIÓN DE VERIFICACIÓN DE PODERES</w:t>
      </w:r>
    </w:p>
    <w:p w:rsidR="008B2CC1" w:rsidRPr="006C185F" w:rsidRDefault="008B2CC1" w:rsidP="008B2CC1"/>
    <w:p w:rsidR="008B2CC1" w:rsidRPr="006C185F" w:rsidRDefault="001660E5" w:rsidP="008B2CC1">
      <w:pPr>
        <w:rPr>
          <w:i/>
        </w:rPr>
      </w:pPr>
      <w:bookmarkStart w:id="4" w:name="Prepared"/>
      <w:bookmarkEnd w:id="4"/>
      <w:r w:rsidRPr="006C185F">
        <w:rPr>
          <w:i/>
        </w:rPr>
        <w:t>preparado por la Secretaría</w:t>
      </w:r>
    </w:p>
    <w:p w:rsidR="008B2CC1" w:rsidRPr="006C185F" w:rsidRDefault="008B2CC1" w:rsidP="003845C1"/>
    <w:p w:rsidR="000F5E56" w:rsidRPr="006C185F" w:rsidRDefault="000F5E56"/>
    <w:p w:rsidR="00F84474" w:rsidRPr="006C185F" w:rsidRDefault="00F84474"/>
    <w:p w:rsidR="00F84474" w:rsidRPr="006C185F" w:rsidRDefault="00F84474"/>
    <w:p w:rsidR="001660E5" w:rsidRPr="006C185F" w:rsidRDefault="00CF6CDF" w:rsidP="00CF6CDF">
      <w:pPr>
        <w:pStyle w:val="ONUMFS"/>
      </w:pPr>
      <w:r w:rsidRPr="006C185F">
        <w:rPr>
          <w:lang w:eastAsia="en-US"/>
        </w:rPr>
        <w:t xml:space="preserve">La Comisión de Verificación de Poderes (en lo sucesivo “la Comisión”), establecida el </w:t>
      </w:r>
      <w:r w:rsidR="00062677" w:rsidRPr="006C185F">
        <w:rPr>
          <w:lang w:eastAsia="en-US"/>
        </w:rPr>
        <w:t>1</w:t>
      </w:r>
      <w:r w:rsidR="005350E3">
        <w:rPr>
          <w:lang w:eastAsia="en-US"/>
        </w:rPr>
        <w:t>2</w:t>
      </w:r>
      <w:r w:rsidRPr="006C185F">
        <w:rPr>
          <w:lang w:eastAsia="en-US"/>
        </w:rPr>
        <w:t xml:space="preserve"> de </w:t>
      </w:r>
      <w:r w:rsidR="005350E3">
        <w:rPr>
          <w:lang w:eastAsia="en-US"/>
        </w:rPr>
        <w:t>mayo</w:t>
      </w:r>
      <w:r w:rsidRPr="006C185F">
        <w:rPr>
          <w:lang w:eastAsia="en-US"/>
        </w:rPr>
        <w:t xml:space="preserve"> de 201</w:t>
      </w:r>
      <w:r w:rsidR="005350E3">
        <w:rPr>
          <w:lang w:eastAsia="en-US"/>
        </w:rPr>
        <w:t>5</w:t>
      </w:r>
      <w:r w:rsidRPr="006C185F">
        <w:rPr>
          <w:lang w:eastAsia="en-US"/>
        </w:rPr>
        <w:t xml:space="preserve"> por la </w:t>
      </w:r>
      <w:r w:rsidR="005350E3" w:rsidRPr="006D5C02">
        <w:t>Conferencia diplomática para la adopción de una nueva Acta del Arreglo de Lisboa para la Protección de las Denominaciones de Origen y su Registro Internacional</w:t>
      </w:r>
      <w:r w:rsidRPr="006C185F">
        <w:rPr>
          <w:lang w:eastAsia="en-US"/>
        </w:rPr>
        <w:t>, se reunió por segunda vez</w:t>
      </w:r>
      <w:r w:rsidR="001A0692" w:rsidRPr="006C185F">
        <w:rPr>
          <w:lang w:eastAsia="en-US"/>
        </w:rPr>
        <w:t xml:space="preserve"> </w:t>
      </w:r>
      <w:r w:rsidR="00062677" w:rsidRPr="006C185F">
        <w:rPr>
          <w:lang w:eastAsia="en-US"/>
        </w:rPr>
        <w:t xml:space="preserve">el </w:t>
      </w:r>
      <w:r w:rsidR="005350E3">
        <w:rPr>
          <w:lang w:eastAsia="en-US"/>
        </w:rPr>
        <w:t>15</w:t>
      </w:r>
      <w:r w:rsidR="00062677" w:rsidRPr="006C185F">
        <w:rPr>
          <w:lang w:eastAsia="en-US"/>
        </w:rPr>
        <w:t xml:space="preserve"> de </w:t>
      </w:r>
      <w:r w:rsidR="005350E3">
        <w:rPr>
          <w:lang w:eastAsia="en-US"/>
        </w:rPr>
        <w:t>may</w:t>
      </w:r>
      <w:r w:rsidR="00062677" w:rsidRPr="006C185F">
        <w:rPr>
          <w:lang w:eastAsia="en-US"/>
        </w:rPr>
        <w:t>o de 201</w:t>
      </w:r>
      <w:r w:rsidR="005350E3">
        <w:rPr>
          <w:lang w:eastAsia="en-US"/>
        </w:rPr>
        <w:t>5</w:t>
      </w:r>
      <w:r w:rsidR="009E43D9" w:rsidRPr="006C185F">
        <w:t>.</w:t>
      </w:r>
    </w:p>
    <w:p w:rsidR="008B783A" w:rsidRPr="006C185F" w:rsidRDefault="008B783A" w:rsidP="008B783A">
      <w:pPr>
        <w:pStyle w:val="ONUMFS"/>
      </w:pPr>
      <w:r w:rsidRPr="006C185F">
        <w:t xml:space="preserve">Asistieron a la reunión las Delegaciones de los siguientes Estados, elegidos miembros de la Comisión por la Conferencia </w:t>
      </w:r>
      <w:r w:rsidR="005350E3">
        <w:t>d</w:t>
      </w:r>
      <w:r w:rsidRPr="006C185F">
        <w:t xml:space="preserve">iplomática: </w:t>
      </w:r>
      <w:r w:rsidR="00565BC6" w:rsidRPr="006C185F">
        <w:t xml:space="preserve"> </w:t>
      </w:r>
      <w:r w:rsidR="005350E3">
        <w:t>Bosnia y Herzegovina, Burkina Faso, Cuba, Georgia, Nicaragua, Portugal y República Checa</w:t>
      </w:r>
      <w:r w:rsidR="00DC646C" w:rsidRPr="006C185F">
        <w:t xml:space="preserve"> (7).</w:t>
      </w:r>
    </w:p>
    <w:p w:rsidR="008B783A" w:rsidRPr="006C185F" w:rsidRDefault="008B783A" w:rsidP="008B783A">
      <w:pPr>
        <w:pStyle w:val="ONUMFS"/>
      </w:pPr>
      <w:r w:rsidRPr="006C185F">
        <w:rPr>
          <w:lang w:eastAsia="en-US"/>
        </w:rPr>
        <w:t>El Presidente de la Comisi</w:t>
      </w:r>
      <w:r w:rsidR="005350E3">
        <w:rPr>
          <w:lang w:eastAsia="en-US"/>
        </w:rPr>
        <w:t>ón, elegido por la Conferencia d</w:t>
      </w:r>
      <w:r w:rsidRPr="006C185F">
        <w:rPr>
          <w:lang w:eastAsia="en-US"/>
        </w:rPr>
        <w:t xml:space="preserve">iplomática, fue </w:t>
      </w:r>
      <w:r w:rsidR="005B0E07" w:rsidRPr="006C185F">
        <w:rPr>
          <w:lang w:eastAsia="en-US"/>
        </w:rPr>
        <w:t xml:space="preserve">el </w:t>
      </w:r>
      <w:r w:rsidR="005B0E07" w:rsidRPr="006C185F">
        <w:t xml:space="preserve">Sr. </w:t>
      </w:r>
      <w:r w:rsidR="005350E3">
        <w:t>Filipe Ramalheira</w:t>
      </w:r>
      <w:r w:rsidR="005B0E07" w:rsidRPr="006C185F">
        <w:t xml:space="preserve"> (</w:t>
      </w:r>
      <w:r w:rsidR="005350E3">
        <w:t>Portugal</w:t>
      </w:r>
      <w:r w:rsidR="005B0E07" w:rsidRPr="006C185F">
        <w:t xml:space="preserve">).  </w:t>
      </w:r>
      <w:r w:rsidR="005B0E07" w:rsidRPr="006C185F">
        <w:rPr>
          <w:lang w:eastAsia="en-US"/>
        </w:rPr>
        <w:t xml:space="preserve">Los Vicepresidentes, elegidos por la Conferencia </w:t>
      </w:r>
      <w:r w:rsidR="005350E3">
        <w:rPr>
          <w:lang w:eastAsia="en-US"/>
        </w:rPr>
        <w:t>d</w:t>
      </w:r>
      <w:r w:rsidR="005B0E07" w:rsidRPr="006C185F">
        <w:rPr>
          <w:lang w:eastAsia="en-US"/>
        </w:rPr>
        <w:t xml:space="preserve">iplomática, fueron </w:t>
      </w:r>
      <w:r w:rsidR="005350E3">
        <w:rPr>
          <w:lang w:eastAsia="en-US"/>
        </w:rPr>
        <w:t>e</w:t>
      </w:r>
      <w:r w:rsidR="005B0E07" w:rsidRPr="006C185F">
        <w:rPr>
          <w:lang w:eastAsia="en-US"/>
        </w:rPr>
        <w:t>l Sr. </w:t>
      </w:r>
      <w:r w:rsidR="005350E3">
        <w:rPr>
          <w:lang w:eastAsia="en-US"/>
        </w:rPr>
        <w:t>Milan Beránek (República Checa) y la Sra. Jenny Arana Vizcaya</w:t>
      </w:r>
      <w:r w:rsidR="005B0E07" w:rsidRPr="006C185F">
        <w:t xml:space="preserve"> (</w:t>
      </w:r>
      <w:r w:rsidR="005350E3">
        <w:t>Nicaragua</w:t>
      </w:r>
      <w:r w:rsidR="005B0E07" w:rsidRPr="006C185F">
        <w:t>)</w:t>
      </w:r>
      <w:r w:rsidRPr="006C185F">
        <w:rPr>
          <w:lang w:eastAsia="en-US"/>
        </w:rPr>
        <w:t>.</w:t>
      </w:r>
    </w:p>
    <w:p w:rsidR="008B783A" w:rsidRPr="006C185F" w:rsidRDefault="008B783A" w:rsidP="001A0692">
      <w:pPr>
        <w:pStyle w:val="ONUMFS"/>
      </w:pPr>
      <w:r w:rsidRPr="006C185F">
        <w:t xml:space="preserve">De conformidad con lo dispuesto en el artículo 9.1) del Reglamento </w:t>
      </w:r>
      <w:r w:rsidR="001124CB" w:rsidRPr="006C185F">
        <w:t>aprobado</w:t>
      </w:r>
      <w:r w:rsidRPr="006C185F">
        <w:t xml:space="preserve"> por la Conferencia el </w:t>
      </w:r>
      <w:r w:rsidR="005350E3">
        <w:t>1</w:t>
      </w:r>
      <w:r w:rsidR="001124CB" w:rsidRPr="006C185F">
        <w:t xml:space="preserve">1 de </w:t>
      </w:r>
      <w:r w:rsidR="005350E3">
        <w:t>may</w:t>
      </w:r>
      <w:r w:rsidR="001124CB" w:rsidRPr="006C185F">
        <w:t>o de 201</w:t>
      </w:r>
      <w:r w:rsidR="005350E3">
        <w:t>5</w:t>
      </w:r>
      <w:r w:rsidRPr="006C185F">
        <w:t xml:space="preserve"> (documento </w:t>
      </w:r>
      <w:r w:rsidR="005350E3">
        <w:t>L</w:t>
      </w:r>
      <w:r w:rsidR="00264F8A" w:rsidRPr="006C185F">
        <w:t>I</w:t>
      </w:r>
      <w:r w:rsidRPr="006C185F">
        <w:t>/DC/2</w:t>
      </w:r>
      <w:r w:rsidR="005350E3">
        <w:t xml:space="preserve"> Prov.</w:t>
      </w:r>
      <w:r w:rsidRPr="006C185F">
        <w:t>, en lo sucesivo “el Reglamento</w:t>
      </w:r>
      <w:r w:rsidR="00572446" w:rsidRPr="006C185F">
        <w:t xml:space="preserve"> de la Conferencia</w:t>
      </w:r>
      <w:r w:rsidRPr="006C185F">
        <w:t xml:space="preserve">”), </w:t>
      </w:r>
      <w:r w:rsidR="001A0692" w:rsidRPr="006C185F">
        <w:rPr>
          <w:rFonts w:eastAsia="Times New Roman"/>
          <w:szCs w:val="22"/>
          <w:lang w:eastAsia="en-US"/>
        </w:rPr>
        <w:t xml:space="preserve">la Comisión examinó las credenciales y los plenos poderes recibidos desde </w:t>
      </w:r>
      <w:r w:rsidR="005350E3">
        <w:rPr>
          <w:rFonts w:eastAsia="Times New Roman"/>
          <w:szCs w:val="22"/>
          <w:lang w:eastAsia="en-US"/>
        </w:rPr>
        <w:t>su primera reunión celebrada</w:t>
      </w:r>
      <w:r w:rsidR="001A0692" w:rsidRPr="006C185F">
        <w:rPr>
          <w:rFonts w:eastAsia="Times New Roman"/>
          <w:szCs w:val="22"/>
          <w:lang w:eastAsia="en-US"/>
        </w:rPr>
        <w:t xml:space="preserve"> el </w:t>
      </w:r>
      <w:r w:rsidR="005B0E07" w:rsidRPr="006C185F">
        <w:rPr>
          <w:rFonts w:eastAsia="Times New Roman"/>
          <w:szCs w:val="22"/>
          <w:lang w:eastAsia="en-US"/>
        </w:rPr>
        <w:t>1</w:t>
      </w:r>
      <w:r w:rsidR="005350E3">
        <w:rPr>
          <w:rFonts w:eastAsia="Times New Roman"/>
          <w:szCs w:val="22"/>
          <w:lang w:eastAsia="en-US"/>
        </w:rPr>
        <w:t>3</w:t>
      </w:r>
      <w:r w:rsidR="005B0E07" w:rsidRPr="006C185F">
        <w:rPr>
          <w:rFonts w:eastAsia="Times New Roman"/>
          <w:szCs w:val="22"/>
          <w:lang w:eastAsia="en-US"/>
        </w:rPr>
        <w:t xml:space="preserve"> de </w:t>
      </w:r>
      <w:r w:rsidR="005350E3">
        <w:rPr>
          <w:rFonts w:eastAsia="Times New Roman"/>
          <w:szCs w:val="22"/>
          <w:lang w:eastAsia="en-US"/>
        </w:rPr>
        <w:t>may</w:t>
      </w:r>
      <w:r w:rsidR="005B0E07" w:rsidRPr="006C185F">
        <w:rPr>
          <w:rFonts w:eastAsia="Times New Roman"/>
          <w:szCs w:val="22"/>
          <w:lang w:eastAsia="en-US"/>
        </w:rPr>
        <w:t>o de 201</w:t>
      </w:r>
      <w:r w:rsidR="005350E3">
        <w:rPr>
          <w:rFonts w:eastAsia="Times New Roman"/>
          <w:szCs w:val="22"/>
          <w:lang w:eastAsia="en-US"/>
        </w:rPr>
        <w:t>5</w:t>
      </w:r>
      <w:r w:rsidR="005350E3">
        <w:t>, cuyo informe consta en el documento LI/DC/10).</w:t>
      </w:r>
    </w:p>
    <w:p w:rsidR="00AA0CED" w:rsidRPr="006C185F" w:rsidRDefault="009E3C4C" w:rsidP="00D17B41">
      <w:pPr>
        <w:pStyle w:val="ONUMFS"/>
        <w:keepNext/>
        <w:rPr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L</w:t>
      </w:r>
      <w:r w:rsidR="00AA0CED" w:rsidRPr="006C185F">
        <w:rPr>
          <w:rFonts w:eastAsia="Times New Roman"/>
          <w:szCs w:val="22"/>
          <w:lang w:eastAsia="en-US"/>
        </w:rPr>
        <w:t>a Comisión encontró en buena y debida forma,</w:t>
      </w:r>
    </w:p>
    <w:p w:rsidR="00345CA6" w:rsidRPr="006C185F" w:rsidRDefault="00AA0CED" w:rsidP="006818AF">
      <w:pPr>
        <w:pStyle w:val="ONUMFS"/>
        <w:keepNext/>
        <w:numPr>
          <w:ilvl w:val="2"/>
          <w:numId w:val="6"/>
        </w:numPr>
        <w:tabs>
          <w:tab w:val="clear" w:pos="1701"/>
        </w:tabs>
        <w:ind w:hanging="567"/>
        <w:rPr>
          <w:lang w:eastAsia="en-US"/>
        </w:rPr>
      </w:pPr>
      <w:r w:rsidRPr="006A4629">
        <w:rPr>
          <w:rFonts w:eastAsia="Times New Roman"/>
          <w:szCs w:val="22"/>
          <w:lang w:eastAsia="en-US"/>
        </w:rPr>
        <w:t xml:space="preserve">en lo relativo a las </w:t>
      </w:r>
      <w:r w:rsidRPr="006818AF">
        <w:rPr>
          <w:rFonts w:eastAsia="Times New Roman"/>
          <w:i/>
          <w:szCs w:val="22"/>
          <w:lang w:eastAsia="en-US"/>
        </w:rPr>
        <w:t>Delegaciones miembros</w:t>
      </w:r>
      <w:r w:rsidRPr="006A4629">
        <w:rPr>
          <w:rFonts w:eastAsia="Times New Roman"/>
          <w:szCs w:val="22"/>
          <w:lang w:eastAsia="en-US"/>
        </w:rPr>
        <w:t>,</w:t>
      </w:r>
      <w:r w:rsidR="006A4629" w:rsidRPr="006A4629">
        <w:rPr>
          <w:rFonts w:eastAsia="Times New Roman"/>
          <w:szCs w:val="22"/>
          <w:lang w:eastAsia="en-US"/>
        </w:rPr>
        <w:t xml:space="preserve"> </w:t>
      </w:r>
      <w:r w:rsidR="006A4629">
        <w:rPr>
          <w:rFonts w:eastAsia="Times New Roman"/>
          <w:szCs w:val="22"/>
          <w:lang w:eastAsia="en-US"/>
        </w:rPr>
        <w:t>l</w:t>
      </w:r>
      <w:r w:rsidR="00432364" w:rsidRPr="006A4629">
        <w:rPr>
          <w:rFonts w:eastAsia="Times New Roman"/>
          <w:szCs w:val="22"/>
          <w:lang w:eastAsia="en-US"/>
        </w:rPr>
        <w:t xml:space="preserve">as </w:t>
      </w:r>
      <w:r w:rsidR="00432364" w:rsidRPr="006A4629">
        <w:rPr>
          <w:rFonts w:eastAsia="Times New Roman"/>
          <w:i/>
          <w:szCs w:val="22"/>
          <w:lang w:eastAsia="en-US"/>
        </w:rPr>
        <w:t>credenciales</w:t>
      </w:r>
      <w:r w:rsidR="00432364" w:rsidRPr="006A4629">
        <w:rPr>
          <w:rFonts w:eastAsia="Times New Roman"/>
          <w:szCs w:val="22"/>
          <w:lang w:eastAsia="en-US"/>
        </w:rPr>
        <w:t xml:space="preserve"> y los </w:t>
      </w:r>
      <w:r w:rsidR="00432364" w:rsidRPr="006A4629">
        <w:rPr>
          <w:rFonts w:eastAsia="Times New Roman"/>
          <w:i/>
          <w:szCs w:val="22"/>
          <w:lang w:eastAsia="en-US"/>
        </w:rPr>
        <w:t>plenos poderes</w:t>
      </w:r>
      <w:r w:rsidR="00432364" w:rsidRPr="006A4629">
        <w:rPr>
          <w:rFonts w:eastAsia="Times New Roman"/>
          <w:szCs w:val="22"/>
          <w:lang w:eastAsia="en-US"/>
        </w:rPr>
        <w:t xml:space="preserve"> (es decir, credenciales para participar en la Conferencia y firmar el Acta final, y los plenos poderes para firmar </w:t>
      </w:r>
      <w:r w:rsidR="006818AF">
        <w:rPr>
          <w:rFonts w:eastAsia="Times New Roman"/>
          <w:szCs w:val="22"/>
          <w:lang w:eastAsia="en-US"/>
        </w:rPr>
        <w:t xml:space="preserve">además </w:t>
      </w:r>
      <w:r w:rsidR="00432364" w:rsidRPr="006A4629">
        <w:rPr>
          <w:rFonts w:eastAsia="Times New Roman"/>
          <w:szCs w:val="22"/>
          <w:lang w:eastAsia="en-US"/>
        </w:rPr>
        <w:t xml:space="preserve">el </w:t>
      </w:r>
      <w:r w:rsidR="00345CA6" w:rsidRPr="006A4629">
        <w:rPr>
          <w:rFonts w:eastAsia="Times New Roman"/>
          <w:szCs w:val="22"/>
          <w:lang w:eastAsia="en-US"/>
        </w:rPr>
        <w:t xml:space="preserve">tratado </w:t>
      </w:r>
      <w:r w:rsidR="00432364" w:rsidRPr="006A4629">
        <w:rPr>
          <w:rFonts w:eastAsia="Times New Roman"/>
          <w:szCs w:val="22"/>
          <w:lang w:eastAsia="en-US"/>
        </w:rPr>
        <w:t xml:space="preserve">que adopte la Conferencia </w:t>
      </w:r>
      <w:r w:rsidR="006818AF">
        <w:rPr>
          <w:rFonts w:eastAsia="Times New Roman"/>
          <w:szCs w:val="22"/>
          <w:lang w:eastAsia="en-US"/>
        </w:rPr>
        <w:t>d</w:t>
      </w:r>
      <w:r w:rsidR="00432364" w:rsidRPr="006A4629">
        <w:rPr>
          <w:rFonts w:eastAsia="Times New Roman"/>
          <w:szCs w:val="22"/>
          <w:lang w:eastAsia="en-US"/>
        </w:rPr>
        <w:t xml:space="preserve">iplomática) de la </w:t>
      </w:r>
      <w:r w:rsidR="006818AF" w:rsidRPr="006A4629">
        <w:rPr>
          <w:rFonts w:eastAsia="Times New Roman"/>
          <w:szCs w:val="22"/>
          <w:lang w:eastAsia="en-US"/>
        </w:rPr>
        <w:t>Delegaci</w:t>
      </w:r>
      <w:r w:rsidR="006818AF">
        <w:rPr>
          <w:rFonts w:eastAsia="Times New Roman"/>
          <w:szCs w:val="22"/>
          <w:lang w:eastAsia="en-US"/>
        </w:rPr>
        <w:t>ón de Italia.</w:t>
      </w:r>
      <w:r w:rsidR="006818AF" w:rsidRPr="006C185F">
        <w:rPr>
          <w:lang w:eastAsia="en-US"/>
        </w:rPr>
        <w:t xml:space="preserve"> </w:t>
      </w:r>
    </w:p>
    <w:p w:rsidR="003A5EF2" w:rsidRPr="006C185F" w:rsidRDefault="006818AF" w:rsidP="006818AF">
      <w:pPr>
        <w:pStyle w:val="ONUMFS"/>
        <w:keepNext/>
        <w:numPr>
          <w:ilvl w:val="2"/>
          <w:numId w:val="6"/>
        </w:numPr>
        <w:tabs>
          <w:tab w:val="clear" w:pos="1701"/>
        </w:tabs>
        <w:ind w:hanging="567"/>
        <w:rPr>
          <w:lang w:eastAsia="en-US"/>
        </w:rPr>
      </w:pPr>
      <w:r>
        <w:rPr>
          <w:lang w:eastAsia="en-US"/>
        </w:rPr>
        <w:t xml:space="preserve">en lo relativo a las </w:t>
      </w:r>
      <w:r w:rsidRPr="006818AF">
        <w:rPr>
          <w:i/>
          <w:lang w:eastAsia="en-US"/>
        </w:rPr>
        <w:t>Delegaciones observadoras</w:t>
      </w:r>
      <w:r>
        <w:rPr>
          <w:lang w:eastAsia="en-US"/>
        </w:rPr>
        <w:t xml:space="preserve">, </w:t>
      </w:r>
      <w:r w:rsidR="00052FD4" w:rsidRPr="006C185F">
        <w:rPr>
          <w:lang w:eastAsia="en-US"/>
        </w:rPr>
        <w:t xml:space="preserve">las </w:t>
      </w:r>
      <w:r w:rsidR="00052FD4" w:rsidRPr="006C185F">
        <w:rPr>
          <w:i/>
          <w:lang w:eastAsia="en-US"/>
        </w:rPr>
        <w:t>credenciales</w:t>
      </w:r>
      <w:r w:rsidR="00052FD4" w:rsidRPr="006C185F">
        <w:rPr>
          <w:lang w:eastAsia="en-US"/>
        </w:rPr>
        <w:t xml:space="preserve"> </w:t>
      </w:r>
      <w:r>
        <w:rPr>
          <w:lang w:eastAsia="en-US"/>
        </w:rPr>
        <w:t>(</w:t>
      </w:r>
      <w:r w:rsidR="00052FD4" w:rsidRPr="006C185F">
        <w:rPr>
          <w:lang w:eastAsia="en-US"/>
        </w:rPr>
        <w:t xml:space="preserve">sin </w:t>
      </w:r>
      <w:r w:rsidR="00052FD4" w:rsidRPr="006818AF">
        <w:rPr>
          <w:i/>
          <w:lang w:eastAsia="en-US"/>
        </w:rPr>
        <w:t>plenos poderes</w:t>
      </w:r>
      <w:r w:rsidR="001A0692" w:rsidRPr="006C185F">
        <w:rPr>
          <w:lang w:eastAsia="en-US"/>
        </w:rPr>
        <w:t xml:space="preserve">) </w:t>
      </w:r>
      <w:r w:rsidR="00052FD4" w:rsidRPr="006C185F">
        <w:rPr>
          <w:lang w:eastAsia="en-US"/>
        </w:rPr>
        <w:t>de las delegaciones de los (</w:t>
      </w:r>
      <w:r>
        <w:rPr>
          <w:lang w:eastAsia="en-US"/>
        </w:rPr>
        <w:t>3</w:t>
      </w:r>
      <w:r w:rsidR="00052FD4" w:rsidRPr="006C185F">
        <w:rPr>
          <w:lang w:eastAsia="en-US"/>
        </w:rPr>
        <w:t>) Estados siguientes:</w:t>
      </w:r>
    </w:p>
    <w:p w:rsidR="004B7EC7" w:rsidRPr="006C185F" w:rsidRDefault="004B7EC7" w:rsidP="004B7EC7">
      <w:pPr>
        <w:tabs>
          <w:tab w:val="right" w:pos="-5670"/>
        </w:tabs>
        <w:ind w:left="1701"/>
      </w:pPr>
      <w:r w:rsidRPr="006C185F">
        <w:t>Angola</w:t>
      </w:r>
    </w:p>
    <w:p w:rsidR="004B7EC7" w:rsidRPr="006C185F" w:rsidRDefault="006818AF" w:rsidP="004B7EC7">
      <w:pPr>
        <w:tabs>
          <w:tab w:val="right" w:pos="-5670"/>
        </w:tabs>
        <w:ind w:left="1701"/>
      </w:pPr>
      <w:r>
        <w:t>Kenya</w:t>
      </w:r>
    </w:p>
    <w:p w:rsidR="004B7EC7" w:rsidRDefault="004B7EC7" w:rsidP="004B7EC7">
      <w:pPr>
        <w:tabs>
          <w:tab w:val="right" w:pos="-5670"/>
        </w:tabs>
        <w:ind w:left="1701"/>
      </w:pPr>
      <w:r w:rsidRPr="006C185F">
        <w:t>Nig</w:t>
      </w:r>
      <w:r w:rsidR="006818AF">
        <w:t>eri</w:t>
      </w:r>
      <w:r w:rsidRPr="006C185F">
        <w:t>a</w:t>
      </w:r>
    </w:p>
    <w:p w:rsidR="006818AF" w:rsidRPr="006C185F" w:rsidRDefault="006818AF" w:rsidP="004B7EC7">
      <w:pPr>
        <w:tabs>
          <w:tab w:val="right" w:pos="-5670"/>
        </w:tabs>
        <w:ind w:left="1701"/>
      </w:pPr>
    </w:p>
    <w:p w:rsidR="00B70A7C" w:rsidRDefault="006818AF" w:rsidP="0063657C">
      <w:pPr>
        <w:pStyle w:val="ONUMFS"/>
        <w:numPr>
          <w:ilvl w:val="0"/>
          <w:numId w:val="0"/>
        </w:numPr>
        <w:ind w:firstLine="567"/>
        <w:rPr>
          <w:lang w:eastAsia="en-US"/>
        </w:rPr>
      </w:pPr>
      <w:r>
        <w:rPr>
          <w:lang w:eastAsia="en-US"/>
        </w:rPr>
        <w:t>c)</w:t>
      </w:r>
      <w:r>
        <w:rPr>
          <w:lang w:eastAsia="en-US"/>
        </w:rPr>
        <w:tab/>
        <w:t xml:space="preserve">en lo relativo a </w:t>
      </w:r>
      <w:r w:rsidR="00DA6D53" w:rsidRPr="006C185F">
        <w:rPr>
          <w:lang w:eastAsia="en-US"/>
        </w:rPr>
        <w:t xml:space="preserve">los </w:t>
      </w:r>
      <w:r w:rsidR="00DA6D53" w:rsidRPr="006C185F">
        <w:rPr>
          <w:i/>
          <w:lang w:eastAsia="en-US"/>
        </w:rPr>
        <w:t>Observadores</w:t>
      </w:r>
      <w:r w:rsidR="00DA6D53" w:rsidRPr="006C185F">
        <w:rPr>
          <w:lang w:eastAsia="en-US"/>
        </w:rPr>
        <w:t xml:space="preserve">, las </w:t>
      </w:r>
      <w:r w:rsidR="00DA6D53" w:rsidRPr="006818AF">
        <w:rPr>
          <w:i/>
          <w:lang w:eastAsia="en-US"/>
        </w:rPr>
        <w:t>cartas</w:t>
      </w:r>
      <w:r w:rsidR="00DA6D53" w:rsidRPr="006C185F">
        <w:rPr>
          <w:lang w:eastAsia="en-US"/>
        </w:rPr>
        <w:t xml:space="preserve"> o </w:t>
      </w:r>
      <w:r w:rsidR="003F6637">
        <w:rPr>
          <w:lang w:eastAsia="en-US"/>
        </w:rPr>
        <w:t xml:space="preserve">los </w:t>
      </w:r>
      <w:r w:rsidR="00DA6D53" w:rsidRPr="006818AF">
        <w:rPr>
          <w:i/>
          <w:lang w:eastAsia="en-US"/>
        </w:rPr>
        <w:t>documentos de designación</w:t>
      </w:r>
      <w:r w:rsidR="00DA6D53" w:rsidRPr="006C185F">
        <w:rPr>
          <w:lang w:eastAsia="en-US"/>
        </w:rPr>
        <w:t xml:space="preserve"> </w:t>
      </w:r>
      <w:r w:rsidR="00395810" w:rsidRPr="006C185F">
        <w:rPr>
          <w:lang w:eastAsia="en-US"/>
        </w:rPr>
        <w:t>de los representantes de l</w:t>
      </w:r>
      <w:r>
        <w:rPr>
          <w:lang w:eastAsia="en-US"/>
        </w:rPr>
        <w:t>os siguientes observadores</w:t>
      </w:r>
      <w:r w:rsidR="00DA6D53" w:rsidRPr="006C185F">
        <w:rPr>
          <w:lang w:eastAsia="en-US"/>
        </w:rPr>
        <w:t>:</w:t>
      </w:r>
    </w:p>
    <w:p w:rsidR="006818AF" w:rsidRDefault="006818AF" w:rsidP="006818AF">
      <w:pPr>
        <w:pStyle w:val="ONUMFS"/>
        <w:numPr>
          <w:ilvl w:val="0"/>
          <w:numId w:val="0"/>
        </w:numPr>
        <w:spacing w:after="0"/>
        <w:ind w:left="1701" w:hanging="567"/>
        <w:rPr>
          <w:lang w:eastAsia="en-US"/>
        </w:rPr>
      </w:pPr>
      <w:r>
        <w:rPr>
          <w:lang w:eastAsia="en-US"/>
        </w:rPr>
        <w:t>i)</w:t>
      </w:r>
      <w:r>
        <w:rPr>
          <w:lang w:eastAsia="en-US"/>
        </w:rPr>
        <w:tab/>
      </w:r>
      <w:r>
        <w:rPr>
          <w:i/>
          <w:lang w:eastAsia="en-US"/>
        </w:rPr>
        <w:t>organizaciones intergubernamentales</w:t>
      </w:r>
      <w:r>
        <w:rPr>
          <w:lang w:eastAsia="en-US"/>
        </w:rPr>
        <w:t xml:space="preserve">:  </w:t>
      </w:r>
      <w:r w:rsidRPr="006818AF">
        <w:rPr>
          <w:lang w:eastAsia="en-US"/>
        </w:rPr>
        <w:t>Unión Económica y Monetaria del África Occidental (UEMOA)</w:t>
      </w:r>
      <w:r>
        <w:rPr>
          <w:lang w:eastAsia="en-US"/>
        </w:rPr>
        <w:t xml:space="preserve"> (1);</w:t>
      </w:r>
    </w:p>
    <w:p w:rsidR="006818AF" w:rsidRDefault="006818AF" w:rsidP="006818AF">
      <w:pPr>
        <w:pStyle w:val="ONUMFS"/>
        <w:numPr>
          <w:ilvl w:val="0"/>
          <w:numId w:val="0"/>
        </w:numPr>
        <w:spacing w:after="0"/>
        <w:ind w:left="1701" w:hanging="567"/>
        <w:rPr>
          <w:lang w:eastAsia="en-US"/>
        </w:rPr>
      </w:pPr>
    </w:p>
    <w:p w:rsidR="006818AF" w:rsidRDefault="006818AF" w:rsidP="006818AF">
      <w:pPr>
        <w:pStyle w:val="ONUMFS"/>
        <w:numPr>
          <w:ilvl w:val="0"/>
          <w:numId w:val="0"/>
        </w:numPr>
        <w:spacing w:after="0"/>
        <w:ind w:left="1701" w:hanging="567"/>
        <w:rPr>
          <w:lang w:eastAsia="en-US"/>
        </w:rPr>
      </w:pPr>
      <w:r>
        <w:rPr>
          <w:lang w:eastAsia="en-US"/>
        </w:rPr>
        <w:t>ii)</w:t>
      </w:r>
      <w:r>
        <w:rPr>
          <w:lang w:eastAsia="en-US"/>
        </w:rPr>
        <w:tab/>
      </w:r>
      <w:r>
        <w:rPr>
          <w:i/>
          <w:lang w:eastAsia="en-US"/>
        </w:rPr>
        <w:t>organizaciones no gubernamentales</w:t>
      </w:r>
      <w:r>
        <w:rPr>
          <w:lang w:eastAsia="en-US"/>
        </w:rPr>
        <w:t xml:space="preserve">:  </w:t>
      </w:r>
      <w:r w:rsidRPr="006818AF">
        <w:rPr>
          <w:i/>
          <w:lang w:eastAsia="en-US"/>
        </w:rPr>
        <w:t>Association romande de la propriété intellectuelle</w:t>
      </w:r>
      <w:r>
        <w:rPr>
          <w:lang w:eastAsia="en-US"/>
        </w:rPr>
        <w:t xml:space="preserve"> (AROPI), Cámara de Industria y Comercio de la Federación de Rusia, y el </w:t>
      </w:r>
      <w:r w:rsidRPr="006818AF">
        <w:rPr>
          <w:lang w:eastAsia="en-US"/>
        </w:rPr>
        <w:t>Centro de Documentación, Investigación e Información de los Pueblos Indígenas (DOCIP)</w:t>
      </w:r>
      <w:r>
        <w:rPr>
          <w:lang w:eastAsia="en-US"/>
        </w:rPr>
        <w:t xml:space="preserve"> (3).</w:t>
      </w:r>
    </w:p>
    <w:p w:rsidR="006818AF" w:rsidRPr="006818AF" w:rsidRDefault="006818AF" w:rsidP="006818AF">
      <w:pPr>
        <w:pStyle w:val="ONUMFS"/>
        <w:numPr>
          <w:ilvl w:val="0"/>
          <w:numId w:val="0"/>
        </w:numPr>
        <w:spacing w:after="0"/>
        <w:ind w:left="1701" w:hanging="567"/>
        <w:rPr>
          <w:lang w:eastAsia="en-US"/>
        </w:rPr>
      </w:pPr>
    </w:p>
    <w:p w:rsidR="006818AF" w:rsidRPr="006818AF" w:rsidRDefault="006818AF" w:rsidP="00CF5C77">
      <w:pPr>
        <w:pStyle w:val="ONUMFS"/>
        <w:rPr>
          <w:lang w:eastAsia="en-US"/>
        </w:rPr>
      </w:pPr>
      <w:r w:rsidRPr="006C185F">
        <w:rPr>
          <w:rFonts w:eastAsia="Times New Roman"/>
          <w:szCs w:val="22"/>
          <w:lang w:eastAsia="en-US"/>
        </w:rPr>
        <w:t xml:space="preserve">La Comisión </w:t>
      </w:r>
      <w:r>
        <w:rPr>
          <w:rFonts w:eastAsia="Times New Roman"/>
          <w:szCs w:val="22"/>
          <w:lang w:eastAsia="en-US"/>
        </w:rPr>
        <w:t xml:space="preserve">decidió que </w:t>
      </w:r>
      <w:r w:rsidRPr="006C185F">
        <w:rPr>
          <w:rFonts w:eastAsia="Times New Roman"/>
          <w:szCs w:val="22"/>
          <w:lang w:eastAsia="en-US"/>
        </w:rPr>
        <w:t xml:space="preserve">la Delegación de </w:t>
      </w:r>
      <w:r>
        <w:rPr>
          <w:rFonts w:eastAsia="Times New Roman"/>
          <w:szCs w:val="22"/>
          <w:lang w:eastAsia="en-US"/>
        </w:rPr>
        <w:t xml:space="preserve">la ex República Yugoslava de Macedonia </w:t>
      </w:r>
      <w:r w:rsidR="00103C5A">
        <w:rPr>
          <w:rFonts w:eastAsia="Times New Roman"/>
          <w:szCs w:val="22"/>
          <w:lang w:eastAsia="en-US"/>
        </w:rPr>
        <w:t>constará en e</w:t>
      </w:r>
      <w:r w:rsidRPr="006C185F">
        <w:rPr>
          <w:rFonts w:eastAsia="Times New Roman"/>
          <w:szCs w:val="22"/>
          <w:lang w:eastAsia="en-US"/>
        </w:rPr>
        <w:t xml:space="preserve">l párrafo 7.a)ii) </w:t>
      </w:r>
      <w:r w:rsidR="00103C5A">
        <w:rPr>
          <w:rFonts w:eastAsia="Times New Roman"/>
          <w:szCs w:val="22"/>
          <w:lang w:eastAsia="en-US"/>
        </w:rPr>
        <w:t xml:space="preserve">(credenciales) </w:t>
      </w:r>
      <w:r w:rsidRPr="006C185F">
        <w:rPr>
          <w:rFonts w:eastAsia="Times New Roman"/>
          <w:szCs w:val="22"/>
          <w:lang w:eastAsia="en-US"/>
        </w:rPr>
        <w:t xml:space="preserve">del primer informe de la Comisión, </w:t>
      </w:r>
      <w:r>
        <w:rPr>
          <w:rFonts w:eastAsia="Times New Roman"/>
          <w:szCs w:val="22"/>
          <w:lang w:eastAsia="en-US"/>
        </w:rPr>
        <w:t xml:space="preserve">y no en </w:t>
      </w:r>
      <w:r w:rsidRPr="006C185F">
        <w:rPr>
          <w:rFonts w:eastAsia="Times New Roman"/>
          <w:szCs w:val="22"/>
          <w:lang w:eastAsia="en-US"/>
        </w:rPr>
        <w:t>el párrafo 7.a)i)</w:t>
      </w:r>
      <w:r w:rsidR="00103C5A">
        <w:rPr>
          <w:rFonts w:eastAsia="Times New Roman"/>
          <w:szCs w:val="22"/>
          <w:lang w:eastAsia="en-US"/>
        </w:rPr>
        <w:t xml:space="preserve"> (plenos poderes)</w:t>
      </w:r>
      <w:r w:rsidRPr="006C185F">
        <w:rPr>
          <w:rFonts w:eastAsia="Times New Roman"/>
          <w:szCs w:val="22"/>
          <w:lang w:eastAsia="en-US"/>
        </w:rPr>
        <w:t>.</w:t>
      </w:r>
    </w:p>
    <w:p w:rsidR="00D87763" w:rsidRPr="006C185F" w:rsidRDefault="000D2213" w:rsidP="00CF5C77">
      <w:pPr>
        <w:pStyle w:val="ONUMFS"/>
        <w:rPr>
          <w:lang w:eastAsia="en-US"/>
        </w:rPr>
      </w:pPr>
      <w:r w:rsidRPr="006C185F">
        <w:rPr>
          <w:lang w:eastAsia="en-US"/>
        </w:rPr>
        <w:t>La Comisión recom</w:t>
      </w:r>
      <w:r w:rsidR="00103C5A">
        <w:rPr>
          <w:lang w:eastAsia="en-US"/>
        </w:rPr>
        <w:t>i</w:t>
      </w:r>
      <w:r w:rsidRPr="006C185F">
        <w:rPr>
          <w:lang w:eastAsia="en-US"/>
        </w:rPr>
        <w:t>end</w:t>
      </w:r>
      <w:r w:rsidR="00103C5A">
        <w:rPr>
          <w:lang w:eastAsia="en-US"/>
        </w:rPr>
        <w:t>a</w:t>
      </w:r>
      <w:r w:rsidRPr="006C185F">
        <w:rPr>
          <w:lang w:eastAsia="en-US"/>
        </w:rPr>
        <w:t xml:space="preserve"> a la Conferencia, reunida en sesión plenaria, que acepte las</w:t>
      </w:r>
      <w:r w:rsidR="009B02E1" w:rsidRPr="006C185F">
        <w:rPr>
          <w:lang w:eastAsia="en-US"/>
        </w:rPr>
        <w:t xml:space="preserve"> </w:t>
      </w:r>
      <w:r w:rsidRPr="006C185F">
        <w:rPr>
          <w:lang w:eastAsia="en-US"/>
        </w:rPr>
        <w:t>credenciales y los plenos poderes de la delegaci</w:t>
      </w:r>
      <w:r w:rsidR="00103C5A">
        <w:rPr>
          <w:lang w:eastAsia="en-US"/>
        </w:rPr>
        <w:t>ó</w:t>
      </w:r>
      <w:r w:rsidRPr="006C185F">
        <w:rPr>
          <w:lang w:eastAsia="en-US"/>
        </w:rPr>
        <w:t>n mencionada en el párrafo 5.a), las</w:t>
      </w:r>
      <w:r w:rsidR="009B02E1" w:rsidRPr="006C185F">
        <w:rPr>
          <w:lang w:eastAsia="en-US"/>
        </w:rPr>
        <w:t xml:space="preserve"> </w:t>
      </w:r>
      <w:r w:rsidRPr="006C185F">
        <w:rPr>
          <w:lang w:eastAsia="en-US"/>
        </w:rPr>
        <w:t xml:space="preserve">credenciales de las delegaciones </w:t>
      </w:r>
      <w:r w:rsidR="00103C5A">
        <w:rPr>
          <w:lang w:eastAsia="en-US"/>
        </w:rPr>
        <w:t xml:space="preserve">observadoras </w:t>
      </w:r>
      <w:r w:rsidRPr="006C185F">
        <w:rPr>
          <w:lang w:eastAsia="en-US"/>
        </w:rPr>
        <w:t>me</w:t>
      </w:r>
      <w:r w:rsidR="00CF5C77" w:rsidRPr="006C185F">
        <w:rPr>
          <w:lang w:eastAsia="en-US"/>
        </w:rPr>
        <w:t>ncionadas en el párrafo 5.</w:t>
      </w:r>
      <w:r w:rsidR="00103C5A">
        <w:rPr>
          <w:lang w:eastAsia="en-US"/>
        </w:rPr>
        <w:t>b</w:t>
      </w:r>
      <w:r w:rsidR="00CF5C77" w:rsidRPr="006C185F">
        <w:rPr>
          <w:lang w:eastAsia="en-US"/>
        </w:rPr>
        <w:t>)</w:t>
      </w:r>
      <w:r w:rsidRPr="006C185F">
        <w:rPr>
          <w:lang w:eastAsia="en-US"/>
        </w:rPr>
        <w:t xml:space="preserve"> y</w:t>
      </w:r>
      <w:r w:rsidR="00CF5C77" w:rsidRPr="006C185F">
        <w:rPr>
          <w:lang w:eastAsia="en-US"/>
        </w:rPr>
        <w:t xml:space="preserve"> las cartas de designación de los observadores mencionados en </w:t>
      </w:r>
      <w:r w:rsidR="00103C5A">
        <w:rPr>
          <w:lang w:eastAsia="en-US"/>
        </w:rPr>
        <w:t>los incisos i) y ii) d</w:t>
      </w:r>
      <w:r w:rsidR="00CF5C77" w:rsidRPr="006C185F">
        <w:rPr>
          <w:lang w:eastAsia="en-US"/>
        </w:rPr>
        <w:t>el párrafo</w:t>
      </w:r>
      <w:r w:rsidRPr="006C185F">
        <w:rPr>
          <w:lang w:eastAsia="en-US"/>
        </w:rPr>
        <w:t xml:space="preserve"> 5.</w:t>
      </w:r>
      <w:r w:rsidR="00103C5A">
        <w:rPr>
          <w:lang w:eastAsia="en-US"/>
        </w:rPr>
        <w:t>c</w:t>
      </w:r>
      <w:r w:rsidRPr="006C185F">
        <w:rPr>
          <w:lang w:eastAsia="en-US"/>
        </w:rPr>
        <w:t>).</w:t>
      </w:r>
    </w:p>
    <w:p w:rsidR="00D87763" w:rsidRDefault="009B02E1" w:rsidP="009B02E1">
      <w:pPr>
        <w:pStyle w:val="ONUMFS"/>
        <w:rPr>
          <w:lang w:eastAsia="en-US"/>
        </w:rPr>
      </w:pPr>
      <w:r w:rsidRPr="006C185F">
        <w:rPr>
          <w:lang w:eastAsia="en-US"/>
        </w:rPr>
        <w:t>La Comisión decidió que la Secretaría prepare un informe sobre la reunión que será publicado como su informe, para ser presentado por el Presidente de la Comisión a la Conferencia en sesión plenaria.</w:t>
      </w:r>
    </w:p>
    <w:p w:rsidR="00103C5A" w:rsidRPr="006C185F" w:rsidRDefault="00103C5A" w:rsidP="009B02E1">
      <w:pPr>
        <w:pStyle w:val="ONUMFS"/>
        <w:rPr>
          <w:lang w:eastAsia="en-US"/>
        </w:rPr>
      </w:pPr>
      <w:r>
        <w:rPr>
          <w:lang w:eastAsia="en-US"/>
        </w:rPr>
        <w:t>Hasta la fecha, la Comisión ha encontrado en buena y debida forma un total de 12 credenciales (con plenos poderes), 10 de las cuales corresponden a miembros de la Unión de Lisboa, y un total de 101 credenciales sin plenos poderes (18 de las cuales corresponden a miembros de la Unión de Lisboa y Delegaciones especiales).</w:t>
      </w:r>
    </w:p>
    <w:p w:rsidR="007379EF" w:rsidRDefault="007379EF" w:rsidP="007379EF">
      <w:pPr>
        <w:pStyle w:val="ONUMFS"/>
        <w:rPr>
          <w:lang w:eastAsia="en-US"/>
        </w:rPr>
      </w:pPr>
      <w:r w:rsidRPr="006C185F">
        <w:rPr>
          <w:lang w:eastAsia="en-US"/>
        </w:rPr>
        <w:t>La Comisión autorizó a su Presidente a examinar cualesquiera comunicaciones adicionales relativas a las Delegaciones miembros, la</w:t>
      </w:r>
      <w:r w:rsidR="00103C5A">
        <w:rPr>
          <w:lang w:eastAsia="en-US"/>
        </w:rPr>
        <w:t>s</w:t>
      </w:r>
      <w:r w:rsidRPr="006C185F">
        <w:rPr>
          <w:lang w:eastAsia="en-US"/>
        </w:rPr>
        <w:t xml:space="preserve"> Delegaci</w:t>
      </w:r>
      <w:r w:rsidR="00103C5A">
        <w:rPr>
          <w:lang w:eastAsia="en-US"/>
        </w:rPr>
        <w:t>ones</w:t>
      </w:r>
      <w:r w:rsidRPr="006C185F">
        <w:rPr>
          <w:lang w:eastAsia="en-US"/>
        </w:rPr>
        <w:t xml:space="preserve"> especial</w:t>
      </w:r>
      <w:r w:rsidR="00103C5A">
        <w:rPr>
          <w:lang w:eastAsia="en-US"/>
        </w:rPr>
        <w:t>es</w:t>
      </w:r>
      <w:r w:rsidRPr="006C185F">
        <w:rPr>
          <w:lang w:eastAsia="en-US"/>
        </w:rPr>
        <w:t xml:space="preserve">, las Delegaciones observadoras </w:t>
      </w:r>
      <w:r w:rsidR="00FB06F6" w:rsidRPr="006C185F">
        <w:rPr>
          <w:lang w:eastAsia="en-US"/>
        </w:rPr>
        <w:t>y los observadore</w:t>
      </w:r>
      <w:r w:rsidRPr="006C185F">
        <w:rPr>
          <w:lang w:eastAsia="en-US"/>
        </w:rPr>
        <w:t>s, que la Secretaría pudiera recibir después de la clausura de su segunda reunión, y a presentar un informe al respecto a la Conferencia en sesión plenaria, a menos que el Presidente estime necesario convocar a la Comisión para examinar esas comunicaciones y presentar un informe al respecto.</w:t>
      </w:r>
    </w:p>
    <w:p w:rsidR="00103C5A" w:rsidRPr="006C185F" w:rsidRDefault="00103C5A" w:rsidP="00103C5A">
      <w:pPr>
        <w:pStyle w:val="ONUMFS"/>
        <w:numPr>
          <w:ilvl w:val="0"/>
          <w:numId w:val="0"/>
        </w:numPr>
        <w:rPr>
          <w:lang w:eastAsia="en-US"/>
        </w:rPr>
      </w:pPr>
    </w:p>
    <w:p w:rsidR="00103C5A" w:rsidRDefault="00103C5A" w:rsidP="00D87763">
      <w:pPr>
        <w:pStyle w:val="Endofdocument-Annex"/>
        <w:rPr>
          <w:lang w:val="es-ES" w:eastAsia="en-US"/>
        </w:rPr>
      </w:pPr>
    </w:p>
    <w:p w:rsidR="00D87763" w:rsidRPr="009B02E1" w:rsidRDefault="00D87763" w:rsidP="00D87763">
      <w:pPr>
        <w:pStyle w:val="Endofdocument-Annex"/>
        <w:rPr>
          <w:lang w:val="es-ES" w:eastAsia="en-US"/>
        </w:rPr>
      </w:pPr>
      <w:r w:rsidRPr="006C185F">
        <w:rPr>
          <w:lang w:val="es-ES" w:eastAsia="en-US"/>
        </w:rPr>
        <w:t>[Fin del documento]</w:t>
      </w:r>
    </w:p>
    <w:sectPr w:rsidR="00D87763" w:rsidRPr="009B02E1" w:rsidSect="008B783A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C5" w:rsidRDefault="00960AC5">
      <w:r>
        <w:separator/>
      </w:r>
    </w:p>
  </w:endnote>
  <w:endnote w:type="continuationSeparator" w:id="0">
    <w:p w:rsidR="00960AC5" w:rsidRPr="009D30E6" w:rsidRDefault="00960AC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60AC5" w:rsidRPr="007E663E" w:rsidRDefault="00960AC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60AC5" w:rsidRPr="007E663E" w:rsidRDefault="00960AC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C5" w:rsidRDefault="00960AC5">
      <w:r>
        <w:separator/>
      </w:r>
    </w:p>
  </w:footnote>
  <w:footnote w:type="continuationSeparator" w:id="0">
    <w:p w:rsidR="00960AC5" w:rsidRPr="009D30E6" w:rsidRDefault="00960AC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60AC5" w:rsidRPr="007E663E" w:rsidRDefault="00960AC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60AC5" w:rsidRPr="007E663E" w:rsidRDefault="00960AC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E3" w:rsidRDefault="005350E3">
    <w:pPr>
      <w:pStyle w:val="Header"/>
      <w:jc w:val="right"/>
    </w:pPr>
    <w:r>
      <w:t>L</w:t>
    </w:r>
    <w:r w:rsidR="00960AC5">
      <w:t>I/DC/</w:t>
    </w:r>
    <w:r>
      <w:t>12</w:t>
    </w:r>
  </w:p>
  <w:p w:rsidR="00960AC5" w:rsidRDefault="00960AC5">
    <w:pPr>
      <w:pStyle w:val="Header"/>
      <w:jc w:val="right"/>
      <w:rPr>
        <w:noProof/>
      </w:rPr>
    </w:pPr>
    <w:r>
      <w:t xml:space="preserve">página </w:t>
    </w:r>
    <w:sdt>
      <w:sdtPr>
        <w:id w:val="5298410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5E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960AC5" w:rsidRDefault="00960AC5" w:rsidP="00C732F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B282C8E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9264A8A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2313B0F"/>
    <w:multiLevelType w:val="hybridMultilevel"/>
    <w:tmpl w:val="F7C847A6"/>
    <w:lvl w:ilvl="0" w:tplc="CCB26C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F64EB"/>
    <w:multiLevelType w:val="hybridMultilevel"/>
    <w:tmpl w:val="A1F2591A"/>
    <w:lvl w:ilvl="0" w:tplc="CCB26C10">
      <w:start w:val="1"/>
      <w:numFmt w:val="lowerRoman"/>
      <w:lvlText w:val="(%1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3"/>
  </w:num>
  <w:num w:numId="9">
    <w:abstractNumId w:val="3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</w:num>
  <w:num w:numId="20">
    <w:abstractNumId w:val="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E5"/>
    <w:rsid w:val="00002418"/>
    <w:rsid w:val="00005976"/>
    <w:rsid w:val="00052915"/>
    <w:rsid w:val="00052FD4"/>
    <w:rsid w:val="00055904"/>
    <w:rsid w:val="00062677"/>
    <w:rsid w:val="000A141E"/>
    <w:rsid w:val="000A6F90"/>
    <w:rsid w:val="000B35E7"/>
    <w:rsid w:val="000D2213"/>
    <w:rsid w:val="000D6491"/>
    <w:rsid w:val="000D6B54"/>
    <w:rsid w:val="000E3BB3"/>
    <w:rsid w:val="000F5E56"/>
    <w:rsid w:val="001033A0"/>
    <w:rsid w:val="00103C5A"/>
    <w:rsid w:val="001124CB"/>
    <w:rsid w:val="0011672D"/>
    <w:rsid w:val="001248F6"/>
    <w:rsid w:val="001362EE"/>
    <w:rsid w:val="00152CEA"/>
    <w:rsid w:val="001660E5"/>
    <w:rsid w:val="001832A6"/>
    <w:rsid w:val="001A0692"/>
    <w:rsid w:val="001A0718"/>
    <w:rsid w:val="001A5843"/>
    <w:rsid w:val="001B3BF2"/>
    <w:rsid w:val="001C2E6A"/>
    <w:rsid w:val="00204380"/>
    <w:rsid w:val="002121EF"/>
    <w:rsid w:val="00242365"/>
    <w:rsid w:val="002476A5"/>
    <w:rsid w:val="002634C4"/>
    <w:rsid w:val="00264F8A"/>
    <w:rsid w:val="0027000D"/>
    <w:rsid w:val="002773A7"/>
    <w:rsid w:val="002D4680"/>
    <w:rsid w:val="002D7F57"/>
    <w:rsid w:val="002E0F47"/>
    <w:rsid w:val="002E512E"/>
    <w:rsid w:val="002F4E68"/>
    <w:rsid w:val="00312DA1"/>
    <w:rsid w:val="00345CA6"/>
    <w:rsid w:val="003476BE"/>
    <w:rsid w:val="00354647"/>
    <w:rsid w:val="0035627B"/>
    <w:rsid w:val="003633D5"/>
    <w:rsid w:val="003744D0"/>
    <w:rsid w:val="00377273"/>
    <w:rsid w:val="00384157"/>
    <w:rsid w:val="003845C1"/>
    <w:rsid w:val="00387287"/>
    <w:rsid w:val="00395810"/>
    <w:rsid w:val="00396A0E"/>
    <w:rsid w:val="003A5EF2"/>
    <w:rsid w:val="003D0960"/>
    <w:rsid w:val="003D2FAD"/>
    <w:rsid w:val="003E48F1"/>
    <w:rsid w:val="003E4A93"/>
    <w:rsid w:val="003F6637"/>
    <w:rsid w:val="003F6B89"/>
    <w:rsid w:val="00423E3E"/>
    <w:rsid w:val="00427AF4"/>
    <w:rsid w:val="00432364"/>
    <w:rsid w:val="00436DA2"/>
    <w:rsid w:val="0045231F"/>
    <w:rsid w:val="004647DA"/>
    <w:rsid w:val="00477808"/>
    <w:rsid w:val="00477D6B"/>
    <w:rsid w:val="00482B96"/>
    <w:rsid w:val="004A4571"/>
    <w:rsid w:val="004A6C37"/>
    <w:rsid w:val="004B43E8"/>
    <w:rsid w:val="004B7EC7"/>
    <w:rsid w:val="004C6C08"/>
    <w:rsid w:val="004C7CBD"/>
    <w:rsid w:val="004E2B03"/>
    <w:rsid w:val="004F1A3C"/>
    <w:rsid w:val="00501EC2"/>
    <w:rsid w:val="005241C3"/>
    <w:rsid w:val="00525B6C"/>
    <w:rsid w:val="00527CBD"/>
    <w:rsid w:val="005332F0"/>
    <w:rsid w:val="005350E3"/>
    <w:rsid w:val="00547985"/>
    <w:rsid w:val="0055013B"/>
    <w:rsid w:val="00565BC6"/>
    <w:rsid w:val="00566A4A"/>
    <w:rsid w:val="00571B99"/>
    <w:rsid w:val="00572446"/>
    <w:rsid w:val="00581648"/>
    <w:rsid w:val="00594F11"/>
    <w:rsid w:val="005B0E07"/>
    <w:rsid w:val="005B109F"/>
    <w:rsid w:val="005B1EAE"/>
    <w:rsid w:val="005B3751"/>
    <w:rsid w:val="005B4F45"/>
    <w:rsid w:val="005B6BFA"/>
    <w:rsid w:val="005C3FFD"/>
    <w:rsid w:val="005E0F74"/>
    <w:rsid w:val="005E2E76"/>
    <w:rsid w:val="005E56D2"/>
    <w:rsid w:val="00605827"/>
    <w:rsid w:val="006111DB"/>
    <w:rsid w:val="00624D88"/>
    <w:rsid w:val="0063657C"/>
    <w:rsid w:val="00640DC6"/>
    <w:rsid w:val="00640DCA"/>
    <w:rsid w:val="00655A2C"/>
    <w:rsid w:val="00660894"/>
    <w:rsid w:val="006628A1"/>
    <w:rsid w:val="00663A64"/>
    <w:rsid w:val="00664485"/>
    <w:rsid w:val="00675021"/>
    <w:rsid w:val="006818AF"/>
    <w:rsid w:val="006914B6"/>
    <w:rsid w:val="006A06C6"/>
    <w:rsid w:val="006A4629"/>
    <w:rsid w:val="006C185F"/>
    <w:rsid w:val="006F04A0"/>
    <w:rsid w:val="0073427D"/>
    <w:rsid w:val="007379EF"/>
    <w:rsid w:val="00770A4E"/>
    <w:rsid w:val="00777B75"/>
    <w:rsid w:val="00794755"/>
    <w:rsid w:val="00794BE2"/>
    <w:rsid w:val="007B71FE"/>
    <w:rsid w:val="007C6D43"/>
    <w:rsid w:val="007D781E"/>
    <w:rsid w:val="007E663E"/>
    <w:rsid w:val="007E69D4"/>
    <w:rsid w:val="007F01F5"/>
    <w:rsid w:val="007F60B7"/>
    <w:rsid w:val="00815082"/>
    <w:rsid w:val="0083169E"/>
    <w:rsid w:val="0086381A"/>
    <w:rsid w:val="008773ED"/>
    <w:rsid w:val="0088373A"/>
    <w:rsid w:val="0088395E"/>
    <w:rsid w:val="008B2CC1"/>
    <w:rsid w:val="008B783A"/>
    <w:rsid w:val="008C4415"/>
    <w:rsid w:val="008D258D"/>
    <w:rsid w:val="008D2DD0"/>
    <w:rsid w:val="008E2DCB"/>
    <w:rsid w:val="008E4DA6"/>
    <w:rsid w:val="008E6BD6"/>
    <w:rsid w:val="008F293B"/>
    <w:rsid w:val="0090731E"/>
    <w:rsid w:val="009233C0"/>
    <w:rsid w:val="00941E24"/>
    <w:rsid w:val="00943107"/>
    <w:rsid w:val="00960AC5"/>
    <w:rsid w:val="00962888"/>
    <w:rsid w:val="00966A22"/>
    <w:rsid w:val="00972F03"/>
    <w:rsid w:val="009914DC"/>
    <w:rsid w:val="009A0C8B"/>
    <w:rsid w:val="009A1591"/>
    <w:rsid w:val="009B02E1"/>
    <w:rsid w:val="009B6241"/>
    <w:rsid w:val="009C3E32"/>
    <w:rsid w:val="009D69C7"/>
    <w:rsid w:val="009E3C4C"/>
    <w:rsid w:val="009E43D9"/>
    <w:rsid w:val="009F34D8"/>
    <w:rsid w:val="00A00F96"/>
    <w:rsid w:val="00A14C70"/>
    <w:rsid w:val="00A16FC0"/>
    <w:rsid w:val="00A22C91"/>
    <w:rsid w:val="00A32C9E"/>
    <w:rsid w:val="00A338BF"/>
    <w:rsid w:val="00A33995"/>
    <w:rsid w:val="00A45432"/>
    <w:rsid w:val="00A52E64"/>
    <w:rsid w:val="00A67564"/>
    <w:rsid w:val="00A93251"/>
    <w:rsid w:val="00A948C0"/>
    <w:rsid w:val="00A9512C"/>
    <w:rsid w:val="00AA0CED"/>
    <w:rsid w:val="00AB613D"/>
    <w:rsid w:val="00AE0C9D"/>
    <w:rsid w:val="00AF64E8"/>
    <w:rsid w:val="00B06429"/>
    <w:rsid w:val="00B13587"/>
    <w:rsid w:val="00B52C92"/>
    <w:rsid w:val="00B65A0A"/>
    <w:rsid w:val="00B70A7C"/>
    <w:rsid w:val="00B72D36"/>
    <w:rsid w:val="00B76218"/>
    <w:rsid w:val="00B97DAB"/>
    <w:rsid w:val="00BB78A5"/>
    <w:rsid w:val="00BC2E0E"/>
    <w:rsid w:val="00BC4164"/>
    <w:rsid w:val="00BD2DCC"/>
    <w:rsid w:val="00C3083B"/>
    <w:rsid w:val="00C645D5"/>
    <w:rsid w:val="00C72551"/>
    <w:rsid w:val="00C732F0"/>
    <w:rsid w:val="00C90559"/>
    <w:rsid w:val="00CB0876"/>
    <w:rsid w:val="00CE4481"/>
    <w:rsid w:val="00CF5C77"/>
    <w:rsid w:val="00CF6CDF"/>
    <w:rsid w:val="00D155E8"/>
    <w:rsid w:val="00D17B41"/>
    <w:rsid w:val="00D43037"/>
    <w:rsid w:val="00D56C7C"/>
    <w:rsid w:val="00D6009E"/>
    <w:rsid w:val="00D71B4D"/>
    <w:rsid w:val="00D87763"/>
    <w:rsid w:val="00D90289"/>
    <w:rsid w:val="00D93D55"/>
    <w:rsid w:val="00DA6D53"/>
    <w:rsid w:val="00DC646C"/>
    <w:rsid w:val="00DD6E2D"/>
    <w:rsid w:val="00DF0CE4"/>
    <w:rsid w:val="00E24B6F"/>
    <w:rsid w:val="00E347F9"/>
    <w:rsid w:val="00E444DA"/>
    <w:rsid w:val="00E456C2"/>
    <w:rsid w:val="00E45C84"/>
    <w:rsid w:val="00E4719E"/>
    <w:rsid w:val="00E504E5"/>
    <w:rsid w:val="00E52C3E"/>
    <w:rsid w:val="00E649B9"/>
    <w:rsid w:val="00EB6D09"/>
    <w:rsid w:val="00EB7A3E"/>
    <w:rsid w:val="00EC401A"/>
    <w:rsid w:val="00EF530A"/>
    <w:rsid w:val="00EF6622"/>
    <w:rsid w:val="00F058A0"/>
    <w:rsid w:val="00F1385D"/>
    <w:rsid w:val="00F21BAB"/>
    <w:rsid w:val="00F55408"/>
    <w:rsid w:val="00F6512C"/>
    <w:rsid w:val="00F66152"/>
    <w:rsid w:val="00F80845"/>
    <w:rsid w:val="00F84474"/>
    <w:rsid w:val="00FA76C2"/>
    <w:rsid w:val="00FB06F6"/>
    <w:rsid w:val="00FB5A6A"/>
    <w:rsid w:val="00FD59D1"/>
    <w:rsid w:val="00FE57C2"/>
    <w:rsid w:val="00FF51F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1660E5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0">
    <w:name w:val="Char 字元 字元"/>
    <w:basedOn w:val="Normal"/>
    <w:rsid w:val="00770A4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76A5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rsid w:val="00396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6A0E"/>
    <w:rPr>
      <w:rFonts w:ascii="Tahoma" w:eastAsia="SimSun" w:hAnsi="Tahoma" w:cs="Tahoma"/>
      <w:sz w:val="16"/>
      <w:szCs w:val="16"/>
      <w:lang w:val="es-ES" w:eastAsia="zh-CN"/>
    </w:rPr>
  </w:style>
  <w:style w:type="character" w:styleId="PlaceholderText">
    <w:name w:val="Placeholder Text"/>
    <w:basedOn w:val="DefaultParagraphFont"/>
    <w:uiPriority w:val="99"/>
    <w:semiHidden/>
    <w:rsid w:val="00E456C2"/>
    <w:rPr>
      <w:color w:val="808080"/>
    </w:rPr>
  </w:style>
  <w:style w:type="paragraph" w:styleId="ListParagraph">
    <w:name w:val="List Paragraph"/>
    <w:basedOn w:val="Normal"/>
    <w:uiPriority w:val="34"/>
    <w:qFormat/>
    <w:rsid w:val="00345CA6"/>
    <w:pPr>
      <w:ind w:left="720"/>
      <w:contextualSpacing/>
    </w:pPr>
  </w:style>
  <w:style w:type="table" w:styleId="TableGrid">
    <w:name w:val="Table Grid"/>
    <w:basedOn w:val="TableNormal"/>
    <w:rsid w:val="00960AC5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Char">
    <w:name w:val="Char 字元 字元"/>
    <w:basedOn w:val="Normal"/>
    <w:rsid w:val="001660E5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0">
    <w:name w:val="Char 字元 字元"/>
    <w:basedOn w:val="Normal"/>
    <w:rsid w:val="00770A4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76A5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rsid w:val="00396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6A0E"/>
    <w:rPr>
      <w:rFonts w:ascii="Tahoma" w:eastAsia="SimSun" w:hAnsi="Tahoma" w:cs="Tahoma"/>
      <w:sz w:val="16"/>
      <w:szCs w:val="16"/>
      <w:lang w:val="es-ES" w:eastAsia="zh-CN"/>
    </w:rPr>
  </w:style>
  <w:style w:type="character" w:styleId="PlaceholderText">
    <w:name w:val="Placeholder Text"/>
    <w:basedOn w:val="DefaultParagraphFont"/>
    <w:uiPriority w:val="99"/>
    <w:semiHidden/>
    <w:rsid w:val="00E456C2"/>
    <w:rPr>
      <w:color w:val="808080"/>
    </w:rPr>
  </w:style>
  <w:style w:type="paragraph" w:styleId="ListParagraph">
    <w:name w:val="List Paragraph"/>
    <w:basedOn w:val="Normal"/>
    <w:uiPriority w:val="34"/>
    <w:qFormat/>
    <w:rsid w:val="00345CA6"/>
    <w:pPr>
      <w:ind w:left="720"/>
      <w:contextualSpacing/>
    </w:pPr>
  </w:style>
  <w:style w:type="table" w:styleId="TableGrid">
    <w:name w:val="Table Grid"/>
    <w:basedOn w:val="TableNormal"/>
    <w:rsid w:val="00960AC5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AE043-421B-4C4E-8754-882F3240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3469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Segundo informe de la Comisión de Verificación de Poderes</vt:lpstr>
    </vt:vector>
  </TitlesOfParts>
  <Company>WIPO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Segundo informe de la Comisión de Verificación de Poderes</dc:title>
  <dc:subject>VIP/DC/7</dc:subject>
  <dc:creator>CEVALLOS</dc:creator>
  <dc:description>KP/nc
22/06/2013</dc:description>
  <cp:lastModifiedBy>COUSIN Raquel</cp:lastModifiedBy>
  <cp:revision>2</cp:revision>
  <cp:lastPrinted>2015-05-16T19:36:00Z</cp:lastPrinted>
  <dcterms:created xsi:type="dcterms:W3CDTF">2015-05-18T07:00:00Z</dcterms:created>
  <dcterms:modified xsi:type="dcterms:W3CDTF">2015-05-18T07:00:00Z</dcterms:modified>
</cp:coreProperties>
</file>