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4363C4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BD01FB" w:rsidP="00A606E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8B75C9" w:rsidP="00FD2070">
            <w:pPr>
              <w:pStyle w:val="DocumentCodeAR"/>
              <w:bidi/>
              <w:rPr>
                <w:rtl/>
              </w:rPr>
            </w:pPr>
            <w:r w:rsidRPr="008B75C9">
              <w:t>LI/DC/</w:t>
            </w:r>
            <w:r w:rsidR="00FD2070">
              <w:t>20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BE057D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BE057D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D2070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8B75C9">
              <w:rPr>
                <w:rFonts w:hint="cs"/>
                <w:rtl/>
              </w:rPr>
              <w:t>2</w:t>
            </w:r>
            <w:r w:rsidR="00FD2070">
              <w:rPr>
                <w:rFonts w:hint="cs"/>
                <w:rtl/>
              </w:rPr>
              <w:t>1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8B75C9">
              <w:rPr>
                <w:rFonts w:hint="cs"/>
                <w:rtl/>
              </w:rPr>
              <w:t>مايو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8B75C9">
              <w:rPr>
                <w:rFonts w:hint="cs"/>
                <w:rtl/>
              </w:rPr>
              <w:t>2015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100F97" w:rsidRDefault="008B75C9" w:rsidP="008B75C9">
      <w:pPr>
        <w:pStyle w:val="MeetingTitleAR"/>
        <w:bidi/>
        <w:ind w:right="550"/>
        <w:rPr>
          <w:rtl/>
        </w:rPr>
      </w:pPr>
      <w:r w:rsidRPr="008B75C9">
        <w:rPr>
          <w:rtl/>
        </w:rPr>
        <w:t>المؤتمر الدبلوماسي المعني باعتماد وثيقة جديدة لاتفاق لشبونة بشأن حماية تسميات المنشأ وتسجيلها على الصعيد الدولي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8B75C9" w:rsidP="008B75C9">
      <w:pPr>
        <w:pStyle w:val="MeetingDatesAR"/>
        <w:bidi/>
        <w:rPr>
          <w:rtl/>
        </w:rPr>
      </w:pPr>
      <w:r w:rsidRPr="008B75C9">
        <w:rPr>
          <w:rFonts w:hint="cs"/>
          <w:rtl/>
        </w:rPr>
        <w:t xml:space="preserve">جنيف، </w:t>
      </w:r>
      <w:proofErr w:type="gramStart"/>
      <w:r w:rsidRPr="008B75C9">
        <w:rPr>
          <w:rFonts w:hint="cs"/>
          <w:rtl/>
        </w:rPr>
        <w:t>من</w:t>
      </w:r>
      <w:proofErr w:type="gramEnd"/>
      <w:r w:rsidRPr="008B75C9">
        <w:rPr>
          <w:rFonts w:hint="cs"/>
          <w:rtl/>
        </w:rPr>
        <w:t xml:space="preserve"> 11 إلى 21 مايو 2015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BE057D" w:rsidP="00FB7EC9">
      <w:pPr>
        <w:pStyle w:val="DocumentTitleAR"/>
        <w:bidi/>
        <w:rPr>
          <w:rtl/>
        </w:rPr>
      </w:pPr>
      <w:proofErr w:type="gramStart"/>
      <w:r>
        <w:rPr>
          <w:rFonts w:hint="cs"/>
          <w:rtl/>
        </w:rPr>
        <w:t>الوثيقة</w:t>
      </w:r>
      <w:proofErr w:type="gramEnd"/>
      <w:r>
        <w:rPr>
          <w:rFonts w:hint="cs"/>
          <w:rtl/>
        </w:rPr>
        <w:t xml:space="preserve"> الختامية</w:t>
      </w:r>
    </w:p>
    <w:p w:rsidR="00D61541" w:rsidRPr="00D61541" w:rsidRDefault="00FD2070" w:rsidP="00931859">
      <w:pPr>
        <w:pStyle w:val="PreparedbyAR"/>
        <w:bidi/>
        <w:rPr>
          <w:rtl/>
        </w:rPr>
      </w:pPr>
      <w:r>
        <w:rPr>
          <w:rFonts w:hint="cs"/>
          <w:rtl/>
        </w:rPr>
        <w:t>التي اعتمدها المؤتمر الدبلوماسي في 20 مايو 2015</w:t>
      </w:r>
    </w:p>
    <w:p w:rsidR="00BE057D" w:rsidRDefault="00BE057D" w:rsidP="00FD2070">
      <w:pPr>
        <w:pStyle w:val="NormalParaAR"/>
        <w:rPr>
          <w:rtl/>
        </w:rPr>
      </w:pPr>
      <w:r w:rsidRPr="00A606E9">
        <w:rPr>
          <w:rtl/>
        </w:rPr>
        <w:t>وفقا للقرار ال</w:t>
      </w:r>
      <w:r w:rsidRPr="00A606E9">
        <w:rPr>
          <w:rFonts w:hint="cs"/>
          <w:rtl/>
        </w:rPr>
        <w:t>ذ</w:t>
      </w:r>
      <w:r w:rsidRPr="00A606E9">
        <w:rPr>
          <w:rtl/>
        </w:rPr>
        <w:t>ي اتخذ</w:t>
      </w:r>
      <w:r w:rsidR="008B75C9">
        <w:rPr>
          <w:rFonts w:hint="cs"/>
          <w:rtl/>
        </w:rPr>
        <w:t>ت</w:t>
      </w:r>
      <w:r w:rsidRPr="00A606E9">
        <w:rPr>
          <w:rtl/>
        </w:rPr>
        <w:t>ه جمعي</w:t>
      </w:r>
      <w:r w:rsidRPr="00A606E9">
        <w:rPr>
          <w:rFonts w:hint="cs"/>
          <w:rtl/>
        </w:rPr>
        <w:t xml:space="preserve">ة </w:t>
      </w:r>
      <w:r w:rsidR="008B75C9">
        <w:rPr>
          <w:rFonts w:hint="cs"/>
          <w:rtl/>
        </w:rPr>
        <w:t>اتحاد لشبونة</w:t>
      </w:r>
      <w:r w:rsidRPr="00A606E9">
        <w:rPr>
          <w:rtl/>
        </w:rPr>
        <w:t xml:space="preserve"> في </w:t>
      </w:r>
      <w:r w:rsidR="00A606E9" w:rsidRPr="00A606E9">
        <w:rPr>
          <w:rFonts w:hint="cs"/>
          <w:rtl/>
        </w:rPr>
        <w:t xml:space="preserve">دورتها </w:t>
      </w:r>
      <w:r w:rsidR="008B75C9">
        <w:rPr>
          <w:rFonts w:hint="cs"/>
          <w:rtl/>
        </w:rPr>
        <w:t>التاسعة والعشرين</w:t>
      </w:r>
      <w:r w:rsidRPr="00A606E9">
        <w:rPr>
          <w:rtl/>
        </w:rPr>
        <w:t xml:space="preserve"> </w:t>
      </w:r>
      <w:r w:rsidRPr="00A606E9">
        <w:rPr>
          <w:rFonts w:hint="cs"/>
          <w:rtl/>
        </w:rPr>
        <w:t xml:space="preserve">(دورتها </w:t>
      </w:r>
      <w:r w:rsidR="008B75C9">
        <w:rPr>
          <w:rFonts w:hint="cs"/>
          <w:rtl/>
        </w:rPr>
        <w:t>العادية</w:t>
      </w:r>
      <w:r w:rsidRPr="00A606E9">
        <w:rPr>
          <w:rFonts w:hint="cs"/>
          <w:rtl/>
        </w:rPr>
        <w:t xml:space="preserve"> العشرين) </w:t>
      </w:r>
      <w:r w:rsidRPr="00A606E9">
        <w:rPr>
          <w:rtl/>
        </w:rPr>
        <w:t xml:space="preserve">في </w:t>
      </w:r>
      <w:r w:rsidR="008B75C9">
        <w:rPr>
          <w:rFonts w:hint="cs"/>
          <w:rtl/>
        </w:rPr>
        <w:t>سبتمبر</w:t>
      </w:r>
      <w:r w:rsidRPr="00A606E9">
        <w:rPr>
          <w:rFonts w:hint="cs"/>
          <w:rtl/>
        </w:rPr>
        <w:t xml:space="preserve"> </w:t>
      </w:r>
      <w:r w:rsidR="008B75C9">
        <w:rPr>
          <w:rFonts w:hint="cs"/>
          <w:rtl/>
        </w:rPr>
        <w:t>2013</w:t>
      </w:r>
      <w:r w:rsidRPr="00A606E9">
        <w:rPr>
          <w:rtl/>
        </w:rPr>
        <w:t xml:space="preserve"> </w:t>
      </w:r>
      <w:r w:rsidRPr="00A606E9">
        <w:rPr>
          <w:rFonts w:hint="cs"/>
          <w:rtl/>
        </w:rPr>
        <w:t>ب</w:t>
      </w:r>
      <w:r w:rsidR="00A606E9" w:rsidRPr="00A606E9">
        <w:rPr>
          <w:rFonts w:hint="cs"/>
          <w:rtl/>
        </w:rPr>
        <w:t xml:space="preserve">الدعوة إلى </w:t>
      </w:r>
      <w:r w:rsidRPr="00A606E9">
        <w:rPr>
          <w:rFonts w:hint="cs"/>
          <w:rtl/>
        </w:rPr>
        <w:t xml:space="preserve">عقد مؤتمر دبلوماسي في </w:t>
      </w:r>
      <w:r w:rsidR="008B75C9">
        <w:rPr>
          <w:rFonts w:hint="cs"/>
          <w:rtl/>
        </w:rPr>
        <w:t>2015</w:t>
      </w:r>
      <w:r w:rsidRPr="00A606E9">
        <w:rPr>
          <w:rFonts w:hint="cs"/>
          <w:rtl/>
        </w:rPr>
        <w:t xml:space="preserve">، </w:t>
      </w:r>
      <w:r w:rsidRPr="00A606E9">
        <w:rPr>
          <w:rtl/>
        </w:rPr>
        <w:t xml:space="preserve">وبعد الترتيبات التي </w:t>
      </w:r>
      <w:r w:rsidR="00A606E9" w:rsidRPr="00A606E9">
        <w:rPr>
          <w:rFonts w:hint="cs"/>
          <w:rtl/>
        </w:rPr>
        <w:t xml:space="preserve">أجرتها </w:t>
      </w:r>
      <w:r w:rsidRPr="00A606E9">
        <w:rPr>
          <w:rFonts w:hint="cs"/>
          <w:rtl/>
        </w:rPr>
        <w:t xml:space="preserve">اللجنة التحضيرية للمؤتمر المذكور </w:t>
      </w:r>
      <w:r w:rsidR="00FD2070">
        <w:rPr>
          <w:rFonts w:hint="cs"/>
          <w:rtl/>
        </w:rPr>
        <w:t>والمنظمة العالمية للملكية الفكرية (</w:t>
      </w:r>
      <w:r w:rsidRPr="00A606E9">
        <w:rPr>
          <w:rtl/>
        </w:rPr>
        <w:t>الويبو</w:t>
      </w:r>
      <w:r w:rsidR="00FD2070">
        <w:rPr>
          <w:rFonts w:hint="cs"/>
          <w:rtl/>
        </w:rPr>
        <w:t>)</w:t>
      </w:r>
      <w:r w:rsidR="00A606E9" w:rsidRPr="00A606E9">
        <w:rPr>
          <w:rFonts w:hint="cs"/>
          <w:rtl/>
        </w:rPr>
        <w:t xml:space="preserve">، </w:t>
      </w:r>
      <w:r w:rsidRPr="00A606E9">
        <w:rPr>
          <w:rtl/>
        </w:rPr>
        <w:t xml:space="preserve">دعت </w:t>
      </w:r>
      <w:r w:rsidRPr="00A606E9">
        <w:rPr>
          <w:rFonts w:hint="cs"/>
          <w:rtl/>
        </w:rPr>
        <w:t xml:space="preserve">الويبو </w:t>
      </w:r>
      <w:r w:rsidRPr="00A606E9">
        <w:rPr>
          <w:rtl/>
        </w:rPr>
        <w:t xml:space="preserve">إلى عقد </w:t>
      </w:r>
      <w:r w:rsidR="008B75C9" w:rsidRPr="008B75C9">
        <w:rPr>
          <w:rtl/>
        </w:rPr>
        <w:t>المؤتمر الدبلوماسي المعني باعتماد وثيقة جديدة لاتفاق لشبونة بشأن حماية تسميات المنشأ وتسجيلها على الصعيد الدولي</w:t>
      </w:r>
      <w:r w:rsidR="00A606E9" w:rsidRPr="00A606E9">
        <w:rPr>
          <w:rFonts w:hint="cs"/>
          <w:rtl/>
        </w:rPr>
        <w:t>،</w:t>
      </w:r>
      <w:r w:rsidR="00A606E9" w:rsidRPr="00A606E9">
        <w:rPr>
          <w:rtl/>
        </w:rPr>
        <w:t xml:space="preserve"> </w:t>
      </w:r>
      <w:r w:rsidRPr="00A606E9">
        <w:rPr>
          <w:rtl/>
        </w:rPr>
        <w:t>وع</w:t>
      </w:r>
      <w:r w:rsidRPr="00A606E9">
        <w:rPr>
          <w:rFonts w:hint="cs"/>
          <w:rtl/>
        </w:rPr>
        <w:t>ُ</w:t>
      </w:r>
      <w:r w:rsidRPr="00A606E9">
        <w:rPr>
          <w:rtl/>
        </w:rPr>
        <w:t xml:space="preserve">قد المؤتمر </w:t>
      </w:r>
      <w:r w:rsidRPr="00A606E9">
        <w:rPr>
          <w:rFonts w:hint="cs"/>
          <w:rtl/>
        </w:rPr>
        <w:t xml:space="preserve">في </w:t>
      </w:r>
      <w:r w:rsidR="008B75C9">
        <w:rPr>
          <w:rFonts w:hint="cs"/>
          <w:rtl/>
        </w:rPr>
        <w:t>جنيف</w:t>
      </w:r>
      <w:r w:rsidRPr="00A606E9">
        <w:rPr>
          <w:rFonts w:hint="cs"/>
          <w:rtl/>
        </w:rPr>
        <w:t xml:space="preserve"> من </w:t>
      </w:r>
      <w:r w:rsidR="008B75C9">
        <w:rPr>
          <w:rFonts w:hint="cs"/>
          <w:rtl/>
        </w:rPr>
        <w:t>11</w:t>
      </w:r>
      <w:r w:rsidRPr="00A606E9">
        <w:rPr>
          <w:rFonts w:hint="cs"/>
          <w:rtl/>
        </w:rPr>
        <w:t xml:space="preserve"> إلى </w:t>
      </w:r>
      <w:r w:rsidR="008B75C9">
        <w:rPr>
          <w:rFonts w:hint="cs"/>
          <w:rtl/>
        </w:rPr>
        <w:t>21</w:t>
      </w:r>
      <w:r w:rsidRPr="00A606E9">
        <w:rPr>
          <w:rFonts w:hint="cs"/>
          <w:rtl/>
        </w:rPr>
        <w:t xml:space="preserve"> </w:t>
      </w:r>
      <w:r w:rsidR="008B75C9">
        <w:rPr>
          <w:rFonts w:hint="cs"/>
          <w:rtl/>
        </w:rPr>
        <w:t>مايو</w:t>
      </w:r>
      <w:r w:rsidRPr="00A606E9">
        <w:rPr>
          <w:rFonts w:hint="cs"/>
          <w:rtl/>
        </w:rPr>
        <w:t xml:space="preserve"> </w:t>
      </w:r>
      <w:r w:rsidR="008B75C9">
        <w:rPr>
          <w:rFonts w:hint="cs"/>
          <w:rtl/>
        </w:rPr>
        <w:t>2015</w:t>
      </w:r>
      <w:r w:rsidRPr="00A606E9">
        <w:rPr>
          <w:rtl/>
        </w:rPr>
        <w:t>.</w:t>
      </w:r>
    </w:p>
    <w:p w:rsidR="00BE057D" w:rsidRPr="00011AD6" w:rsidRDefault="00BE057D" w:rsidP="00FD2070">
      <w:pPr>
        <w:pStyle w:val="NormalParaAR"/>
        <w:rPr>
          <w:rtl/>
        </w:rPr>
      </w:pPr>
      <w:r w:rsidRPr="00011AD6">
        <w:rPr>
          <w:rtl/>
        </w:rPr>
        <w:t>و</w:t>
      </w:r>
      <w:r w:rsidRPr="00011AD6">
        <w:rPr>
          <w:rFonts w:hint="cs"/>
          <w:rtl/>
        </w:rPr>
        <w:t xml:space="preserve">اعتمد المؤتمر الدبلوماسي، </w:t>
      </w:r>
      <w:r w:rsidRPr="00011AD6">
        <w:rPr>
          <w:rtl/>
        </w:rPr>
        <w:t xml:space="preserve">في </w:t>
      </w:r>
      <w:r w:rsidR="00764B4A">
        <w:rPr>
          <w:rFonts w:hint="cs"/>
          <w:rtl/>
        </w:rPr>
        <w:t>20</w:t>
      </w:r>
      <w:r w:rsidRPr="00011AD6">
        <w:rPr>
          <w:rFonts w:hint="cs"/>
          <w:rtl/>
        </w:rPr>
        <w:t xml:space="preserve"> </w:t>
      </w:r>
      <w:r w:rsidR="00764B4A">
        <w:rPr>
          <w:rFonts w:hint="cs"/>
          <w:rtl/>
        </w:rPr>
        <w:t>مايو</w:t>
      </w:r>
      <w:r w:rsidRPr="00011AD6">
        <w:rPr>
          <w:rFonts w:hint="cs"/>
          <w:rtl/>
        </w:rPr>
        <w:t xml:space="preserve"> </w:t>
      </w:r>
      <w:r w:rsidR="00764B4A">
        <w:rPr>
          <w:rFonts w:hint="cs"/>
          <w:rtl/>
        </w:rPr>
        <w:t>2015</w:t>
      </w:r>
      <w:r w:rsidRPr="00011AD6">
        <w:rPr>
          <w:rtl/>
        </w:rPr>
        <w:t xml:space="preserve">، </w:t>
      </w:r>
      <w:r w:rsidR="00764B4A">
        <w:rPr>
          <w:rFonts w:hint="cs"/>
          <w:rtl/>
        </w:rPr>
        <w:t xml:space="preserve">وثيقة جنيف </w:t>
      </w:r>
      <w:r w:rsidR="00764B4A" w:rsidRPr="00764B4A">
        <w:rPr>
          <w:rtl/>
        </w:rPr>
        <w:t xml:space="preserve">لاتفاق لشبونة بشأن تسميات المنشأ </w:t>
      </w:r>
      <w:r w:rsidR="00764B4A">
        <w:rPr>
          <w:rFonts w:hint="cs"/>
          <w:rtl/>
        </w:rPr>
        <w:t>والبيانات الجغرافية.</w:t>
      </w:r>
      <w:r w:rsidR="00A70ED4" w:rsidRPr="00011AD6">
        <w:rPr>
          <w:rFonts w:hint="cs"/>
          <w:rtl/>
        </w:rPr>
        <w:t xml:space="preserve"> </w:t>
      </w:r>
      <w:r w:rsidR="00D57EF7" w:rsidRPr="00011AD6">
        <w:rPr>
          <w:rFonts w:hint="cs"/>
          <w:rtl/>
        </w:rPr>
        <w:t>وأتيحت</w:t>
      </w:r>
      <w:r w:rsidR="00764B4A">
        <w:rPr>
          <w:rFonts w:hint="cs"/>
          <w:rtl/>
        </w:rPr>
        <w:t xml:space="preserve"> الوثيقة </w:t>
      </w:r>
      <w:r w:rsidR="00D57EF7" w:rsidRPr="00011AD6">
        <w:rPr>
          <w:rFonts w:hint="cs"/>
          <w:rtl/>
        </w:rPr>
        <w:t>المذكورة</w:t>
      </w:r>
      <w:r w:rsidRPr="00011AD6">
        <w:rPr>
          <w:rFonts w:hint="cs"/>
          <w:rtl/>
        </w:rPr>
        <w:t xml:space="preserve"> </w:t>
      </w:r>
      <w:r w:rsidRPr="00011AD6">
        <w:rPr>
          <w:rtl/>
        </w:rPr>
        <w:t xml:space="preserve">للتوقيع في </w:t>
      </w:r>
      <w:r w:rsidR="00764B4A">
        <w:rPr>
          <w:rFonts w:hint="cs"/>
          <w:rtl/>
        </w:rPr>
        <w:t>21</w:t>
      </w:r>
      <w:r w:rsidRPr="00011AD6">
        <w:rPr>
          <w:rFonts w:hint="eastAsia"/>
          <w:rtl/>
        </w:rPr>
        <w:t> </w:t>
      </w:r>
      <w:r w:rsidR="00764B4A">
        <w:rPr>
          <w:rFonts w:hint="cs"/>
          <w:rtl/>
        </w:rPr>
        <w:t>مايو</w:t>
      </w:r>
      <w:r w:rsidRPr="00011AD6">
        <w:rPr>
          <w:rFonts w:hint="cs"/>
          <w:rtl/>
        </w:rPr>
        <w:t xml:space="preserve"> </w:t>
      </w:r>
      <w:r w:rsidR="00764B4A">
        <w:rPr>
          <w:rFonts w:hint="cs"/>
          <w:rtl/>
        </w:rPr>
        <w:t>2015</w:t>
      </w:r>
      <w:r w:rsidRPr="00011AD6">
        <w:rPr>
          <w:rFonts w:hint="cs"/>
          <w:rtl/>
        </w:rPr>
        <w:t>.</w:t>
      </w:r>
    </w:p>
    <w:p w:rsidR="00BE057D" w:rsidRDefault="00BE057D" w:rsidP="00FD2070">
      <w:pPr>
        <w:pStyle w:val="NormalParaAR"/>
        <w:rPr>
          <w:rtl/>
        </w:rPr>
      </w:pPr>
      <w:proofErr w:type="gramStart"/>
      <w:r w:rsidRPr="005A127A">
        <w:rPr>
          <w:b/>
          <w:bCs/>
          <w:rtl/>
        </w:rPr>
        <w:t>وإثباتا</w:t>
      </w:r>
      <w:proofErr w:type="gramEnd"/>
      <w:r w:rsidRPr="005A127A">
        <w:rPr>
          <w:b/>
          <w:bCs/>
          <w:rtl/>
        </w:rPr>
        <w:t xml:space="preserve"> </w:t>
      </w:r>
      <w:r w:rsidR="000F7967">
        <w:rPr>
          <w:rFonts w:hint="cs"/>
          <w:b/>
          <w:bCs/>
          <w:rtl/>
        </w:rPr>
        <w:t>عليه</w:t>
      </w:r>
      <w:r>
        <w:rPr>
          <w:rtl/>
        </w:rPr>
        <w:t>، وقّع الموقعون أدناه</w:t>
      </w:r>
      <w:r>
        <w:rPr>
          <w:rFonts w:hint="cs"/>
          <w:rtl/>
        </w:rPr>
        <w:t>،</w:t>
      </w:r>
      <w:r>
        <w:rPr>
          <w:rtl/>
        </w:rPr>
        <w:t xml:space="preserve"> المصرح لهم حسب الأصول</w:t>
      </w:r>
      <w:r>
        <w:rPr>
          <w:rFonts w:hint="cs"/>
          <w:rtl/>
        </w:rPr>
        <w:t>،</w:t>
      </w:r>
      <w:r>
        <w:rPr>
          <w:rtl/>
        </w:rPr>
        <w:t xml:space="preserve"> هذه الوثيقة الختامية في </w:t>
      </w:r>
      <w:r w:rsidR="00764B4A">
        <w:rPr>
          <w:rFonts w:hint="cs"/>
          <w:rtl/>
        </w:rPr>
        <w:t>جنيف</w:t>
      </w:r>
      <w:r>
        <w:rPr>
          <w:rFonts w:hint="cs"/>
          <w:rtl/>
        </w:rPr>
        <w:t xml:space="preserve"> في </w:t>
      </w:r>
      <w:r w:rsidR="00764B4A">
        <w:rPr>
          <w:rFonts w:hint="cs"/>
          <w:rtl/>
        </w:rPr>
        <w:t>21</w:t>
      </w:r>
      <w:r>
        <w:rPr>
          <w:rFonts w:hint="cs"/>
          <w:rtl/>
        </w:rPr>
        <w:t xml:space="preserve"> </w:t>
      </w:r>
      <w:r w:rsidR="00764B4A">
        <w:rPr>
          <w:rFonts w:hint="cs"/>
          <w:rtl/>
        </w:rPr>
        <w:t>مايو</w:t>
      </w:r>
      <w:r>
        <w:rPr>
          <w:rFonts w:hint="cs"/>
          <w:rtl/>
        </w:rPr>
        <w:t xml:space="preserve"> </w:t>
      </w:r>
      <w:r w:rsidR="00764B4A">
        <w:rPr>
          <w:rFonts w:hint="cs"/>
          <w:rtl/>
        </w:rPr>
        <w:t>2015</w:t>
      </w:r>
      <w:r>
        <w:rPr>
          <w:rtl/>
        </w:rPr>
        <w:t>:</w:t>
      </w:r>
    </w:p>
    <w:p w:rsidR="00BE057D" w:rsidRDefault="00FD2070" w:rsidP="00FD2070">
      <w:pPr>
        <w:pStyle w:val="NormalParaAR"/>
        <w:ind w:left="566"/>
        <w:rPr>
          <w:rtl/>
        </w:rPr>
      </w:pPr>
      <w:r>
        <w:rPr>
          <w:rFonts w:hint="cs"/>
          <w:rtl/>
        </w:rPr>
        <w:t>الجزائر، أنغولا، بنن، البوسنة والهرسك، بلغاريا، ب</w:t>
      </w:r>
      <w:r w:rsidR="00C80E41">
        <w:rPr>
          <w:rFonts w:hint="cs"/>
          <w:rtl/>
        </w:rPr>
        <w:t>وركينا فاص</w:t>
      </w:r>
      <w:r>
        <w:rPr>
          <w:rFonts w:hint="cs"/>
          <w:rtl/>
        </w:rPr>
        <w:t xml:space="preserve">و، الكاميرون، الصين، كولومبيا، الكونغو، كوستا ريكا، كوت ديفوار، كرواتيا، كوبا، الجمهورية التشيكية، جمهورية الكونغو الديمقراطية، جمهورية كوريا الشعبية الديمقراطية، الدانمرك، فنلندا، فرنسا، غابون، جورجيا، ألمانيا، اليونان، هايتي، هنغاريا، إيران (جمهورية - الإسلامية)، إسرائيل، إيطاليا، لاتفيا، ليتوانيا، لكسمبرغ، مالي، المكسيك، الجبل الأسود، المغرب، موزمبيق، هولندا، </w:t>
      </w:r>
      <w:r w:rsidR="00797C45">
        <w:rPr>
          <w:rFonts w:hint="cs"/>
          <w:rtl/>
        </w:rPr>
        <w:t>نيكاراغوا، عُمان، بيرو، البرتغال، جمهورية مولدوفا، رومانيا، الاتحاد الروسي، السنغال، صربيا، سلوفاكيا، إسبانيا، سويسرا، توغو، تونس، المنظمة الأفريقية للملكية الفكرية، الاتحاد الأوروبي (54)</w:t>
      </w:r>
    </w:p>
    <w:p w:rsidR="00BE057D" w:rsidRDefault="00BE057D" w:rsidP="00FD2070">
      <w:pPr>
        <w:pStyle w:val="NormalParaAR"/>
        <w:rPr>
          <w:rtl/>
        </w:rPr>
      </w:pPr>
      <w:bookmarkStart w:id="2" w:name="_GoBack"/>
      <w:bookmarkEnd w:id="2"/>
    </w:p>
    <w:p w:rsidR="00797C45" w:rsidRPr="00797C45" w:rsidRDefault="00797C45" w:rsidP="006E3FA6">
      <w:pPr>
        <w:pStyle w:val="EndofDocumentAR"/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sectPr w:rsidR="00797C45" w:rsidRPr="00797C45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1FB" w:rsidRDefault="00BD01FB">
      <w:r>
        <w:separator/>
      </w:r>
    </w:p>
  </w:endnote>
  <w:endnote w:type="continuationSeparator" w:id="0">
    <w:p w:rsidR="00BD01FB" w:rsidRDefault="00BD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1FB" w:rsidRDefault="00BD01FB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D01FB" w:rsidRDefault="00BD01FB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797C45" w:rsidP="00797C45">
    <w:r>
      <w:t>LI</w:t>
    </w:r>
    <w:r w:rsidR="002D7D25">
      <w:t>/</w:t>
    </w:r>
    <w:r w:rsidR="00824267">
      <w:t>DC</w:t>
    </w:r>
    <w:r w:rsidR="002F77FC">
      <w:t>/</w:t>
    </w:r>
    <w:r>
      <w:t>20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6E3FA6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FB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1AD6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0F7967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2D3"/>
    <w:rsid w:val="001C2933"/>
    <w:rsid w:val="001C5EEE"/>
    <w:rsid w:val="001C6A73"/>
    <w:rsid w:val="001C73C2"/>
    <w:rsid w:val="001C7B4E"/>
    <w:rsid w:val="001D0474"/>
    <w:rsid w:val="001D141D"/>
    <w:rsid w:val="001D1EBD"/>
    <w:rsid w:val="001D2184"/>
    <w:rsid w:val="001D24F3"/>
    <w:rsid w:val="001D2678"/>
    <w:rsid w:val="001D2DC4"/>
    <w:rsid w:val="001D4A28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220E"/>
    <w:rsid w:val="001F3A75"/>
    <w:rsid w:val="001F3A9D"/>
    <w:rsid w:val="001F3FDB"/>
    <w:rsid w:val="001F42E5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57D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D25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363C4"/>
    <w:rsid w:val="004406BD"/>
    <w:rsid w:val="00442FBE"/>
    <w:rsid w:val="004433B1"/>
    <w:rsid w:val="00443571"/>
    <w:rsid w:val="004444E3"/>
    <w:rsid w:val="004447FD"/>
    <w:rsid w:val="00445032"/>
    <w:rsid w:val="004450CB"/>
    <w:rsid w:val="004458F2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1C3C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A97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0B43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725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1F2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4AB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3FA6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56B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3ED8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4B4A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2F9"/>
    <w:rsid w:val="00783D11"/>
    <w:rsid w:val="00785E46"/>
    <w:rsid w:val="00787917"/>
    <w:rsid w:val="00791489"/>
    <w:rsid w:val="00791683"/>
    <w:rsid w:val="00792F0C"/>
    <w:rsid w:val="00795460"/>
    <w:rsid w:val="00796CF7"/>
    <w:rsid w:val="00797C45"/>
    <w:rsid w:val="007A0313"/>
    <w:rsid w:val="007A0A83"/>
    <w:rsid w:val="007A4BB3"/>
    <w:rsid w:val="007A6307"/>
    <w:rsid w:val="007A6822"/>
    <w:rsid w:val="007A6B7D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D7975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267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5C9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1687F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06E9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0ED4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59F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1FE0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0BD"/>
    <w:rsid w:val="00AF6318"/>
    <w:rsid w:val="00B0072E"/>
    <w:rsid w:val="00B03B63"/>
    <w:rsid w:val="00B04C8F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426D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1FB"/>
    <w:rsid w:val="00BD07A2"/>
    <w:rsid w:val="00BD2603"/>
    <w:rsid w:val="00BD4EEC"/>
    <w:rsid w:val="00BD4F34"/>
    <w:rsid w:val="00BD537C"/>
    <w:rsid w:val="00BD6F5B"/>
    <w:rsid w:val="00BD7662"/>
    <w:rsid w:val="00BE057D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135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0E41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015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579F8"/>
    <w:rsid w:val="00D57EF7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3E03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0CE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2E8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4644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070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BE0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0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BE0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0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AHMIDOUCH Noureddine</dc:creator>
  <cp:lastModifiedBy>YOUSSEF Randa</cp:lastModifiedBy>
  <cp:revision>13</cp:revision>
  <cp:lastPrinted>2015-05-26T08:52:00Z</cp:lastPrinted>
  <dcterms:created xsi:type="dcterms:W3CDTF">2015-05-20T11:14:00Z</dcterms:created>
  <dcterms:modified xsi:type="dcterms:W3CDTF">2015-05-26T08:52:00Z</dcterms:modified>
</cp:coreProperties>
</file>