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0D" w:rsidRPr="00DD5257" w:rsidRDefault="00DD5257" w:rsidP="00BA08CB">
      <w:pPr>
        <w:pStyle w:val="Heading1"/>
        <w:overflowPunct w:val="0"/>
        <w:spacing w:before="0" w:afterLines="50" w:after="120" w:line="340" w:lineRule="atLeast"/>
        <w:jc w:val="both"/>
        <w:rPr>
          <w:rFonts w:ascii="SimHei" w:eastAsia="SimHei" w:hAnsi="SimHei"/>
          <w:b w:val="0"/>
          <w:sz w:val="21"/>
          <w:szCs w:val="21"/>
        </w:rPr>
      </w:pPr>
      <w:r w:rsidRPr="00DD5257">
        <w:rPr>
          <w:rFonts w:ascii="SimHei" w:eastAsia="SimHei" w:hAnsi="SimHei" w:hint="eastAsia"/>
          <w:b w:val="0"/>
          <w:sz w:val="21"/>
          <w:szCs w:val="21"/>
        </w:rPr>
        <w:t>为WIPO标准ST.25向ST.26的过渡规定制定的建议</w:t>
      </w:r>
    </w:p>
    <w:p w:rsidR="00B1270D" w:rsidRDefault="0053220F" w:rsidP="0053220F">
      <w:pPr>
        <w:pStyle w:val="ONUME"/>
        <w:tabs>
          <w:tab w:val="num" w:pos="2007"/>
        </w:tabs>
        <w:spacing w:before="240" w:afterLines="50" w:after="120" w:line="340" w:lineRule="atLeast"/>
        <w:jc w:val="both"/>
        <w:rPr>
          <w:rFonts w:ascii="KaiTi" w:eastAsia="KaiTi" w:hAnsi="KaiTi"/>
          <w:sz w:val="21"/>
        </w:rPr>
      </w:pPr>
      <w:r>
        <w:rPr>
          <w:rFonts w:ascii="KaiTi" w:eastAsia="KaiTi" w:hAnsi="KaiTi" w:hint="eastAsia"/>
          <w:sz w:val="21"/>
        </w:rPr>
        <w:t>欧洲专利局编拟</w:t>
      </w:r>
    </w:p>
    <w:p w:rsidR="00DD5257" w:rsidRPr="003F63FB" w:rsidRDefault="00DD5257" w:rsidP="00BA08CB">
      <w:pPr>
        <w:pStyle w:val="Heading2"/>
        <w:rPr>
          <w:rFonts w:ascii="SimHei" w:eastAsia="SimHei" w:hAnsi="SimHei"/>
          <w:b w:val="0"/>
        </w:rPr>
      </w:pPr>
      <w:r w:rsidRPr="003F63FB">
        <w:rPr>
          <w:rFonts w:ascii="SimHei" w:eastAsia="SimHei" w:hAnsi="SimHei" w:hint="eastAsia"/>
          <w:b w:val="0"/>
        </w:rPr>
        <w:t>背</w:t>
      </w:r>
      <w:r w:rsidR="00BA08CB" w:rsidRPr="003F63FB">
        <w:rPr>
          <w:rFonts w:ascii="SimHei" w:eastAsia="SimHei" w:hAnsi="SimHei" w:hint="eastAsia"/>
          <w:b w:val="0"/>
        </w:rPr>
        <w:t xml:space="preserve">　</w:t>
      </w:r>
      <w:r w:rsidRPr="003F63FB">
        <w:rPr>
          <w:rFonts w:ascii="SimHei" w:eastAsia="SimHei" w:hAnsi="SimHei" w:hint="eastAsia"/>
          <w:b w:val="0"/>
        </w:rPr>
        <w:t>景</w:t>
      </w:r>
    </w:p>
    <w:p w:rsidR="006D70A1" w:rsidRPr="001539FC" w:rsidRDefault="006D70A1" w:rsidP="00BA08CB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1539FC">
        <w:rPr>
          <w:rFonts w:asciiTheme="minorEastAsia" w:eastAsiaTheme="minorEastAsia" w:hAnsiTheme="minorEastAsia" w:hint="eastAsia"/>
          <w:sz w:val="21"/>
          <w:szCs w:val="21"/>
        </w:rPr>
        <w:t>WIPO标准委员会要求序列表工作队提交关于WIPO标准ST.25向ST.26的过渡规定的提案，供其2017年举行的会议审议和批准。在标准委员会2016年通过标准ST.26后，工作队以过渡事宜（ST.25向ST.26）为重点开展了一轮讨论。</w:t>
      </w:r>
    </w:p>
    <w:p w:rsidR="006D70A1" w:rsidRPr="001539FC" w:rsidRDefault="006D70A1" w:rsidP="00BA08CB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 w:rsidRPr="001539FC">
        <w:rPr>
          <w:rFonts w:asciiTheme="minorEastAsia" w:eastAsiaTheme="minorEastAsia" w:hAnsiTheme="minorEastAsia" w:hint="eastAsia"/>
          <w:sz w:val="21"/>
          <w:szCs w:val="21"/>
        </w:rPr>
        <w:t>考虑到WIPO标准ST.25向ST.26过渡对于《专利合作条约》（PCT）的意义，</w:t>
      </w:r>
      <w:r w:rsidR="00F91044" w:rsidRPr="001539FC">
        <w:rPr>
          <w:rFonts w:asciiTheme="minorEastAsia" w:eastAsiaTheme="minorEastAsia" w:hAnsiTheme="minorEastAsia" w:hint="eastAsia"/>
          <w:sz w:val="21"/>
          <w:szCs w:val="21"/>
        </w:rPr>
        <w:t>工作队请国际局向PCT成员征询，为其工作提供输入意见。国际局于是发出了</w:t>
      </w:r>
      <w:r w:rsidR="00F91044" w:rsidRPr="001539FC">
        <w:rPr>
          <w:rFonts w:asciiTheme="minorEastAsia" w:eastAsiaTheme="minorEastAsia" w:hAnsiTheme="minorEastAsia"/>
          <w:sz w:val="21"/>
          <w:szCs w:val="21"/>
        </w:rPr>
        <w:t>C. PCT 1485/C. CWS 75</w:t>
      </w:r>
      <w:r w:rsidR="00F91044" w:rsidRPr="001539FC">
        <w:rPr>
          <w:rFonts w:asciiTheme="minorEastAsia" w:eastAsiaTheme="minorEastAsia" w:hAnsiTheme="minorEastAsia" w:hint="eastAsia"/>
          <w:sz w:val="21"/>
          <w:szCs w:val="21"/>
        </w:rPr>
        <w:t>号通函。国际局将通函答复逐一与工作队共享，并在2017年2月的PCT国际单位会议上提交了对通函答复中反馈意见的分析。工作队成员也通过几次WebEx会议并在其电子论坛上讨论了过渡事宜。</w:t>
      </w:r>
    </w:p>
    <w:p w:rsidR="00DD5257" w:rsidRPr="003F63FB" w:rsidRDefault="00F91044" w:rsidP="00BA08CB">
      <w:pPr>
        <w:pStyle w:val="Heading2"/>
        <w:rPr>
          <w:rFonts w:ascii="SimHei" w:eastAsia="SimHei" w:hAnsi="SimHei"/>
          <w:b w:val="0"/>
        </w:rPr>
      </w:pPr>
      <w:r w:rsidRPr="003F63FB">
        <w:rPr>
          <w:rFonts w:ascii="SimHei" w:eastAsia="SimHei" w:hAnsi="SimHei" w:hint="eastAsia"/>
          <w:b w:val="0"/>
        </w:rPr>
        <w:t>工作队的建议</w:t>
      </w:r>
    </w:p>
    <w:p w:rsidR="00DD5257" w:rsidRDefault="009E688C" w:rsidP="00BA08CB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在标准委员会提出要求后，序列表工作队考虑了国际局通过通函征询意见的结果，提出建议如</w:t>
      </w:r>
      <w:r w:rsidR="005274DE">
        <w:rPr>
          <w:rFonts w:ascii="MS Mincho" w:eastAsia="MS Mincho" w:hAnsi="MS Mincho" w:cs="MS Mincho" w:hint="eastAsia"/>
          <w:sz w:val="21"/>
          <w:szCs w:val="21"/>
        </w:rPr>
        <w:t>‍</w:t>
      </w:r>
      <w:r>
        <w:rPr>
          <w:rFonts w:asciiTheme="minorEastAsia" w:eastAsiaTheme="minorEastAsia" w:hAnsiTheme="minorEastAsia" w:hint="eastAsia"/>
          <w:sz w:val="21"/>
          <w:szCs w:val="21"/>
        </w:rPr>
        <w:t>下</w:t>
      </w:r>
      <w:r w:rsidR="00DD5257" w:rsidRPr="007C1612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9E688C" w:rsidRPr="002F5AD3" w:rsidRDefault="009E688C" w:rsidP="00BA08CB">
      <w:pPr>
        <w:pStyle w:val="Heading3"/>
      </w:pPr>
      <w:r w:rsidRPr="002F5AD3">
        <w:rPr>
          <w:rFonts w:hint="eastAsia"/>
        </w:rPr>
        <w:t>过渡</w:t>
      </w:r>
      <w:r w:rsidR="002F5AD3" w:rsidRPr="002F5AD3">
        <w:rPr>
          <w:rFonts w:hint="eastAsia"/>
        </w:rPr>
        <w:t>情况预设</w:t>
      </w:r>
      <w:r w:rsidRPr="002F5AD3">
        <w:rPr>
          <w:rFonts w:hint="eastAsia"/>
        </w:rPr>
        <w:t>：</w:t>
      </w:r>
    </w:p>
    <w:p w:rsidR="009E688C" w:rsidRDefault="0008513D" w:rsidP="00BA08CB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根据各局在通函答复中提出的意见，工作队认为</w:t>
      </w:r>
      <w:r w:rsidR="009E688C">
        <w:rPr>
          <w:rFonts w:asciiTheme="minorEastAsia" w:eastAsiaTheme="minorEastAsia" w:hAnsiTheme="minorEastAsia" w:hint="eastAsia"/>
          <w:sz w:val="21"/>
          <w:szCs w:val="21"/>
        </w:rPr>
        <w:t>“大爆炸”</w:t>
      </w:r>
      <w:r>
        <w:rPr>
          <w:rFonts w:asciiTheme="minorEastAsia" w:eastAsiaTheme="minorEastAsia" w:hAnsiTheme="minorEastAsia" w:hint="eastAsia"/>
          <w:sz w:val="21"/>
          <w:szCs w:val="21"/>
        </w:rPr>
        <w:t>式的</w:t>
      </w:r>
      <w:r w:rsidR="009E688C">
        <w:rPr>
          <w:rFonts w:asciiTheme="minorEastAsia" w:eastAsiaTheme="minorEastAsia" w:hAnsiTheme="minorEastAsia" w:hint="eastAsia"/>
          <w:sz w:val="21"/>
          <w:szCs w:val="21"/>
        </w:rPr>
        <w:t>预设</w:t>
      </w:r>
      <w:r w:rsidR="00E0359F">
        <w:rPr>
          <w:rFonts w:asciiTheme="minorEastAsia" w:eastAsiaTheme="minorEastAsia" w:hAnsiTheme="minorEastAsia" w:hint="eastAsia"/>
          <w:sz w:val="21"/>
          <w:szCs w:val="21"/>
        </w:rPr>
        <w:t>这个</w:t>
      </w:r>
      <w:r>
        <w:rPr>
          <w:rFonts w:asciiTheme="minorEastAsia" w:eastAsiaTheme="minorEastAsia" w:hAnsiTheme="minorEastAsia" w:hint="eastAsia"/>
          <w:sz w:val="21"/>
          <w:szCs w:val="21"/>
        </w:rPr>
        <w:t>选项</w:t>
      </w:r>
      <w:r w:rsidR="00E0359F">
        <w:rPr>
          <w:rFonts w:asciiTheme="minorEastAsia" w:eastAsiaTheme="minorEastAsia" w:hAnsiTheme="minorEastAsia" w:hint="eastAsia"/>
          <w:sz w:val="21"/>
          <w:szCs w:val="21"/>
        </w:rPr>
        <w:t>更好</w:t>
      </w:r>
      <w:r w:rsidR="002F5AD3">
        <w:rPr>
          <w:rFonts w:asciiTheme="minorEastAsia" w:eastAsiaTheme="minorEastAsia" w:hAnsiTheme="minorEastAsia" w:hint="eastAsia"/>
          <w:sz w:val="21"/>
          <w:szCs w:val="21"/>
        </w:rPr>
        <w:t>，因为它能为申请人和各局提供的法律确定性似乎最高。因此各局应商定新申请提交序列表从</w:t>
      </w:r>
      <w:r w:rsidR="002F5AD3" w:rsidRPr="00F91044">
        <w:rPr>
          <w:rFonts w:asciiTheme="minorEastAsia" w:eastAsiaTheme="minorEastAsia" w:hAnsiTheme="minorEastAsia" w:hint="eastAsia"/>
          <w:sz w:val="21"/>
          <w:szCs w:val="21"/>
        </w:rPr>
        <w:t>ST.25向ST.26过渡</w:t>
      </w:r>
      <w:r w:rsidR="002F5AD3">
        <w:rPr>
          <w:rFonts w:asciiTheme="minorEastAsia" w:eastAsiaTheme="minorEastAsia" w:hAnsiTheme="minorEastAsia" w:hint="eastAsia"/>
          <w:sz w:val="21"/>
          <w:szCs w:val="21"/>
        </w:rPr>
        <w:t>的日期（“</w:t>
      </w:r>
      <w:r w:rsidR="000703FA">
        <w:rPr>
          <w:rFonts w:asciiTheme="minorEastAsia" w:eastAsiaTheme="minorEastAsia" w:hAnsiTheme="minorEastAsia" w:hint="eastAsia"/>
          <w:sz w:val="21"/>
          <w:szCs w:val="21"/>
        </w:rPr>
        <w:t>过渡日</w:t>
      </w:r>
      <w:r w:rsidR="002F5AD3">
        <w:rPr>
          <w:rFonts w:asciiTheme="minorEastAsia" w:eastAsiaTheme="minorEastAsia" w:hAnsiTheme="minorEastAsia" w:hint="eastAsia"/>
          <w:sz w:val="21"/>
          <w:szCs w:val="21"/>
        </w:rPr>
        <w:t>”）。</w:t>
      </w:r>
    </w:p>
    <w:p w:rsidR="002F5AD3" w:rsidRPr="002F5AD3" w:rsidRDefault="000703FA" w:rsidP="00BA08CB">
      <w:pPr>
        <w:pStyle w:val="Heading3"/>
      </w:pPr>
      <w:r>
        <w:rPr>
          <w:rFonts w:hint="eastAsia"/>
        </w:rPr>
        <w:t>在过渡日后提交、但对按ST.25提交序列表的申请提出优先权要求的国际申请</w:t>
      </w:r>
      <w:r w:rsidR="002F5AD3" w:rsidRPr="002F5AD3">
        <w:rPr>
          <w:rFonts w:hint="eastAsia"/>
        </w:rPr>
        <w:t>：</w:t>
      </w:r>
    </w:p>
    <w:p w:rsidR="009E688C" w:rsidRDefault="000703FA" w:rsidP="00BA08CB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="SimSun" w:hAnsi="SimSun" w:hint="eastAsia"/>
          <w:sz w:val="21"/>
          <w:szCs w:val="21"/>
        </w:rPr>
        <w:t>对于过渡日是否应参考国际申请的</w:t>
      </w:r>
      <w:r w:rsidR="00BD2B18">
        <w:rPr>
          <w:rFonts w:ascii="SimSun" w:hAnsi="SimSun" w:hint="eastAsia"/>
          <w:sz w:val="21"/>
          <w:szCs w:val="21"/>
        </w:rPr>
        <w:t>国际申请</w:t>
      </w:r>
      <w:r>
        <w:rPr>
          <w:rFonts w:ascii="SimSun" w:hAnsi="SimSun" w:hint="eastAsia"/>
          <w:sz w:val="21"/>
          <w:szCs w:val="21"/>
        </w:rPr>
        <w:t>日</w:t>
      </w:r>
      <w:r w:rsidR="00BD2B18">
        <w:rPr>
          <w:rFonts w:ascii="SimSun" w:hAnsi="SimSun" w:hint="eastAsia"/>
          <w:sz w:val="21"/>
          <w:szCs w:val="21"/>
        </w:rPr>
        <w:t>或</w:t>
      </w:r>
      <w:r>
        <w:rPr>
          <w:rFonts w:ascii="SimSun" w:hAnsi="SimSun" w:hint="eastAsia"/>
          <w:sz w:val="21"/>
          <w:szCs w:val="21"/>
        </w:rPr>
        <w:t>优先权日来</w:t>
      </w:r>
      <w:r w:rsidR="00BD2B18">
        <w:rPr>
          <w:rFonts w:ascii="SimSun" w:hAnsi="SimSun" w:hint="eastAsia"/>
          <w:sz w:val="21"/>
          <w:szCs w:val="21"/>
        </w:rPr>
        <w:t>确定</w:t>
      </w:r>
      <w:r>
        <w:rPr>
          <w:rFonts w:ascii="SimSun" w:hAnsi="SimSun" w:hint="eastAsia"/>
          <w:sz w:val="21"/>
          <w:szCs w:val="21"/>
        </w:rPr>
        <w:t>，还是应由申请人决定，通函答复表示了不同意见</w:t>
      </w:r>
      <w:r w:rsidR="00DD5257" w:rsidRPr="009E688C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DD5257" w:rsidRDefault="00BD2B18" w:rsidP="00B64977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在对三种选择的优劣势进行深入分析，包括分析了2月PCT国际单位会议的反馈意见（文件PCT/MIA/24/15第65至67段）后，工作队暂时决定国际申请日最合适，具体还有待进一步分析，以考虑为转换ST.25序列表而添加或删减事项可能产生的问题，而且要看是否有可用的编著和验证工具</w:t>
      </w:r>
      <w:r w:rsidR="00880A49">
        <w:rPr>
          <w:rFonts w:asciiTheme="minorEastAsia" w:eastAsiaTheme="minorEastAsia" w:hAnsiTheme="minorEastAsia" w:hint="eastAsia"/>
          <w:sz w:val="21"/>
          <w:szCs w:val="21"/>
        </w:rPr>
        <w:t>能</w:t>
      </w:r>
      <w:r>
        <w:rPr>
          <w:rFonts w:asciiTheme="minorEastAsia" w:eastAsiaTheme="minorEastAsia" w:hAnsiTheme="minorEastAsia" w:hint="eastAsia"/>
          <w:sz w:val="21"/>
          <w:szCs w:val="21"/>
        </w:rPr>
        <w:t>帮助将序列表从ST.25转至</w:t>
      </w:r>
      <w:r w:rsidRPr="00F91044">
        <w:rPr>
          <w:rFonts w:asciiTheme="minorEastAsia" w:eastAsiaTheme="minorEastAsia" w:hAnsiTheme="minorEastAsia" w:hint="eastAsia"/>
          <w:sz w:val="21"/>
          <w:szCs w:val="21"/>
        </w:rPr>
        <w:t>ST.26</w:t>
      </w:r>
      <w:r w:rsidR="00880A49">
        <w:rPr>
          <w:rFonts w:asciiTheme="minorEastAsia" w:eastAsiaTheme="minorEastAsia" w:hAnsiTheme="minorEastAsia" w:hint="eastAsia"/>
          <w:sz w:val="21"/>
          <w:szCs w:val="21"/>
        </w:rPr>
        <w:t>，而无须作添加和删减</w:t>
      </w:r>
      <w:r w:rsidR="000703FA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880A49">
        <w:rPr>
          <w:rFonts w:asciiTheme="minorEastAsia" w:eastAsiaTheme="minorEastAsia" w:hAnsiTheme="minorEastAsia" w:hint="eastAsia"/>
          <w:sz w:val="21"/>
          <w:szCs w:val="21"/>
        </w:rPr>
        <w:t>正在编拟一份文件，以开展这项分析并为申请人使用提出恰当建议。</w:t>
      </w:r>
    </w:p>
    <w:p w:rsidR="00880A49" w:rsidRPr="009E688C" w:rsidRDefault="00880A49" w:rsidP="00BA08CB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关于国家/地区阶段应遵循的程序（如分案申请程序）应交由国家/地区局自行决定。</w:t>
      </w:r>
    </w:p>
    <w:p w:rsidR="00880A49" w:rsidRPr="002F5AD3" w:rsidRDefault="00880A49" w:rsidP="00BA08CB">
      <w:pPr>
        <w:pStyle w:val="Heading3"/>
      </w:pPr>
      <w:r>
        <w:rPr>
          <w:rFonts w:hint="eastAsia"/>
        </w:rPr>
        <w:t>暂定过渡日</w:t>
      </w:r>
      <w:r w:rsidRPr="002F5AD3">
        <w:rPr>
          <w:rFonts w:hint="eastAsia"/>
        </w:rPr>
        <w:t>：</w:t>
      </w:r>
    </w:p>
    <w:p w:rsidR="00622E4A" w:rsidRDefault="00880A49" w:rsidP="00BA08CB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工作队暂时商定以2022年1月作为实施日期，前提是有编著和验证软件工具能显示和打印</w:t>
      </w:r>
      <w:r w:rsidR="001C668F">
        <w:rPr>
          <w:rFonts w:asciiTheme="minorEastAsia" w:eastAsiaTheme="minorEastAsia" w:hAnsiTheme="minorEastAsia" w:hint="eastAsia"/>
          <w:sz w:val="21"/>
          <w:szCs w:val="21"/>
        </w:rPr>
        <w:t>可阅读的序列表</w:t>
      </w:r>
      <w:r w:rsidR="00DD525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622E4A" w:rsidRDefault="00622E4A" w:rsidP="00622E4A">
      <w:r>
        <w:br w:type="page"/>
      </w:r>
    </w:p>
    <w:p w:rsidR="00880A49" w:rsidRPr="003F63FB" w:rsidRDefault="00880A49" w:rsidP="00BA08CB">
      <w:pPr>
        <w:pStyle w:val="Heading2"/>
        <w:rPr>
          <w:rFonts w:ascii="SimHei" w:eastAsia="SimHei" w:hAnsi="SimHei"/>
          <w:b w:val="0"/>
        </w:rPr>
      </w:pPr>
      <w:r w:rsidRPr="003F63FB">
        <w:rPr>
          <w:rFonts w:ascii="SimHei" w:eastAsia="SimHei" w:hAnsi="SimHei" w:hint="eastAsia"/>
          <w:b w:val="0"/>
        </w:rPr>
        <w:t>工作队之后的工作</w:t>
      </w:r>
    </w:p>
    <w:p w:rsidR="001C668F" w:rsidRDefault="00724A93" w:rsidP="00BA08CB">
      <w:pPr>
        <w:pStyle w:val="ONUME"/>
        <w:numPr>
          <w:ilvl w:val="0"/>
          <w:numId w:val="16"/>
        </w:numPr>
        <w:overflowPunct w:val="0"/>
        <w:spacing w:afterLines="50" w:after="120" w:line="340" w:lineRule="atLeast"/>
        <w:ind w:left="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序列表</w:t>
      </w:r>
      <w:r w:rsidR="00DD5257">
        <w:rPr>
          <w:rFonts w:asciiTheme="minorEastAsia" w:eastAsiaTheme="minorEastAsia" w:hAnsiTheme="minorEastAsia" w:hint="eastAsia"/>
          <w:sz w:val="21"/>
          <w:szCs w:val="21"/>
        </w:rPr>
        <w:t>工作队</w:t>
      </w:r>
      <w:r w:rsidR="001C668F">
        <w:rPr>
          <w:rFonts w:asciiTheme="minorEastAsia" w:eastAsiaTheme="minorEastAsia" w:hAnsiTheme="minorEastAsia" w:hint="eastAsia"/>
          <w:sz w:val="21"/>
          <w:szCs w:val="21"/>
        </w:rPr>
        <w:t>就以下任务达成了一致意见</w:t>
      </w:r>
      <w:r w:rsidR="00DD5257" w:rsidRPr="00F506BB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1C668F" w:rsidRDefault="001C668F" w:rsidP="00F356D8">
      <w:pPr>
        <w:pStyle w:val="ONUME"/>
        <w:tabs>
          <w:tab w:val="left" w:pos="1276"/>
        </w:tabs>
        <w:overflowPunct w:val="0"/>
        <w:spacing w:afterLines="50" w:after="120" w:line="340" w:lineRule="atLeast"/>
        <w:ind w:left="567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（a）</w:t>
      </w:r>
      <w:r w:rsidR="00F356D8"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>工作队将为WIPO国际局提供支持，为其提供用户对编著工具的要求和反馈意见</w:t>
      </w:r>
      <w:r w:rsidR="00DD5257" w:rsidRPr="001C668F">
        <w:rPr>
          <w:rFonts w:asciiTheme="minorEastAsia" w:eastAsiaTheme="minorEastAsia" w:hAnsiTheme="minorEastAsia" w:hint="eastAsia"/>
          <w:sz w:val="21"/>
          <w:szCs w:val="21"/>
        </w:rPr>
        <w:t>；</w:t>
      </w:r>
    </w:p>
    <w:p w:rsidR="001C668F" w:rsidRDefault="001C668F" w:rsidP="00F356D8">
      <w:pPr>
        <w:pStyle w:val="ONUME"/>
        <w:tabs>
          <w:tab w:val="left" w:pos="1276"/>
        </w:tabs>
        <w:overflowPunct w:val="0"/>
        <w:spacing w:afterLines="50" w:after="120" w:line="340" w:lineRule="atLeast"/>
        <w:ind w:left="567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（b）</w:t>
      </w:r>
      <w:r w:rsidR="00F356D8"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>工作队将在对《PCT行政规程》进行相应修订的工作上，为国际局提供支持；</w:t>
      </w:r>
    </w:p>
    <w:p w:rsidR="001C668F" w:rsidRDefault="001C668F" w:rsidP="00622E4A">
      <w:pPr>
        <w:pStyle w:val="ONUME"/>
        <w:tabs>
          <w:tab w:val="left" w:pos="1276"/>
        </w:tabs>
        <w:overflowPunct w:val="0"/>
        <w:spacing w:afterLines="50" w:after="120" w:line="340" w:lineRule="atLeast"/>
        <w:ind w:left="567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（c）</w:t>
      </w:r>
      <w:r w:rsidR="00F356D8">
        <w:rPr>
          <w:rFonts w:asciiTheme="minorEastAsia" w:eastAsiaTheme="minorEastAsia" w:hAnsi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hint="eastAsia"/>
          <w:sz w:val="21"/>
          <w:szCs w:val="21"/>
        </w:rPr>
        <w:t>工作队未来将就</w:t>
      </w:r>
      <w:r>
        <w:rPr>
          <w:rFonts w:ascii="SimSun" w:hAnsi="SimSun" w:hint="eastAsia"/>
          <w:sz w:val="21"/>
          <w:szCs w:val="21"/>
        </w:rPr>
        <w:t>修订</w:t>
      </w:r>
      <w:r>
        <w:rPr>
          <w:rFonts w:asciiTheme="minorEastAsia" w:eastAsiaTheme="minorEastAsia" w:hAnsiTheme="minorEastAsia" w:hint="eastAsia"/>
          <w:sz w:val="21"/>
          <w:szCs w:val="21"/>
        </w:rPr>
        <w:t>WIPO标准</w:t>
      </w:r>
      <w:r w:rsidRPr="002F77EB">
        <w:rPr>
          <w:rFonts w:ascii="SimSun" w:hAnsi="SimSun" w:hint="eastAsia"/>
          <w:sz w:val="21"/>
          <w:szCs w:val="21"/>
        </w:rPr>
        <w:t>ST.26</w:t>
      </w:r>
      <w:r>
        <w:rPr>
          <w:rFonts w:ascii="SimSun" w:hAnsi="SimSun" w:hint="eastAsia"/>
          <w:sz w:val="21"/>
          <w:szCs w:val="21"/>
        </w:rPr>
        <w:t>开展工作</w:t>
      </w:r>
      <w:r>
        <w:rPr>
          <w:rFonts w:asciiTheme="minorEastAsia" w:eastAsiaTheme="minorEastAsia" w:hAnsiTheme="minorEastAsia" w:hint="eastAsia"/>
          <w:sz w:val="21"/>
          <w:szCs w:val="21"/>
        </w:rPr>
        <w:t>。建议以后对标准的修订工作由标准委员会成员启动，而不遵循既定的时间安排。</w:t>
      </w:r>
    </w:p>
    <w:p w:rsidR="003D1371" w:rsidRPr="008D0F82" w:rsidRDefault="003D1371" w:rsidP="00622E4A">
      <w:pPr>
        <w:pStyle w:val="ONUME"/>
        <w:tabs>
          <w:tab w:val="num" w:pos="2007"/>
        </w:tabs>
        <w:spacing w:after="0" w:line="340" w:lineRule="atLeast"/>
        <w:ind w:left="5529"/>
        <w:jc w:val="both"/>
        <w:rPr>
          <w:rFonts w:ascii="KaiTi" w:eastAsia="KaiTi" w:hAnsi="KaiTi"/>
          <w:sz w:val="21"/>
        </w:rPr>
      </w:pPr>
      <w:bookmarkStart w:id="0" w:name="_GoBack"/>
    </w:p>
    <w:p w:rsidR="008D0F82" w:rsidRPr="008D0F82" w:rsidRDefault="008D0F82" w:rsidP="00622E4A">
      <w:pPr>
        <w:pStyle w:val="ONUME"/>
        <w:tabs>
          <w:tab w:val="num" w:pos="2007"/>
        </w:tabs>
        <w:spacing w:after="0" w:line="340" w:lineRule="atLeast"/>
        <w:ind w:left="5529"/>
        <w:jc w:val="both"/>
        <w:rPr>
          <w:rFonts w:ascii="KaiTi" w:eastAsia="KaiTi" w:hAnsi="KaiTi"/>
          <w:sz w:val="21"/>
        </w:rPr>
      </w:pPr>
    </w:p>
    <w:p w:rsidR="001C668F" w:rsidRDefault="001C668F" w:rsidP="00622E4A">
      <w:pPr>
        <w:pStyle w:val="ONUME"/>
        <w:tabs>
          <w:tab w:val="num" w:pos="2007"/>
        </w:tabs>
        <w:spacing w:afterLines="50" w:after="120" w:line="340" w:lineRule="atLeast"/>
        <w:ind w:left="5529"/>
        <w:jc w:val="both"/>
        <w:rPr>
          <w:rFonts w:ascii="KaiTi" w:eastAsia="KaiTi" w:hAnsi="KaiTi"/>
          <w:sz w:val="21"/>
        </w:rPr>
      </w:pPr>
      <w:r w:rsidRPr="002663AE">
        <w:rPr>
          <w:rFonts w:ascii="KaiTi" w:eastAsia="KaiTi" w:hAnsi="KaiTi"/>
          <w:sz w:val="21"/>
        </w:rPr>
        <w:t>[</w:t>
      </w:r>
      <w:r w:rsidRPr="001C668F">
        <w:rPr>
          <w:rFonts w:ascii="KaiTi" w:eastAsia="KaiTi" w:hAnsi="KaiTi" w:hint="eastAsia"/>
          <w:sz w:val="21"/>
        </w:rPr>
        <w:t>附件和文件完</w:t>
      </w:r>
      <w:r w:rsidRPr="002663AE">
        <w:rPr>
          <w:rFonts w:ascii="KaiTi" w:eastAsia="KaiTi" w:hAnsi="KaiTi"/>
          <w:sz w:val="21"/>
        </w:rPr>
        <w:t>]</w:t>
      </w:r>
      <w:bookmarkEnd w:id="0"/>
    </w:p>
    <w:sectPr w:rsidR="001C668F" w:rsidSect="00D705EC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57" w:rsidRDefault="00DD5257">
      <w:r>
        <w:separator/>
      </w:r>
    </w:p>
  </w:endnote>
  <w:endnote w:type="continuationSeparator" w:id="0">
    <w:p w:rsidR="00DD5257" w:rsidRDefault="00DD5257" w:rsidP="003B38C1">
      <w:r>
        <w:separator/>
      </w:r>
    </w:p>
    <w:p w:rsidR="00DD5257" w:rsidRPr="003B38C1" w:rsidRDefault="00DD525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D5257" w:rsidRPr="003B38C1" w:rsidRDefault="00DD525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57" w:rsidRDefault="00DD5257">
      <w:r>
        <w:separator/>
      </w:r>
    </w:p>
  </w:footnote>
  <w:footnote w:type="continuationSeparator" w:id="0">
    <w:p w:rsidR="00DD5257" w:rsidRDefault="00DD5257" w:rsidP="008B60B2">
      <w:r>
        <w:separator/>
      </w:r>
    </w:p>
    <w:p w:rsidR="00DD5257" w:rsidRPr="00ED77FB" w:rsidRDefault="00DD525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D5257" w:rsidRPr="00ED77FB" w:rsidRDefault="00DD525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E4A" w:rsidRPr="003912F6" w:rsidRDefault="00622E4A" w:rsidP="00622E4A">
    <w:pPr>
      <w:jc w:val="right"/>
      <w:rPr>
        <w:rFonts w:asciiTheme="minorEastAsia" w:eastAsiaTheme="minorEastAsia" w:hAnsiTheme="minorEastAsia"/>
        <w:sz w:val="21"/>
        <w:szCs w:val="21"/>
      </w:rPr>
    </w:pPr>
    <w:r w:rsidRPr="00622E4A">
      <w:rPr>
        <w:rFonts w:asciiTheme="minorEastAsia" w:eastAsiaTheme="minorEastAsia" w:hAnsiTheme="minorEastAsia"/>
        <w:sz w:val="21"/>
        <w:szCs w:val="21"/>
      </w:rPr>
      <w:t>CWS/5/7 Rev.1</w:t>
    </w:r>
  </w:p>
  <w:p w:rsidR="00D705EC" w:rsidRPr="003912F6" w:rsidRDefault="00D705EC" w:rsidP="00DA4DBC">
    <w:pPr>
      <w:jc w:val="right"/>
      <w:rPr>
        <w:rFonts w:asciiTheme="minorEastAsia" w:eastAsiaTheme="minorEastAsia" w:hAnsiTheme="minorEastAsia"/>
        <w:sz w:val="21"/>
        <w:szCs w:val="21"/>
      </w:rPr>
    </w:pPr>
    <w:r>
      <w:rPr>
        <w:rFonts w:asciiTheme="minorEastAsia" w:eastAsiaTheme="minorEastAsia" w:hAnsiTheme="minorEastAsia" w:hint="eastAsia"/>
        <w:sz w:val="21"/>
        <w:szCs w:val="21"/>
      </w:rPr>
      <w:t>附件</w:t>
    </w:r>
    <w:r w:rsidRPr="003912F6">
      <w:rPr>
        <w:rFonts w:asciiTheme="minorEastAsia" w:eastAsiaTheme="minorEastAsia" w:hAnsiTheme="minorEastAsia" w:hint="eastAsia"/>
        <w:sz w:val="21"/>
        <w:szCs w:val="21"/>
      </w:rPr>
      <w:t>第</w:t>
    </w:r>
    <w:r w:rsidRPr="003912F6">
      <w:rPr>
        <w:rFonts w:asciiTheme="minorEastAsia" w:eastAsiaTheme="minorEastAsia" w:hAnsiTheme="minorEastAsia"/>
        <w:sz w:val="21"/>
        <w:szCs w:val="21"/>
      </w:rPr>
      <w:fldChar w:fldCharType="begin"/>
    </w:r>
    <w:r w:rsidRPr="003912F6">
      <w:rPr>
        <w:rFonts w:asciiTheme="minorEastAsia" w:eastAsiaTheme="minorEastAsia" w:hAnsiTheme="minorEastAsia"/>
        <w:sz w:val="21"/>
        <w:szCs w:val="21"/>
      </w:rPr>
      <w:instrText xml:space="preserve"> PAGE  \* MERGEFORMAT </w:instrText>
    </w:r>
    <w:r w:rsidRPr="003912F6">
      <w:rPr>
        <w:rFonts w:asciiTheme="minorEastAsia" w:eastAsiaTheme="minorEastAsia" w:hAnsiTheme="minorEastAsia"/>
        <w:sz w:val="21"/>
        <w:szCs w:val="21"/>
      </w:rPr>
      <w:fldChar w:fldCharType="separate"/>
    </w:r>
    <w:r w:rsidR="00622E4A">
      <w:rPr>
        <w:rFonts w:asciiTheme="minorEastAsia" w:eastAsiaTheme="minorEastAsia" w:hAnsiTheme="minorEastAsia"/>
        <w:noProof/>
        <w:sz w:val="21"/>
        <w:szCs w:val="21"/>
      </w:rPr>
      <w:t>2</w:t>
    </w:r>
    <w:r w:rsidRPr="003912F6">
      <w:rPr>
        <w:rFonts w:asciiTheme="minorEastAsia" w:eastAsiaTheme="minorEastAsia" w:hAnsiTheme="minorEastAsia"/>
        <w:sz w:val="21"/>
        <w:szCs w:val="21"/>
      </w:rPr>
      <w:fldChar w:fldCharType="end"/>
    </w:r>
    <w:r w:rsidRPr="003912F6">
      <w:rPr>
        <w:rFonts w:asciiTheme="minorEastAsia" w:eastAsiaTheme="minorEastAsia" w:hAnsiTheme="minorEastAsia" w:hint="eastAsia"/>
        <w:sz w:val="21"/>
        <w:szCs w:val="21"/>
      </w:rPr>
      <w:t>页</w:t>
    </w:r>
  </w:p>
  <w:p w:rsidR="00D705EC" w:rsidRPr="00622E4A" w:rsidRDefault="00D705EC" w:rsidP="00477D6B">
    <w:pPr>
      <w:jc w:val="right"/>
      <w:rPr>
        <w:rFonts w:asciiTheme="minorEastAsia" w:eastAsiaTheme="minorEastAsia" w:hAnsiTheme="minorEastAsia"/>
        <w:sz w:val="21"/>
        <w:szCs w:val="21"/>
      </w:rPr>
    </w:pPr>
  </w:p>
  <w:p w:rsidR="00622E4A" w:rsidRPr="00622E4A" w:rsidRDefault="00622E4A" w:rsidP="00477D6B">
    <w:pPr>
      <w:jc w:val="right"/>
      <w:rPr>
        <w:rFonts w:asciiTheme="minorEastAsia" w:eastAsiaTheme="minorEastAsia" w:hAnsiTheme="minorEastAsia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257" w:rsidRPr="003912F6" w:rsidRDefault="00622E4A" w:rsidP="00B1270D">
    <w:pPr>
      <w:jc w:val="right"/>
      <w:rPr>
        <w:rFonts w:asciiTheme="minorEastAsia" w:eastAsiaTheme="minorEastAsia" w:hAnsiTheme="minorEastAsia"/>
        <w:sz w:val="21"/>
        <w:szCs w:val="21"/>
      </w:rPr>
    </w:pPr>
    <w:r w:rsidRPr="00622E4A">
      <w:rPr>
        <w:rFonts w:asciiTheme="minorEastAsia" w:eastAsiaTheme="minorEastAsia" w:hAnsiTheme="minorEastAsia"/>
        <w:sz w:val="21"/>
        <w:szCs w:val="21"/>
      </w:rPr>
      <w:t>CWS/5/7 Rev.1</w:t>
    </w:r>
  </w:p>
  <w:p w:rsidR="00DD5257" w:rsidRPr="003912F6" w:rsidRDefault="00DD5257" w:rsidP="00B1270D">
    <w:pPr>
      <w:jc w:val="right"/>
      <w:rPr>
        <w:rFonts w:asciiTheme="minorEastAsia" w:eastAsiaTheme="minorEastAsia" w:hAnsiTheme="minorEastAsia"/>
        <w:sz w:val="21"/>
        <w:szCs w:val="21"/>
      </w:rPr>
    </w:pPr>
    <w:r>
      <w:rPr>
        <w:rFonts w:asciiTheme="minorEastAsia" w:eastAsiaTheme="minorEastAsia" w:hAnsiTheme="minorEastAsia" w:hint="eastAsia"/>
        <w:sz w:val="21"/>
        <w:szCs w:val="21"/>
      </w:rPr>
      <w:t>附</w:t>
    </w:r>
    <w:r w:rsidR="00350989">
      <w:rPr>
        <w:rFonts w:asciiTheme="minorEastAsia" w:eastAsiaTheme="minorEastAsia" w:hAnsiTheme="minorEastAsia" w:hint="eastAsia"/>
        <w:sz w:val="21"/>
        <w:szCs w:val="21"/>
      </w:rPr>
      <w:t xml:space="preserve">　</w:t>
    </w:r>
    <w:r>
      <w:rPr>
        <w:rFonts w:asciiTheme="minorEastAsia" w:eastAsiaTheme="minorEastAsia" w:hAnsiTheme="minorEastAsia" w:hint="eastAsia"/>
        <w:sz w:val="21"/>
        <w:szCs w:val="21"/>
      </w:rPr>
      <w:t>件</w:t>
    </w:r>
  </w:p>
  <w:p w:rsidR="00DD5257" w:rsidRDefault="00DD5257" w:rsidP="00622E4A">
    <w:pPr>
      <w:jc w:val="right"/>
      <w:rPr>
        <w:rFonts w:asciiTheme="minorEastAsia" w:eastAsiaTheme="minorEastAsia" w:hAnsiTheme="minorEastAsia"/>
        <w:sz w:val="21"/>
        <w:szCs w:val="21"/>
      </w:rPr>
    </w:pPr>
  </w:p>
  <w:p w:rsidR="00622E4A" w:rsidRPr="00622E4A" w:rsidRDefault="00622E4A" w:rsidP="00622E4A">
    <w:pPr>
      <w:jc w:val="right"/>
      <w:rPr>
        <w:rFonts w:asciiTheme="minorEastAsia" w:eastAsiaTheme="minorEastAsia" w:hAnsiTheme="minorEastAsi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7FC930A"/>
    <w:lvl w:ilvl="0">
      <w:start w:val="2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Theme="minorEastAsia" w:eastAsiaTheme="minorEastAsia" w:hAnsiTheme="minorEastAsia" w:hint="default"/>
        <w:sz w:val="21"/>
        <w:szCs w:val="21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0E7130A"/>
    <w:multiLevelType w:val="hybridMultilevel"/>
    <w:tmpl w:val="40381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67703"/>
    <w:multiLevelType w:val="hybridMultilevel"/>
    <w:tmpl w:val="86C84A48"/>
    <w:lvl w:ilvl="0" w:tplc="F9E0B5D0">
      <w:start w:val="1"/>
      <w:numFmt w:val="decimal"/>
      <w:lvlText w:val="%1."/>
      <w:lvlJc w:val="left"/>
      <w:pPr>
        <w:ind w:left="5534" w:firstLine="0"/>
      </w:pPr>
      <w:rPr>
        <w:rFonts w:asciiTheme="minorEastAsia" w:eastAsia="SimSun" w:hAnsiTheme="minorEastAsia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2D777C"/>
    <w:multiLevelType w:val="hybridMultilevel"/>
    <w:tmpl w:val="D43478A2"/>
    <w:lvl w:ilvl="0" w:tplc="E7962988">
      <w:start w:val="1"/>
      <w:numFmt w:val="lowerLetter"/>
      <w:lvlText w:val="（%1）"/>
      <w:lvlJc w:val="left"/>
      <w:pPr>
        <w:ind w:left="1287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9E46C5B"/>
    <w:multiLevelType w:val="hybridMultilevel"/>
    <w:tmpl w:val="61B4C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BF71DA"/>
    <w:multiLevelType w:val="hybridMultilevel"/>
    <w:tmpl w:val="EBFEFD26"/>
    <w:lvl w:ilvl="0" w:tplc="ECAC35AE">
      <w:start w:val="1"/>
      <w:numFmt w:val="decimal"/>
      <w:lvlText w:val="%1."/>
      <w:lvlJc w:val="left"/>
      <w:pPr>
        <w:ind w:left="360" w:hanging="360"/>
      </w:pPr>
      <w:rPr>
        <w:rFonts w:asciiTheme="minorEastAsia" w:eastAsia="SimSun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92B627C"/>
    <w:multiLevelType w:val="hybridMultilevel"/>
    <w:tmpl w:val="86C84A48"/>
    <w:lvl w:ilvl="0" w:tplc="F9E0B5D0">
      <w:start w:val="1"/>
      <w:numFmt w:val="decimal"/>
      <w:lvlText w:val="%1."/>
      <w:lvlJc w:val="left"/>
      <w:pPr>
        <w:ind w:left="5534" w:firstLine="0"/>
      </w:pPr>
      <w:rPr>
        <w:rFonts w:asciiTheme="minorEastAsia" w:eastAsia="SimSun" w:hAnsiTheme="minorEastAsia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C567B8C"/>
    <w:multiLevelType w:val="hybridMultilevel"/>
    <w:tmpl w:val="2E721E66"/>
    <w:lvl w:ilvl="0" w:tplc="B8D2D93A">
      <w:numFmt w:val="bullet"/>
      <w:lvlText w:val="-"/>
      <w:lvlJc w:val="left"/>
      <w:pPr>
        <w:ind w:left="720" w:hanging="360"/>
      </w:pPr>
      <w:rPr>
        <w:rFonts w:ascii="SimSun" w:eastAsia="SimSun" w:hAnsi="SimSun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0A45E3"/>
    <w:multiLevelType w:val="hybridMultilevel"/>
    <w:tmpl w:val="98407280"/>
    <w:lvl w:ilvl="0" w:tplc="2B00E5E8">
      <w:numFmt w:val="bullet"/>
      <w:lvlText w:val="-"/>
      <w:lvlJc w:val="left"/>
      <w:pPr>
        <w:ind w:left="927" w:hanging="360"/>
      </w:pPr>
      <w:rPr>
        <w:rFonts w:ascii="SimSun" w:eastAsia="SimSun" w:hAnsi="SimSun" w:cs="Arial" w:hint="eastAsia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2F"/>
    <w:rsid w:val="00015521"/>
    <w:rsid w:val="00033301"/>
    <w:rsid w:val="00043CAA"/>
    <w:rsid w:val="00043FC4"/>
    <w:rsid w:val="00045815"/>
    <w:rsid w:val="00060DAC"/>
    <w:rsid w:val="000703FA"/>
    <w:rsid w:val="00075432"/>
    <w:rsid w:val="0008017A"/>
    <w:rsid w:val="00084A16"/>
    <w:rsid w:val="0008513D"/>
    <w:rsid w:val="00095B21"/>
    <w:rsid w:val="000966B8"/>
    <w:rsid w:val="000968ED"/>
    <w:rsid w:val="000A3591"/>
    <w:rsid w:val="000C6C2F"/>
    <w:rsid w:val="000D510D"/>
    <w:rsid w:val="000E434A"/>
    <w:rsid w:val="000F5E56"/>
    <w:rsid w:val="00103111"/>
    <w:rsid w:val="001256FD"/>
    <w:rsid w:val="001276D4"/>
    <w:rsid w:val="001362EE"/>
    <w:rsid w:val="001539FC"/>
    <w:rsid w:val="001553A8"/>
    <w:rsid w:val="00172A20"/>
    <w:rsid w:val="00181C11"/>
    <w:rsid w:val="001832A6"/>
    <w:rsid w:val="001C668F"/>
    <w:rsid w:val="001F0554"/>
    <w:rsid w:val="001F47F7"/>
    <w:rsid w:val="001F5D3F"/>
    <w:rsid w:val="00203D66"/>
    <w:rsid w:val="0021217E"/>
    <w:rsid w:val="002131D6"/>
    <w:rsid w:val="00224C72"/>
    <w:rsid w:val="002313D0"/>
    <w:rsid w:val="002350EF"/>
    <w:rsid w:val="00250E40"/>
    <w:rsid w:val="002558D8"/>
    <w:rsid w:val="002634C4"/>
    <w:rsid w:val="002663AE"/>
    <w:rsid w:val="002843EB"/>
    <w:rsid w:val="002928D3"/>
    <w:rsid w:val="002B6810"/>
    <w:rsid w:val="002D5034"/>
    <w:rsid w:val="002F1FE6"/>
    <w:rsid w:val="002F4E68"/>
    <w:rsid w:val="002F5AD3"/>
    <w:rsid w:val="002F77EB"/>
    <w:rsid w:val="003064DA"/>
    <w:rsid w:val="00312F7F"/>
    <w:rsid w:val="0032598D"/>
    <w:rsid w:val="0033339D"/>
    <w:rsid w:val="003361AF"/>
    <w:rsid w:val="00350989"/>
    <w:rsid w:val="00361091"/>
    <w:rsid w:val="00361450"/>
    <w:rsid w:val="003673CF"/>
    <w:rsid w:val="003743E4"/>
    <w:rsid w:val="003845C1"/>
    <w:rsid w:val="0038598D"/>
    <w:rsid w:val="0038753E"/>
    <w:rsid w:val="003912F6"/>
    <w:rsid w:val="003A3986"/>
    <w:rsid w:val="003A6F89"/>
    <w:rsid w:val="003B0928"/>
    <w:rsid w:val="003B38C1"/>
    <w:rsid w:val="003D1371"/>
    <w:rsid w:val="003F63FB"/>
    <w:rsid w:val="00402002"/>
    <w:rsid w:val="0041269B"/>
    <w:rsid w:val="004145D7"/>
    <w:rsid w:val="00421AE5"/>
    <w:rsid w:val="00423E3E"/>
    <w:rsid w:val="004240A6"/>
    <w:rsid w:val="00427AF4"/>
    <w:rsid w:val="00435EDD"/>
    <w:rsid w:val="00442E36"/>
    <w:rsid w:val="00454529"/>
    <w:rsid w:val="004647DA"/>
    <w:rsid w:val="00474062"/>
    <w:rsid w:val="00477417"/>
    <w:rsid w:val="00477D6B"/>
    <w:rsid w:val="004B3D30"/>
    <w:rsid w:val="004C28E8"/>
    <w:rsid w:val="004E649D"/>
    <w:rsid w:val="005019FF"/>
    <w:rsid w:val="00501C1F"/>
    <w:rsid w:val="00510306"/>
    <w:rsid w:val="005244D5"/>
    <w:rsid w:val="00524F04"/>
    <w:rsid w:val="005274DE"/>
    <w:rsid w:val="00527C32"/>
    <w:rsid w:val="0053057A"/>
    <w:rsid w:val="0053220F"/>
    <w:rsid w:val="0055347D"/>
    <w:rsid w:val="00560A29"/>
    <w:rsid w:val="005A0A3F"/>
    <w:rsid w:val="005B0065"/>
    <w:rsid w:val="005C323E"/>
    <w:rsid w:val="005C6649"/>
    <w:rsid w:val="005D76E0"/>
    <w:rsid w:val="005E26C4"/>
    <w:rsid w:val="005F3968"/>
    <w:rsid w:val="00605827"/>
    <w:rsid w:val="00613D05"/>
    <w:rsid w:val="00620AC2"/>
    <w:rsid w:val="00622E4A"/>
    <w:rsid w:val="00627B34"/>
    <w:rsid w:val="00646050"/>
    <w:rsid w:val="00654724"/>
    <w:rsid w:val="00654F2B"/>
    <w:rsid w:val="006713CA"/>
    <w:rsid w:val="00676C5C"/>
    <w:rsid w:val="006A2ECD"/>
    <w:rsid w:val="006B5D6C"/>
    <w:rsid w:val="006C2588"/>
    <w:rsid w:val="006C687E"/>
    <w:rsid w:val="006D1307"/>
    <w:rsid w:val="006D70A1"/>
    <w:rsid w:val="006F2100"/>
    <w:rsid w:val="00707004"/>
    <w:rsid w:val="00711F7F"/>
    <w:rsid w:val="00724A93"/>
    <w:rsid w:val="00736012"/>
    <w:rsid w:val="007C1612"/>
    <w:rsid w:val="007D1613"/>
    <w:rsid w:val="007E3C53"/>
    <w:rsid w:val="007E4AD3"/>
    <w:rsid w:val="007E4C0E"/>
    <w:rsid w:val="007F6808"/>
    <w:rsid w:val="00807278"/>
    <w:rsid w:val="00810F03"/>
    <w:rsid w:val="00820C02"/>
    <w:rsid w:val="00842903"/>
    <w:rsid w:val="008507B0"/>
    <w:rsid w:val="0085485D"/>
    <w:rsid w:val="008567A3"/>
    <w:rsid w:val="00880A49"/>
    <w:rsid w:val="00882E0C"/>
    <w:rsid w:val="00883DBA"/>
    <w:rsid w:val="00886A69"/>
    <w:rsid w:val="00890486"/>
    <w:rsid w:val="008A2EED"/>
    <w:rsid w:val="008A7072"/>
    <w:rsid w:val="008B2CC1"/>
    <w:rsid w:val="008B60B2"/>
    <w:rsid w:val="008D0F82"/>
    <w:rsid w:val="008D1FCA"/>
    <w:rsid w:val="008D4083"/>
    <w:rsid w:val="008F06DD"/>
    <w:rsid w:val="00904128"/>
    <w:rsid w:val="0090731E"/>
    <w:rsid w:val="00912BA9"/>
    <w:rsid w:val="00916EE2"/>
    <w:rsid w:val="0096253E"/>
    <w:rsid w:val="00966A22"/>
    <w:rsid w:val="0096722F"/>
    <w:rsid w:val="00980843"/>
    <w:rsid w:val="00982968"/>
    <w:rsid w:val="00983009"/>
    <w:rsid w:val="00996EEC"/>
    <w:rsid w:val="009A14F7"/>
    <w:rsid w:val="009A6127"/>
    <w:rsid w:val="009D730D"/>
    <w:rsid w:val="009E2791"/>
    <w:rsid w:val="009E3F6F"/>
    <w:rsid w:val="009E688C"/>
    <w:rsid w:val="009F499F"/>
    <w:rsid w:val="00A0469D"/>
    <w:rsid w:val="00A3021C"/>
    <w:rsid w:val="00A327C2"/>
    <w:rsid w:val="00A42DAF"/>
    <w:rsid w:val="00A45BD8"/>
    <w:rsid w:val="00A73DE5"/>
    <w:rsid w:val="00A81C8F"/>
    <w:rsid w:val="00A85CD2"/>
    <w:rsid w:val="00A869B7"/>
    <w:rsid w:val="00A92C1C"/>
    <w:rsid w:val="00A9516E"/>
    <w:rsid w:val="00AC1A57"/>
    <w:rsid w:val="00AC205C"/>
    <w:rsid w:val="00AC49C3"/>
    <w:rsid w:val="00AF0A6B"/>
    <w:rsid w:val="00B05A69"/>
    <w:rsid w:val="00B119D1"/>
    <w:rsid w:val="00B1270D"/>
    <w:rsid w:val="00B31790"/>
    <w:rsid w:val="00B64977"/>
    <w:rsid w:val="00B86181"/>
    <w:rsid w:val="00B90F7E"/>
    <w:rsid w:val="00B96DB7"/>
    <w:rsid w:val="00B9734B"/>
    <w:rsid w:val="00BA08CB"/>
    <w:rsid w:val="00BA30E2"/>
    <w:rsid w:val="00BB4819"/>
    <w:rsid w:val="00BD2B18"/>
    <w:rsid w:val="00BF3106"/>
    <w:rsid w:val="00BF5905"/>
    <w:rsid w:val="00BF7140"/>
    <w:rsid w:val="00C04EA5"/>
    <w:rsid w:val="00C11BFE"/>
    <w:rsid w:val="00C33A36"/>
    <w:rsid w:val="00C4277E"/>
    <w:rsid w:val="00C5068F"/>
    <w:rsid w:val="00C50ABB"/>
    <w:rsid w:val="00C638D5"/>
    <w:rsid w:val="00C65898"/>
    <w:rsid w:val="00C71653"/>
    <w:rsid w:val="00CD04F1"/>
    <w:rsid w:val="00CD32A6"/>
    <w:rsid w:val="00CF4089"/>
    <w:rsid w:val="00D21651"/>
    <w:rsid w:val="00D26967"/>
    <w:rsid w:val="00D27881"/>
    <w:rsid w:val="00D37193"/>
    <w:rsid w:val="00D4156C"/>
    <w:rsid w:val="00D45252"/>
    <w:rsid w:val="00D705EC"/>
    <w:rsid w:val="00D71B4D"/>
    <w:rsid w:val="00D76587"/>
    <w:rsid w:val="00D7715F"/>
    <w:rsid w:val="00D825CC"/>
    <w:rsid w:val="00D850D8"/>
    <w:rsid w:val="00D93D55"/>
    <w:rsid w:val="00DA4DBC"/>
    <w:rsid w:val="00DA6141"/>
    <w:rsid w:val="00DC5180"/>
    <w:rsid w:val="00DD5257"/>
    <w:rsid w:val="00DD6889"/>
    <w:rsid w:val="00DF185E"/>
    <w:rsid w:val="00DF627C"/>
    <w:rsid w:val="00E0359F"/>
    <w:rsid w:val="00E15015"/>
    <w:rsid w:val="00E25C9B"/>
    <w:rsid w:val="00E32E7D"/>
    <w:rsid w:val="00E335FE"/>
    <w:rsid w:val="00E56B02"/>
    <w:rsid w:val="00E572DE"/>
    <w:rsid w:val="00E936F9"/>
    <w:rsid w:val="00EA601E"/>
    <w:rsid w:val="00EB432E"/>
    <w:rsid w:val="00EB6945"/>
    <w:rsid w:val="00EC4E49"/>
    <w:rsid w:val="00ED77FB"/>
    <w:rsid w:val="00EE45FA"/>
    <w:rsid w:val="00EF63CB"/>
    <w:rsid w:val="00F02E43"/>
    <w:rsid w:val="00F227CE"/>
    <w:rsid w:val="00F27670"/>
    <w:rsid w:val="00F323BD"/>
    <w:rsid w:val="00F356D8"/>
    <w:rsid w:val="00F506BB"/>
    <w:rsid w:val="00F531EC"/>
    <w:rsid w:val="00F53C2B"/>
    <w:rsid w:val="00F66152"/>
    <w:rsid w:val="00F72850"/>
    <w:rsid w:val="00F91044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ONUME"/>
    <w:next w:val="Normal"/>
    <w:qFormat/>
    <w:rsid w:val="00F91044"/>
    <w:pPr>
      <w:tabs>
        <w:tab w:val="num" w:pos="2007"/>
      </w:tabs>
      <w:spacing w:afterLines="50" w:after="120" w:line="340" w:lineRule="atLeast"/>
      <w:jc w:val="both"/>
      <w:outlineLvl w:val="1"/>
    </w:pPr>
    <w:rPr>
      <w:rFonts w:asciiTheme="minorEastAsia" w:eastAsiaTheme="minorEastAsia" w:hAnsiTheme="minorEastAsia"/>
      <w:b/>
      <w:sz w:val="21"/>
    </w:rPr>
  </w:style>
  <w:style w:type="paragraph" w:styleId="Heading3">
    <w:name w:val="heading 3"/>
    <w:basedOn w:val="ONUME"/>
    <w:next w:val="Normal"/>
    <w:qFormat/>
    <w:rsid w:val="002F5AD3"/>
    <w:pPr>
      <w:overflowPunct w:val="0"/>
      <w:spacing w:afterLines="50" w:after="120" w:line="340" w:lineRule="atLeast"/>
      <w:jc w:val="both"/>
      <w:outlineLvl w:val="2"/>
    </w:pPr>
    <w:rPr>
      <w:rFonts w:asciiTheme="minorEastAsia" w:eastAsiaTheme="minorEastAsia" w:hAnsiTheme="minorEastAsia"/>
      <w:sz w:val="21"/>
      <w:szCs w:val="21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C6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6C2F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locked/>
    <w:rsid w:val="00BF3106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ONUME"/>
    <w:next w:val="Normal"/>
    <w:qFormat/>
    <w:rsid w:val="00F91044"/>
    <w:pPr>
      <w:tabs>
        <w:tab w:val="num" w:pos="2007"/>
      </w:tabs>
      <w:spacing w:afterLines="50" w:after="120" w:line="340" w:lineRule="atLeast"/>
      <w:jc w:val="both"/>
      <w:outlineLvl w:val="1"/>
    </w:pPr>
    <w:rPr>
      <w:rFonts w:asciiTheme="minorEastAsia" w:eastAsiaTheme="minorEastAsia" w:hAnsiTheme="minorEastAsia"/>
      <w:b/>
      <w:sz w:val="21"/>
    </w:rPr>
  </w:style>
  <w:style w:type="paragraph" w:styleId="Heading3">
    <w:name w:val="heading 3"/>
    <w:basedOn w:val="ONUME"/>
    <w:next w:val="Normal"/>
    <w:qFormat/>
    <w:rsid w:val="002F5AD3"/>
    <w:pPr>
      <w:overflowPunct w:val="0"/>
      <w:spacing w:afterLines="50" w:after="120" w:line="340" w:lineRule="atLeast"/>
      <w:jc w:val="both"/>
      <w:outlineLvl w:val="2"/>
    </w:pPr>
    <w:rPr>
      <w:rFonts w:asciiTheme="minorEastAsia" w:eastAsiaTheme="minorEastAsia" w:hAnsiTheme="minorEastAsia"/>
      <w:sz w:val="21"/>
      <w:szCs w:val="21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C6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6C2F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locked/>
    <w:rsid w:val="00BF3106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827A-E00E-4BFC-80BC-6E8270B60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10 (E)</Template>
  <TotalTime>2</TotalTime>
  <Pages>2</Pages>
  <Words>928</Words>
  <Characters>159</Characters>
  <Application>Microsoft Office Word</Application>
  <DocSecurity>0</DocSecurity>
  <Lines>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CWS/5/7 Annex (in Chinese)</vt:lpstr>
    </vt:vector>
  </TitlesOfParts>
  <Company>WIPO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CWS/5/7 Rev.1 Annex (in Chinese)</dc:title>
  <dc:subject>Recommendations for the Transition Provision from WIPO Standard ST.25 to ST.26</dc:subject>
  <dc:creator>WIPO</dc:creator>
  <cp:keywords>CWS</cp:keywords>
  <cp:lastModifiedBy>ZAGO Bétina</cp:lastModifiedBy>
  <cp:revision>3</cp:revision>
  <cp:lastPrinted>2017-04-29T16:25:00Z</cp:lastPrinted>
  <dcterms:created xsi:type="dcterms:W3CDTF">2017-05-08T13:21:00Z</dcterms:created>
  <dcterms:modified xsi:type="dcterms:W3CDTF">2017-05-08T13:23:00Z</dcterms:modified>
</cp:coreProperties>
</file>