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C1A5B" w:rsidRPr="006C1A5B" w:rsidTr="00137AF7">
        <w:trPr>
          <w:trHeight w:val="1977"/>
        </w:trPr>
        <w:tc>
          <w:tcPr>
            <w:tcW w:w="4594" w:type="dxa"/>
            <w:tcBorders>
              <w:bottom w:val="single" w:sz="4" w:space="0" w:color="auto"/>
            </w:tcBorders>
            <w:tcMar>
              <w:bottom w:w="170" w:type="dxa"/>
            </w:tcMar>
          </w:tcPr>
          <w:p w:rsidR="006C1A5B" w:rsidRPr="006C1A5B" w:rsidRDefault="006C1A5B" w:rsidP="006C1A5B">
            <w:pPr>
              <w:jc w:val="both"/>
              <w:rPr>
                <w:lang w:eastAsia="zh-CN"/>
              </w:rPr>
            </w:pPr>
            <w:r w:rsidRPr="006C1A5B">
              <w:rPr>
                <w:noProof/>
              </w:rPr>
              <w:drawing>
                <wp:anchor distT="0" distB="0" distL="114300" distR="114300" simplePos="0" relativeHeight="251659264" behindDoc="1" locked="0" layoutInCell="0" allowOverlap="1" wp14:anchorId="6B4BDC85" wp14:editId="5857D12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C1A5B" w:rsidRPr="006C1A5B" w:rsidRDefault="006C1A5B" w:rsidP="006C1A5B">
            <w:pPr>
              <w:rPr>
                <w:lang w:eastAsia="zh-CN"/>
              </w:rPr>
            </w:pPr>
          </w:p>
        </w:tc>
        <w:tc>
          <w:tcPr>
            <w:tcW w:w="425" w:type="dxa"/>
            <w:tcBorders>
              <w:bottom w:val="single" w:sz="4" w:space="0" w:color="auto"/>
            </w:tcBorders>
            <w:tcMar>
              <w:left w:w="0" w:type="dxa"/>
              <w:right w:w="0" w:type="dxa"/>
            </w:tcMar>
          </w:tcPr>
          <w:p w:rsidR="006C1A5B" w:rsidRPr="006C1A5B" w:rsidRDefault="006C1A5B" w:rsidP="006C1A5B">
            <w:pPr>
              <w:jc w:val="right"/>
              <w:rPr>
                <w:lang w:eastAsia="zh-CN"/>
              </w:rPr>
            </w:pPr>
            <w:r w:rsidRPr="006C1A5B">
              <w:rPr>
                <w:b/>
                <w:sz w:val="40"/>
                <w:szCs w:val="40"/>
                <w:lang w:eastAsia="zh-CN"/>
              </w:rPr>
              <w:t>C</w:t>
            </w:r>
          </w:p>
        </w:tc>
      </w:tr>
      <w:tr w:rsidR="006C1A5B" w:rsidRPr="006C1A5B" w:rsidTr="00137AF7">
        <w:trPr>
          <w:trHeight w:hRule="exact" w:val="340"/>
        </w:trPr>
        <w:tc>
          <w:tcPr>
            <w:tcW w:w="9356" w:type="dxa"/>
            <w:gridSpan w:val="3"/>
            <w:tcBorders>
              <w:top w:val="single" w:sz="4" w:space="0" w:color="auto"/>
            </w:tcBorders>
            <w:tcMar>
              <w:top w:w="170" w:type="dxa"/>
              <w:left w:w="0" w:type="dxa"/>
              <w:right w:w="0" w:type="dxa"/>
            </w:tcMar>
            <w:vAlign w:val="bottom"/>
          </w:tcPr>
          <w:p w:rsidR="006C1A5B" w:rsidRPr="006C1A5B" w:rsidRDefault="006C1A5B" w:rsidP="006C1A5B">
            <w:pPr>
              <w:jc w:val="right"/>
              <w:rPr>
                <w:rFonts w:ascii="Arial Black" w:hAnsi="Arial Black"/>
                <w:caps/>
                <w:sz w:val="15"/>
                <w:lang w:eastAsia="zh-CN"/>
              </w:rPr>
            </w:pPr>
            <w:r w:rsidRPr="006C1A5B">
              <w:rPr>
                <w:rFonts w:ascii="Arial Black" w:hAnsi="Arial Black" w:hint="eastAsia"/>
                <w:caps/>
                <w:sz w:val="15"/>
                <w:lang w:eastAsia="zh-CN"/>
              </w:rPr>
              <w:t>cws/5/1</w:t>
            </w:r>
            <w:r>
              <w:rPr>
                <w:rFonts w:ascii="Arial Black" w:hAnsi="Arial Black" w:hint="eastAsia"/>
                <w:caps/>
                <w:sz w:val="15"/>
                <w:lang w:eastAsia="zh-CN"/>
              </w:rPr>
              <w:t>4</w:t>
            </w:r>
          </w:p>
        </w:tc>
      </w:tr>
      <w:tr w:rsidR="006C1A5B" w:rsidRPr="006C1A5B" w:rsidTr="00137AF7">
        <w:trPr>
          <w:trHeight w:hRule="exact" w:val="170"/>
        </w:trPr>
        <w:tc>
          <w:tcPr>
            <w:tcW w:w="9356" w:type="dxa"/>
            <w:gridSpan w:val="3"/>
            <w:noWrap/>
            <w:tcMar>
              <w:left w:w="0" w:type="dxa"/>
              <w:right w:w="0" w:type="dxa"/>
            </w:tcMar>
            <w:vAlign w:val="bottom"/>
          </w:tcPr>
          <w:p w:rsidR="006C1A5B" w:rsidRPr="006C1A5B" w:rsidRDefault="006C1A5B" w:rsidP="006C1A5B">
            <w:pPr>
              <w:jc w:val="right"/>
              <w:rPr>
                <w:rFonts w:ascii="Arial Black" w:hAnsi="Arial Black"/>
                <w:b/>
                <w:caps/>
                <w:sz w:val="15"/>
                <w:szCs w:val="15"/>
                <w:lang w:eastAsia="zh-CN"/>
              </w:rPr>
            </w:pPr>
            <w:r w:rsidRPr="006C1A5B">
              <w:rPr>
                <w:rFonts w:eastAsia="SimHei" w:hint="eastAsia"/>
                <w:b/>
                <w:sz w:val="15"/>
                <w:szCs w:val="15"/>
                <w:lang w:eastAsia="zh-CN"/>
              </w:rPr>
              <w:t>原</w:t>
            </w:r>
            <w:r w:rsidRPr="006C1A5B">
              <w:rPr>
                <w:rFonts w:eastAsia="SimHei"/>
                <w:b/>
                <w:sz w:val="15"/>
                <w:szCs w:val="15"/>
                <w:lang w:val="pt-BR" w:eastAsia="zh-CN"/>
              </w:rPr>
              <w:t xml:space="preserve"> </w:t>
            </w:r>
            <w:r w:rsidRPr="006C1A5B">
              <w:rPr>
                <w:rFonts w:eastAsia="SimHei" w:hint="eastAsia"/>
                <w:b/>
                <w:sz w:val="15"/>
                <w:szCs w:val="15"/>
                <w:lang w:eastAsia="zh-CN"/>
              </w:rPr>
              <w:t>文</w:t>
            </w:r>
            <w:r w:rsidRPr="006C1A5B">
              <w:rPr>
                <w:rFonts w:eastAsia="SimHei" w:hint="eastAsia"/>
                <w:b/>
                <w:sz w:val="15"/>
                <w:szCs w:val="15"/>
                <w:lang w:val="pt-BR" w:eastAsia="zh-CN"/>
              </w:rPr>
              <w:t>：英</w:t>
            </w:r>
            <w:r w:rsidRPr="006C1A5B">
              <w:rPr>
                <w:rFonts w:eastAsia="SimHei" w:hint="eastAsia"/>
                <w:b/>
                <w:sz w:val="15"/>
                <w:szCs w:val="15"/>
                <w:lang w:eastAsia="zh-CN"/>
              </w:rPr>
              <w:t>文</w:t>
            </w:r>
          </w:p>
        </w:tc>
      </w:tr>
      <w:tr w:rsidR="006C1A5B" w:rsidRPr="006C1A5B" w:rsidTr="00137AF7">
        <w:trPr>
          <w:trHeight w:hRule="exact" w:val="198"/>
        </w:trPr>
        <w:tc>
          <w:tcPr>
            <w:tcW w:w="9356" w:type="dxa"/>
            <w:gridSpan w:val="3"/>
            <w:tcMar>
              <w:left w:w="0" w:type="dxa"/>
              <w:right w:w="0" w:type="dxa"/>
            </w:tcMar>
            <w:vAlign w:val="bottom"/>
          </w:tcPr>
          <w:p w:rsidR="006C1A5B" w:rsidRPr="006C1A5B" w:rsidRDefault="006C1A5B" w:rsidP="006C1A5B">
            <w:pPr>
              <w:jc w:val="right"/>
              <w:rPr>
                <w:rFonts w:ascii="SimHei" w:eastAsia="SimHei" w:hAnsi="Arial Black"/>
                <w:b/>
                <w:caps/>
                <w:sz w:val="15"/>
                <w:szCs w:val="15"/>
                <w:lang w:eastAsia="zh-CN"/>
              </w:rPr>
            </w:pPr>
            <w:r w:rsidRPr="006C1A5B">
              <w:rPr>
                <w:rFonts w:ascii="SimHei" w:eastAsia="SimHei" w:hint="eastAsia"/>
                <w:b/>
                <w:sz w:val="15"/>
                <w:szCs w:val="15"/>
                <w:lang w:eastAsia="zh-CN"/>
              </w:rPr>
              <w:t>日</w:t>
            </w:r>
            <w:r w:rsidRPr="006C1A5B">
              <w:rPr>
                <w:rFonts w:ascii="SimHei" w:eastAsia="SimHei" w:hint="eastAsia"/>
                <w:b/>
                <w:sz w:val="15"/>
                <w:szCs w:val="15"/>
                <w:lang w:val="pt-BR" w:eastAsia="zh-CN"/>
              </w:rPr>
              <w:t xml:space="preserve"> </w:t>
            </w:r>
            <w:r w:rsidRPr="006C1A5B">
              <w:rPr>
                <w:rFonts w:ascii="SimHei" w:eastAsia="SimHei" w:hint="eastAsia"/>
                <w:b/>
                <w:sz w:val="15"/>
                <w:szCs w:val="15"/>
                <w:lang w:eastAsia="zh-CN"/>
              </w:rPr>
              <w:t>期</w:t>
            </w:r>
            <w:r w:rsidRPr="006C1A5B">
              <w:rPr>
                <w:rFonts w:ascii="SimHei" w:eastAsia="SimHei" w:hAnsi="SimSun" w:hint="eastAsia"/>
                <w:b/>
                <w:sz w:val="15"/>
                <w:szCs w:val="15"/>
                <w:lang w:val="pt-BR" w:eastAsia="zh-CN"/>
              </w:rPr>
              <w:t>：</w:t>
            </w:r>
            <w:r w:rsidRPr="006C1A5B">
              <w:rPr>
                <w:rFonts w:ascii="Arial Black" w:eastAsia="SimHei" w:hAnsi="Arial Black"/>
                <w:sz w:val="15"/>
                <w:szCs w:val="15"/>
                <w:lang w:val="pt-BR" w:eastAsia="zh-CN"/>
              </w:rPr>
              <w:t>201</w:t>
            </w:r>
            <w:r w:rsidRPr="006C1A5B">
              <w:rPr>
                <w:rFonts w:ascii="Arial Black" w:eastAsia="SimHei" w:hAnsi="Arial Black" w:hint="eastAsia"/>
                <w:sz w:val="15"/>
                <w:szCs w:val="15"/>
                <w:lang w:val="pt-BR" w:eastAsia="zh-CN"/>
              </w:rPr>
              <w:t>7</w:t>
            </w:r>
            <w:r w:rsidRPr="006C1A5B">
              <w:rPr>
                <w:rFonts w:ascii="SimHei" w:eastAsia="SimHei" w:hAnsi="Times New Roman" w:hint="eastAsia"/>
                <w:b/>
                <w:sz w:val="15"/>
                <w:szCs w:val="15"/>
                <w:lang w:eastAsia="zh-CN"/>
              </w:rPr>
              <w:t>年</w:t>
            </w:r>
            <w:r w:rsidRPr="006C1A5B">
              <w:rPr>
                <w:rFonts w:ascii="Arial Black" w:eastAsia="SimHei" w:hAnsi="Arial Black" w:hint="eastAsia"/>
                <w:sz w:val="15"/>
                <w:szCs w:val="15"/>
                <w:lang w:val="pt-BR" w:eastAsia="zh-CN"/>
              </w:rPr>
              <w:t>4</w:t>
            </w:r>
            <w:r w:rsidRPr="006C1A5B">
              <w:rPr>
                <w:rFonts w:ascii="SimHei" w:eastAsia="SimHei" w:hAnsi="Times New Roman" w:hint="eastAsia"/>
                <w:b/>
                <w:sz w:val="15"/>
                <w:szCs w:val="15"/>
                <w:lang w:eastAsia="zh-CN"/>
              </w:rPr>
              <w:t>月</w:t>
            </w:r>
            <w:r w:rsidRPr="006C1A5B">
              <w:rPr>
                <w:rFonts w:ascii="Arial Black" w:eastAsia="SimHei" w:hAnsi="Arial Black" w:hint="eastAsia"/>
                <w:sz w:val="15"/>
                <w:szCs w:val="15"/>
                <w:lang w:eastAsia="zh-CN"/>
              </w:rPr>
              <w:t>1</w:t>
            </w:r>
            <w:r>
              <w:rPr>
                <w:rFonts w:ascii="Arial Black" w:eastAsia="SimHei" w:hAnsi="Arial Black" w:hint="eastAsia"/>
                <w:sz w:val="15"/>
                <w:szCs w:val="15"/>
                <w:lang w:eastAsia="zh-CN"/>
              </w:rPr>
              <w:t>3</w:t>
            </w:r>
            <w:r w:rsidRPr="006C1A5B">
              <w:rPr>
                <w:rFonts w:ascii="SimHei" w:eastAsia="SimHei" w:hAnsi="Times New Roman" w:hint="eastAsia"/>
                <w:b/>
                <w:sz w:val="15"/>
                <w:szCs w:val="15"/>
                <w:lang w:eastAsia="zh-CN"/>
              </w:rPr>
              <w:t>日</w:t>
            </w:r>
            <w:r w:rsidRPr="006C1A5B">
              <w:rPr>
                <w:rFonts w:ascii="SimHei" w:eastAsia="SimHei" w:hAnsi="Arial Black" w:hint="eastAsia"/>
                <w:b/>
                <w:caps/>
                <w:sz w:val="15"/>
                <w:szCs w:val="15"/>
                <w:lang w:eastAsia="zh-CN"/>
              </w:rPr>
              <w:t xml:space="preserve">  </w:t>
            </w:r>
          </w:p>
        </w:tc>
      </w:tr>
    </w:tbl>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rFonts w:ascii="SimHei" w:eastAsia="SimHei"/>
          <w:sz w:val="28"/>
          <w:szCs w:val="28"/>
          <w:lang w:eastAsia="zh-CN"/>
        </w:rPr>
      </w:pPr>
      <w:r w:rsidRPr="006C1A5B">
        <w:rPr>
          <w:rFonts w:ascii="SimHei" w:eastAsia="SimHei" w:hint="eastAsia"/>
          <w:sz w:val="28"/>
          <w:szCs w:val="28"/>
          <w:lang w:eastAsia="zh-CN"/>
        </w:rPr>
        <w:t>世界知识产权组织标准委员会（CWS）</w:t>
      </w: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textAlignment w:val="bottom"/>
        <w:rPr>
          <w:rFonts w:ascii="KaiTi" w:eastAsia="KaiTi"/>
          <w:b/>
          <w:sz w:val="24"/>
          <w:szCs w:val="24"/>
          <w:lang w:eastAsia="zh-CN"/>
        </w:rPr>
      </w:pPr>
      <w:r w:rsidRPr="006C1A5B">
        <w:rPr>
          <w:rFonts w:ascii="KaiTi" w:eastAsia="KaiTi" w:hint="eastAsia"/>
          <w:b/>
          <w:sz w:val="24"/>
          <w:szCs w:val="24"/>
          <w:lang w:eastAsia="zh-CN"/>
        </w:rPr>
        <w:t>第五届会议</w:t>
      </w:r>
    </w:p>
    <w:p w:rsidR="006C1A5B" w:rsidRPr="006C1A5B" w:rsidRDefault="006C1A5B" w:rsidP="006C1A5B">
      <w:pPr>
        <w:textAlignment w:val="bottom"/>
        <w:rPr>
          <w:rFonts w:ascii="KaiTi" w:eastAsia="KaiTi" w:hAnsi="KaiTi"/>
          <w:b/>
          <w:sz w:val="24"/>
          <w:szCs w:val="24"/>
          <w:lang w:eastAsia="zh-CN"/>
        </w:rPr>
      </w:pPr>
      <w:r w:rsidRPr="006C1A5B">
        <w:rPr>
          <w:rFonts w:ascii="KaiTi" w:eastAsia="KaiTi" w:hAnsi="KaiTi" w:hint="eastAsia"/>
          <w:sz w:val="24"/>
          <w:szCs w:val="24"/>
          <w:lang w:eastAsia="zh-CN"/>
        </w:rPr>
        <w:t>2017</w:t>
      </w:r>
      <w:r w:rsidRPr="006C1A5B">
        <w:rPr>
          <w:rFonts w:ascii="KaiTi" w:eastAsia="KaiTi" w:hAnsi="KaiTi" w:hint="eastAsia"/>
          <w:b/>
          <w:sz w:val="24"/>
          <w:szCs w:val="24"/>
          <w:lang w:eastAsia="zh-CN"/>
        </w:rPr>
        <w:t>年</w:t>
      </w:r>
      <w:r w:rsidRPr="006C1A5B">
        <w:rPr>
          <w:rFonts w:ascii="KaiTi" w:eastAsia="KaiTi" w:hAnsi="KaiTi" w:hint="eastAsia"/>
          <w:sz w:val="24"/>
          <w:szCs w:val="24"/>
          <w:lang w:eastAsia="zh-CN"/>
        </w:rPr>
        <w:t>5</w:t>
      </w:r>
      <w:r w:rsidRPr="006C1A5B">
        <w:rPr>
          <w:rFonts w:ascii="KaiTi" w:eastAsia="KaiTi" w:hAnsi="KaiTi" w:hint="eastAsia"/>
          <w:b/>
          <w:sz w:val="24"/>
          <w:szCs w:val="24"/>
          <w:lang w:eastAsia="zh-CN"/>
        </w:rPr>
        <w:t>月</w:t>
      </w:r>
      <w:r w:rsidRPr="006C1A5B">
        <w:rPr>
          <w:rFonts w:ascii="KaiTi" w:eastAsia="KaiTi" w:hAnsi="KaiTi" w:hint="eastAsia"/>
          <w:sz w:val="24"/>
          <w:szCs w:val="24"/>
          <w:lang w:eastAsia="zh-CN"/>
        </w:rPr>
        <w:t>29</w:t>
      </w:r>
      <w:r w:rsidRPr="006C1A5B">
        <w:rPr>
          <w:rFonts w:ascii="KaiTi" w:eastAsia="KaiTi" w:hAnsi="KaiTi" w:hint="eastAsia"/>
          <w:b/>
          <w:sz w:val="24"/>
          <w:szCs w:val="24"/>
          <w:lang w:eastAsia="zh-CN"/>
        </w:rPr>
        <w:t>日至</w:t>
      </w:r>
      <w:r w:rsidRPr="006C1A5B">
        <w:rPr>
          <w:rFonts w:ascii="KaiTi" w:eastAsia="KaiTi" w:hAnsi="KaiTi" w:hint="eastAsia"/>
          <w:sz w:val="24"/>
          <w:szCs w:val="24"/>
          <w:lang w:eastAsia="zh-CN"/>
        </w:rPr>
        <w:t>6</w:t>
      </w:r>
      <w:r w:rsidRPr="006C1A5B">
        <w:rPr>
          <w:rFonts w:ascii="KaiTi" w:eastAsia="KaiTi" w:hAnsi="KaiTi" w:hint="eastAsia"/>
          <w:b/>
          <w:sz w:val="24"/>
          <w:szCs w:val="24"/>
          <w:lang w:eastAsia="zh-CN"/>
        </w:rPr>
        <w:t>月</w:t>
      </w:r>
      <w:r w:rsidRPr="006C1A5B">
        <w:rPr>
          <w:rFonts w:ascii="KaiTi" w:eastAsia="KaiTi" w:hAnsi="KaiTi" w:hint="eastAsia"/>
          <w:sz w:val="24"/>
          <w:szCs w:val="24"/>
          <w:lang w:eastAsia="zh-CN"/>
        </w:rPr>
        <w:t>2</w:t>
      </w:r>
      <w:r w:rsidRPr="006C1A5B">
        <w:rPr>
          <w:rFonts w:ascii="KaiTi" w:eastAsia="KaiTi" w:hAnsi="KaiTi" w:hint="eastAsia"/>
          <w:b/>
          <w:sz w:val="24"/>
          <w:szCs w:val="24"/>
          <w:lang w:eastAsia="zh-CN"/>
        </w:rPr>
        <w:t>日，日内瓦</w:t>
      </w: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rFonts w:ascii="KaiTi" w:eastAsia="KaiTi" w:hAnsi="KaiTi" w:cs="Times New Roman"/>
          <w:kern w:val="2"/>
          <w:sz w:val="24"/>
          <w:szCs w:val="32"/>
          <w:lang w:eastAsia="zh-CN"/>
        </w:rPr>
      </w:pPr>
      <w:r w:rsidRPr="006C1A5B">
        <w:rPr>
          <w:rFonts w:ascii="KaiTi" w:eastAsia="KaiTi" w:hAnsi="KaiTi" w:cs="Times New Roman" w:hint="eastAsia"/>
          <w:kern w:val="2"/>
          <w:sz w:val="24"/>
          <w:szCs w:val="32"/>
          <w:lang w:eastAsia="zh-CN"/>
        </w:rPr>
        <w:t>申请人名称的标准化</w:t>
      </w:r>
    </w:p>
    <w:p w:rsidR="006C1A5B" w:rsidRDefault="006C1A5B" w:rsidP="006C1A5B">
      <w:pPr>
        <w:rPr>
          <w:lang w:eastAsia="zh-CN"/>
        </w:rPr>
      </w:pPr>
    </w:p>
    <w:p w:rsidR="00F9226C" w:rsidRPr="006C1A5B" w:rsidRDefault="00F9226C" w:rsidP="006C1A5B">
      <w:pPr>
        <w:rPr>
          <w:lang w:eastAsia="zh-CN"/>
        </w:rPr>
      </w:pPr>
    </w:p>
    <w:p w:rsidR="006C1A5B" w:rsidRPr="00F9226C" w:rsidRDefault="006C1A5B" w:rsidP="006C1A5B">
      <w:pPr>
        <w:rPr>
          <w:rFonts w:ascii="KaiTi" w:eastAsia="KaiTi" w:hAnsi="STKaiti" w:cs="Times New Roman"/>
          <w:kern w:val="2"/>
          <w:szCs w:val="24"/>
          <w:lang w:val="fr-FR" w:eastAsia="zh-CN"/>
        </w:rPr>
      </w:pPr>
      <w:r w:rsidRPr="00F9226C">
        <w:rPr>
          <w:rFonts w:ascii="KaiTi" w:eastAsia="KaiTi" w:hAnsi="STKaiti" w:cs="Times New Roman" w:hint="eastAsia"/>
          <w:kern w:val="2"/>
          <w:szCs w:val="24"/>
          <w:lang w:eastAsia="zh-CN"/>
        </w:rPr>
        <w:t>秘书处编拟的文件</w:t>
      </w:r>
    </w:p>
    <w:p w:rsidR="006C1A5B" w:rsidRPr="006C1A5B" w:rsidRDefault="006C1A5B" w:rsidP="006C1A5B">
      <w:pPr>
        <w:rPr>
          <w:lang w:eastAsia="zh-CN"/>
        </w:rPr>
      </w:pPr>
    </w:p>
    <w:p w:rsidR="006C1A5B" w:rsidRPr="006C1A5B" w:rsidRDefault="006C1A5B" w:rsidP="006C1A5B">
      <w:pPr>
        <w:rPr>
          <w:lang w:eastAsia="zh-CN"/>
        </w:rPr>
      </w:pPr>
    </w:p>
    <w:p w:rsidR="006C1A5B" w:rsidRPr="006C1A5B" w:rsidRDefault="006C1A5B" w:rsidP="006C1A5B">
      <w:pPr>
        <w:rPr>
          <w:lang w:eastAsia="zh-CN"/>
        </w:rPr>
      </w:pPr>
    </w:p>
    <w:p w:rsidR="006C1A5B" w:rsidRDefault="006C1A5B" w:rsidP="006C1A5B">
      <w:pPr>
        <w:rPr>
          <w:lang w:eastAsia="zh-CN"/>
        </w:rPr>
      </w:pPr>
    </w:p>
    <w:p w:rsidR="00F9226C" w:rsidRPr="006C1A5B" w:rsidRDefault="00F9226C" w:rsidP="006C1A5B">
      <w:pPr>
        <w:rPr>
          <w:lang w:eastAsia="zh-CN"/>
        </w:rPr>
      </w:pPr>
    </w:p>
    <w:p w:rsidR="006917C2" w:rsidRPr="00DB7A65" w:rsidRDefault="003B2EAC" w:rsidP="00F9226C">
      <w:pPr>
        <w:pStyle w:val="Heading2"/>
        <w:overflowPunct w:val="0"/>
        <w:spacing w:before="0"/>
        <w:rPr>
          <w:rFonts w:ascii="SimHei" w:eastAsia="SimHei" w:hAnsi="SimHei"/>
          <w:caps w:val="0"/>
          <w:sz w:val="21"/>
          <w:lang w:eastAsia="zh-CN"/>
        </w:rPr>
      </w:pPr>
      <w:r w:rsidRPr="00DB7A65">
        <w:rPr>
          <w:rFonts w:ascii="SimHei" w:eastAsia="SimHei" w:hAnsi="SimHei" w:hint="eastAsia"/>
          <w:caps w:val="0"/>
          <w:sz w:val="21"/>
          <w:lang w:eastAsia="zh-CN"/>
        </w:rPr>
        <w:t>导</w:t>
      </w:r>
      <w:r w:rsidR="00DB7A65">
        <w:rPr>
          <w:rFonts w:ascii="SimHei" w:eastAsia="SimHei" w:hAnsi="SimHei" w:hint="eastAsia"/>
          <w:caps w:val="0"/>
          <w:sz w:val="21"/>
          <w:lang w:eastAsia="zh-CN"/>
        </w:rPr>
        <w:t xml:space="preserve">　</w:t>
      </w:r>
      <w:r w:rsidRPr="00DB7A65">
        <w:rPr>
          <w:rFonts w:ascii="SimHei" w:eastAsia="SimHei" w:hAnsi="SimHei" w:hint="eastAsia"/>
          <w:caps w:val="0"/>
          <w:sz w:val="21"/>
          <w:lang w:eastAsia="zh-CN"/>
        </w:rPr>
        <w:t>言</w:t>
      </w:r>
    </w:p>
    <w:p w:rsidR="006917C2" w:rsidRPr="000E34CB" w:rsidRDefault="003B2EAC" w:rsidP="00F9226C">
      <w:pPr>
        <w:pStyle w:val="ONUME"/>
        <w:numPr>
          <w:ilvl w:val="0"/>
          <w:numId w:val="4"/>
        </w:numPr>
        <w:tabs>
          <w:tab w:val="clear" w:pos="567"/>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注意到</w:t>
      </w:r>
      <w:r w:rsidR="00132D44" w:rsidRPr="000E34CB">
        <w:rPr>
          <w:rFonts w:ascii="SimSun" w:hAnsi="SimSun" w:hint="eastAsia"/>
          <w:sz w:val="21"/>
          <w:szCs w:val="21"/>
          <w:lang w:eastAsia="zh-CN"/>
        </w:rPr>
        <w:t>申请人名称</w:t>
      </w:r>
      <w:r w:rsidR="000272FB" w:rsidRPr="000E34CB">
        <w:rPr>
          <w:rFonts w:ascii="SimSun" w:hAnsi="SimSun" w:hint="eastAsia"/>
          <w:sz w:val="21"/>
          <w:szCs w:val="21"/>
          <w:lang w:eastAsia="zh-CN"/>
        </w:rPr>
        <w:t>的</w:t>
      </w:r>
      <w:r w:rsidRPr="000E34CB">
        <w:rPr>
          <w:rFonts w:ascii="SimSun" w:hAnsi="SimSun" w:hint="eastAsia"/>
          <w:sz w:val="21"/>
          <w:szCs w:val="21"/>
          <w:lang w:eastAsia="zh-CN"/>
        </w:rPr>
        <w:t>标准化在工业产权</w:t>
      </w:r>
      <w:r w:rsidR="005731B9">
        <w:rPr>
          <w:rFonts w:ascii="SimSun" w:hAnsi="SimSun"/>
          <w:sz w:val="21"/>
          <w:szCs w:val="21"/>
          <w:lang w:eastAsia="zh-CN"/>
        </w:rPr>
        <w:t>（</w:t>
      </w:r>
      <w:r w:rsidRPr="000E34CB">
        <w:rPr>
          <w:rFonts w:ascii="SimSun" w:hAnsi="SimSun"/>
          <w:sz w:val="21"/>
          <w:szCs w:val="21"/>
          <w:lang w:eastAsia="zh-CN"/>
        </w:rPr>
        <w:t>IP</w:t>
      </w:r>
      <w:r w:rsidR="005731B9">
        <w:rPr>
          <w:rFonts w:ascii="SimSun" w:hAnsi="SimSun"/>
          <w:sz w:val="21"/>
          <w:szCs w:val="21"/>
          <w:lang w:eastAsia="zh-CN"/>
        </w:rPr>
        <w:t>）</w:t>
      </w:r>
      <w:r w:rsidR="000272FB" w:rsidRPr="000E34CB">
        <w:rPr>
          <w:rFonts w:ascii="SimSun" w:hAnsi="SimSun" w:hint="eastAsia"/>
          <w:sz w:val="21"/>
          <w:szCs w:val="21"/>
          <w:lang w:eastAsia="zh-CN"/>
        </w:rPr>
        <w:t>信息领域是</w:t>
      </w:r>
      <w:r w:rsidRPr="000E34CB">
        <w:rPr>
          <w:rFonts w:ascii="SimSun" w:hAnsi="SimSun" w:hint="eastAsia"/>
          <w:sz w:val="21"/>
          <w:szCs w:val="21"/>
          <w:lang w:eastAsia="zh-CN"/>
        </w:rPr>
        <w:t>至关重要的问题。</w:t>
      </w:r>
      <w:r w:rsidR="000272FB" w:rsidRPr="000E34CB">
        <w:rPr>
          <w:rFonts w:ascii="SimSun" w:hAnsi="SimSun" w:hint="eastAsia"/>
          <w:sz w:val="21"/>
          <w:szCs w:val="21"/>
          <w:lang w:eastAsia="zh-CN"/>
        </w:rPr>
        <w:t>目前，</w:t>
      </w:r>
      <w:r w:rsidRPr="000E34CB">
        <w:rPr>
          <w:rFonts w:ascii="SimSun" w:hAnsi="SimSun" w:hint="eastAsia"/>
          <w:sz w:val="21"/>
          <w:szCs w:val="21"/>
          <w:lang w:eastAsia="zh-CN"/>
        </w:rPr>
        <w:t>工业产权局</w:t>
      </w:r>
      <w:r w:rsidR="005731B9">
        <w:rPr>
          <w:rFonts w:ascii="SimSun" w:hAnsi="SimSun"/>
          <w:sz w:val="21"/>
          <w:szCs w:val="21"/>
          <w:lang w:eastAsia="zh-CN"/>
        </w:rPr>
        <w:t>（IPO）</w:t>
      </w:r>
      <w:r w:rsidRPr="000E34CB">
        <w:rPr>
          <w:rFonts w:ascii="SimSun" w:hAnsi="SimSun" w:hint="eastAsia"/>
          <w:sz w:val="21"/>
          <w:szCs w:val="21"/>
          <w:lang w:eastAsia="zh-CN"/>
        </w:rPr>
        <w:t>、工业产权信息提供商和工业产权信息用户由于专利申请中</w:t>
      </w:r>
      <w:r w:rsidR="00132D44" w:rsidRPr="000E34CB">
        <w:rPr>
          <w:rFonts w:ascii="SimSun" w:hAnsi="SimSun" w:hint="eastAsia"/>
          <w:sz w:val="21"/>
          <w:szCs w:val="21"/>
          <w:lang w:eastAsia="zh-CN"/>
        </w:rPr>
        <w:t>申请人名称</w:t>
      </w:r>
      <w:r w:rsidR="000272FB" w:rsidRPr="000E34CB">
        <w:rPr>
          <w:rFonts w:ascii="SimSun" w:hAnsi="SimSun" w:hint="eastAsia"/>
          <w:sz w:val="21"/>
          <w:szCs w:val="21"/>
          <w:lang w:eastAsia="zh-CN"/>
        </w:rPr>
        <w:t>不不统一而面临着很大</w:t>
      </w:r>
      <w:r w:rsidRPr="000E34CB">
        <w:rPr>
          <w:rFonts w:ascii="SimSun" w:hAnsi="SimSun" w:hint="eastAsia"/>
          <w:sz w:val="21"/>
          <w:szCs w:val="21"/>
          <w:lang w:eastAsia="zh-CN"/>
        </w:rPr>
        <w:t>困难。还注意到</w:t>
      </w:r>
      <w:r w:rsidR="000272FB" w:rsidRPr="000E34CB">
        <w:rPr>
          <w:rFonts w:ascii="SimSun" w:hAnsi="SimSun" w:hint="eastAsia"/>
          <w:sz w:val="21"/>
          <w:szCs w:val="21"/>
          <w:lang w:eastAsia="zh-CN"/>
        </w:rPr>
        <w:t>各</w:t>
      </w:r>
      <w:r w:rsidRPr="000E34CB">
        <w:rPr>
          <w:rFonts w:ascii="SimSun" w:hAnsi="SimSun" w:hint="eastAsia"/>
          <w:sz w:val="21"/>
          <w:szCs w:val="21"/>
          <w:lang w:eastAsia="zh-CN"/>
        </w:rPr>
        <w:t>利益攸关方正在若干地区和国际论坛尝试简化这些做法，以提高其效率。因此，</w:t>
      </w:r>
      <w:r w:rsidR="00132D44" w:rsidRPr="000E34CB">
        <w:rPr>
          <w:rFonts w:ascii="SimSun" w:hAnsi="SimSun" w:hint="eastAsia"/>
          <w:sz w:val="21"/>
          <w:szCs w:val="21"/>
          <w:lang w:eastAsia="zh-CN"/>
        </w:rPr>
        <w:t>申请人名称</w:t>
      </w:r>
      <w:r w:rsidR="000272FB" w:rsidRPr="000E34CB">
        <w:rPr>
          <w:rFonts w:ascii="SimSun" w:hAnsi="SimSun" w:hint="eastAsia"/>
          <w:sz w:val="21"/>
          <w:szCs w:val="21"/>
          <w:lang w:eastAsia="zh-CN"/>
        </w:rPr>
        <w:t>的</w:t>
      </w:r>
      <w:r w:rsidRPr="000E34CB">
        <w:rPr>
          <w:rFonts w:ascii="SimSun" w:hAnsi="SimSun" w:hint="eastAsia"/>
          <w:sz w:val="21"/>
          <w:szCs w:val="21"/>
          <w:lang w:eastAsia="zh-CN"/>
        </w:rPr>
        <w:t>标准化是工业产权五局及其他工业产权局议程中的一项</w:t>
      </w:r>
      <w:r w:rsidR="00EC6516" w:rsidRPr="000E34CB">
        <w:rPr>
          <w:rFonts w:ascii="SimSun" w:hAnsi="SimSun" w:hint="eastAsia"/>
          <w:sz w:val="21"/>
          <w:szCs w:val="21"/>
          <w:lang w:eastAsia="zh-CN"/>
        </w:rPr>
        <w:t>；</w:t>
      </w:r>
      <w:r w:rsidR="007050CD" w:rsidRPr="000E34CB">
        <w:rPr>
          <w:rFonts w:ascii="SimSun" w:hAnsi="SimSun" w:hint="eastAsia"/>
          <w:sz w:val="21"/>
          <w:szCs w:val="21"/>
          <w:lang w:eastAsia="zh-CN"/>
        </w:rPr>
        <w:t>它</w:t>
      </w:r>
      <w:r w:rsidR="00EC6516" w:rsidRPr="000E34CB">
        <w:rPr>
          <w:rFonts w:ascii="SimSun" w:hAnsi="SimSun" w:hint="eastAsia"/>
          <w:sz w:val="21"/>
          <w:szCs w:val="21"/>
          <w:lang w:eastAsia="zh-CN"/>
        </w:rPr>
        <w:t>在工业产权信息用户</w:t>
      </w:r>
      <w:r w:rsidR="000272FB" w:rsidRPr="000E34CB">
        <w:rPr>
          <w:rFonts w:ascii="SimSun" w:hAnsi="SimSun" w:hint="eastAsia"/>
          <w:sz w:val="21"/>
          <w:szCs w:val="21"/>
          <w:lang w:eastAsia="zh-CN"/>
        </w:rPr>
        <w:t>的各</w:t>
      </w:r>
      <w:r w:rsidR="00EC6516" w:rsidRPr="000E34CB">
        <w:rPr>
          <w:rFonts w:ascii="SimSun" w:hAnsi="SimSun" w:hint="eastAsia"/>
          <w:sz w:val="21"/>
          <w:szCs w:val="21"/>
          <w:lang w:eastAsia="zh-CN"/>
        </w:rPr>
        <w:t>会议上</w:t>
      </w:r>
      <w:r w:rsidR="00132D44" w:rsidRPr="000E34CB">
        <w:rPr>
          <w:rFonts w:ascii="SimSun" w:hAnsi="SimSun" w:hint="eastAsia"/>
          <w:sz w:val="21"/>
          <w:szCs w:val="21"/>
          <w:lang w:eastAsia="zh-CN"/>
        </w:rPr>
        <w:t>得到</w:t>
      </w:r>
      <w:r w:rsidR="00EC6516" w:rsidRPr="000E34CB">
        <w:rPr>
          <w:rFonts w:ascii="SimSun" w:hAnsi="SimSun" w:hint="eastAsia"/>
          <w:sz w:val="21"/>
          <w:szCs w:val="21"/>
          <w:lang w:eastAsia="zh-CN"/>
        </w:rPr>
        <w:t>讨论。</w:t>
      </w:r>
    </w:p>
    <w:p w:rsidR="006917C2" w:rsidRPr="00BB2FA7" w:rsidRDefault="00132D44" w:rsidP="00F9226C">
      <w:pPr>
        <w:pStyle w:val="Heading2"/>
        <w:overflowPunct w:val="0"/>
        <w:spacing w:before="0"/>
        <w:rPr>
          <w:rFonts w:ascii="SimHei" w:eastAsia="SimHei" w:hAnsi="SimHei"/>
          <w:caps w:val="0"/>
          <w:sz w:val="21"/>
          <w:lang w:eastAsia="zh-CN"/>
        </w:rPr>
      </w:pPr>
      <w:r w:rsidRPr="00BB2FA7">
        <w:rPr>
          <w:rFonts w:ascii="SimHei" w:eastAsia="SimHei" w:hAnsi="SimHei" w:hint="eastAsia"/>
          <w:caps w:val="0"/>
          <w:sz w:val="21"/>
          <w:lang w:eastAsia="zh-CN"/>
        </w:rPr>
        <w:t>申请人名称</w:t>
      </w:r>
      <w:r w:rsidR="00EC6516" w:rsidRPr="00BB2FA7">
        <w:rPr>
          <w:rFonts w:ascii="SimHei" w:eastAsia="SimHei" w:hAnsi="SimHei" w:hint="eastAsia"/>
          <w:caps w:val="0"/>
          <w:sz w:val="21"/>
          <w:lang w:eastAsia="zh-CN"/>
        </w:rPr>
        <w:t>标准化讲习班</w:t>
      </w:r>
    </w:p>
    <w:p w:rsidR="00F9226C" w:rsidRDefault="00FA5C83"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686202">
        <w:rPr>
          <w:rFonts w:ascii="SimSun" w:hAnsi="SimSun" w:hint="eastAsia"/>
          <w:sz w:val="21"/>
          <w:szCs w:val="21"/>
          <w:lang w:eastAsia="zh-CN"/>
        </w:rPr>
        <w:t>认识到申请人名称的重要性，</w:t>
      </w:r>
      <w:r w:rsidR="000272FB" w:rsidRPr="00686202">
        <w:rPr>
          <w:rFonts w:ascii="SimSun" w:hAnsi="SimSun" w:hint="eastAsia"/>
          <w:sz w:val="21"/>
          <w:szCs w:val="21"/>
          <w:lang w:eastAsia="zh-CN"/>
        </w:rPr>
        <w:t>同时兼顾非</w:t>
      </w:r>
      <w:r w:rsidR="00B262D5" w:rsidRPr="00686202">
        <w:rPr>
          <w:rFonts w:ascii="SimSun" w:hAnsi="SimSun" w:hint="eastAsia"/>
          <w:sz w:val="21"/>
          <w:szCs w:val="21"/>
          <w:lang w:eastAsia="zh-CN"/>
        </w:rPr>
        <w:t>标准化</w:t>
      </w:r>
      <w:r w:rsidR="000272FB" w:rsidRPr="00686202">
        <w:rPr>
          <w:rFonts w:ascii="SimSun" w:hAnsi="SimSun" w:hint="eastAsia"/>
          <w:sz w:val="21"/>
          <w:szCs w:val="21"/>
          <w:lang w:eastAsia="zh-CN"/>
        </w:rPr>
        <w:t>名称</w:t>
      </w:r>
      <w:r w:rsidR="00B262D5" w:rsidRPr="00686202">
        <w:rPr>
          <w:rFonts w:ascii="SimSun" w:hAnsi="SimSun" w:hint="eastAsia"/>
          <w:sz w:val="21"/>
          <w:szCs w:val="21"/>
          <w:lang w:eastAsia="zh-CN"/>
        </w:rPr>
        <w:t>给所有利益攸关方造成的困难，WIPO国际局2016年6月8</w:t>
      </w:r>
      <w:r w:rsidR="00E91B8B">
        <w:rPr>
          <w:rFonts w:ascii="SimSun" w:hAnsi="SimSun" w:hint="eastAsia"/>
          <w:sz w:val="21"/>
          <w:szCs w:val="21"/>
          <w:lang w:eastAsia="zh-CN"/>
        </w:rPr>
        <w:t>日</w:t>
      </w:r>
      <w:r w:rsidR="00B262D5" w:rsidRPr="00686202">
        <w:rPr>
          <w:rFonts w:ascii="SimSun" w:hAnsi="SimSun" w:hint="eastAsia"/>
          <w:sz w:val="21"/>
          <w:szCs w:val="21"/>
          <w:lang w:eastAsia="zh-CN"/>
        </w:rPr>
        <w:t>发出关于主办申请人名称标准化WIPO标准讲习班</w:t>
      </w:r>
      <w:r w:rsidR="005731B9">
        <w:rPr>
          <w:rFonts w:ascii="SimSun" w:hAnsi="SimSun" w:hint="eastAsia"/>
          <w:sz w:val="21"/>
          <w:szCs w:val="21"/>
          <w:lang w:eastAsia="zh-CN"/>
        </w:rPr>
        <w:t>（</w:t>
      </w:r>
      <w:r w:rsidR="00B262D5" w:rsidRPr="00686202">
        <w:rPr>
          <w:rFonts w:ascii="SimSun" w:hAnsi="SimSun" w:hint="eastAsia"/>
          <w:sz w:val="21"/>
          <w:szCs w:val="21"/>
          <w:lang w:eastAsia="zh-CN"/>
        </w:rPr>
        <w:t>下称“讲习班”</w:t>
      </w:r>
      <w:r w:rsidR="005731B9">
        <w:rPr>
          <w:rFonts w:ascii="SimSun" w:hAnsi="SimSun" w:hint="eastAsia"/>
          <w:sz w:val="21"/>
          <w:szCs w:val="21"/>
          <w:lang w:eastAsia="zh-CN"/>
        </w:rPr>
        <w:t>）</w:t>
      </w:r>
      <w:r w:rsidR="00B262D5" w:rsidRPr="00686202">
        <w:rPr>
          <w:rFonts w:ascii="SimSun" w:hAnsi="SimSun" w:hint="eastAsia"/>
          <w:sz w:val="21"/>
          <w:szCs w:val="21"/>
          <w:lang w:eastAsia="zh-CN"/>
        </w:rPr>
        <w:t>的通函</w:t>
      </w:r>
      <w:r w:rsidR="00686202">
        <w:rPr>
          <w:rFonts w:ascii="SimSun" w:hAnsi="SimSun"/>
          <w:sz w:val="21"/>
          <w:szCs w:val="21"/>
          <w:lang w:eastAsia="zh-CN"/>
        </w:rPr>
        <w:t>C.</w:t>
      </w:r>
      <w:r w:rsidR="00B262D5" w:rsidRPr="00686202">
        <w:rPr>
          <w:rFonts w:ascii="SimSun" w:hAnsi="SimSun"/>
          <w:sz w:val="21"/>
          <w:szCs w:val="21"/>
          <w:lang w:eastAsia="zh-CN"/>
        </w:rPr>
        <w:t>CWS 71</w:t>
      </w:r>
      <w:r w:rsidR="00B262D5" w:rsidRPr="00686202">
        <w:rPr>
          <w:rFonts w:ascii="SimSun" w:hAnsi="SimSun" w:hint="eastAsia"/>
          <w:sz w:val="21"/>
          <w:szCs w:val="21"/>
          <w:lang w:eastAsia="zh-CN"/>
        </w:rPr>
        <w:t>。讲习班</w:t>
      </w:r>
      <w:r w:rsidR="000272FB" w:rsidRPr="00686202">
        <w:rPr>
          <w:rFonts w:ascii="SimSun" w:hAnsi="SimSun" w:hint="eastAsia"/>
          <w:sz w:val="21"/>
          <w:szCs w:val="21"/>
          <w:lang w:eastAsia="zh-CN"/>
        </w:rPr>
        <w:t>于</w:t>
      </w:r>
      <w:r w:rsidR="00B262D5" w:rsidRPr="00686202">
        <w:rPr>
          <w:rFonts w:ascii="SimSun" w:hAnsi="SimSun" w:hint="eastAsia"/>
          <w:sz w:val="21"/>
          <w:szCs w:val="21"/>
          <w:lang w:eastAsia="zh-CN"/>
        </w:rPr>
        <w:t>2016年9月5日在日内瓦举行。更多关于讲习班的信息见WIPO网站：</w:t>
      </w:r>
      <w:r w:rsidR="005D540A" w:rsidRPr="006C1A5B">
        <w:fldChar w:fldCharType="begin"/>
      </w:r>
      <w:r w:rsidR="005D540A" w:rsidRPr="006C1A5B">
        <w:rPr>
          <w:rFonts w:ascii="SimSun" w:hAnsi="SimSun"/>
          <w:sz w:val="21"/>
          <w:szCs w:val="21"/>
          <w:lang w:eastAsia="zh-CN"/>
        </w:rPr>
        <w:instrText xml:space="preserve"> HYPERLINK "http://www.wipo.int/meetings/en/details.jsp?meeting_id=40784" </w:instrText>
      </w:r>
      <w:r w:rsidR="005D540A" w:rsidRPr="006C1A5B">
        <w:fldChar w:fldCharType="separate"/>
      </w:r>
      <w:r w:rsidR="00B262D5" w:rsidRPr="006C1A5B">
        <w:rPr>
          <w:rStyle w:val="Hyperlink"/>
          <w:rFonts w:ascii="SimSun" w:hAnsi="SimSun"/>
          <w:color w:val="auto"/>
          <w:sz w:val="21"/>
          <w:szCs w:val="21"/>
          <w:u w:val="none"/>
          <w:lang w:eastAsia="zh-CN"/>
        </w:rPr>
        <w:t>http://www.wipo.int/meetings/en/details.jsp?meeting_id=40784</w:t>
      </w:r>
      <w:r w:rsidR="005D540A" w:rsidRPr="006C1A5B">
        <w:rPr>
          <w:rStyle w:val="Hyperlink"/>
          <w:rFonts w:ascii="SimSun" w:hAnsi="SimSun"/>
          <w:color w:val="auto"/>
          <w:sz w:val="21"/>
          <w:szCs w:val="21"/>
          <w:u w:val="none"/>
          <w:lang w:eastAsia="zh-CN"/>
        </w:rPr>
        <w:fldChar w:fldCharType="end"/>
      </w:r>
      <w:r w:rsidR="00B262D5" w:rsidRPr="00686202">
        <w:rPr>
          <w:rFonts w:ascii="SimSun" w:hAnsi="SimSun" w:hint="eastAsia"/>
          <w:sz w:val="21"/>
          <w:szCs w:val="21"/>
          <w:lang w:eastAsia="zh-CN"/>
        </w:rPr>
        <w:t>。</w:t>
      </w:r>
    </w:p>
    <w:p w:rsidR="00F9226C" w:rsidRDefault="00F9226C">
      <w:pPr>
        <w:rPr>
          <w:rFonts w:ascii="SimSun" w:hAnsi="SimSun"/>
          <w:sz w:val="21"/>
          <w:szCs w:val="21"/>
          <w:lang w:eastAsia="zh-CN"/>
        </w:rPr>
      </w:pPr>
      <w:r>
        <w:rPr>
          <w:rFonts w:ascii="SimSun" w:hAnsi="SimSun"/>
          <w:sz w:val="21"/>
          <w:szCs w:val="21"/>
          <w:lang w:eastAsia="zh-CN"/>
        </w:rPr>
        <w:br w:type="page"/>
      </w:r>
    </w:p>
    <w:p w:rsidR="00EF24F2" w:rsidRPr="000E34CB" w:rsidRDefault="006218F6"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28名与会人员</w:t>
      </w:r>
      <w:r w:rsidR="009D5FCA" w:rsidRPr="000E34CB">
        <w:rPr>
          <w:rFonts w:ascii="SimSun" w:hAnsi="SimSun" w:hint="eastAsia"/>
          <w:sz w:val="21"/>
          <w:szCs w:val="21"/>
          <w:lang w:eastAsia="zh-CN"/>
        </w:rPr>
        <w:t>代表以下组织</w:t>
      </w:r>
      <w:r w:rsidRPr="000E34CB">
        <w:rPr>
          <w:rFonts w:ascii="SimSun" w:hAnsi="SimSun" w:hint="eastAsia"/>
          <w:sz w:val="21"/>
          <w:szCs w:val="21"/>
          <w:lang w:eastAsia="zh-CN"/>
        </w:rPr>
        <w:t>参加了本次活动：</w:t>
      </w:r>
    </w:p>
    <w:p w:rsidR="00EF24F2" w:rsidRPr="000E34CB" w:rsidRDefault="00DA14DE" w:rsidP="006C1A5B">
      <w:pPr>
        <w:pStyle w:val="ONUME"/>
        <w:numPr>
          <w:ilvl w:val="0"/>
          <w:numId w:val="5"/>
        </w:numPr>
        <w:overflowPunct w:val="0"/>
        <w:spacing w:afterLines="50" w:after="120" w:line="340" w:lineRule="atLeast"/>
        <w:ind w:left="924" w:hanging="357"/>
        <w:jc w:val="both"/>
        <w:rPr>
          <w:rFonts w:ascii="SimSun" w:hAnsi="SimSun"/>
          <w:sz w:val="21"/>
          <w:szCs w:val="21"/>
          <w:lang w:eastAsia="zh-CN"/>
        </w:rPr>
      </w:pPr>
      <w:r w:rsidRPr="000E34CB">
        <w:rPr>
          <w:rFonts w:ascii="SimSun" w:hAnsi="SimSun" w:hint="eastAsia"/>
          <w:sz w:val="21"/>
          <w:szCs w:val="21"/>
          <w:lang w:eastAsia="zh-CN"/>
        </w:rPr>
        <w:t>工业产权局：奥地利专利局、澳大利亚知识产权局、德国专利商标局</w:t>
      </w:r>
      <w:r w:rsidR="005731B9">
        <w:rPr>
          <w:rFonts w:ascii="SimSun" w:hAnsi="SimSun" w:hint="eastAsia"/>
          <w:sz w:val="21"/>
          <w:szCs w:val="21"/>
          <w:lang w:eastAsia="zh-CN"/>
        </w:rPr>
        <w:t>（</w:t>
      </w:r>
      <w:r w:rsidRPr="000E34CB">
        <w:rPr>
          <w:rFonts w:ascii="SimSun" w:hAnsi="SimSun"/>
          <w:sz w:val="21"/>
          <w:szCs w:val="21"/>
          <w:lang w:eastAsia="zh-CN"/>
        </w:rPr>
        <w:t>DPMA</w:t>
      </w:r>
      <w:r w:rsidR="005731B9">
        <w:rPr>
          <w:rFonts w:ascii="SimSun" w:hAnsi="SimSun" w:hint="eastAsia"/>
          <w:sz w:val="21"/>
          <w:szCs w:val="21"/>
          <w:lang w:eastAsia="zh-CN"/>
        </w:rPr>
        <w:t>）</w:t>
      </w:r>
      <w:r w:rsidRPr="000E34CB">
        <w:rPr>
          <w:rFonts w:ascii="SimSun" w:hAnsi="SimSun" w:hint="eastAsia"/>
          <w:sz w:val="21"/>
          <w:szCs w:val="21"/>
          <w:lang w:eastAsia="zh-CN"/>
        </w:rPr>
        <w:t>、欧亚专利局</w:t>
      </w:r>
      <w:r w:rsidR="005731B9">
        <w:rPr>
          <w:rFonts w:ascii="SimSun" w:hAnsi="SimSun" w:hint="eastAsia"/>
          <w:sz w:val="21"/>
          <w:szCs w:val="21"/>
          <w:lang w:eastAsia="zh-CN"/>
        </w:rPr>
        <w:t>（</w:t>
      </w:r>
      <w:r w:rsidRPr="000E34CB">
        <w:rPr>
          <w:rFonts w:ascii="SimSun" w:hAnsi="SimSun"/>
          <w:sz w:val="21"/>
          <w:szCs w:val="21"/>
          <w:lang w:eastAsia="zh-CN"/>
        </w:rPr>
        <w:t>EAPO</w:t>
      </w:r>
      <w:r w:rsidR="005731B9">
        <w:rPr>
          <w:rFonts w:ascii="SimSun" w:hAnsi="SimSun" w:hint="eastAsia"/>
          <w:sz w:val="21"/>
          <w:szCs w:val="21"/>
          <w:lang w:eastAsia="zh-CN"/>
        </w:rPr>
        <w:t>）</w:t>
      </w:r>
      <w:r w:rsidRPr="000E34CB">
        <w:rPr>
          <w:rFonts w:ascii="SimSun" w:hAnsi="SimSun" w:hint="eastAsia"/>
          <w:sz w:val="21"/>
          <w:szCs w:val="21"/>
          <w:lang w:eastAsia="zh-CN"/>
        </w:rPr>
        <w:t>、欧洲专利局</w:t>
      </w:r>
      <w:r w:rsidR="005731B9">
        <w:rPr>
          <w:rFonts w:ascii="SimSun" w:hAnsi="SimSun" w:hint="eastAsia"/>
          <w:sz w:val="21"/>
          <w:szCs w:val="21"/>
          <w:lang w:eastAsia="zh-CN"/>
        </w:rPr>
        <w:t>（</w:t>
      </w:r>
      <w:r w:rsidRPr="000E34CB">
        <w:rPr>
          <w:rFonts w:ascii="SimSun" w:hAnsi="SimSun"/>
          <w:sz w:val="21"/>
          <w:szCs w:val="21"/>
          <w:lang w:eastAsia="zh-CN"/>
        </w:rPr>
        <w:t>EPO</w:t>
      </w:r>
      <w:r w:rsidR="005731B9">
        <w:rPr>
          <w:rFonts w:ascii="SimSun" w:hAnsi="SimSun" w:hint="eastAsia"/>
          <w:sz w:val="21"/>
          <w:szCs w:val="21"/>
          <w:lang w:eastAsia="zh-CN"/>
        </w:rPr>
        <w:t>）</w:t>
      </w:r>
      <w:r w:rsidRPr="000E34CB">
        <w:rPr>
          <w:rFonts w:ascii="SimSun" w:hAnsi="SimSun" w:hint="eastAsia"/>
          <w:sz w:val="21"/>
          <w:szCs w:val="21"/>
          <w:lang w:eastAsia="zh-CN"/>
        </w:rPr>
        <w:t>、法国</w:t>
      </w:r>
      <w:r w:rsidR="00ED3A64" w:rsidRPr="000E34CB">
        <w:rPr>
          <w:rFonts w:ascii="SimSun" w:hAnsi="SimSun" w:hint="eastAsia"/>
          <w:sz w:val="21"/>
          <w:szCs w:val="21"/>
          <w:lang w:eastAsia="zh-CN"/>
        </w:rPr>
        <w:t>知识产权局</w:t>
      </w:r>
      <w:r w:rsidR="005731B9">
        <w:rPr>
          <w:rFonts w:ascii="SimSun" w:hAnsi="SimSun" w:hint="eastAsia"/>
          <w:sz w:val="21"/>
          <w:szCs w:val="21"/>
          <w:lang w:eastAsia="zh-CN"/>
        </w:rPr>
        <w:t>（</w:t>
      </w:r>
      <w:r w:rsidR="00ED3A64" w:rsidRPr="000E34CB">
        <w:rPr>
          <w:rFonts w:ascii="SimSun" w:hAnsi="SimSun"/>
          <w:sz w:val="21"/>
          <w:szCs w:val="21"/>
          <w:lang w:eastAsia="zh-CN"/>
        </w:rPr>
        <w:t>INPI</w:t>
      </w:r>
      <w:r w:rsidR="005731B9">
        <w:rPr>
          <w:rFonts w:ascii="SimSun" w:hAnsi="SimSun" w:hint="eastAsia"/>
          <w:sz w:val="21"/>
          <w:szCs w:val="21"/>
          <w:lang w:eastAsia="zh-CN"/>
        </w:rPr>
        <w:t>）</w:t>
      </w:r>
      <w:r w:rsidRPr="000E34CB">
        <w:rPr>
          <w:rFonts w:ascii="SimSun" w:hAnsi="SimSun" w:hint="eastAsia"/>
          <w:sz w:val="21"/>
          <w:szCs w:val="21"/>
          <w:lang w:eastAsia="zh-CN"/>
        </w:rPr>
        <w:t>、日本专利局</w:t>
      </w:r>
      <w:r w:rsidR="005731B9">
        <w:rPr>
          <w:rFonts w:ascii="SimSun" w:hAnsi="SimSun" w:hint="eastAsia"/>
          <w:sz w:val="21"/>
          <w:szCs w:val="21"/>
          <w:lang w:eastAsia="zh-CN"/>
        </w:rPr>
        <w:t>（</w:t>
      </w:r>
      <w:r w:rsidRPr="000E34CB">
        <w:rPr>
          <w:rFonts w:ascii="SimSun" w:hAnsi="SimSun"/>
          <w:sz w:val="21"/>
          <w:szCs w:val="21"/>
          <w:lang w:eastAsia="zh-CN"/>
        </w:rPr>
        <w:t>JPO</w:t>
      </w:r>
      <w:r w:rsidR="005731B9">
        <w:rPr>
          <w:rFonts w:ascii="SimSun" w:hAnsi="SimSun" w:hint="eastAsia"/>
          <w:sz w:val="21"/>
          <w:szCs w:val="21"/>
          <w:lang w:eastAsia="zh-CN"/>
        </w:rPr>
        <w:t>）</w:t>
      </w:r>
      <w:r w:rsidRPr="000E34CB">
        <w:rPr>
          <w:rFonts w:ascii="SimSun" w:hAnsi="SimSun" w:hint="eastAsia"/>
          <w:sz w:val="21"/>
          <w:szCs w:val="21"/>
          <w:lang w:eastAsia="zh-CN"/>
        </w:rPr>
        <w:t>、韩国知识产权局</w:t>
      </w:r>
      <w:r w:rsidR="005731B9">
        <w:rPr>
          <w:rFonts w:ascii="SimSun" w:hAnsi="SimSun"/>
          <w:sz w:val="21"/>
          <w:szCs w:val="21"/>
          <w:lang w:eastAsia="zh-CN"/>
        </w:rPr>
        <w:t>（</w:t>
      </w:r>
      <w:r w:rsidR="00ED3A64" w:rsidRPr="000E34CB">
        <w:rPr>
          <w:rFonts w:ascii="SimSun" w:hAnsi="SimSun"/>
          <w:sz w:val="21"/>
          <w:szCs w:val="21"/>
          <w:lang w:eastAsia="zh-CN"/>
        </w:rPr>
        <w:t>KIPO</w:t>
      </w:r>
      <w:r w:rsidR="005731B9">
        <w:rPr>
          <w:rFonts w:ascii="SimSun" w:hAnsi="SimSun"/>
          <w:sz w:val="21"/>
          <w:szCs w:val="21"/>
          <w:lang w:eastAsia="zh-CN"/>
        </w:rPr>
        <w:t>）</w:t>
      </w:r>
      <w:r w:rsidRPr="000E34CB">
        <w:rPr>
          <w:rFonts w:ascii="SimSun" w:hAnsi="SimSun" w:hint="eastAsia"/>
          <w:sz w:val="21"/>
          <w:szCs w:val="21"/>
          <w:lang w:eastAsia="zh-CN"/>
        </w:rPr>
        <w:t>、俄罗斯</w:t>
      </w:r>
      <w:r w:rsidR="00ED3A64" w:rsidRPr="000E34CB">
        <w:rPr>
          <w:rFonts w:ascii="SimSun" w:hAnsi="SimSun" w:hint="eastAsia"/>
          <w:sz w:val="21"/>
          <w:szCs w:val="21"/>
          <w:lang w:eastAsia="zh-CN"/>
        </w:rPr>
        <w:t>专利局</w:t>
      </w:r>
      <w:r w:rsidR="005731B9">
        <w:rPr>
          <w:rFonts w:ascii="SimSun" w:hAnsi="SimSun" w:hint="eastAsia"/>
          <w:sz w:val="21"/>
          <w:szCs w:val="21"/>
          <w:lang w:eastAsia="zh-CN"/>
        </w:rPr>
        <w:t>（</w:t>
      </w:r>
      <w:proofErr w:type="spellStart"/>
      <w:r w:rsidR="00ED3A64" w:rsidRPr="000E34CB">
        <w:rPr>
          <w:rFonts w:ascii="SimSun" w:hAnsi="SimSun"/>
          <w:sz w:val="21"/>
          <w:szCs w:val="21"/>
          <w:lang w:eastAsia="zh-CN"/>
        </w:rPr>
        <w:t>Rospatent</w:t>
      </w:r>
      <w:proofErr w:type="spellEnd"/>
      <w:r w:rsidR="005731B9">
        <w:rPr>
          <w:rFonts w:ascii="SimSun" w:hAnsi="SimSun" w:hint="eastAsia"/>
          <w:sz w:val="21"/>
          <w:szCs w:val="21"/>
          <w:lang w:eastAsia="zh-CN"/>
        </w:rPr>
        <w:t>）</w:t>
      </w:r>
      <w:r w:rsidR="00ED3A64" w:rsidRPr="000E34CB">
        <w:rPr>
          <w:rFonts w:ascii="SimSun" w:hAnsi="SimSun" w:hint="eastAsia"/>
          <w:sz w:val="21"/>
          <w:szCs w:val="21"/>
          <w:lang w:eastAsia="zh-CN"/>
        </w:rPr>
        <w:t>、西班牙专利商标局</w:t>
      </w:r>
      <w:r w:rsidR="005731B9">
        <w:rPr>
          <w:rFonts w:ascii="SimSun" w:hAnsi="SimSun"/>
          <w:sz w:val="21"/>
          <w:szCs w:val="21"/>
          <w:lang w:eastAsia="zh-CN"/>
        </w:rPr>
        <w:t>（</w:t>
      </w:r>
      <w:r w:rsidR="00ED3A64" w:rsidRPr="000E34CB">
        <w:rPr>
          <w:rFonts w:ascii="SimSun" w:hAnsi="SimSun"/>
          <w:sz w:val="21"/>
          <w:szCs w:val="21"/>
          <w:lang w:eastAsia="zh-CN"/>
        </w:rPr>
        <w:t>OEPM</w:t>
      </w:r>
      <w:r w:rsidR="005731B9">
        <w:rPr>
          <w:rFonts w:ascii="SimSun" w:hAnsi="SimSun"/>
          <w:sz w:val="21"/>
          <w:szCs w:val="21"/>
          <w:lang w:eastAsia="zh-CN"/>
        </w:rPr>
        <w:t>）</w:t>
      </w:r>
      <w:r w:rsidR="00ED3A64" w:rsidRPr="000E34CB">
        <w:rPr>
          <w:rFonts w:ascii="SimSun" w:hAnsi="SimSun" w:hint="eastAsia"/>
          <w:sz w:val="21"/>
          <w:szCs w:val="21"/>
          <w:lang w:eastAsia="zh-CN"/>
        </w:rPr>
        <w:t>、美国专利商标局</w:t>
      </w:r>
      <w:r w:rsidR="005731B9">
        <w:rPr>
          <w:rFonts w:ascii="SimSun" w:hAnsi="SimSun"/>
          <w:sz w:val="21"/>
          <w:szCs w:val="21"/>
          <w:lang w:eastAsia="zh-CN"/>
        </w:rPr>
        <w:t>（</w:t>
      </w:r>
      <w:r w:rsidR="00ED3A64" w:rsidRPr="000E34CB">
        <w:rPr>
          <w:rFonts w:ascii="SimSun" w:hAnsi="SimSun"/>
          <w:sz w:val="21"/>
          <w:szCs w:val="21"/>
          <w:lang w:eastAsia="zh-CN"/>
        </w:rPr>
        <w:t>USPTO</w:t>
      </w:r>
      <w:r w:rsidR="005731B9">
        <w:rPr>
          <w:rFonts w:ascii="SimSun" w:hAnsi="SimSun"/>
          <w:sz w:val="21"/>
          <w:szCs w:val="21"/>
          <w:lang w:eastAsia="zh-CN"/>
        </w:rPr>
        <w:t>）</w:t>
      </w:r>
      <w:r w:rsidR="00ED3A64" w:rsidRPr="000E34CB">
        <w:rPr>
          <w:rFonts w:ascii="SimSun" w:hAnsi="SimSun" w:hint="eastAsia"/>
          <w:sz w:val="21"/>
          <w:szCs w:val="21"/>
          <w:lang w:eastAsia="zh-CN"/>
        </w:rPr>
        <w:t>；</w:t>
      </w:r>
    </w:p>
    <w:p w:rsidR="00323BE8" w:rsidRPr="000E34CB" w:rsidRDefault="00ED3A64" w:rsidP="006C1A5B">
      <w:pPr>
        <w:pStyle w:val="ONUME"/>
        <w:numPr>
          <w:ilvl w:val="0"/>
          <w:numId w:val="5"/>
        </w:numPr>
        <w:overflowPunct w:val="0"/>
        <w:spacing w:afterLines="50" w:after="120" w:line="340" w:lineRule="atLeast"/>
        <w:ind w:left="924" w:hanging="357"/>
        <w:jc w:val="both"/>
        <w:rPr>
          <w:rFonts w:ascii="SimSun" w:hAnsi="SimSun"/>
          <w:sz w:val="21"/>
          <w:szCs w:val="21"/>
          <w:lang w:eastAsia="zh-CN"/>
        </w:rPr>
      </w:pPr>
      <w:r w:rsidRPr="000E34CB">
        <w:rPr>
          <w:rFonts w:ascii="SimSun" w:hAnsi="SimSun" w:hint="eastAsia"/>
          <w:sz w:val="21"/>
          <w:szCs w:val="21"/>
          <w:lang w:eastAsia="zh-CN"/>
        </w:rPr>
        <w:lastRenderedPageBreak/>
        <w:t>标准委员会观察员：专利文献集团</w:t>
      </w:r>
      <w:r w:rsidR="005731B9">
        <w:rPr>
          <w:rFonts w:ascii="SimSun" w:hAnsi="SimSun"/>
          <w:sz w:val="21"/>
          <w:szCs w:val="21"/>
          <w:lang w:eastAsia="zh-CN"/>
        </w:rPr>
        <w:t>（</w:t>
      </w:r>
      <w:r w:rsidRPr="000E34CB">
        <w:rPr>
          <w:rFonts w:ascii="SimSun" w:hAnsi="SimSun"/>
          <w:sz w:val="21"/>
          <w:szCs w:val="21"/>
          <w:lang w:eastAsia="zh-CN"/>
        </w:rPr>
        <w:t>PDG</w:t>
      </w:r>
      <w:r w:rsidR="005731B9">
        <w:rPr>
          <w:rFonts w:ascii="SimSun" w:hAnsi="SimSun"/>
          <w:sz w:val="21"/>
          <w:szCs w:val="21"/>
          <w:lang w:eastAsia="zh-CN"/>
        </w:rPr>
        <w:t>）</w:t>
      </w:r>
      <w:r w:rsidRPr="000E34CB">
        <w:rPr>
          <w:rFonts w:ascii="SimSun" w:hAnsi="SimSun" w:hint="eastAsia"/>
          <w:sz w:val="21"/>
          <w:szCs w:val="21"/>
          <w:lang w:eastAsia="zh-CN"/>
        </w:rPr>
        <w:t>、专利信息用户集团</w:t>
      </w:r>
      <w:r w:rsidR="005731B9">
        <w:rPr>
          <w:rFonts w:ascii="SimSun" w:hAnsi="SimSun"/>
          <w:sz w:val="21"/>
          <w:szCs w:val="21"/>
          <w:lang w:eastAsia="zh-CN"/>
        </w:rPr>
        <w:t>（</w:t>
      </w:r>
      <w:r w:rsidRPr="000E34CB">
        <w:rPr>
          <w:rFonts w:ascii="SimSun" w:hAnsi="SimSun"/>
          <w:sz w:val="21"/>
          <w:szCs w:val="21"/>
          <w:lang w:eastAsia="zh-CN"/>
        </w:rPr>
        <w:t>PIUG</w:t>
      </w:r>
      <w:r w:rsidR="005731B9">
        <w:rPr>
          <w:rFonts w:ascii="SimSun" w:hAnsi="SimSun"/>
          <w:sz w:val="21"/>
          <w:szCs w:val="21"/>
          <w:lang w:eastAsia="zh-CN"/>
        </w:rPr>
        <w:t>）</w:t>
      </w:r>
      <w:r w:rsidRPr="000E34CB">
        <w:rPr>
          <w:rFonts w:ascii="SimSun" w:hAnsi="SimSun" w:hint="eastAsia"/>
          <w:sz w:val="21"/>
          <w:szCs w:val="21"/>
          <w:lang w:eastAsia="zh-CN"/>
        </w:rPr>
        <w:t>、</w:t>
      </w:r>
      <w:proofErr w:type="spellStart"/>
      <w:r w:rsidRPr="000E34CB">
        <w:rPr>
          <w:rFonts w:ascii="SimSun" w:hAnsi="SimSun" w:hint="eastAsia"/>
          <w:sz w:val="21"/>
          <w:szCs w:val="21"/>
          <w:lang w:eastAsia="zh-CN"/>
        </w:rPr>
        <w:t>P</w:t>
      </w:r>
      <w:r w:rsidRPr="000E34CB">
        <w:rPr>
          <w:rFonts w:ascii="SimSun" w:hAnsi="SimSun"/>
          <w:sz w:val="21"/>
          <w:szCs w:val="21"/>
          <w:lang w:eastAsia="zh-CN"/>
        </w:rPr>
        <w:t>atcom</w:t>
      </w:r>
      <w:proofErr w:type="spellEnd"/>
      <w:r w:rsidRPr="000E34CB">
        <w:rPr>
          <w:rFonts w:ascii="SimSun" w:hAnsi="SimSun" w:hint="eastAsia"/>
          <w:sz w:val="21"/>
          <w:szCs w:val="21"/>
          <w:lang w:eastAsia="zh-CN"/>
        </w:rPr>
        <w:t>；</w:t>
      </w:r>
    </w:p>
    <w:p w:rsidR="00EF24F2" w:rsidRPr="000E34CB" w:rsidRDefault="00ED3A64" w:rsidP="00F9226C">
      <w:pPr>
        <w:pStyle w:val="ONUME"/>
        <w:numPr>
          <w:ilvl w:val="0"/>
          <w:numId w:val="5"/>
        </w:numPr>
        <w:overflowPunct w:val="0"/>
        <w:spacing w:afterLines="100" w:after="240" w:line="340" w:lineRule="atLeast"/>
        <w:ind w:left="924" w:hanging="357"/>
        <w:jc w:val="both"/>
        <w:rPr>
          <w:rFonts w:ascii="SimSun" w:hAnsi="SimSun"/>
          <w:sz w:val="21"/>
          <w:szCs w:val="21"/>
        </w:rPr>
      </w:pPr>
      <w:r w:rsidRPr="000E34CB">
        <w:rPr>
          <w:rFonts w:ascii="SimSun" w:hAnsi="SimSun" w:hint="eastAsia"/>
          <w:sz w:val="21"/>
          <w:szCs w:val="21"/>
          <w:lang w:eastAsia="zh-CN"/>
        </w:rPr>
        <w:t>其他组织和公司：经济合作与发展组织</w:t>
      </w:r>
      <w:r w:rsidR="005731B9">
        <w:rPr>
          <w:rFonts w:ascii="SimSun" w:hAnsi="SimSun" w:hint="eastAsia"/>
          <w:sz w:val="21"/>
          <w:szCs w:val="21"/>
          <w:lang w:eastAsia="zh-CN"/>
        </w:rPr>
        <w:t>（</w:t>
      </w:r>
      <w:r w:rsidRPr="000E34CB">
        <w:rPr>
          <w:rFonts w:ascii="SimSun" w:hAnsi="SimSun" w:hint="eastAsia"/>
          <w:sz w:val="21"/>
          <w:szCs w:val="21"/>
          <w:lang w:eastAsia="zh-CN"/>
        </w:rPr>
        <w:t>OECD</w:t>
      </w:r>
      <w:r w:rsidR="005731B9">
        <w:rPr>
          <w:rFonts w:ascii="SimSun" w:hAnsi="SimSun" w:hint="eastAsia"/>
          <w:sz w:val="21"/>
          <w:szCs w:val="21"/>
          <w:lang w:eastAsia="zh-CN"/>
        </w:rPr>
        <w:t>）</w:t>
      </w:r>
      <w:r w:rsidRPr="000E34CB">
        <w:rPr>
          <w:rFonts w:ascii="SimSun" w:hAnsi="SimSun" w:hint="eastAsia"/>
          <w:sz w:val="21"/>
          <w:szCs w:val="21"/>
          <w:lang w:eastAsia="zh-CN"/>
        </w:rPr>
        <w:t>、飞利浦、西门子、</w:t>
      </w:r>
      <w:r w:rsidR="005D540A" w:rsidRPr="000E34CB">
        <w:rPr>
          <w:rFonts w:ascii="SimSun" w:hAnsi="SimSun" w:hint="eastAsia"/>
          <w:sz w:val="21"/>
          <w:szCs w:val="21"/>
          <w:lang w:eastAsia="zh-CN"/>
        </w:rPr>
        <w:t>马吉斯特有限公司</w:t>
      </w:r>
      <w:r w:rsidR="005731B9">
        <w:rPr>
          <w:rFonts w:ascii="SimSun" w:hAnsi="SimSun" w:hint="eastAsia"/>
          <w:sz w:val="21"/>
          <w:szCs w:val="21"/>
          <w:lang w:eastAsia="zh-CN"/>
        </w:rPr>
        <w:t>（</w:t>
      </w:r>
      <w:r w:rsidR="00BB5E37" w:rsidRPr="000E34CB">
        <w:rPr>
          <w:rFonts w:ascii="SimSun" w:hAnsi="SimSun"/>
          <w:sz w:val="21"/>
          <w:szCs w:val="21"/>
        </w:rPr>
        <w:t>Magister Ltd.</w:t>
      </w:r>
      <w:r w:rsidR="005731B9">
        <w:rPr>
          <w:rFonts w:ascii="SimSun" w:hAnsi="SimSun" w:hint="eastAsia"/>
          <w:sz w:val="21"/>
          <w:szCs w:val="21"/>
          <w:lang w:eastAsia="zh-CN"/>
        </w:rPr>
        <w:t>）</w:t>
      </w:r>
      <w:r w:rsidR="005D540A" w:rsidRPr="000E34CB">
        <w:rPr>
          <w:rFonts w:ascii="SimSun" w:hAnsi="SimSun" w:hint="eastAsia"/>
          <w:sz w:val="21"/>
          <w:szCs w:val="21"/>
          <w:lang w:eastAsia="zh-CN"/>
        </w:rPr>
        <w:t>、提取信息公司</w:t>
      </w:r>
      <w:r w:rsidR="005731B9">
        <w:rPr>
          <w:rFonts w:ascii="SimSun" w:hAnsi="SimSun" w:hint="eastAsia"/>
          <w:sz w:val="21"/>
          <w:szCs w:val="21"/>
          <w:lang w:eastAsia="zh-CN"/>
        </w:rPr>
        <w:t>（</w:t>
      </w:r>
      <w:r w:rsidR="00BB5E37" w:rsidRPr="000E34CB">
        <w:rPr>
          <w:rFonts w:ascii="SimSun" w:hAnsi="SimSun"/>
          <w:sz w:val="21"/>
          <w:szCs w:val="21"/>
        </w:rPr>
        <w:t>Extract Information</w:t>
      </w:r>
      <w:r w:rsidR="005731B9">
        <w:rPr>
          <w:rFonts w:ascii="SimSun" w:hAnsi="SimSun" w:hint="eastAsia"/>
          <w:sz w:val="21"/>
          <w:szCs w:val="21"/>
          <w:lang w:eastAsia="zh-CN"/>
        </w:rPr>
        <w:t>）</w:t>
      </w:r>
      <w:r w:rsidR="00BB5E37" w:rsidRPr="000E34CB">
        <w:rPr>
          <w:rFonts w:ascii="SimSun" w:hAnsi="SimSun" w:hint="eastAsia"/>
          <w:sz w:val="21"/>
          <w:szCs w:val="21"/>
          <w:lang w:eastAsia="zh-CN"/>
        </w:rPr>
        <w:t>、</w:t>
      </w:r>
      <w:r w:rsidR="005D540A" w:rsidRPr="000E34CB">
        <w:rPr>
          <w:rFonts w:ascii="SimSun" w:hAnsi="SimSun"/>
          <w:sz w:val="21"/>
          <w:szCs w:val="21"/>
        </w:rPr>
        <w:t>CENTREDOC</w:t>
      </w:r>
      <w:r w:rsidR="005D540A" w:rsidRPr="000E34CB">
        <w:rPr>
          <w:rFonts w:ascii="SimSun" w:hAnsi="SimSun" w:hint="eastAsia"/>
          <w:sz w:val="21"/>
          <w:szCs w:val="21"/>
          <w:lang w:eastAsia="zh-CN"/>
        </w:rPr>
        <w:t>、汤森路透、物理暨数学中心</w:t>
      </w:r>
      <w:r w:rsidR="005731B9">
        <w:rPr>
          <w:rFonts w:ascii="SimSun" w:hAnsi="SimSun" w:hint="eastAsia"/>
          <w:sz w:val="21"/>
          <w:szCs w:val="21"/>
          <w:lang w:eastAsia="zh-CN"/>
        </w:rPr>
        <w:t>（</w:t>
      </w:r>
      <w:r w:rsidR="00BB5E37" w:rsidRPr="000E34CB">
        <w:rPr>
          <w:rFonts w:ascii="SimSun" w:hAnsi="SimSun"/>
          <w:sz w:val="21"/>
          <w:szCs w:val="21"/>
        </w:rPr>
        <w:t>FIZ Karlsruhe</w:t>
      </w:r>
      <w:r w:rsidR="005731B9">
        <w:rPr>
          <w:rFonts w:ascii="SimSun" w:hAnsi="SimSun" w:hint="eastAsia"/>
          <w:sz w:val="21"/>
          <w:szCs w:val="21"/>
          <w:lang w:eastAsia="zh-CN"/>
        </w:rPr>
        <w:t>）</w:t>
      </w:r>
      <w:r w:rsidR="005D540A" w:rsidRPr="000E34CB">
        <w:rPr>
          <w:rFonts w:ascii="SimSun" w:hAnsi="SimSun" w:hint="eastAsia"/>
          <w:sz w:val="21"/>
          <w:szCs w:val="21"/>
          <w:lang w:eastAsia="zh-CN"/>
        </w:rPr>
        <w:t>、</w:t>
      </w:r>
      <w:proofErr w:type="spellStart"/>
      <w:r w:rsidR="00BB5E37" w:rsidRPr="000E34CB">
        <w:rPr>
          <w:rFonts w:ascii="SimSun" w:hAnsi="SimSun"/>
          <w:sz w:val="21"/>
          <w:szCs w:val="21"/>
        </w:rPr>
        <w:t>Regimbeau</w:t>
      </w:r>
      <w:proofErr w:type="spellEnd"/>
      <w:r w:rsidR="00BB5E37" w:rsidRPr="000E34CB">
        <w:rPr>
          <w:rFonts w:ascii="SimSun" w:hAnsi="SimSun" w:hint="eastAsia"/>
          <w:sz w:val="21"/>
          <w:szCs w:val="21"/>
          <w:lang w:eastAsia="zh-CN"/>
        </w:rPr>
        <w:t>、巴塞罗那费尔围研究</w:t>
      </w:r>
      <w:r w:rsidR="005731B9">
        <w:rPr>
          <w:rFonts w:ascii="SimSun" w:hAnsi="SimSun" w:hint="eastAsia"/>
          <w:sz w:val="21"/>
          <w:szCs w:val="21"/>
          <w:lang w:eastAsia="zh-CN"/>
        </w:rPr>
        <w:t>（</w:t>
      </w:r>
      <w:r w:rsidR="00BB5E37" w:rsidRPr="000E34CB">
        <w:rPr>
          <w:rFonts w:ascii="SimSun" w:hAnsi="SimSun"/>
          <w:sz w:val="21"/>
          <w:szCs w:val="21"/>
        </w:rPr>
        <w:t>Fairview Research</w:t>
      </w:r>
      <w:r w:rsidR="005731B9">
        <w:rPr>
          <w:rFonts w:ascii="SimSun" w:hAnsi="SimSun" w:hint="eastAsia"/>
          <w:sz w:val="21"/>
          <w:szCs w:val="21"/>
          <w:lang w:eastAsia="zh-CN"/>
        </w:rPr>
        <w:t>）</w:t>
      </w:r>
      <w:r w:rsidR="00BB5E37" w:rsidRPr="000E34CB">
        <w:rPr>
          <w:rFonts w:ascii="SimSun" w:hAnsi="SimSun" w:hint="eastAsia"/>
          <w:sz w:val="21"/>
          <w:szCs w:val="21"/>
          <w:lang w:eastAsia="zh-CN"/>
        </w:rPr>
        <w:t>。</w:t>
      </w:r>
    </w:p>
    <w:p w:rsidR="00EF24F2" w:rsidRPr="000E34CB" w:rsidRDefault="00ED3A64" w:rsidP="00F9226C">
      <w:pPr>
        <w:pStyle w:val="ONUME"/>
        <w:numPr>
          <w:ilvl w:val="0"/>
          <w:numId w:val="4"/>
        </w:numPr>
        <w:tabs>
          <w:tab w:val="clear" w:pos="567"/>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讲习班的主要目标是对为应对</w:t>
      </w:r>
      <w:r w:rsidR="00531D2D" w:rsidRPr="000E34CB">
        <w:rPr>
          <w:rFonts w:ascii="SimSun" w:hAnsi="SimSun" w:hint="eastAsia"/>
          <w:sz w:val="21"/>
          <w:szCs w:val="21"/>
          <w:lang w:eastAsia="zh-CN"/>
        </w:rPr>
        <w:t>与</w:t>
      </w:r>
      <w:r w:rsidRPr="000E34CB">
        <w:rPr>
          <w:rFonts w:ascii="SimSun" w:hAnsi="SimSun" w:hint="eastAsia"/>
          <w:sz w:val="21"/>
          <w:szCs w:val="21"/>
          <w:lang w:eastAsia="zh-CN"/>
        </w:rPr>
        <w:t>专利申请中申请人名称不统一</w:t>
      </w:r>
      <w:r w:rsidR="00531D2D" w:rsidRPr="000E34CB">
        <w:rPr>
          <w:rFonts w:ascii="SimSun" w:hAnsi="SimSun" w:hint="eastAsia"/>
          <w:sz w:val="21"/>
          <w:szCs w:val="21"/>
          <w:lang w:eastAsia="zh-CN"/>
        </w:rPr>
        <w:t>相关的困</w:t>
      </w:r>
      <w:r w:rsidRPr="000E34CB">
        <w:rPr>
          <w:rFonts w:ascii="SimSun" w:hAnsi="SimSun" w:hint="eastAsia"/>
          <w:sz w:val="21"/>
          <w:szCs w:val="21"/>
          <w:lang w:eastAsia="zh-CN"/>
        </w:rPr>
        <w:t>难所采取的举措进行统一和简化。与会人员讨论了工业产权信息用户、工业产权局和专利信息提供商所面临的问题，</w:t>
      </w:r>
      <w:r w:rsidR="00CD54E0" w:rsidRPr="000E34CB">
        <w:rPr>
          <w:rFonts w:ascii="SimSun" w:hAnsi="SimSun" w:hint="eastAsia"/>
          <w:sz w:val="21"/>
          <w:szCs w:val="21"/>
          <w:lang w:eastAsia="zh-CN"/>
        </w:rPr>
        <w:t>识别了与申请人名称相关的</w:t>
      </w:r>
      <w:r w:rsidR="0021119F" w:rsidRPr="000E34CB">
        <w:rPr>
          <w:rFonts w:ascii="SimSun" w:hAnsi="SimSun" w:hint="eastAsia"/>
          <w:sz w:val="21"/>
          <w:szCs w:val="21"/>
          <w:lang w:eastAsia="zh-CN"/>
        </w:rPr>
        <w:t>主要问题以及申请人名称标准化的优先事项，还讨论了可能的合作框架，以便</w:t>
      </w:r>
      <w:r w:rsidR="00CD54E0" w:rsidRPr="000E34CB">
        <w:rPr>
          <w:rFonts w:ascii="SimSun" w:hAnsi="SimSun" w:hint="eastAsia"/>
          <w:sz w:val="21"/>
          <w:szCs w:val="21"/>
          <w:lang w:eastAsia="zh-CN"/>
        </w:rPr>
        <w:t>所有利益攸关方通过合作改进这一情况。</w:t>
      </w:r>
    </w:p>
    <w:p w:rsidR="00EF24F2" w:rsidRPr="000E34CB" w:rsidRDefault="00CD54E0"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在讲习班识别的与</w:t>
      </w:r>
      <w:r w:rsidR="0021119F" w:rsidRPr="000E34CB">
        <w:rPr>
          <w:rFonts w:ascii="SimSun" w:hAnsi="SimSun" w:hint="eastAsia"/>
          <w:sz w:val="21"/>
          <w:szCs w:val="21"/>
          <w:lang w:eastAsia="zh-CN"/>
        </w:rPr>
        <w:t>非</w:t>
      </w:r>
      <w:r w:rsidRPr="000E34CB">
        <w:rPr>
          <w:rFonts w:ascii="SimSun" w:hAnsi="SimSun" w:hint="eastAsia"/>
          <w:sz w:val="21"/>
          <w:szCs w:val="21"/>
          <w:lang w:eastAsia="zh-CN"/>
        </w:rPr>
        <w:t>标准化</w:t>
      </w:r>
      <w:r w:rsidR="0021119F" w:rsidRPr="000E34CB">
        <w:rPr>
          <w:rFonts w:ascii="SimSun" w:hAnsi="SimSun" w:hint="eastAsia"/>
          <w:sz w:val="21"/>
          <w:szCs w:val="21"/>
          <w:lang w:eastAsia="zh-CN"/>
        </w:rPr>
        <w:t>名称</w:t>
      </w:r>
      <w:r w:rsidRPr="000E34CB">
        <w:rPr>
          <w:rFonts w:ascii="SimSun" w:hAnsi="SimSun" w:hint="eastAsia"/>
          <w:sz w:val="21"/>
          <w:szCs w:val="21"/>
          <w:lang w:eastAsia="zh-CN"/>
        </w:rPr>
        <w:t>相关的主要问题如下：</w:t>
      </w:r>
    </w:p>
    <w:p w:rsidR="00EF24F2" w:rsidRPr="000E34CB" w:rsidRDefault="00DA205A" w:rsidP="006C1A5B">
      <w:pPr>
        <w:pStyle w:val="ONUME"/>
        <w:numPr>
          <w:ilvl w:val="0"/>
          <w:numId w:val="9"/>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需要处理大量申请人名称信息不一致的数据集，出现这种情况是由于印刷错误、</w:t>
      </w:r>
      <w:r w:rsidR="00FA77DB" w:rsidRPr="000E34CB">
        <w:rPr>
          <w:rFonts w:ascii="SimSun" w:hAnsi="SimSun" w:hint="eastAsia"/>
          <w:sz w:val="21"/>
          <w:szCs w:val="21"/>
          <w:lang w:eastAsia="zh-CN"/>
        </w:rPr>
        <w:t>同一申请人使用不同名称等；</w:t>
      </w:r>
    </w:p>
    <w:p w:rsidR="00EF24F2" w:rsidRPr="000E34CB" w:rsidRDefault="00FA77DB" w:rsidP="006C1A5B">
      <w:pPr>
        <w:pStyle w:val="ONUME"/>
        <w:numPr>
          <w:ilvl w:val="0"/>
          <w:numId w:val="9"/>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工业产权局未对申请人进行有关名称的指导；</w:t>
      </w:r>
    </w:p>
    <w:p w:rsidR="00EF24F2" w:rsidRPr="000E34CB" w:rsidRDefault="00FA77DB" w:rsidP="006C1A5B">
      <w:pPr>
        <w:pStyle w:val="ONUME"/>
        <w:numPr>
          <w:ilvl w:val="0"/>
          <w:numId w:val="9"/>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难以检索关于所有权变更的信息；</w:t>
      </w:r>
    </w:p>
    <w:p w:rsidR="00EF24F2" w:rsidRPr="000E34CB" w:rsidRDefault="004F19D2" w:rsidP="006C1A5B">
      <w:pPr>
        <w:pStyle w:val="ONUME"/>
        <w:numPr>
          <w:ilvl w:val="0"/>
          <w:numId w:val="9"/>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音译结果不一致以及以</w:t>
      </w:r>
      <w:r w:rsidR="00FA77DB" w:rsidRPr="000E34CB">
        <w:rPr>
          <w:rFonts w:ascii="SimSun" w:hAnsi="SimSun" w:hint="eastAsia"/>
          <w:sz w:val="21"/>
          <w:szCs w:val="21"/>
          <w:lang w:eastAsia="zh-CN"/>
        </w:rPr>
        <w:t>不同语言表示名称</w:t>
      </w:r>
      <w:r w:rsidRPr="000E34CB">
        <w:rPr>
          <w:rFonts w:ascii="SimSun" w:hAnsi="SimSun" w:hint="eastAsia"/>
          <w:sz w:val="21"/>
          <w:szCs w:val="21"/>
          <w:lang w:eastAsia="zh-CN"/>
        </w:rPr>
        <w:t>方面</w:t>
      </w:r>
      <w:r w:rsidR="00FA77DB" w:rsidRPr="000E34CB">
        <w:rPr>
          <w:rFonts w:ascii="SimSun" w:hAnsi="SimSun" w:hint="eastAsia"/>
          <w:sz w:val="21"/>
          <w:szCs w:val="21"/>
          <w:lang w:eastAsia="zh-CN"/>
        </w:rPr>
        <w:t>的问题；及</w:t>
      </w:r>
    </w:p>
    <w:p w:rsidR="00EF24F2" w:rsidRPr="000E34CB" w:rsidRDefault="00FA77DB" w:rsidP="00F9226C">
      <w:pPr>
        <w:pStyle w:val="ONUME"/>
        <w:numPr>
          <w:ilvl w:val="0"/>
          <w:numId w:val="9"/>
        </w:numPr>
        <w:overflowPunct w:val="0"/>
        <w:spacing w:afterLines="100" w:after="24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不同国家的名称结构不同。</w:t>
      </w:r>
    </w:p>
    <w:p w:rsidR="00EF24F2" w:rsidRPr="000E34CB" w:rsidRDefault="00FA77DB"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在讲习班识别的</w:t>
      </w:r>
      <w:r w:rsidR="004F19D2" w:rsidRPr="000E34CB">
        <w:rPr>
          <w:rFonts w:ascii="SimSun" w:hAnsi="SimSun" w:hint="eastAsia"/>
          <w:sz w:val="21"/>
          <w:szCs w:val="21"/>
          <w:lang w:eastAsia="zh-CN"/>
        </w:rPr>
        <w:t>处理</w:t>
      </w:r>
      <w:r w:rsidRPr="000E34CB">
        <w:rPr>
          <w:rFonts w:ascii="SimSun" w:hAnsi="SimSun" w:hint="eastAsia"/>
          <w:sz w:val="21"/>
          <w:szCs w:val="21"/>
          <w:lang w:eastAsia="zh-CN"/>
        </w:rPr>
        <w:t>申请人名称问题的可能解决方案有：</w:t>
      </w:r>
    </w:p>
    <w:p w:rsidR="00EF24F2" w:rsidRPr="000E34CB" w:rsidRDefault="00FA77DB"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制定一项WIPO标准，以便</w:t>
      </w:r>
      <w:r w:rsidR="008648C0" w:rsidRPr="000E34CB">
        <w:rPr>
          <w:rFonts w:ascii="SimSun" w:hAnsi="SimSun" w:hint="eastAsia"/>
          <w:sz w:val="21"/>
          <w:szCs w:val="21"/>
          <w:lang w:eastAsia="zh-CN"/>
        </w:rPr>
        <w:t>提供建议，协助工业产权局更好地从源头确保申请人名称的质</w:t>
      </w:r>
      <w:r w:rsidR="006C1A5B">
        <w:rPr>
          <w:rFonts w:ascii="KaiTi" w:eastAsia="KaiTi" w:hAnsi="KaiTi"/>
          <w:sz w:val="21"/>
          <w:szCs w:val="21"/>
          <w:lang w:eastAsia="zh-CN"/>
        </w:rPr>
        <w:t>‍</w:t>
      </w:r>
      <w:r w:rsidR="008648C0" w:rsidRPr="000E34CB">
        <w:rPr>
          <w:rFonts w:ascii="SimSun" w:hAnsi="SimSun" w:hint="eastAsia"/>
          <w:sz w:val="21"/>
          <w:szCs w:val="21"/>
          <w:lang w:eastAsia="zh-CN"/>
        </w:rPr>
        <w:t>量；</w:t>
      </w:r>
    </w:p>
    <w:p w:rsidR="00EF24F2" w:rsidRPr="000E34CB" w:rsidRDefault="008648C0"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在WIPO标准委员会</w:t>
      </w:r>
      <w:r w:rsidR="005731B9">
        <w:rPr>
          <w:rFonts w:ascii="SimSun" w:hAnsi="SimSun" w:hint="eastAsia"/>
          <w:sz w:val="21"/>
          <w:szCs w:val="21"/>
          <w:lang w:eastAsia="zh-CN"/>
        </w:rPr>
        <w:t>（</w:t>
      </w:r>
      <w:r w:rsidRPr="000E34CB">
        <w:rPr>
          <w:rFonts w:ascii="SimSun" w:hAnsi="SimSun"/>
          <w:sz w:val="21"/>
          <w:szCs w:val="21"/>
          <w:lang w:eastAsia="zh-CN"/>
        </w:rPr>
        <w:t>CWS</w:t>
      </w:r>
      <w:r w:rsidR="005731B9">
        <w:rPr>
          <w:rFonts w:ascii="SimSun" w:hAnsi="SimSun" w:hint="eastAsia"/>
          <w:sz w:val="21"/>
          <w:szCs w:val="21"/>
          <w:lang w:eastAsia="zh-CN"/>
        </w:rPr>
        <w:t>）</w:t>
      </w:r>
      <w:r w:rsidRPr="000E34CB">
        <w:rPr>
          <w:rFonts w:ascii="SimSun" w:hAnsi="SimSun" w:hint="eastAsia"/>
          <w:sz w:val="21"/>
          <w:szCs w:val="21"/>
          <w:lang w:eastAsia="zh-CN"/>
        </w:rPr>
        <w:t>的框架内建立</w:t>
      </w:r>
      <w:r w:rsidR="0092296E" w:rsidRPr="000E34CB">
        <w:rPr>
          <w:rFonts w:ascii="SimSun" w:hAnsi="SimSun" w:hint="eastAsia"/>
          <w:sz w:val="21"/>
          <w:szCs w:val="21"/>
          <w:lang w:eastAsia="zh-CN"/>
        </w:rPr>
        <w:t>一项任务以及一个工作队</w:t>
      </w:r>
      <w:r w:rsidR="00F37778" w:rsidRPr="000E34CB">
        <w:rPr>
          <w:rFonts w:ascii="SimSun" w:hAnsi="SimSun" w:hint="eastAsia"/>
          <w:sz w:val="21"/>
          <w:szCs w:val="21"/>
          <w:lang w:eastAsia="zh-CN"/>
        </w:rPr>
        <w:t>，</w:t>
      </w:r>
      <w:r w:rsidR="00DD35F0" w:rsidRPr="000E34CB">
        <w:rPr>
          <w:rFonts w:ascii="SimSun" w:hAnsi="SimSun" w:hint="eastAsia"/>
          <w:sz w:val="21"/>
          <w:szCs w:val="21"/>
          <w:lang w:eastAsia="zh-CN"/>
        </w:rPr>
        <w:t>为各相关方提供</w:t>
      </w:r>
      <w:r w:rsidR="00470516" w:rsidRPr="000E34CB">
        <w:rPr>
          <w:rFonts w:ascii="SimSun" w:hAnsi="SimSun" w:hint="eastAsia"/>
          <w:sz w:val="21"/>
          <w:szCs w:val="21"/>
          <w:lang w:eastAsia="zh-CN"/>
        </w:rPr>
        <w:t>论坛，以</w:t>
      </w:r>
      <w:r w:rsidR="00DD35F0" w:rsidRPr="000E34CB">
        <w:rPr>
          <w:rFonts w:ascii="SimSun" w:hAnsi="SimSun" w:hint="eastAsia"/>
          <w:sz w:val="21"/>
          <w:szCs w:val="21"/>
          <w:lang w:eastAsia="zh-CN"/>
        </w:rPr>
        <w:t>讨论优先事项</w:t>
      </w:r>
      <w:r w:rsidR="00470516" w:rsidRPr="000E34CB">
        <w:rPr>
          <w:rFonts w:ascii="SimSun" w:hAnsi="SimSun" w:hint="eastAsia"/>
          <w:sz w:val="21"/>
          <w:szCs w:val="21"/>
          <w:lang w:eastAsia="zh-CN"/>
        </w:rPr>
        <w:t>以及克服</w:t>
      </w:r>
      <w:r w:rsidR="00B9596E" w:rsidRPr="000E34CB">
        <w:rPr>
          <w:rFonts w:ascii="SimSun" w:hAnsi="SimSun" w:hint="eastAsia"/>
          <w:sz w:val="21"/>
          <w:szCs w:val="21"/>
          <w:lang w:eastAsia="zh-CN"/>
        </w:rPr>
        <w:t>申请人名称标准化相关困难的方法；</w:t>
      </w:r>
    </w:p>
    <w:p w:rsidR="00EF24F2" w:rsidRPr="000E34CB" w:rsidRDefault="00B9596E"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交换</w:t>
      </w:r>
      <w:r w:rsidR="00C73A11" w:rsidRPr="000E34CB">
        <w:rPr>
          <w:rFonts w:ascii="SimSun" w:hAnsi="SimSun" w:hint="eastAsia"/>
          <w:sz w:val="21"/>
          <w:szCs w:val="21"/>
          <w:lang w:eastAsia="zh-CN"/>
        </w:rPr>
        <w:t>由</w:t>
      </w:r>
      <w:r w:rsidR="00BD3DF5" w:rsidRPr="000E34CB">
        <w:rPr>
          <w:rFonts w:ascii="SimSun" w:hAnsi="SimSun" w:hint="eastAsia"/>
          <w:sz w:val="21"/>
          <w:szCs w:val="21"/>
          <w:lang w:eastAsia="zh-CN"/>
        </w:rPr>
        <w:t>工业产权局</w:t>
      </w:r>
      <w:r w:rsidR="00C73A11" w:rsidRPr="000E34CB">
        <w:rPr>
          <w:rFonts w:ascii="SimSun" w:hAnsi="SimSun" w:hint="eastAsia"/>
          <w:sz w:val="21"/>
          <w:szCs w:val="21"/>
          <w:lang w:eastAsia="zh-CN"/>
        </w:rPr>
        <w:t>分配的标准化或统一化</w:t>
      </w:r>
      <w:r w:rsidR="004F19D2" w:rsidRPr="000E34CB">
        <w:rPr>
          <w:rFonts w:ascii="SimSun" w:hAnsi="SimSun" w:hint="eastAsia"/>
          <w:sz w:val="21"/>
          <w:szCs w:val="21"/>
          <w:lang w:eastAsia="zh-CN"/>
        </w:rPr>
        <w:t>的</w:t>
      </w:r>
      <w:r w:rsidR="00C73A11" w:rsidRPr="000E34CB">
        <w:rPr>
          <w:rFonts w:ascii="SimSun" w:hAnsi="SimSun" w:hint="eastAsia"/>
          <w:sz w:val="21"/>
          <w:szCs w:val="21"/>
          <w:lang w:eastAsia="zh-CN"/>
        </w:rPr>
        <w:t>申请人名称，在专利数据库中添加相应字段；</w:t>
      </w:r>
    </w:p>
    <w:p w:rsidR="00EF24F2" w:rsidRPr="000E34CB" w:rsidRDefault="00317BB9"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修改国内工业产权立法，允许工业产权局要求同一申请人提交的所有申请都应使用同一申请人名称形式；</w:t>
      </w:r>
    </w:p>
    <w:p w:rsidR="00EF24F2" w:rsidRPr="000E34CB" w:rsidRDefault="00317BB9"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在国家层面实行权利人提供</w:t>
      </w:r>
      <w:r w:rsidR="004F19D2" w:rsidRPr="000E34CB">
        <w:rPr>
          <w:rFonts w:ascii="SimSun" w:hAnsi="SimSun" w:hint="eastAsia"/>
          <w:sz w:val="21"/>
          <w:szCs w:val="21"/>
          <w:lang w:eastAsia="zh-CN"/>
        </w:rPr>
        <w:t>所有</w:t>
      </w:r>
      <w:r w:rsidRPr="000E34CB">
        <w:rPr>
          <w:rFonts w:ascii="SimSun" w:hAnsi="SimSun" w:hint="eastAsia"/>
          <w:sz w:val="21"/>
          <w:szCs w:val="21"/>
          <w:lang w:eastAsia="zh-CN"/>
        </w:rPr>
        <w:t>权变更信息的做法</w:t>
      </w:r>
      <w:r w:rsidR="005731B9">
        <w:rPr>
          <w:rFonts w:ascii="SimSun" w:hAnsi="SimSun" w:hint="eastAsia"/>
          <w:sz w:val="21"/>
          <w:szCs w:val="21"/>
          <w:lang w:eastAsia="zh-CN"/>
        </w:rPr>
        <w:t>（</w:t>
      </w:r>
      <w:r w:rsidRPr="000E34CB">
        <w:rPr>
          <w:rFonts w:ascii="SimSun" w:hAnsi="SimSun" w:hint="eastAsia"/>
          <w:sz w:val="21"/>
          <w:szCs w:val="21"/>
          <w:lang w:eastAsia="zh-CN"/>
        </w:rPr>
        <w:t>例如在缴费时提供</w:t>
      </w:r>
      <w:r w:rsidR="005731B9">
        <w:rPr>
          <w:rFonts w:ascii="SimSun" w:hAnsi="SimSun" w:hint="eastAsia"/>
          <w:sz w:val="21"/>
          <w:szCs w:val="21"/>
          <w:lang w:eastAsia="zh-CN"/>
        </w:rPr>
        <w:t>）</w:t>
      </w:r>
      <w:r w:rsidRPr="000E34CB">
        <w:rPr>
          <w:rFonts w:ascii="SimSun" w:hAnsi="SimSun" w:hint="eastAsia"/>
          <w:sz w:val="21"/>
          <w:szCs w:val="21"/>
          <w:lang w:eastAsia="zh-CN"/>
        </w:rPr>
        <w:t>，以及执行其他与申请人名称相关的数据质量政策；</w:t>
      </w:r>
    </w:p>
    <w:p w:rsidR="00EF24F2" w:rsidRPr="000E34CB" w:rsidRDefault="00317BB9" w:rsidP="006C1A5B">
      <w:pPr>
        <w:pStyle w:val="ONUME"/>
        <w:numPr>
          <w:ilvl w:val="0"/>
          <w:numId w:val="6"/>
        </w:numPr>
        <w:tabs>
          <w:tab w:val="clear" w:pos="1134"/>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在PCT框架内处理申请人名称音译的问题；</w:t>
      </w:r>
    </w:p>
    <w:p w:rsidR="00001DD3" w:rsidRPr="000E34CB" w:rsidRDefault="00110C27" w:rsidP="00F9226C">
      <w:pPr>
        <w:pStyle w:val="ONUME"/>
        <w:numPr>
          <w:ilvl w:val="0"/>
          <w:numId w:val="6"/>
        </w:numPr>
        <w:tabs>
          <w:tab w:val="clear" w:pos="1134"/>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为专利申请人</w:t>
      </w:r>
      <w:r w:rsidR="008538F3" w:rsidRPr="000E34CB">
        <w:rPr>
          <w:rFonts w:ascii="SimSun" w:hAnsi="SimSun" w:hint="eastAsia"/>
          <w:sz w:val="21"/>
          <w:szCs w:val="21"/>
          <w:lang w:eastAsia="zh-CN"/>
        </w:rPr>
        <w:t>创建世界范围内唯一的数字标识符；第一步是开展研究，了解此种标识符的有用程度及其可能产生的问题。</w:t>
      </w:r>
    </w:p>
    <w:p w:rsidR="00EF24F2" w:rsidRPr="000E34CB" w:rsidRDefault="00A2268E" w:rsidP="00F9226C">
      <w:pPr>
        <w:pStyle w:val="ONUME"/>
        <w:numPr>
          <w:ilvl w:val="0"/>
          <w:numId w:val="4"/>
        </w:numPr>
        <w:tabs>
          <w:tab w:val="clear" w:pos="567"/>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与会人员同意讲习班向前迈出了重要的一步，是各相关方开展合作的理想起点。它们对国际局的参与和承诺表示高度赞赏，并欢迎它提出的关于将该事项提请标准委员会第五届会议注意的倡议。</w:t>
      </w:r>
    </w:p>
    <w:p w:rsidR="00270EE7" w:rsidRPr="00686202" w:rsidRDefault="00904991" w:rsidP="00F9226C">
      <w:pPr>
        <w:pStyle w:val="Heading2"/>
        <w:overflowPunct w:val="0"/>
        <w:spacing w:before="0"/>
        <w:rPr>
          <w:rFonts w:ascii="SimHei" w:eastAsia="SimHei" w:hAnsi="SimHei"/>
          <w:caps w:val="0"/>
          <w:sz w:val="21"/>
          <w:lang w:eastAsia="zh-CN"/>
        </w:rPr>
      </w:pPr>
      <w:r w:rsidRPr="00686202">
        <w:rPr>
          <w:rFonts w:ascii="SimHei" w:eastAsia="SimHei" w:hAnsi="SimHei" w:hint="eastAsia"/>
          <w:caps w:val="0"/>
          <w:sz w:val="21"/>
          <w:lang w:eastAsia="zh-CN"/>
        </w:rPr>
        <w:lastRenderedPageBreak/>
        <w:t>关于申请人名称标准化的研究</w:t>
      </w:r>
      <w:r w:rsidR="00B346AF" w:rsidRPr="00686202">
        <w:rPr>
          <w:rFonts w:ascii="SimHei" w:eastAsia="SimHei" w:hAnsi="SimHei" w:hint="eastAsia"/>
          <w:caps w:val="0"/>
          <w:sz w:val="21"/>
          <w:lang w:eastAsia="zh-CN"/>
        </w:rPr>
        <w:t>报告</w:t>
      </w:r>
    </w:p>
    <w:p w:rsidR="00270EE7" w:rsidRPr="000E34CB" w:rsidRDefault="004804BC" w:rsidP="00F9226C">
      <w:pPr>
        <w:pStyle w:val="ONUME"/>
        <w:numPr>
          <w:ilvl w:val="0"/>
          <w:numId w:val="4"/>
        </w:numPr>
        <w:tabs>
          <w:tab w:val="clear" w:pos="567"/>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为了分析在工业产权文献中对申请人名称进行标准化处理的</w:t>
      </w:r>
      <w:r w:rsidR="00B346AF" w:rsidRPr="000E34CB">
        <w:rPr>
          <w:rFonts w:ascii="SimSun" w:hAnsi="SimSun" w:hint="eastAsia"/>
          <w:sz w:val="21"/>
          <w:szCs w:val="21"/>
          <w:lang w:eastAsia="zh-CN"/>
        </w:rPr>
        <w:t>状况，以及确定所面临的主要问题和到目前为止所识别的解决方案，国际局编拟了一份关于申请人名称标准化的研究报告</w:t>
      </w:r>
      <w:r w:rsidR="005731B9">
        <w:rPr>
          <w:rFonts w:ascii="SimSun" w:hAnsi="SimSun" w:hint="eastAsia"/>
          <w:sz w:val="21"/>
          <w:szCs w:val="21"/>
          <w:lang w:eastAsia="zh-CN"/>
        </w:rPr>
        <w:t>（</w:t>
      </w:r>
      <w:r w:rsidR="00B346AF" w:rsidRPr="000E34CB">
        <w:rPr>
          <w:rFonts w:ascii="SimSun" w:hAnsi="SimSun" w:hint="eastAsia"/>
          <w:sz w:val="21"/>
          <w:szCs w:val="21"/>
          <w:lang w:eastAsia="zh-CN"/>
        </w:rPr>
        <w:t>下称“研究报告”</w:t>
      </w:r>
      <w:r w:rsidR="005731B9">
        <w:rPr>
          <w:rFonts w:ascii="SimSun" w:hAnsi="SimSun" w:hint="eastAsia"/>
          <w:sz w:val="21"/>
          <w:szCs w:val="21"/>
          <w:lang w:eastAsia="zh-CN"/>
        </w:rPr>
        <w:t>）</w:t>
      </w:r>
      <w:r w:rsidR="00B346AF" w:rsidRPr="000E34CB">
        <w:rPr>
          <w:rFonts w:ascii="SimSun" w:hAnsi="SimSun" w:hint="eastAsia"/>
          <w:sz w:val="21"/>
          <w:szCs w:val="21"/>
          <w:lang w:eastAsia="zh-CN"/>
        </w:rPr>
        <w:t>供标准委员会审议。</w:t>
      </w:r>
      <w:r w:rsidR="003665B4" w:rsidRPr="000E34CB">
        <w:rPr>
          <w:rFonts w:ascii="SimSun" w:hAnsi="SimSun" w:hint="eastAsia"/>
          <w:sz w:val="21"/>
          <w:szCs w:val="21"/>
          <w:lang w:eastAsia="zh-CN"/>
        </w:rPr>
        <w:t>该研究报告转录于本文件附件。</w:t>
      </w:r>
    </w:p>
    <w:p w:rsidR="00270EE7" w:rsidRPr="00686202" w:rsidRDefault="003665B4" w:rsidP="00F9226C">
      <w:pPr>
        <w:pStyle w:val="Heading2"/>
        <w:overflowPunct w:val="0"/>
        <w:spacing w:before="0"/>
        <w:rPr>
          <w:rFonts w:ascii="SimHei" w:eastAsia="SimHei" w:hAnsi="SimHei"/>
          <w:caps w:val="0"/>
          <w:sz w:val="21"/>
          <w:lang w:eastAsia="zh-CN"/>
        </w:rPr>
      </w:pPr>
      <w:r w:rsidRPr="00686202">
        <w:rPr>
          <w:rFonts w:ascii="SimHei" w:eastAsia="SimHei" w:hAnsi="SimHei" w:hint="eastAsia"/>
          <w:caps w:val="0"/>
          <w:sz w:val="21"/>
          <w:lang w:eastAsia="zh-CN"/>
        </w:rPr>
        <w:t>拟开展的新任务和进一步行动</w:t>
      </w:r>
    </w:p>
    <w:p w:rsidR="00EB450A" w:rsidRPr="000E34CB" w:rsidRDefault="00EA67A8" w:rsidP="00F9226C">
      <w:pPr>
        <w:pStyle w:val="ONUME"/>
        <w:numPr>
          <w:ilvl w:val="0"/>
          <w:numId w:val="4"/>
        </w:numPr>
        <w:tabs>
          <w:tab w:val="clear" w:pos="567"/>
        </w:tabs>
        <w:overflowPunct w:val="0"/>
        <w:spacing w:afterLines="100" w:after="240" w:line="340" w:lineRule="atLeast"/>
        <w:jc w:val="both"/>
        <w:rPr>
          <w:rFonts w:ascii="SimSun" w:hAnsi="SimSun"/>
          <w:sz w:val="21"/>
          <w:szCs w:val="21"/>
          <w:lang w:eastAsia="zh-CN"/>
        </w:rPr>
      </w:pPr>
      <w:r w:rsidRPr="000E34CB">
        <w:rPr>
          <w:rFonts w:ascii="SimSun" w:hAnsi="SimSun" w:hint="eastAsia"/>
          <w:sz w:val="21"/>
          <w:szCs w:val="21"/>
          <w:lang w:eastAsia="zh-CN"/>
        </w:rPr>
        <w:t>如上文第5段所述，讲习班注意到有必要在标准委员会下</w:t>
      </w:r>
      <w:r w:rsidR="00335DED" w:rsidRPr="000E34CB">
        <w:rPr>
          <w:rFonts w:ascii="SimSun" w:hAnsi="SimSun" w:hint="eastAsia"/>
          <w:sz w:val="21"/>
          <w:szCs w:val="21"/>
          <w:lang w:eastAsia="zh-CN"/>
        </w:rPr>
        <w:t>开展</w:t>
      </w:r>
      <w:r w:rsidRPr="000E34CB">
        <w:rPr>
          <w:rFonts w:ascii="SimSun" w:hAnsi="SimSun" w:hint="eastAsia"/>
          <w:sz w:val="21"/>
          <w:szCs w:val="21"/>
          <w:lang w:eastAsia="zh-CN"/>
        </w:rPr>
        <w:t>一项新任务，以</w:t>
      </w:r>
      <w:r w:rsidR="004F19D2" w:rsidRPr="000E34CB">
        <w:rPr>
          <w:rFonts w:ascii="SimSun" w:hAnsi="SimSun" w:hint="eastAsia"/>
          <w:sz w:val="21"/>
          <w:szCs w:val="21"/>
          <w:lang w:eastAsia="zh-CN"/>
        </w:rPr>
        <w:t>处理</w:t>
      </w:r>
      <w:r w:rsidR="00335DED" w:rsidRPr="000E34CB">
        <w:rPr>
          <w:rFonts w:ascii="SimSun" w:hAnsi="SimSun" w:hint="eastAsia"/>
          <w:sz w:val="21"/>
          <w:szCs w:val="21"/>
          <w:lang w:eastAsia="zh-CN"/>
        </w:rPr>
        <w:t>申请人名称标准化相关问题，并</w:t>
      </w:r>
      <w:r w:rsidR="004F19D2" w:rsidRPr="000E34CB">
        <w:rPr>
          <w:rFonts w:ascii="SimSun" w:hAnsi="SimSun" w:hint="eastAsia"/>
          <w:sz w:val="21"/>
          <w:szCs w:val="21"/>
          <w:lang w:eastAsia="zh-CN"/>
        </w:rPr>
        <w:t>议定</w:t>
      </w:r>
      <w:r w:rsidR="00895016" w:rsidRPr="000E34CB">
        <w:rPr>
          <w:rFonts w:ascii="SimSun" w:hAnsi="SimSun" w:hint="eastAsia"/>
          <w:sz w:val="21"/>
          <w:szCs w:val="21"/>
          <w:lang w:eastAsia="zh-CN"/>
        </w:rPr>
        <w:t>要求标准委员会建立一个新工作队来处理这项任务。</w:t>
      </w:r>
    </w:p>
    <w:p w:rsidR="00270EE7" w:rsidRPr="000E34CB" w:rsidRDefault="00EA6AF9"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在</w:t>
      </w:r>
      <w:r w:rsidR="00895016" w:rsidRPr="000E34CB">
        <w:rPr>
          <w:rFonts w:ascii="SimSun" w:hAnsi="SimSun" w:hint="eastAsia"/>
          <w:sz w:val="21"/>
          <w:szCs w:val="21"/>
          <w:lang w:eastAsia="zh-CN"/>
        </w:rPr>
        <w:t>讲习班</w:t>
      </w:r>
      <w:r w:rsidR="00131DBB" w:rsidRPr="000E34CB">
        <w:rPr>
          <w:rFonts w:ascii="SimSun" w:hAnsi="SimSun" w:hint="eastAsia"/>
          <w:sz w:val="21"/>
          <w:szCs w:val="21"/>
          <w:lang w:eastAsia="zh-CN"/>
        </w:rPr>
        <w:t>提出</w:t>
      </w:r>
      <w:r w:rsidR="00895016" w:rsidRPr="000E34CB">
        <w:rPr>
          <w:rFonts w:ascii="SimSun" w:hAnsi="SimSun" w:hint="eastAsia"/>
          <w:sz w:val="21"/>
          <w:szCs w:val="21"/>
          <w:lang w:eastAsia="zh-CN"/>
        </w:rPr>
        <w:t>建议</w:t>
      </w:r>
      <w:r w:rsidR="00131DBB" w:rsidRPr="000E34CB">
        <w:rPr>
          <w:rFonts w:ascii="SimSun" w:hAnsi="SimSun" w:hint="eastAsia"/>
          <w:sz w:val="21"/>
          <w:szCs w:val="21"/>
          <w:lang w:eastAsia="zh-CN"/>
        </w:rPr>
        <w:t>后，提议在标准委员会工作计划中创建一项符合以下描述的新任务：</w:t>
      </w:r>
    </w:p>
    <w:p w:rsidR="00612586" w:rsidRPr="000E34CB" w:rsidRDefault="00131DBB" w:rsidP="002B682E">
      <w:pPr>
        <w:pStyle w:val="ONUME"/>
        <w:numPr>
          <w:ilvl w:val="0"/>
          <w:numId w:val="0"/>
        </w:numPr>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w:t>
      </w:r>
      <w:r w:rsidR="009E22FA" w:rsidRPr="000E34CB">
        <w:rPr>
          <w:rFonts w:ascii="SimSun" w:hAnsi="SimSun" w:hint="eastAsia"/>
          <w:sz w:val="21"/>
          <w:szCs w:val="21"/>
          <w:lang w:eastAsia="zh-CN"/>
        </w:rPr>
        <w:t>设想制定一项WIPO标准，帮助工业产权局</w:t>
      </w:r>
      <w:r w:rsidR="005731B9">
        <w:rPr>
          <w:rFonts w:ascii="SimSun" w:hAnsi="SimSun"/>
          <w:sz w:val="21"/>
          <w:szCs w:val="21"/>
          <w:lang w:eastAsia="zh-CN"/>
        </w:rPr>
        <w:t>（IPO）</w:t>
      </w:r>
      <w:r w:rsidR="009E22FA" w:rsidRPr="000E34CB">
        <w:rPr>
          <w:rFonts w:ascii="SimSun" w:hAnsi="SimSun" w:hint="eastAsia"/>
          <w:sz w:val="21"/>
          <w:szCs w:val="21"/>
          <w:lang w:eastAsia="zh-CN"/>
        </w:rPr>
        <w:t>更好地从源头确保申请人名称的质量，</w:t>
      </w:r>
    </w:p>
    <w:p w:rsidR="00612586" w:rsidRPr="000E34CB" w:rsidRDefault="009E22FA" w:rsidP="006C1A5B">
      <w:pPr>
        <w:pStyle w:val="ONUME"/>
        <w:numPr>
          <w:ilvl w:val="0"/>
          <w:numId w:val="8"/>
        </w:numPr>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开展关于工业产权局使用申请人标识符及其可能</w:t>
      </w:r>
      <w:r w:rsidR="006F5FAF" w:rsidRPr="000E34CB">
        <w:rPr>
          <w:rFonts w:ascii="SimSun" w:hAnsi="SimSun" w:hint="eastAsia"/>
          <w:sz w:val="21"/>
          <w:szCs w:val="21"/>
          <w:lang w:eastAsia="zh-CN"/>
        </w:rPr>
        <w:t>所产生</w:t>
      </w:r>
      <w:r w:rsidRPr="000E34CB">
        <w:rPr>
          <w:rFonts w:ascii="SimSun" w:hAnsi="SimSun" w:hint="eastAsia"/>
          <w:sz w:val="21"/>
          <w:szCs w:val="21"/>
          <w:lang w:eastAsia="zh-CN"/>
        </w:rPr>
        <w:t>问题的调查；及</w:t>
      </w:r>
    </w:p>
    <w:p w:rsidR="000C6F93" w:rsidRPr="000E34CB" w:rsidRDefault="00136DF8" w:rsidP="00F9226C">
      <w:pPr>
        <w:pStyle w:val="ONUME"/>
        <w:numPr>
          <w:ilvl w:val="0"/>
          <w:numId w:val="8"/>
        </w:numPr>
        <w:spacing w:afterLines="100" w:after="240" w:line="340" w:lineRule="atLeast"/>
        <w:jc w:val="both"/>
        <w:rPr>
          <w:rFonts w:ascii="SimSun" w:hAnsi="SimSun"/>
          <w:sz w:val="21"/>
          <w:szCs w:val="21"/>
        </w:rPr>
      </w:pPr>
      <w:r w:rsidRPr="000E34CB">
        <w:rPr>
          <w:rFonts w:ascii="SimSun" w:hAnsi="SimSun" w:hint="eastAsia"/>
          <w:sz w:val="21"/>
          <w:szCs w:val="21"/>
          <w:lang w:eastAsia="zh-CN"/>
        </w:rPr>
        <w:t>制定关于</w:t>
      </w:r>
      <w:r w:rsidR="006F5FAF" w:rsidRPr="000E34CB">
        <w:rPr>
          <w:rFonts w:ascii="SimSun" w:hAnsi="SimSun" w:hint="eastAsia"/>
          <w:sz w:val="21"/>
          <w:szCs w:val="21"/>
          <w:lang w:eastAsia="zh-CN"/>
        </w:rPr>
        <w:t>采取进一步行动以对工业产权文献中的申请人名称进行标准化处理的提案并提交标准委员会审议。”</w:t>
      </w:r>
    </w:p>
    <w:p w:rsidR="00612586" w:rsidRPr="000E34CB" w:rsidRDefault="004C321E" w:rsidP="006C1A5B">
      <w:pPr>
        <w:pStyle w:val="ONUME"/>
        <w:numPr>
          <w:ilvl w:val="0"/>
          <w:numId w:val="4"/>
        </w:numPr>
        <w:tabs>
          <w:tab w:val="clear" w:pos="567"/>
        </w:tabs>
        <w:overflowPunct w:val="0"/>
        <w:spacing w:afterLines="50" w:after="120" w:line="340" w:lineRule="atLeast"/>
        <w:jc w:val="both"/>
        <w:rPr>
          <w:rFonts w:ascii="SimSun" w:hAnsi="SimSun"/>
          <w:sz w:val="21"/>
          <w:szCs w:val="21"/>
          <w:lang w:eastAsia="zh-CN"/>
        </w:rPr>
      </w:pPr>
      <w:r w:rsidRPr="000E34CB">
        <w:rPr>
          <w:rFonts w:ascii="SimSun" w:hAnsi="SimSun" w:hint="eastAsia"/>
          <w:sz w:val="21"/>
          <w:szCs w:val="21"/>
          <w:lang w:eastAsia="zh-CN"/>
        </w:rPr>
        <w:t>还提议建立一个新工作队</w:t>
      </w:r>
      <w:r w:rsidR="005731B9">
        <w:rPr>
          <w:rFonts w:ascii="SimSun" w:hAnsi="SimSun" w:hint="eastAsia"/>
          <w:sz w:val="21"/>
          <w:szCs w:val="21"/>
          <w:lang w:eastAsia="zh-CN"/>
        </w:rPr>
        <w:t>（</w:t>
      </w:r>
      <w:r w:rsidRPr="000E34CB">
        <w:rPr>
          <w:rFonts w:ascii="SimSun" w:hAnsi="SimSun" w:hint="eastAsia"/>
          <w:sz w:val="21"/>
          <w:szCs w:val="21"/>
          <w:lang w:eastAsia="zh-CN"/>
        </w:rPr>
        <w:t>名</w:t>
      </w:r>
      <w:r w:rsidR="00E91B8B">
        <w:rPr>
          <w:rFonts w:ascii="SimSun" w:hAnsi="SimSun" w:hint="eastAsia"/>
          <w:sz w:val="21"/>
          <w:szCs w:val="21"/>
          <w:lang w:eastAsia="zh-CN"/>
        </w:rPr>
        <w:t>为</w:t>
      </w:r>
      <w:r w:rsidRPr="000E34CB">
        <w:rPr>
          <w:rFonts w:ascii="SimSun" w:hAnsi="SimSun" w:hint="eastAsia"/>
          <w:sz w:val="21"/>
          <w:szCs w:val="21"/>
          <w:lang w:eastAsia="zh-CN"/>
        </w:rPr>
        <w:t>标准化工作队</w:t>
      </w:r>
      <w:r w:rsidR="005731B9">
        <w:rPr>
          <w:rFonts w:ascii="SimSun" w:hAnsi="SimSun" w:hint="eastAsia"/>
          <w:sz w:val="21"/>
          <w:szCs w:val="21"/>
          <w:lang w:eastAsia="zh-CN"/>
        </w:rPr>
        <w:t>）</w:t>
      </w:r>
      <w:r w:rsidRPr="000E34CB">
        <w:rPr>
          <w:rFonts w:ascii="SimSun" w:hAnsi="SimSun" w:hint="eastAsia"/>
          <w:sz w:val="21"/>
          <w:szCs w:val="21"/>
          <w:lang w:eastAsia="zh-CN"/>
        </w:rPr>
        <w:t>以处理拟开展的新任务，并要求该工作队</w:t>
      </w:r>
    </w:p>
    <w:p w:rsidR="00612586" w:rsidRPr="000E34CB" w:rsidRDefault="004C321E" w:rsidP="006C1A5B">
      <w:pPr>
        <w:pStyle w:val="ONUME"/>
        <w:numPr>
          <w:ilvl w:val="0"/>
          <w:numId w:val="7"/>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为开展上文10(</w:t>
      </w:r>
      <w:proofErr w:type="spellStart"/>
      <w:r w:rsidRPr="000E34CB">
        <w:rPr>
          <w:rFonts w:ascii="SimSun" w:hAnsi="SimSun"/>
          <w:sz w:val="21"/>
          <w:szCs w:val="21"/>
          <w:lang w:eastAsia="zh-CN"/>
        </w:rPr>
        <w:t>i</w:t>
      </w:r>
      <w:proofErr w:type="spellEnd"/>
      <w:r w:rsidRPr="000E34CB">
        <w:rPr>
          <w:rFonts w:ascii="SimSun" w:hAnsi="SimSun" w:hint="eastAsia"/>
          <w:sz w:val="21"/>
          <w:szCs w:val="21"/>
          <w:lang w:eastAsia="zh-CN"/>
        </w:rPr>
        <w:t>)段中</w:t>
      </w:r>
      <w:r w:rsidR="0095477D" w:rsidRPr="000E34CB">
        <w:rPr>
          <w:rFonts w:ascii="SimSun" w:hAnsi="SimSun" w:hint="eastAsia"/>
          <w:sz w:val="21"/>
          <w:szCs w:val="21"/>
          <w:lang w:eastAsia="zh-CN"/>
        </w:rPr>
        <w:t>所</w:t>
      </w:r>
      <w:r w:rsidR="008C0D78" w:rsidRPr="000E34CB">
        <w:rPr>
          <w:rFonts w:ascii="SimSun" w:hAnsi="SimSun" w:hint="eastAsia"/>
          <w:sz w:val="21"/>
          <w:szCs w:val="21"/>
          <w:lang w:eastAsia="zh-CN"/>
        </w:rPr>
        <w:t>述及</w:t>
      </w:r>
      <w:r w:rsidRPr="000E34CB">
        <w:rPr>
          <w:rFonts w:ascii="SimSun" w:hAnsi="SimSun" w:hint="eastAsia"/>
          <w:sz w:val="21"/>
          <w:szCs w:val="21"/>
          <w:lang w:eastAsia="zh-CN"/>
        </w:rPr>
        <w:t>的调查制定一份调查问卷并提交标准委员会下届</w:t>
      </w:r>
      <w:r w:rsidR="005731B9">
        <w:rPr>
          <w:rFonts w:ascii="SimSun" w:hAnsi="SimSun" w:hint="eastAsia"/>
          <w:sz w:val="21"/>
          <w:szCs w:val="21"/>
          <w:lang w:eastAsia="zh-CN"/>
        </w:rPr>
        <w:t>（</w:t>
      </w:r>
      <w:r w:rsidRPr="000E34CB">
        <w:rPr>
          <w:rFonts w:ascii="SimSun" w:hAnsi="SimSun" w:hint="eastAsia"/>
          <w:sz w:val="21"/>
          <w:szCs w:val="21"/>
          <w:lang w:eastAsia="zh-CN"/>
        </w:rPr>
        <w:t>第六届</w:t>
      </w:r>
      <w:r w:rsidR="005731B9">
        <w:rPr>
          <w:rFonts w:ascii="SimSun" w:hAnsi="SimSun" w:hint="eastAsia"/>
          <w:sz w:val="21"/>
          <w:szCs w:val="21"/>
          <w:lang w:eastAsia="zh-CN"/>
        </w:rPr>
        <w:t>）</w:t>
      </w:r>
      <w:r w:rsidRPr="000E34CB">
        <w:rPr>
          <w:rFonts w:ascii="SimSun" w:hAnsi="SimSun" w:hint="eastAsia"/>
          <w:sz w:val="21"/>
          <w:szCs w:val="21"/>
          <w:lang w:eastAsia="zh-CN"/>
        </w:rPr>
        <w:t>会议审议；及</w:t>
      </w:r>
    </w:p>
    <w:p w:rsidR="00270EE7" w:rsidRPr="000E34CB" w:rsidRDefault="00F46E6E" w:rsidP="006C1A5B">
      <w:pPr>
        <w:pStyle w:val="ONUME"/>
        <w:numPr>
          <w:ilvl w:val="0"/>
          <w:numId w:val="7"/>
        </w:numPr>
        <w:overflowPunct w:val="0"/>
        <w:spacing w:afterLines="50" w:after="120" w:line="340" w:lineRule="atLeast"/>
        <w:ind w:left="1134" w:hanging="567"/>
        <w:jc w:val="both"/>
        <w:rPr>
          <w:rFonts w:ascii="SimSun" w:hAnsi="SimSun"/>
          <w:sz w:val="21"/>
          <w:szCs w:val="21"/>
          <w:lang w:eastAsia="zh-CN"/>
        </w:rPr>
      </w:pPr>
      <w:r w:rsidRPr="000E34CB">
        <w:rPr>
          <w:rFonts w:ascii="SimSun" w:hAnsi="SimSun" w:hint="eastAsia"/>
          <w:sz w:val="21"/>
          <w:szCs w:val="21"/>
          <w:lang w:eastAsia="zh-CN"/>
        </w:rPr>
        <w:t>根据调查结果</w:t>
      </w:r>
      <w:r w:rsidR="00430AFC" w:rsidRPr="000E34CB">
        <w:rPr>
          <w:rFonts w:ascii="SimSun" w:hAnsi="SimSun" w:hint="eastAsia"/>
          <w:sz w:val="21"/>
          <w:szCs w:val="21"/>
          <w:lang w:eastAsia="zh-CN"/>
        </w:rPr>
        <w:t>，</w:t>
      </w:r>
      <w:r w:rsidRPr="000E34CB">
        <w:rPr>
          <w:rFonts w:ascii="SimSun" w:hAnsi="SimSun" w:hint="eastAsia"/>
          <w:sz w:val="21"/>
          <w:szCs w:val="21"/>
          <w:lang w:eastAsia="zh-CN"/>
        </w:rPr>
        <w:t>制定关于采取进一步行动的提案并提交将于2019年举行的标准委员会第七届会议审议。</w:t>
      </w:r>
    </w:p>
    <w:p w:rsidR="00CD5801" w:rsidRPr="00143E67" w:rsidRDefault="00430AFC" w:rsidP="006C1A5B">
      <w:pPr>
        <w:pStyle w:val="ONUME"/>
        <w:numPr>
          <w:ilvl w:val="0"/>
          <w:numId w:val="4"/>
        </w:numPr>
        <w:tabs>
          <w:tab w:val="clear" w:pos="567"/>
        </w:tabs>
        <w:overflowPunct w:val="0"/>
        <w:spacing w:afterLines="50" w:after="120" w:line="340" w:lineRule="atLeast"/>
        <w:ind w:left="5534"/>
        <w:jc w:val="both"/>
        <w:rPr>
          <w:rFonts w:ascii="KaiTi" w:eastAsia="KaiTi" w:hAnsi="KaiTi"/>
          <w:sz w:val="21"/>
          <w:szCs w:val="21"/>
        </w:rPr>
      </w:pPr>
      <w:r w:rsidRPr="00143E67">
        <w:rPr>
          <w:rFonts w:ascii="KaiTi" w:eastAsia="KaiTi" w:hAnsi="KaiTi" w:hint="eastAsia"/>
          <w:sz w:val="21"/>
          <w:szCs w:val="21"/>
          <w:lang w:eastAsia="zh-CN"/>
        </w:rPr>
        <w:t>请标准委员会：</w:t>
      </w:r>
    </w:p>
    <w:p w:rsidR="00CD5801" w:rsidRPr="00143E67" w:rsidRDefault="00ED1A6C" w:rsidP="006C1A5B">
      <w:pPr>
        <w:pStyle w:val="ONUME"/>
        <w:numPr>
          <w:ilvl w:val="0"/>
          <w:numId w:val="0"/>
        </w:numPr>
        <w:overflowPunct w:val="0"/>
        <w:spacing w:afterLines="50" w:after="120" w:line="340" w:lineRule="atLeast"/>
        <w:ind w:left="5534" w:firstLine="703"/>
        <w:jc w:val="both"/>
        <w:rPr>
          <w:rFonts w:ascii="KaiTi" w:eastAsia="KaiTi" w:hAnsi="KaiTi"/>
          <w:sz w:val="21"/>
          <w:szCs w:val="21"/>
        </w:rPr>
      </w:pPr>
      <w:r w:rsidRPr="00143E67">
        <w:rPr>
          <w:rFonts w:ascii="KaiTi" w:eastAsia="KaiTi" w:hAnsi="KaiTi"/>
          <w:sz w:val="21"/>
          <w:szCs w:val="21"/>
        </w:rPr>
        <w:t>(a)</w:t>
      </w:r>
      <w:r w:rsidRPr="00143E67">
        <w:rPr>
          <w:rFonts w:ascii="KaiTi" w:eastAsia="KaiTi" w:hAnsi="KaiTi"/>
          <w:sz w:val="21"/>
          <w:szCs w:val="21"/>
        </w:rPr>
        <w:tab/>
      </w:r>
      <w:r w:rsidR="00430AFC" w:rsidRPr="00143E67">
        <w:rPr>
          <w:rFonts w:ascii="KaiTi" w:eastAsia="KaiTi" w:hAnsi="KaiTi" w:hint="eastAsia"/>
          <w:sz w:val="21"/>
          <w:szCs w:val="21"/>
          <w:lang w:eastAsia="zh-CN"/>
        </w:rPr>
        <w:t>注意本文件及其附件的内</w:t>
      </w:r>
      <w:r w:rsidR="006C1A5B">
        <w:rPr>
          <w:rFonts w:ascii="KaiTi" w:eastAsia="KaiTi" w:hAnsi="KaiTi"/>
          <w:sz w:val="21"/>
          <w:szCs w:val="21"/>
          <w:lang w:eastAsia="zh-CN"/>
        </w:rPr>
        <w:t>‍</w:t>
      </w:r>
      <w:bookmarkStart w:id="0" w:name="_GoBack"/>
      <w:bookmarkEnd w:id="0"/>
      <w:r w:rsidR="00430AFC" w:rsidRPr="00143E67">
        <w:rPr>
          <w:rFonts w:ascii="KaiTi" w:eastAsia="KaiTi" w:hAnsi="KaiTi" w:hint="eastAsia"/>
          <w:sz w:val="21"/>
          <w:szCs w:val="21"/>
          <w:lang w:eastAsia="zh-CN"/>
        </w:rPr>
        <w:t>容；</w:t>
      </w:r>
    </w:p>
    <w:p w:rsidR="00CD5801" w:rsidRPr="00143E67" w:rsidRDefault="00CD5801" w:rsidP="006C1A5B">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143E67">
        <w:rPr>
          <w:rFonts w:ascii="KaiTi" w:eastAsia="KaiTi" w:hAnsi="KaiTi"/>
          <w:sz w:val="21"/>
          <w:szCs w:val="21"/>
          <w:lang w:eastAsia="zh-CN"/>
        </w:rPr>
        <w:t>(b)</w:t>
      </w:r>
      <w:r w:rsidR="00ED1A6C" w:rsidRPr="00143E67">
        <w:rPr>
          <w:rFonts w:ascii="KaiTi" w:eastAsia="KaiTi" w:hAnsi="KaiTi"/>
          <w:sz w:val="21"/>
          <w:szCs w:val="21"/>
          <w:lang w:eastAsia="zh-CN"/>
        </w:rPr>
        <w:tab/>
      </w:r>
      <w:r w:rsidR="00430AFC" w:rsidRPr="00143E67">
        <w:rPr>
          <w:rFonts w:ascii="KaiTi" w:eastAsia="KaiTi" w:hAnsi="KaiTi" w:hint="eastAsia"/>
          <w:sz w:val="21"/>
          <w:szCs w:val="21"/>
          <w:lang w:eastAsia="zh-CN"/>
        </w:rPr>
        <w:t>审议并决定建立上文第10和11段中所</w:t>
      </w:r>
      <w:r w:rsidR="0095477D" w:rsidRPr="00143E67">
        <w:rPr>
          <w:rFonts w:ascii="KaiTi" w:eastAsia="KaiTi" w:hAnsi="KaiTi" w:hint="eastAsia"/>
          <w:sz w:val="21"/>
          <w:szCs w:val="21"/>
          <w:lang w:eastAsia="zh-CN"/>
        </w:rPr>
        <w:t>述</w:t>
      </w:r>
      <w:r w:rsidR="00430AFC" w:rsidRPr="00143E67">
        <w:rPr>
          <w:rFonts w:ascii="KaiTi" w:eastAsia="KaiTi" w:hAnsi="KaiTi" w:hint="eastAsia"/>
          <w:sz w:val="21"/>
          <w:szCs w:val="21"/>
          <w:lang w:eastAsia="zh-CN"/>
        </w:rPr>
        <w:t>的新任务和新工作队；及</w:t>
      </w:r>
    </w:p>
    <w:p w:rsidR="006256AA" w:rsidRPr="00143E67" w:rsidRDefault="00ED1A6C" w:rsidP="006C1A5B">
      <w:pPr>
        <w:pStyle w:val="ONUME"/>
        <w:numPr>
          <w:ilvl w:val="0"/>
          <w:numId w:val="0"/>
        </w:numPr>
        <w:overflowPunct w:val="0"/>
        <w:spacing w:afterLines="50" w:after="120" w:line="340" w:lineRule="atLeast"/>
        <w:ind w:left="5534" w:firstLine="703"/>
        <w:jc w:val="both"/>
        <w:rPr>
          <w:rFonts w:ascii="KaiTi" w:eastAsia="KaiTi" w:hAnsi="KaiTi"/>
          <w:sz w:val="21"/>
          <w:szCs w:val="21"/>
          <w:lang w:eastAsia="zh-CN"/>
        </w:rPr>
      </w:pPr>
      <w:r w:rsidRPr="00143E67">
        <w:rPr>
          <w:rFonts w:ascii="KaiTi" w:eastAsia="KaiTi" w:hAnsi="KaiTi"/>
          <w:sz w:val="21"/>
          <w:szCs w:val="21"/>
          <w:lang w:eastAsia="zh-CN"/>
        </w:rPr>
        <w:t>(c)</w:t>
      </w:r>
      <w:r w:rsidRPr="00143E67">
        <w:rPr>
          <w:rFonts w:ascii="KaiTi" w:eastAsia="KaiTi" w:hAnsi="KaiTi"/>
          <w:sz w:val="21"/>
          <w:szCs w:val="21"/>
          <w:lang w:eastAsia="zh-CN"/>
        </w:rPr>
        <w:tab/>
      </w:r>
      <w:r w:rsidR="00430AFC" w:rsidRPr="00143E67">
        <w:rPr>
          <w:rFonts w:ascii="KaiTi" w:eastAsia="KaiTi" w:hAnsi="KaiTi" w:hint="eastAsia"/>
          <w:sz w:val="21"/>
          <w:szCs w:val="21"/>
          <w:lang w:eastAsia="zh-CN"/>
        </w:rPr>
        <w:t>审议并决定上文第11段</w:t>
      </w:r>
      <w:r w:rsidR="00C0509F" w:rsidRPr="00143E67">
        <w:rPr>
          <w:rFonts w:ascii="KaiTi" w:eastAsia="KaiTi" w:hAnsi="KaiTi" w:hint="eastAsia"/>
          <w:sz w:val="21"/>
          <w:szCs w:val="21"/>
          <w:lang w:eastAsia="zh-CN"/>
        </w:rPr>
        <w:t>中</w:t>
      </w:r>
      <w:r w:rsidR="00430AFC" w:rsidRPr="00143E67">
        <w:rPr>
          <w:rFonts w:ascii="KaiTi" w:eastAsia="KaiTi" w:hAnsi="KaiTi" w:hint="eastAsia"/>
          <w:sz w:val="21"/>
          <w:szCs w:val="21"/>
          <w:lang w:eastAsia="zh-CN"/>
        </w:rPr>
        <w:t>所</w:t>
      </w:r>
      <w:r w:rsidR="00C0509F" w:rsidRPr="00143E67">
        <w:rPr>
          <w:rFonts w:ascii="KaiTi" w:eastAsia="KaiTi" w:hAnsi="KaiTi" w:hint="eastAsia"/>
          <w:sz w:val="21"/>
          <w:szCs w:val="21"/>
          <w:lang w:eastAsia="zh-CN"/>
        </w:rPr>
        <w:t>建议</w:t>
      </w:r>
      <w:r w:rsidR="00430AFC" w:rsidRPr="00143E67">
        <w:rPr>
          <w:rFonts w:ascii="KaiTi" w:eastAsia="KaiTi" w:hAnsi="KaiTi" w:hint="eastAsia"/>
          <w:sz w:val="21"/>
          <w:szCs w:val="21"/>
          <w:lang w:eastAsia="zh-CN"/>
        </w:rPr>
        <w:t>的时间安排。</w:t>
      </w:r>
    </w:p>
    <w:p w:rsidR="00323BE8" w:rsidRDefault="00323BE8" w:rsidP="00F9226C">
      <w:pPr>
        <w:pStyle w:val="ONUME"/>
        <w:numPr>
          <w:ilvl w:val="0"/>
          <w:numId w:val="0"/>
        </w:numPr>
        <w:spacing w:after="0"/>
        <w:ind w:left="5534"/>
        <w:jc w:val="both"/>
        <w:rPr>
          <w:rFonts w:ascii="SimSun" w:hAnsi="SimSun"/>
          <w:sz w:val="21"/>
          <w:szCs w:val="21"/>
          <w:lang w:eastAsia="zh-CN"/>
        </w:rPr>
      </w:pPr>
    </w:p>
    <w:p w:rsidR="00F9226C" w:rsidRPr="006C1A5B" w:rsidRDefault="00F9226C" w:rsidP="00F9226C">
      <w:pPr>
        <w:pStyle w:val="ONUME"/>
        <w:numPr>
          <w:ilvl w:val="0"/>
          <w:numId w:val="0"/>
        </w:numPr>
        <w:spacing w:after="0"/>
        <w:ind w:left="5534"/>
        <w:jc w:val="both"/>
        <w:rPr>
          <w:rFonts w:ascii="SimSun" w:hAnsi="SimSun"/>
          <w:sz w:val="21"/>
          <w:szCs w:val="21"/>
          <w:lang w:eastAsia="zh-CN"/>
        </w:rPr>
      </w:pPr>
    </w:p>
    <w:p w:rsidR="00CD5801" w:rsidRPr="00143E67" w:rsidRDefault="00CD5801" w:rsidP="00F9226C">
      <w:pPr>
        <w:pStyle w:val="ONUME"/>
        <w:numPr>
          <w:ilvl w:val="0"/>
          <w:numId w:val="0"/>
        </w:numPr>
        <w:spacing w:after="0"/>
        <w:ind w:left="5534"/>
        <w:jc w:val="both"/>
        <w:rPr>
          <w:rFonts w:ascii="KaiTi" w:eastAsia="KaiTi" w:hAnsi="KaiTi"/>
          <w:i/>
          <w:sz w:val="21"/>
          <w:szCs w:val="21"/>
        </w:rPr>
      </w:pPr>
      <w:r w:rsidRPr="00143E67">
        <w:rPr>
          <w:rFonts w:ascii="KaiTi" w:eastAsia="KaiTi" w:hAnsi="KaiTi"/>
          <w:sz w:val="21"/>
          <w:szCs w:val="21"/>
        </w:rPr>
        <w:t>[</w:t>
      </w:r>
      <w:r w:rsidR="00430AFC" w:rsidRPr="00143E67">
        <w:rPr>
          <w:rFonts w:ascii="KaiTi" w:eastAsia="KaiTi" w:hAnsi="KaiTi" w:hint="eastAsia"/>
          <w:sz w:val="21"/>
          <w:szCs w:val="21"/>
          <w:lang w:eastAsia="zh-CN"/>
        </w:rPr>
        <w:t>后接附件</w:t>
      </w:r>
      <w:r w:rsidRPr="00143E67">
        <w:rPr>
          <w:rFonts w:ascii="KaiTi" w:eastAsia="KaiTi" w:hAnsi="KaiTi"/>
          <w:sz w:val="21"/>
          <w:szCs w:val="21"/>
        </w:rPr>
        <w:t>]</w:t>
      </w:r>
    </w:p>
    <w:sectPr w:rsidR="00CD5801" w:rsidRPr="00143E67" w:rsidSect="006C1A5B">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48" w:rsidRDefault="008A2B48" w:rsidP="003C0F7A">
      <w:r>
        <w:separator/>
      </w:r>
    </w:p>
  </w:endnote>
  <w:endnote w:type="continuationSeparator" w:id="0">
    <w:p w:rsidR="008A2B48" w:rsidRDefault="008A2B48" w:rsidP="003C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48" w:rsidRDefault="008A2B48" w:rsidP="003C0F7A">
      <w:r>
        <w:separator/>
      </w:r>
    </w:p>
  </w:footnote>
  <w:footnote w:type="continuationSeparator" w:id="0">
    <w:p w:rsidR="008A2B48" w:rsidRDefault="008A2B48" w:rsidP="003C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0A" w:rsidRPr="005731B9" w:rsidRDefault="005D540A" w:rsidP="006256AA">
    <w:pPr>
      <w:jc w:val="right"/>
      <w:rPr>
        <w:rFonts w:ascii="SimSun" w:hAnsi="SimSun"/>
        <w:sz w:val="21"/>
        <w:szCs w:val="21"/>
      </w:rPr>
    </w:pPr>
    <w:r w:rsidRPr="005731B9">
      <w:rPr>
        <w:rFonts w:ascii="SimSun" w:hAnsi="SimSun"/>
        <w:sz w:val="21"/>
        <w:szCs w:val="21"/>
      </w:rPr>
      <w:t>CWS/5/14</w:t>
    </w:r>
  </w:p>
  <w:p w:rsidR="005D540A" w:rsidRPr="005731B9" w:rsidRDefault="005D540A" w:rsidP="006256AA">
    <w:pPr>
      <w:jc w:val="right"/>
      <w:rPr>
        <w:rFonts w:ascii="SimSun" w:hAnsi="SimSun"/>
        <w:sz w:val="21"/>
        <w:szCs w:val="21"/>
      </w:rPr>
    </w:pPr>
    <w:r w:rsidRPr="005731B9">
      <w:rPr>
        <w:rFonts w:ascii="SimSun" w:hAnsi="SimSun" w:hint="eastAsia"/>
        <w:sz w:val="21"/>
        <w:szCs w:val="21"/>
        <w:lang w:eastAsia="zh-CN"/>
      </w:rPr>
      <w:t>第</w:t>
    </w:r>
    <w:r w:rsidRPr="005731B9">
      <w:rPr>
        <w:rFonts w:ascii="SimSun" w:hAnsi="SimSun"/>
        <w:sz w:val="21"/>
        <w:szCs w:val="21"/>
      </w:rPr>
      <w:fldChar w:fldCharType="begin"/>
    </w:r>
    <w:r w:rsidRPr="005731B9">
      <w:rPr>
        <w:rFonts w:ascii="SimSun" w:hAnsi="SimSun"/>
        <w:sz w:val="21"/>
        <w:szCs w:val="21"/>
      </w:rPr>
      <w:instrText xml:space="preserve"> PAGE  \* MERGEFORMAT </w:instrText>
    </w:r>
    <w:r w:rsidRPr="005731B9">
      <w:rPr>
        <w:rFonts w:ascii="SimSun" w:hAnsi="SimSun"/>
        <w:sz w:val="21"/>
        <w:szCs w:val="21"/>
      </w:rPr>
      <w:fldChar w:fldCharType="separate"/>
    </w:r>
    <w:r w:rsidR="00F9226C">
      <w:rPr>
        <w:rFonts w:ascii="SimSun" w:hAnsi="SimSun"/>
        <w:noProof/>
        <w:sz w:val="21"/>
        <w:szCs w:val="21"/>
      </w:rPr>
      <w:t>2</w:t>
    </w:r>
    <w:r w:rsidRPr="005731B9">
      <w:rPr>
        <w:rFonts w:ascii="SimSun" w:hAnsi="SimSun"/>
        <w:sz w:val="21"/>
        <w:szCs w:val="21"/>
      </w:rPr>
      <w:fldChar w:fldCharType="end"/>
    </w:r>
    <w:r w:rsidRPr="005731B9">
      <w:rPr>
        <w:rFonts w:ascii="SimSun" w:hAnsi="SimSun" w:hint="eastAsia"/>
        <w:sz w:val="21"/>
        <w:szCs w:val="21"/>
        <w:lang w:eastAsia="zh-CN"/>
      </w:rPr>
      <w:t>页</w:t>
    </w:r>
  </w:p>
  <w:p w:rsidR="005D540A" w:rsidRPr="00F9226C" w:rsidRDefault="005D540A" w:rsidP="006256AA">
    <w:pPr>
      <w:jc w:val="right"/>
      <w:rPr>
        <w:rFonts w:ascii="SimSun" w:hAnsi="SimSun"/>
        <w:sz w:val="21"/>
        <w:szCs w:val="21"/>
      </w:rPr>
    </w:pPr>
  </w:p>
  <w:p w:rsidR="00F9226C" w:rsidRPr="00F9226C" w:rsidRDefault="00F9226C" w:rsidP="006256AA">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676"/>
    <w:multiLevelType w:val="multilevel"/>
    <w:tmpl w:val="06044260"/>
    <w:lvl w:ilvl="0">
      <w:start w:val="1"/>
      <w:numFmt w:val="lowerLetter"/>
      <w:lvlText w:val="(%1)"/>
      <w:lvlJc w:val="left"/>
      <w:pPr>
        <w:tabs>
          <w:tab w:val="num" w:pos="1134"/>
        </w:tabs>
        <w:ind w:left="567" w:firstLine="0"/>
      </w:pPr>
      <w:rPr>
        <w:rFonts w:hint="default"/>
      </w:rPr>
    </w:lvl>
    <w:lvl w:ilvl="1">
      <w:start w:val="1"/>
      <w:numFmt w:val="bullet"/>
      <w:lvlText w:val=""/>
      <w:lvlJc w:val="left"/>
      <w:pPr>
        <w:tabs>
          <w:tab w:val="num" w:pos="1521"/>
        </w:tabs>
        <w:ind w:left="954" w:firstLine="0"/>
      </w:pPr>
      <w:rPr>
        <w:rFonts w:ascii="Symbol" w:hAnsi="Symbol" w:hint="default"/>
      </w:rPr>
    </w:lvl>
    <w:lvl w:ilvl="2">
      <w:start w:val="1"/>
      <w:numFmt w:val="lowerRoman"/>
      <w:lvlText w:val="(%3)"/>
      <w:lvlJc w:val="left"/>
      <w:pPr>
        <w:tabs>
          <w:tab w:val="num" w:pos="2088"/>
        </w:tabs>
        <w:ind w:left="1521" w:firstLine="0"/>
      </w:pPr>
      <w:rPr>
        <w:rFonts w:hint="default"/>
      </w:rPr>
    </w:lvl>
    <w:lvl w:ilvl="3">
      <w:start w:val="1"/>
      <w:numFmt w:val="bullet"/>
      <w:lvlText w:val=""/>
      <w:lvlJc w:val="left"/>
      <w:pPr>
        <w:tabs>
          <w:tab w:val="num" w:pos="2655"/>
        </w:tabs>
        <w:ind w:left="2088" w:firstLine="0"/>
      </w:pPr>
      <w:rPr>
        <w:rFonts w:hint="default"/>
      </w:rPr>
    </w:lvl>
    <w:lvl w:ilvl="4">
      <w:start w:val="1"/>
      <w:numFmt w:val="bullet"/>
      <w:lvlText w:val=""/>
      <w:lvlJc w:val="left"/>
      <w:pPr>
        <w:tabs>
          <w:tab w:val="num" w:pos="3222"/>
        </w:tabs>
        <w:ind w:left="2655" w:firstLine="0"/>
      </w:pPr>
      <w:rPr>
        <w:rFonts w:hint="default"/>
      </w:rPr>
    </w:lvl>
    <w:lvl w:ilvl="5">
      <w:start w:val="1"/>
      <w:numFmt w:val="bullet"/>
      <w:lvlText w:val=""/>
      <w:lvlJc w:val="left"/>
      <w:pPr>
        <w:tabs>
          <w:tab w:val="num" w:pos="3789"/>
        </w:tabs>
        <w:ind w:left="3222" w:firstLine="0"/>
      </w:pPr>
      <w:rPr>
        <w:rFonts w:hint="default"/>
      </w:rPr>
    </w:lvl>
    <w:lvl w:ilvl="6">
      <w:start w:val="1"/>
      <w:numFmt w:val="bullet"/>
      <w:lvlText w:val=""/>
      <w:lvlJc w:val="left"/>
      <w:pPr>
        <w:tabs>
          <w:tab w:val="num" w:pos="4356"/>
        </w:tabs>
        <w:ind w:left="3789" w:firstLine="0"/>
      </w:pPr>
      <w:rPr>
        <w:rFonts w:hint="default"/>
      </w:rPr>
    </w:lvl>
    <w:lvl w:ilvl="7">
      <w:start w:val="1"/>
      <w:numFmt w:val="bullet"/>
      <w:lvlText w:val=""/>
      <w:lvlJc w:val="left"/>
      <w:pPr>
        <w:tabs>
          <w:tab w:val="num" w:pos="4922"/>
        </w:tabs>
        <w:ind w:left="4356" w:firstLine="0"/>
      </w:pPr>
      <w:rPr>
        <w:rFonts w:hint="default"/>
      </w:rPr>
    </w:lvl>
    <w:lvl w:ilvl="8">
      <w:start w:val="1"/>
      <w:numFmt w:val="bullet"/>
      <w:lvlText w:val=""/>
      <w:lvlJc w:val="left"/>
      <w:pPr>
        <w:tabs>
          <w:tab w:val="num" w:pos="5489"/>
        </w:tabs>
        <w:ind w:left="4922" w:firstLine="0"/>
      </w:pPr>
      <w:rPr>
        <w:rFonts w:hint="default"/>
      </w:rPr>
    </w:lvl>
  </w:abstractNum>
  <w:abstractNum w:abstractNumId="1">
    <w:nsid w:val="01BA7A85"/>
    <w:multiLevelType w:val="hybridMultilevel"/>
    <w:tmpl w:val="2222DF5E"/>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D82479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954"/>
        </w:tabs>
        <w:ind w:left="387" w:firstLine="0"/>
      </w:pPr>
      <w:rPr>
        <w:rFonts w:ascii="Symbol" w:hAnsi="Symbol" w:hint="default"/>
      </w:rPr>
    </w:lvl>
    <w:lvl w:ilvl="2">
      <w:start w:val="1"/>
      <w:numFmt w:val="lowerRoman"/>
      <w:lvlText w:val="(%3)"/>
      <w:lvlJc w:val="left"/>
      <w:pPr>
        <w:tabs>
          <w:tab w:val="num" w:pos="1521"/>
        </w:tabs>
        <w:ind w:left="954" w:firstLine="0"/>
      </w:pPr>
      <w:rPr>
        <w:rFonts w:hint="default"/>
      </w:rPr>
    </w:lvl>
    <w:lvl w:ilvl="3">
      <w:start w:val="1"/>
      <w:numFmt w:val="bullet"/>
      <w:lvlText w:val=""/>
      <w:lvlJc w:val="left"/>
      <w:pPr>
        <w:tabs>
          <w:tab w:val="num" w:pos="2088"/>
        </w:tabs>
        <w:ind w:left="1521" w:firstLine="0"/>
      </w:pPr>
      <w:rPr>
        <w:rFonts w:hint="default"/>
      </w:rPr>
    </w:lvl>
    <w:lvl w:ilvl="4">
      <w:start w:val="1"/>
      <w:numFmt w:val="bullet"/>
      <w:lvlText w:val=""/>
      <w:lvlJc w:val="left"/>
      <w:pPr>
        <w:tabs>
          <w:tab w:val="num" w:pos="2655"/>
        </w:tabs>
        <w:ind w:left="2088" w:firstLine="0"/>
      </w:pPr>
      <w:rPr>
        <w:rFonts w:hint="default"/>
      </w:rPr>
    </w:lvl>
    <w:lvl w:ilvl="5">
      <w:start w:val="1"/>
      <w:numFmt w:val="bullet"/>
      <w:lvlText w:val=""/>
      <w:lvlJc w:val="left"/>
      <w:pPr>
        <w:tabs>
          <w:tab w:val="num" w:pos="3222"/>
        </w:tabs>
        <w:ind w:left="2655" w:firstLine="0"/>
      </w:pPr>
      <w:rPr>
        <w:rFonts w:hint="default"/>
      </w:rPr>
    </w:lvl>
    <w:lvl w:ilvl="6">
      <w:start w:val="1"/>
      <w:numFmt w:val="bullet"/>
      <w:lvlText w:val=""/>
      <w:lvlJc w:val="left"/>
      <w:pPr>
        <w:tabs>
          <w:tab w:val="num" w:pos="3789"/>
        </w:tabs>
        <w:ind w:left="3222" w:firstLine="0"/>
      </w:pPr>
      <w:rPr>
        <w:rFonts w:hint="default"/>
      </w:rPr>
    </w:lvl>
    <w:lvl w:ilvl="7">
      <w:start w:val="1"/>
      <w:numFmt w:val="bullet"/>
      <w:lvlText w:val=""/>
      <w:lvlJc w:val="left"/>
      <w:pPr>
        <w:tabs>
          <w:tab w:val="num" w:pos="4355"/>
        </w:tabs>
        <w:ind w:left="3789" w:firstLine="0"/>
      </w:pPr>
      <w:rPr>
        <w:rFonts w:hint="default"/>
      </w:rPr>
    </w:lvl>
    <w:lvl w:ilvl="8">
      <w:start w:val="1"/>
      <w:numFmt w:val="bullet"/>
      <w:lvlText w:val=""/>
      <w:lvlJc w:val="left"/>
      <w:pPr>
        <w:tabs>
          <w:tab w:val="num" w:pos="4922"/>
        </w:tabs>
        <w:ind w:left="4355" w:firstLine="0"/>
      </w:pPr>
      <w:rPr>
        <w:rFonts w:hint="default"/>
      </w:rPr>
    </w:lvl>
  </w:abstractNum>
  <w:abstractNum w:abstractNumId="3">
    <w:nsid w:val="32B74763"/>
    <w:multiLevelType w:val="hybridMultilevel"/>
    <w:tmpl w:val="B3984830"/>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732EE"/>
    <w:multiLevelType w:val="hybridMultilevel"/>
    <w:tmpl w:val="4E92CBC8"/>
    <w:lvl w:ilvl="0" w:tplc="4E163854">
      <w:start w:val="1"/>
      <w:numFmt w:val="lowerRoman"/>
      <w:lvlText w:val="%1."/>
      <w:lvlJc w:val="right"/>
      <w:pPr>
        <w:ind w:left="1134" w:hanging="34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A054E6"/>
    <w:multiLevelType w:val="hybridMultilevel"/>
    <w:tmpl w:val="88A6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6"/>
  </w:num>
  <w:num w:numId="3">
    <w:abstractNumId w:val="5"/>
  </w:num>
  <w:num w:numId="4">
    <w:abstractNumId w:val="2"/>
  </w:num>
  <w:num w:numId="5">
    <w:abstractNumId w:val="7"/>
  </w:num>
  <w:num w:numId="6">
    <w:abstractNumId w:val="0"/>
  </w:num>
  <w:num w:numId="7">
    <w:abstractNumId w:val="3"/>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C0B"/>
    <w:rsid w:val="00001DD3"/>
    <w:rsid w:val="000272FB"/>
    <w:rsid w:val="00062267"/>
    <w:rsid w:val="00076248"/>
    <w:rsid w:val="00096472"/>
    <w:rsid w:val="00097011"/>
    <w:rsid w:val="000A11C9"/>
    <w:rsid w:val="000C276F"/>
    <w:rsid w:val="000C57BF"/>
    <w:rsid w:val="000C5E91"/>
    <w:rsid w:val="000C6F93"/>
    <w:rsid w:val="000D577F"/>
    <w:rsid w:val="000E27F4"/>
    <w:rsid w:val="000E34CB"/>
    <w:rsid w:val="000F323A"/>
    <w:rsid w:val="000F5E56"/>
    <w:rsid w:val="00110C27"/>
    <w:rsid w:val="00111639"/>
    <w:rsid w:val="00131DBB"/>
    <w:rsid w:val="00132D44"/>
    <w:rsid w:val="00136DF8"/>
    <w:rsid w:val="00141702"/>
    <w:rsid w:val="00143E67"/>
    <w:rsid w:val="001C16AB"/>
    <w:rsid w:val="001C308E"/>
    <w:rsid w:val="001D7A1B"/>
    <w:rsid w:val="0021119F"/>
    <w:rsid w:val="00241C61"/>
    <w:rsid w:val="00270EE7"/>
    <w:rsid w:val="0028548B"/>
    <w:rsid w:val="002B47B1"/>
    <w:rsid w:val="002B682E"/>
    <w:rsid w:val="002E0B1A"/>
    <w:rsid w:val="003003C5"/>
    <w:rsid w:val="003018CE"/>
    <w:rsid w:val="00317BB9"/>
    <w:rsid w:val="00323BE8"/>
    <w:rsid w:val="0033456F"/>
    <w:rsid w:val="003352E6"/>
    <w:rsid w:val="00335DED"/>
    <w:rsid w:val="00351B91"/>
    <w:rsid w:val="003665B4"/>
    <w:rsid w:val="00383FFD"/>
    <w:rsid w:val="00385901"/>
    <w:rsid w:val="003B0180"/>
    <w:rsid w:val="003B244C"/>
    <w:rsid w:val="003B2EAC"/>
    <w:rsid w:val="003C0F7A"/>
    <w:rsid w:val="003F5966"/>
    <w:rsid w:val="0042294A"/>
    <w:rsid w:val="00430AFC"/>
    <w:rsid w:val="00431118"/>
    <w:rsid w:val="004329AC"/>
    <w:rsid w:val="00470516"/>
    <w:rsid w:val="004769DF"/>
    <w:rsid w:val="004804BC"/>
    <w:rsid w:val="004A289D"/>
    <w:rsid w:val="004C321E"/>
    <w:rsid w:val="004D413A"/>
    <w:rsid w:val="004D5C50"/>
    <w:rsid w:val="004E251F"/>
    <w:rsid w:val="004F19D2"/>
    <w:rsid w:val="004F5BE4"/>
    <w:rsid w:val="004F65B8"/>
    <w:rsid w:val="00531D2D"/>
    <w:rsid w:val="0054177D"/>
    <w:rsid w:val="005731B9"/>
    <w:rsid w:val="00576C26"/>
    <w:rsid w:val="0059397E"/>
    <w:rsid w:val="00593B78"/>
    <w:rsid w:val="005A70BE"/>
    <w:rsid w:val="005B6BA9"/>
    <w:rsid w:val="005D540A"/>
    <w:rsid w:val="005F1C48"/>
    <w:rsid w:val="00612586"/>
    <w:rsid w:val="006218F6"/>
    <w:rsid w:val="006256AA"/>
    <w:rsid w:val="00682B60"/>
    <w:rsid w:val="00686202"/>
    <w:rsid w:val="00686AEA"/>
    <w:rsid w:val="006917C2"/>
    <w:rsid w:val="006C1A5B"/>
    <w:rsid w:val="006F597B"/>
    <w:rsid w:val="006F5FAF"/>
    <w:rsid w:val="007050CD"/>
    <w:rsid w:val="00713B1C"/>
    <w:rsid w:val="00714444"/>
    <w:rsid w:val="00756017"/>
    <w:rsid w:val="0076270C"/>
    <w:rsid w:val="0076418F"/>
    <w:rsid w:val="00771A8A"/>
    <w:rsid w:val="007B240C"/>
    <w:rsid w:val="007D53C7"/>
    <w:rsid w:val="007E5E98"/>
    <w:rsid w:val="007F45F5"/>
    <w:rsid w:val="008028F3"/>
    <w:rsid w:val="00804DB7"/>
    <w:rsid w:val="008522AC"/>
    <w:rsid w:val="008538F3"/>
    <w:rsid w:val="008648C0"/>
    <w:rsid w:val="00876BDF"/>
    <w:rsid w:val="00880B17"/>
    <w:rsid w:val="00886478"/>
    <w:rsid w:val="00886778"/>
    <w:rsid w:val="00895016"/>
    <w:rsid w:val="008A0437"/>
    <w:rsid w:val="008A2B48"/>
    <w:rsid w:val="008C0D78"/>
    <w:rsid w:val="008F1D13"/>
    <w:rsid w:val="008F6C5B"/>
    <w:rsid w:val="00904991"/>
    <w:rsid w:val="0091519E"/>
    <w:rsid w:val="0092296E"/>
    <w:rsid w:val="0095477D"/>
    <w:rsid w:val="00960820"/>
    <w:rsid w:val="00966993"/>
    <w:rsid w:val="009753D8"/>
    <w:rsid w:val="009A4C07"/>
    <w:rsid w:val="009D57E5"/>
    <w:rsid w:val="009D5FCA"/>
    <w:rsid w:val="009E22FA"/>
    <w:rsid w:val="00A000A9"/>
    <w:rsid w:val="00A2268E"/>
    <w:rsid w:val="00A310A9"/>
    <w:rsid w:val="00A718C4"/>
    <w:rsid w:val="00A76F03"/>
    <w:rsid w:val="00AA5909"/>
    <w:rsid w:val="00AB1EB8"/>
    <w:rsid w:val="00AB4BD4"/>
    <w:rsid w:val="00AB7696"/>
    <w:rsid w:val="00AC2AFE"/>
    <w:rsid w:val="00AC6B4E"/>
    <w:rsid w:val="00AE4BB2"/>
    <w:rsid w:val="00B044C4"/>
    <w:rsid w:val="00B14B10"/>
    <w:rsid w:val="00B21B0F"/>
    <w:rsid w:val="00B262D5"/>
    <w:rsid w:val="00B31298"/>
    <w:rsid w:val="00B32ABC"/>
    <w:rsid w:val="00B346AF"/>
    <w:rsid w:val="00B360E2"/>
    <w:rsid w:val="00B47E37"/>
    <w:rsid w:val="00B657BE"/>
    <w:rsid w:val="00B800AB"/>
    <w:rsid w:val="00B817B3"/>
    <w:rsid w:val="00B853CD"/>
    <w:rsid w:val="00B9596E"/>
    <w:rsid w:val="00BA64C9"/>
    <w:rsid w:val="00BA654A"/>
    <w:rsid w:val="00BB0939"/>
    <w:rsid w:val="00BB2FA7"/>
    <w:rsid w:val="00BB5E37"/>
    <w:rsid w:val="00BC1850"/>
    <w:rsid w:val="00BD3DF5"/>
    <w:rsid w:val="00BE51EE"/>
    <w:rsid w:val="00BF7FA7"/>
    <w:rsid w:val="00C0509F"/>
    <w:rsid w:val="00C159A9"/>
    <w:rsid w:val="00C554EC"/>
    <w:rsid w:val="00C73A11"/>
    <w:rsid w:val="00C807DE"/>
    <w:rsid w:val="00C819AB"/>
    <w:rsid w:val="00CA4882"/>
    <w:rsid w:val="00CD54E0"/>
    <w:rsid w:val="00CD5801"/>
    <w:rsid w:val="00CE54CC"/>
    <w:rsid w:val="00D66D58"/>
    <w:rsid w:val="00D6751A"/>
    <w:rsid w:val="00D95500"/>
    <w:rsid w:val="00DA14DE"/>
    <w:rsid w:val="00DA205A"/>
    <w:rsid w:val="00DB3C85"/>
    <w:rsid w:val="00DB7A65"/>
    <w:rsid w:val="00DC21D5"/>
    <w:rsid w:val="00DC7EE1"/>
    <w:rsid w:val="00DD35F0"/>
    <w:rsid w:val="00E131EE"/>
    <w:rsid w:val="00E146FB"/>
    <w:rsid w:val="00E23352"/>
    <w:rsid w:val="00E561D4"/>
    <w:rsid w:val="00E91B8B"/>
    <w:rsid w:val="00E93F9E"/>
    <w:rsid w:val="00EA67A8"/>
    <w:rsid w:val="00EA6AF9"/>
    <w:rsid w:val="00EB450A"/>
    <w:rsid w:val="00EC6516"/>
    <w:rsid w:val="00ED1A6C"/>
    <w:rsid w:val="00ED1F70"/>
    <w:rsid w:val="00ED3A64"/>
    <w:rsid w:val="00EF24F2"/>
    <w:rsid w:val="00F118D1"/>
    <w:rsid w:val="00F200F6"/>
    <w:rsid w:val="00F37778"/>
    <w:rsid w:val="00F46E6E"/>
    <w:rsid w:val="00F9226C"/>
    <w:rsid w:val="00FA1D3E"/>
    <w:rsid w:val="00FA5C83"/>
    <w:rsid w:val="00FA77DB"/>
    <w:rsid w:val="00FB77DA"/>
    <w:rsid w:val="00FF0C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270EE7"/>
    <w:pPr>
      <w:ind w:left="720"/>
    </w:pPr>
    <w:rPr>
      <w:rFonts w:ascii="Calibri" w:eastAsiaTheme="minorHAnsi" w:hAnsi="Calibri" w:cs="Times New Roman"/>
      <w:szCs w:val="22"/>
    </w:rPr>
  </w:style>
  <w:style w:type="character" w:styleId="CommentReference">
    <w:name w:val="annotation reference"/>
    <w:basedOn w:val="DefaultParagraphFont"/>
    <w:rsid w:val="006F597B"/>
    <w:rPr>
      <w:sz w:val="16"/>
      <w:szCs w:val="16"/>
    </w:rPr>
  </w:style>
  <w:style w:type="paragraph" w:styleId="CommentSubject">
    <w:name w:val="annotation subject"/>
    <w:basedOn w:val="CommentText"/>
    <w:next w:val="CommentText"/>
    <w:link w:val="CommentSubjectChar"/>
    <w:rsid w:val="006F597B"/>
    <w:rPr>
      <w:b/>
      <w:bCs/>
      <w:sz w:val="20"/>
    </w:rPr>
  </w:style>
  <w:style w:type="character" w:customStyle="1" w:styleId="CommentTextChar">
    <w:name w:val="Comment Text Char"/>
    <w:basedOn w:val="DefaultParagraphFont"/>
    <w:link w:val="CommentText"/>
    <w:semiHidden/>
    <w:rsid w:val="006F597B"/>
    <w:rPr>
      <w:rFonts w:ascii="Arial" w:hAnsi="Arial" w:cs="Arial"/>
      <w:sz w:val="18"/>
    </w:rPr>
  </w:style>
  <w:style w:type="character" w:customStyle="1" w:styleId="CommentSubjectChar">
    <w:name w:val="Comment Subject Char"/>
    <w:basedOn w:val="CommentTextChar"/>
    <w:link w:val="CommentSubject"/>
    <w:rsid w:val="006F597B"/>
    <w:rPr>
      <w:rFonts w:ascii="Arial" w:hAnsi="Arial" w:cs="Arial"/>
      <w:b/>
      <w:bCs/>
      <w:sz w:val="18"/>
    </w:rPr>
  </w:style>
  <w:style w:type="paragraph" w:customStyle="1" w:styleId="Default">
    <w:name w:val="Default"/>
    <w:rsid w:val="002B47B1"/>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DB7A65"/>
    <w:rPr>
      <w:rFonts w:ascii="Arial" w:hAnsi="Arial" w:cs="Arial"/>
      <w:bCs/>
      <w:iCs/>
      <w:caps/>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styleId="Hyperlink">
    <w:name w:val="Hyperlink"/>
    <w:basedOn w:val="DefaultParagraphFont"/>
    <w:rsid w:val="009753D8"/>
    <w:rPr>
      <w:color w:val="0000FF" w:themeColor="hyperlink"/>
      <w:u w:val="single"/>
    </w:rPr>
  </w:style>
  <w:style w:type="table" w:styleId="TableGrid">
    <w:name w:val="Table Grid"/>
    <w:basedOn w:val="TableNormal"/>
    <w:rsid w:val="009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4B10"/>
    <w:rPr>
      <w:rFonts w:ascii="Tahoma" w:hAnsi="Tahoma" w:cs="Tahoma"/>
      <w:sz w:val="16"/>
      <w:szCs w:val="16"/>
    </w:rPr>
  </w:style>
  <w:style w:type="character" w:customStyle="1" w:styleId="BalloonTextChar">
    <w:name w:val="Balloon Text Char"/>
    <w:basedOn w:val="DefaultParagraphFont"/>
    <w:link w:val="BalloonText"/>
    <w:rsid w:val="00B14B10"/>
    <w:rPr>
      <w:rFonts w:ascii="Tahoma" w:hAnsi="Tahoma" w:cs="Tahoma"/>
      <w:sz w:val="16"/>
      <w:szCs w:val="16"/>
    </w:rPr>
  </w:style>
  <w:style w:type="paragraph" w:styleId="ListParagraph">
    <w:name w:val="List Paragraph"/>
    <w:basedOn w:val="Normal"/>
    <w:uiPriority w:val="34"/>
    <w:qFormat/>
    <w:rsid w:val="00270EE7"/>
    <w:pPr>
      <w:ind w:left="720"/>
    </w:pPr>
    <w:rPr>
      <w:rFonts w:ascii="Calibri" w:eastAsiaTheme="minorHAnsi" w:hAnsi="Calibri" w:cs="Times New Roman"/>
      <w:szCs w:val="22"/>
    </w:rPr>
  </w:style>
  <w:style w:type="character" w:styleId="CommentReference">
    <w:name w:val="annotation reference"/>
    <w:basedOn w:val="DefaultParagraphFont"/>
    <w:rsid w:val="006F597B"/>
    <w:rPr>
      <w:sz w:val="16"/>
      <w:szCs w:val="16"/>
    </w:rPr>
  </w:style>
  <w:style w:type="paragraph" w:styleId="CommentSubject">
    <w:name w:val="annotation subject"/>
    <w:basedOn w:val="CommentText"/>
    <w:next w:val="CommentText"/>
    <w:link w:val="CommentSubjectChar"/>
    <w:rsid w:val="006F597B"/>
    <w:rPr>
      <w:b/>
      <w:bCs/>
      <w:sz w:val="20"/>
    </w:rPr>
  </w:style>
  <w:style w:type="character" w:customStyle="1" w:styleId="CommentTextChar">
    <w:name w:val="Comment Text Char"/>
    <w:basedOn w:val="DefaultParagraphFont"/>
    <w:link w:val="CommentText"/>
    <w:semiHidden/>
    <w:rsid w:val="006F597B"/>
    <w:rPr>
      <w:rFonts w:ascii="Arial" w:hAnsi="Arial" w:cs="Arial"/>
      <w:sz w:val="18"/>
    </w:rPr>
  </w:style>
  <w:style w:type="character" w:customStyle="1" w:styleId="CommentSubjectChar">
    <w:name w:val="Comment Subject Char"/>
    <w:basedOn w:val="CommentTextChar"/>
    <w:link w:val="CommentSubject"/>
    <w:rsid w:val="006F597B"/>
    <w:rPr>
      <w:rFonts w:ascii="Arial" w:hAnsi="Arial" w:cs="Arial"/>
      <w:b/>
      <w:bCs/>
      <w:sz w:val="18"/>
    </w:rPr>
  </w:style>
  <w:style w:type="paragraph" w:customStyle="1" w:styleId="Default">
    <w:name w:val="Default"/>
    <w:rsid w:val="002B47B1"/>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DB7A65"/>
    <w:rPr>
      <w:rFonts w:ascii="Arial" w:hAnsi="Arial" w:cs="Arial"/>
      <w:bCs/>
      <w:iCs/>
      <w:cap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1950</Words>
  <Characters>382</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CWS/5/14 (in Chinese)</vt:lpstr>
    </vt:vector>
  </TitlesOfParts>
  <Company>World Intellectual Property Organization</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(in Chinese)</dc:title>
  <dc:subject>Applicant Name Standardization</dc:subject>
  <dc:creator>WIPO</dc:creator>
  <cp:keywords>CWS</cp:keywords>
  <cp:lastModifiedBy>ZAGO Bétina</cp:lastModifiedBy>
  <cp:revision>5</cp:revision>
  <cp:lastPrinted>2017-04-13T13:09:00Z</cp:lastPrinted>
  <dcterms:created xsi:type="dcterms:W3CDTF">2017-05-18T12:01:00Z</dcterms:created>
  <dcterms:modified xsi:type="dcterms:W3CDTF">2017-05-18T12:05:00Z</dcterms:modified>
</cp:coreProperties>
</file>