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E764B" w:rsidRPr="00AE764B" w:rsidTr="001F339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E764B" w:rsidRPr="00AE764B" w:rsidRDefault="00AE764B" w:rsidP="00AE764B">
            <w:pPr>
              <w:spacing w:after="0" w:line="240" w:lineRule="auto"/>
              <w:jc w:val="both"/>
              <w:rPr>
                <w:rFonts w:ascii="Arial" w:hAnsi="Arial" w:cs="Arial"/>
                <w:szCs w:val="20"/>
                <w:lang w:eastAsia="zh-CN"/>
              </w:rPr>
            </w:pPr>
            <w:r w:rsidRPr="00AE764B"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1" locked="0" layoutInCell="0" allowOverlap="1" wp14:anchorId="52F57EAE" wp14:editId="2F09C8E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E764B" w:rsidRPr="00AE764B" w:rsidRDefault="00AE764B" w:rsidP="00AE764B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E764B" w:rsidRPr="00AE764B" w:rsidRDefault="00AE764B" w:rsidP="00AE764B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AE764B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AE764B" w:rsidRPr="00AE764B" w:rsidTr="001F339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E764B" w:rsidRPr="00AE764B" w:rsidRDefault="00891934" w:rsidP="00891934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cws</w:t>
            </w:r>
            <w:r w:rsidR="00AE764B" w:rsidRPr="00AE764B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/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4</w:t>
            </w:r>
            <w:r w:rsidR="00AE764B" w:rsidRPr="00AE764B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r w:rsidR="00AE764B" w:rsidRPr="00AE764B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 prov</w:t>
            </w:r>
            <w:bookmarkStart w:id="0" w:name="Code"/>
            <w:bookmarkEnd w:id="0"/>
            <w:r w:rsidR="00AE764B" w:rsidRPr="00AE764B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.</w:t>
            </w:r>
          </w:p>
        </w:tc>
      </w:tr>
      <w:tr w:rsidR="00AE764B" w:rsidRPr="00AE764B" w:rsidTr="001F339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E764B" w:rsidRPr="00AE764B" w:rsidRDefault="00AE764B" w:rsidP="00AE764B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AE764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AE764B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AE764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AE764B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：英</w:t>
            </w:r>
            <w:r w:rsidRPr="00AE764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AE764B" w:rsidRPr="00AE764B" w:rsidTr="001F339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E764B" w:rsidRPr="00AE764B" w:rsidRDefault="00AE764B" w:rsidP="00891934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AE764B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AE764B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AE764B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AE764B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AE764B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</w:t>
            </w:r>
            <w:r w:rsidR="00891934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4</w:t>
            </w:r>
            <w:r w:rsidRPr="00AE764B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="00891934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2</w:t>
            </w:r>
            <w:r w:rsidRPr="00AE764B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="00891934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17</w:t>
            </w:r>
            <w:r w:rsidRPr="00AE764B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AE764B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1" w:name="Date"/>
            <w:bookmarkEnd w:id="1"/>
          </w:p>
        </w:tc>
      </w:tr>
    </w:tbl>
    <w:p w:rsidR="00AE764B" w:rsidRPr="00AE764B" w:rsidRDefault="00AE764B" w:rsidP="00AE764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E764B" w:rsidRPr="00AE764B" w:rsidRDefault="00AE764B" w:rsidP="00AE764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E764B" w:rsidRPr="00AE764B" w:rsidRDefault="00AE764B" w:rsidP="00AE764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E764B" w:rsidRPr="00AE764B" w:rsidRDefault="00AE764B" w:rsidP="00AE764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E764B" w:rsidRPr="00AE764B" w:rsidRDefault="00AE764B" w:rsidP="00AE764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E764B" w:rsidRPr="00AE764B" w:rsidRDefault="00891934" w:rsidP="00AE764B">
      <w:pPr>
        <w:spacing w:after="0" w:line="360" w:lineRule="atLeast"/>
        <w:rPr>
          <w:rFonts w:ascii="SimHei" w:eastAsia="SimHei" w:hAnsi="Arial" w:cs="Arial"/>
          <w:sz w:val="28"/>
          <w:szCs w:val="28"/>
          <w:lang w:eastAsia="zh-CN"/>
        </w:rPr>
      </w:pPr>
      <w:r w:rsidRPr="00891934">
        <w:rPr>
          <w:rFonts w:ascii="SimHei" w:eastAsia="SimHei" w:hAnsi="Arial" w:cs="Arial" w:hint="eastAsia"/>
          <w:sz w:val="28"/>
          <w:szCs w:val="28"/>
          <w:lang w:eastAsia="zh-CN"/>
        </w:rPr>
        <w:t>世界知识产权组织标准委员会(CWS)</w:t>
      </w:r>
    </w:p>
    <w:p w:rsidR="00AE764B" w:rsidRPr="00AE764B" w:rsidRDefault="00AE764B" w:rsidP="00AE764B">
      <w:pPr>
        <w:spacing w:after="0" w:line="240" w:lineRule="auto"/>
        <w:rPr>
          <w:rFonts w:ascii="Arial" w:hAnsi="Arial" w:cs="Arial"/>
          <w:lang w:eastAsia="zh-CN"/>
        </w:rPr>
      </w:pPr>
    </w:p>
    <w:p w:rsidR="00AE764B" w:rsidRPr="00AE764B" w:rsidRDefault="00AE764B" w:rsidP="00AE764B">
      <w:pPr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:rsidR="00AE764B" w:rsidRPr="00AE764B" w:rsidRDefault="00AE764B" w:rsidP="00AE764B">
      <w:pPr>
        <w:spacing w:after="0" w:line="360" w:lineRule="atLeast"/>
        <w:textAlignment w:val="bottom"/>
        <w:rPr>
          <w:rFonts w:ascii="KaiTi" w:eastAsia="KaiTi" w:hAnsi="Arial" w:cs="Arial"/>
          <w:b/>
          <w:sz w:val="24"/>
          <w:szCs w:val="24"/>
          <w:lang w:eastAsia="zh-CN"/>
        </w:rPr>
      </w:pPr>
      <w:r w:rsidRPr="00AE764B">
        <w:rPr>
          <w:rFonts w:ascii="KaiTi" w:eastAsia="KaiTi" w:hAnsi="Arial" w:cs="Arial" w:hint="eastAsia"/>
          <w:b/>
          <w:sz w:val="24"/>
          <w:szCs w:val="24"/>
          <w:lang w:eastAsia="zh-CN"/>
        </w:rPr>
        <w:t>第</w:t>
      </w:r>
      <w:r w:rsidR="00891934">
        <w:rPr>
          <w:rFonts w:ascii="KaiTi" w:eastAsia="KaiTi" w:hAnsi="Arial" w:cs="Arial" w:hint="eastAsia"/>
          <w:b/>
          <w:sz w:val="24"/>
          <w:szCs w:val="24"/>
          <w:lang w:eastAsia="zh-CN"/>
        </w:rPr>
        <w:t>四</w:t>
      </w:r>
      <w:r w:rsidRPr="00AE764B">
        <w:rPr>
          <w:rFonts w:ascii="KaiTi" w:eastAsia="KaiTi" w:hAnsi="Arial" w:cs="Arial" w:hint="eastAsia"/>
          <w:b/>
          <w:sz w:val="24"/>
          <w:szCs w:val="24"/>
          <w:lang w:eastAsia="zh-CN"/>
        </w:rPr>
        <w:t>届会议</w:t>
      </w:r>
    </w:p>
    <w:p w:rsidR="00AE764B" w:rsidRPr="00AE764B" w:rsidRDefault="00AE764B" w:rsidP="00AE764B">
      <w:pPr>
        <w:spacing w:after="0" w:line="360" w:lineRule="atLeast"/>
        <w:textAlignment w:val="bottom"/>
        <w:rPr>
          <w:rFonts w:ascii="KaiTi" w:eastAsia="KaiTi" w:hAnsi="KaiTi" w:cs="Arial"/>
          <w:b/>
          <w:sz w:val="24"/>
          <w:szCs w:val="24"/>
          <w:lang w:eastAsia="zh-CN"/>
        </w:rPr>
      </w:pPr>
      <w:r w:rsidRPr="00AE764B">
        <w:rPr>
          <w:rFonts w:ascii="KaiTi" w:eastAsia="KaiTi" w:hAnsi="KaiTi" w:cs="Arial" w:hint="eastAsia"/>
          <w:sz w:val="24"/>
          <w:szCs w:val="24"/>
          <w:lang w:eastAsia="zh-CN"/>
        </w:rPr>
        <w:t>2014</w:t>
      </w:r>
      <w:r w:rsidRPr="00AE764B">
        <w:rPr>
          <w:rFonts w:ascii="KaiTi" w:eastAsia="KaiTi" w:hAnsi="KaiTi" w:cs="Arial" w:hint="eastAsia"/>
          <w:b/>
          <w:sz w:val="24"/>
          <w:szCs w:val="24"/>
          <w:lang w:eastAsia="zh-CN"/>
        </w:rPr>
        <w:t>年</w:t>
      </w:r>
      <w:r w:rsidR="00891934">
        <w:rPr>
          <w:rFonts w:ascii="KaiTi" w:eastAsia="KaiTi" w:hAnsi="KaiTi" w:cs="Arial" w:hint="eastAsia"/>
          <w:sz w:val="24"/>
          <w:szCs w:val="24"/>
          <w:lang w:eastAsia="zh-CN"/>
        </w:rPr>
        <w:t>5</w:t>
      </w:r>
      <w:r w:rsidRPr="00AE764B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 w:rsidR="00891934">
        <w:rPr>
          <w:rFonts w:ascii="KaiTi" w:eastAsia="KaiTi" w:hAnsi="KaiTi" w:cs="Arial" w:hint="eastAsia"/>
          <w:sz w:val="24"/>
          <w:szCs w:val="24"/>
          <w:lang w:eastAsia="zh-CN"/>
        </w:rPr>
        <w:t>12</w:t>
      </w:r>
      <w:r w:rsidRPr="00AE764B">
        <w:rPr>
          <w:rFonts w:ascii="KaiTi" w:eastAsia="KaiTi" w:hAnsi="KaiTi" w:cs="Arial" w:hint="eastAsia"/>
          <w:b/>
          <w:sz w:val="24"/>
          <w:szCs w:val="24"/>
          <w:lang w:eastAsia="zh-CN"/>
        </w:rPr>
        <w:t>日至</w:t>
      </w:r>
      <w:r w:rsidR="00891934">
        <w:rPr>
          <w:rFonts w:ascii="KaiTi" w:eastAsia="KaiTi" w:hAnsi="KaiTi" w:cs="Arial" w:hint="eastAsia"/>
          <w:sz w:val="24"/>
          <w:szCs w:val="24"/>
          <w:lang w:eastAsia="zh-CN"/>
        </w:rPr>
        <w:t>16</w:t>
      </w:r>
      <w:r w:rsidRPr="00AE764B">
        <w:rPr>
          <w:rFonts w:ascii="KaiTi" w:eastAsia="KaiTi" w:hAnsi="KaiTi" w:cs="Arial" w:hint="eastAsia"/>
          <w:b/>
          <w:sz w:val="24"/>
          <w:szCs w:val="24"/>
          <w:lang w:eastAsia="zh-CN"/>
        </w:rPr>
        <w:t>日，日内瓦</w:t>
      </w:r>
    </w:p>
    <w:p w:rsidR="00AE764B" w:rsidRPr="00AE764B" w:rsidRDefault="00AE764B" w:rsidP="00AE764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E764B" w:rsidRPr="00AE764B" w:rsidRDefault="00AE764B" w:rsidP="00AE764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E764B" w:rsidRPr="00AE764B" w:rsidRDefault="00AE764B" w:rsidP="00AE764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E764B" w:rsidRPr="00AE764B" w:rsidRDefault="00AE764B" w:rsidP="00AE764B">
      <w:pPr>
        <w:spacing w:after="0" w:line="240" w:lineRule="auto"/>
        <w:rPr>
          <w:rFonts w:ascii="KaiTi" w:eastAsia="KaiTi" w:hAnsi="KaiTi"/>
          <w:kern w:val="2"/>
          <w:sz w:val="24"/>
          <w:szCs w:val="32"/>
          <w:lang w:eastAsia="zh-CN"/>
        </w:rPr>
      </w:pPr>
      <w:r w:rsidRPr="00AE764B">
        <w:rPr>
          <w:rFonts w:ascii="KaiTi" w:eastAsia="KaiTi" w:hAnsi="KaiTi" w:hint="eastAsia"/>
          <w:kern w:val="2"/>
          <w:sz w:val="24"/>
          <w:szCs w:val="32"/>
          <w:lang w:eastAsia="zh-CN"/>
        </w:rPr>
        <w:t>议程草案</w:t>
      </w:r>
    </w:p>
    <w:p w:rsidR="00AE764B" w:rsidRPr="00AE764B" w:rsidRDefault="00AE764B" w:rsidP="00AE764B">
      <w:pPr>
        <w:spacing w:after="0" w:line="240" w:lineRule="auto"/>
        <w:rPr>
          <w:rFonts w:ascii="SimSun" w:hAnsi="SimSun" w:cs="Arial"/>
          <w:lang w:eastAsia="zh-CN"/>
        </w:rPr>
      </w:pPr>
    </w:p>
    <w:p w:rsidR="00AE764B" w:rsidRPr="00AE764B" w:rsidRDefault="00AE764B" w:rsidP="00AE764B">
      <w:pPr>
        <w:spacing w:after="0" w:line="240" w:lineRule="auto"/>
        <w:rPr>
          <w:rFonts w:ascii="KaiTi" w:eastAsia="KaiTi" w:hAnsi="STKaiti"/>
          <w:i/>
          <w:kern w:val="2"/>
          <w:sz w:val="21"/>
          <w:szCs w:val="24"/>
          <w:lang w:eastAsia="zh-CN"/>
        </w:rPr>
      </w:pPr>
      <w:r w:rsidRPr="00AE764B">
        <w:rPr>
          <w:rFonts w:ascii="KaiTi" w:eastAsia="KaiTi" w:hAnsi="STKaiti" w:hint="eastAsia"/>
          <w:i/>
          <w:kern w:val="2"/>
          <w:sz w:val="21"/>
          <w:szCs w:val="24"/>
          <w:lang w:eastAsia="zh-CN"/>
        </w:rPr>
        <w:t>秘书处编拟</w:t>
      </w:r>
      <w:r w:rsidR="00321614">
        <w:rPr>
          <w:rFonts w:ascii="KaiTi" w:eastAsia="KaiTi" w:hAnsi="STKaiti" w:hint="eastAsia"/>
          <w:i/>
          <w:kern w:val="2"/>
          <w:sz w:val="21"/>
          <w:szCs w:val="24"/>
          <w:lang w:eastAsia="zh-CN"/>
        </w:rPr>
        <w:t>的文件</w:t>
      </w:r>
    </w:p>
    <w:p w:rsidR="00AE764B" w:rsidRPr="00AE764B" w:rsidRDefault="00AE764B" w:rsidP="00AE764B">
      <w:pPr>
        <w:spacing w:after="0" w:line="240" w:lineRule="auto"/>
        <w:rPr>
          <w:rFonts w:ascii="KaiTi" w:hAnsi="SimSun" w:cs="Arial"/>
          <w:lang w:eastAsia="zh-CN"/>
        </w:rPr>
      </w:pPr>
    </w:p>
    <w:p w:rsidR="00AE764B" w:rsidRPr="00AE764B" w:rsidRDefault="00AE764B" w:rsidP="00AE764B">
      <w:pPr>
        <w:spacing w:after="0" w:line="240" w:lineRule="auto"/>
        <w:rPr>
          <w:rFonts w:ascii="KaiTi" w:hAnsi="SimSun" w:cs="Arial"/>
          <w:lang w:eastAsia="zh-CN"/>
        </w:rPr>
      </w:pPr>
    </w:p>
    <w:p w:rsidR="00AE764B" w:rsidRPr="00AE764B" w:rsidRDefault="00AE764B" w:rsidP="00AE764B">
      <w:pPr>
        <w:spacing w:after="0" w:line="240" w:lineRule="auto"/>
        <w:rPr>
          <w:rFonts w:ascii="KaiTi" w:hAnsi="SimSun" w:cs="Arial"/>
          <w:lang w:eastAsia="zh-CN"/>
        </w:rPr>
      </w:pPr>
    </w:p>
    <w:p w:rsidR="00AE764B" w:rsidRPr="00AE764B" w:rsidRDefault="00AE764B" w:rsidP="00AE764B">
      <w:pPr>
        <w:spacing w:after="0" w:line="240" w:lineRule="auto"/>
        <w:rPr>
          <w:rFonts w:ascii="KaiTi" w:hAnsi="SimSun" w:cs="Arial"/>
          <w:lang w:eastAsia="zh-CN"/>
        </w:rPr>
      </w:pPr>
    </w:p>
    <w:p w:rsidR="00891934" w:rsidRPr="00D31822" w:rsidRDefault="00891934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会议开幕</w:t>
      </w:r>
    </w:p>
    <w:p w:rsidR="00891934" w:rsidRPr="00D31822" w:rsidRDefault="00891934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选举主席和两名副主席</w:t>
      </w:r>
    </w:p>
    <w:p w:rsidR="00891934" w:rsidRPr="00D31822" w:rsidRDefault="00891934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通过议程</w:t>
      </w:r>
      <w:r w:rsidRPr="00D31822">
        <w:rPr>
          <w:rFonts w:ascii="SimSun" w:hAnsi="SimSun"/>
          <w:sz w:val="21"/>
        </w:rPr>
        <w:br/>
      </w:r>
      <w:r w:rsidRPr="00D31822">
        <w:rPr>
          <w:rFonts w:ascii="SimSun" w:hAnsi="SimSun"/>
          <w:sz w:val="21"/>
        </w:rPr>
        <w:tab/>
      </w:r>
      <w:r w:rsidRPr="00D31822">
        <w:rPr>
          <w:rFonts w:ascii="SimSun" w:hAnsi="SimSun" w:hint="eastAsia"/>
          <w:sz w:val="21"/>
        </w:rPr>
        <w:t>见本文件。</w:t>
      </w:r>
    </w:p>
    <w:p w:rsidR="00891934" w:rsidRPr="00D31822" w:rsidRDefault="00891934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WIPO大会第四十四届会议关于标准委员会的决定</w:t>
      </w:r>
      <w:r w:rsidRPr="00D31822">
        <w:rPr>
          <w:rFonts w:ascii="SimSun" w:hAnsi="SimSun"/>
          <w:sz w:val="21"/>
        </w:rPr>
        <w:br/>
      </w:r>
      <w:r w:rsidRPr="00D31822">
        <w:rPr>
          <w:rFonts w:ascii="SimSun" w:hAnsi="SimSun"/>
          <w:sz w:val="21"/>
        </w:rPr>
        <w:tab/>
        <w:t>见文件CWS/4/2</w:t>
      </w:r>
      <w:r w:rsidR="008070CB" w:rsidRPr="00D31822">
        <w:rPr>
          <w:rFonts w:ascii="SimSun" w:hAnsi="SimSun"/>
          <w:sz w:val="21"/>
        </w:rPr>
        <w:t>。</w:t>
      </w:r>
    </w:p>
    <w:p w:rsidR="00891934" w:rsidRPr="00D31822" w:rsidRDefault="00891934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关于</w:t>
      </w:r>
      <w:r w:rsidR="008070CB" w:rsidRPr="00D31822">
        <w:rPr>
          <w:rFonts w:ascii="SimSun" w:hAnsi="SimSun" w:hint="eastAsia"/>
          <w:sz w:val="21"/>
        </w:rPr>
        <w:t>扩大</w:t>
      </w:r>
      <w:r w:rsidRPr="00D31822">
        <w:rPr>
          <w:rFonts w:ascii="SimSun" w:hAnsi="SimSun" w:hint="eastAsia"/>
          <w:sz w:val="21"/>
        </w:rPr>
        <w:t>标准委员会的活动</w:t>
      </w:r>
      <w:r w:rsidR="008070CB" w:rsidRPr="00D31822">
        <w:rPr>
          <w:rFonts w:ascii="SimSun" w:hAnsi="SimSun" w:hint="eastAsia"/>
          <w:sz w:val="21"/>
        </w:rPr>
        <w:t>在WIPO标准ST.96的范围内增加版权的建议</w:t>
      </w:r>
      <w:r w:rsidRPr="00D31822">
        <w:rPr>
          <w:rFonts w:ascii="SimSun" w:hAnsi="SimSun"/>
          <w:sz w:val="21"/>
        </w:rPr>
        <w:br/>
      </w:r>
      <w:r w:rsidRPr="00D31822">
        <w:rPr>
          <w:rFonts w:ascii="SimSun" w:hAnsi="SimSun"/>
          <w:sz w:val="21"/>
        </w:rPr>
        <w:tab/>
        <w:t>见文件CWS/4/3</w:t>
      </w:r>
      <w:r w:rsidR="008070CB" w:rsidRPr="00D31822">
        <w:rPr>
          <w:rFonts w:ascii="SimSun" w:hAnsi="SimSun"/>
          <w:sz w:val="21"/>
        </w:rPr>
        <w:t>。</w:t>
      </w:r>
    </w:p>
    <w:p w:rsidR="00891934" w:rsidRPr="00D31822" w:rsidRDefault="00321614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关于</w:t>
      </w:r>
      <w:r w:rsidR="008070CB" w:rsidRPr="00D31822">
        <w:rPr>
          <w:rFonts w:ascii="SimSun" w:hAnsi="SimSun" w:hint="eastAsia"/>
          <w:sz w:val="21"/>
        </w:rPr>
        <w:t>工业产权局过去使用的申请编号和优先权申请编号体系</w:t>
      </w:r>
      <w:r>
        <w:rPr>
          <w:rFonts w:ascii="SimSun" w:hAnsi="SimSun" w:hint="eastAsia"/>
          <w:sz w:val="21"/>
        </w:rPr>
        <w:t>的</w:t>
      </w:r>
      <w:r w:rsidR="008070CB" w:rsidRPr="00D31822">
        <w:rPr>
          <w:rFonts w:ascii="SimSun" w:hAnsi="SimSun" w:hint="eastAsia"/>
          <w:sz w:val="21"/>
        </w:rPr>
        <w:t>问卷</w:t>
      </w:r>
      <w:r w:rsidR="00891934" w:rsidRPr="00D31822">
        <w:rPr>
          <w:rFonts w:ascii="SimSun" w:hAnsi="SimSun"/>
          <w:sz w:val="21"/>
        </w:rPr>
        <w:br/>
      </w:r>
      <w:r w:rsidR="00891934" w:rsidRPr="00D31822">
        <w:rPr>
          <w:rFonts w:ascii="SimSun" w:hAnsi="SimSun"/>
          <w:sz w:val="21"/>
        </w:rPr>
        <w:tab/>
        <w:t>见文件CWS/4/4</w:t>
      </w:r>
      <w:r w:rsidR="008070CB" w:rsidRPr="00D31822">
        <w:rPr>
          <w:rFonts w:ascii="SimSun" w:hAnsi="SimSun"/>
          <w:sz w:val="21"/>
        </w:rPr>
        <w:t>。</w:t>
      </w:r>
    </w:p>
    <w:p w:rsidR="00891934" w:rsidRPr="00D31822" w:rsidRDefault="008070CB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修订</w:t>
      </w:r>
      <w:r w:rsidR="00891934" w:rsidRPr="00D31822">
        <w:rPr>
          <w:rFonts w:ascii="SimSun" w:hAnsi="SimSun"/>
          <w:sz w:val="21"/>
        </w:rPr>
        <w:t>WIPO</w:t>
      </w:r>
      <w:r w:rsidRPr="00D31822">
        <w:rPr>
          <w:rFonts w:ascii="SimSun" w:hAnsi="SimSun" w:hint="eastAsia"/>
          <w:sz w:val="21"/>
        </w:rPr>
        <w:t>标准</w:t>
      </w:r>
      <w:r w:rsidR="00891934" w:rsidRPr="00D31822">
        <w:rPr>
          <w:rFonts w:ascii="SimSun" w:hAnsi="SimSun"/>
          <w:sz w:val="21"/>
        </w:rPr>
        <w:t>ST.14</w:t>
      </w:r>
      <w:r w:rsidR="00891934" w:rsidRPr="00D31822">
        <w:rPr>
          <w:rFonts w:ascii="SimSun" w:hAnsi="SimSun"/>
          <w:sz w:val="21"/>
        </w:rPr>
        <w:br/>
      </w:r>
      <w:r w:rsidR="00891934" w:rsidRPr="00D31822">
        <w:rPr>
          <w:rFonts w:ascii="SimSun" w:hAnsi="SimSun"/>
          <w:sz w:val="21"/>
        </w:rPr>
        <w:tab/>
        <w:t>见文件CWS/4/5</w:t>
      </w:r>
      <w:r w:rsidRPr="00D31822">
        <w:rPr>
          <w:rFonts w:ascii="SimSun" w:hAnsi="SimSun"/>
          <w:sz w:val="21"/>
        </w:rPr>
        <w:t>。</w:t>
      </w:r>
    </w:p>
    <w:p w:rsidR="00891934" w:rsidRPr="00D31822" w:rsidRDefault="008070CB" w:rsidP="00321614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lastRenderedPageBreak/>
        <w:t>关于编制WIPO标准ST.96附件五和六以及修订该标准的现状报告</w:t>
      </w:r>
      <w:r w:rsidR="00891934" w:rsidRPr="00D31822">
        <w:rPr>
          <w:rFonts w:ascii="SimSun" w:hAnsi="SimSun"/>
          <w:sz w:val="21"/>
        </w:rPr>
        <w:br/>
      </w:r>
      <w:r w:rsidR="00891934" w:rsidRPr="00D31822">
        <w:rPr>
          <w:rFonts w:ascii="SimSun" w:hAnsi="SimSun"/>
          <w:sz w:val="21"/>
        </w:rPr>
        <w:tab/>
        <w:t>见文件CWS/4/6</w:t>
      </w:r>
      <w:r w:rsidRPr="00D31822">
        <w:rPr>
          <w:rFonts w:ascii="SimSun" w:hAnsi="SimSun"/>
          <w:sz w:val="21"/>
        </w:rPr>
        <w:t>。</w:t>
      </w:r>
    </w:p>
    <w:p w:rsidR="00891934" w:rsidRPr="00D31822" w:rsidRDefault="008070CB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关于用可扩展标记语言(XML)表示核苷酸和氨基酸序列表的新WIPO标准</w:t>
      </w:r>
      <w:r w:rsidR="00891934" w:rsidRPr="00D31822">
        <w:rPr>
          <w:rFonts w:ascii="SimSun" w:hAnsi="SimSun"/>
          <w:sz w:val="21"/>
        </w:rPr>
        <w:br/>
      </w:r>
      <w:r w:rsidR="00891934" w:rsidRPr="00D31822">
        <w:rPr>
          <w:rFonts w:ascii="SimSun" w:hAnsi="SimSun"/>
          <w:sz w:val="21"/>
        </w:rPr>
        <w:tab/>
        <w:t>见文件CWS/4/7</w:t>
      </w:r>
      <w:r w:rsidRPr="00D31822">
        <w:rPr>
          <w:rFonts w:ascii="SimSun" w:hAnsi="SimSun"/>
          <w:sz w:val="21"/>
        </w:rPr>
        <w:t>。</w:t>
      </w:r>
    </w:p>
    <w:p w:rsidR="00891934" w:rsidRPr="00D31822" w:rsidRDefault="00A852CA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color w:val="000000"/>
          <w:sz w:val="21"/>
          <w:szCs w:val="22"/>
        </w:rPr>
        <w:t>关于</w:t>
      </w:r>
      <w:r w:rsidR="00321614" w:rsidRPr="00D31822">
        <w:rPr>
          <w:rFonts w:ascii="SimSun" w:hAnsi="SimSun" w:hint="eastAsia"/>
          <w:color w:val="000000"/>
          <w:sz w:val="21"/>
          <w:szCs w:val="22"/>
        </w:rPr>
        <w:t>编写提案</w:t>
      </w:r>
      <w:r w:rsidRPr="00D31822">
        <w:rPr>
          <w:rFonts w:ascii="SimSun" w:hAnsi="SimSun" w:hint="eastAsia"/>
          <w:color w:val="000000"/>
          <w:sz w:val="21"/>
          <w:szCs w:val="22"/>
        </w:rPr>
        <w:t>制定工业产权局交换专利法律状态数据用新WIPO标准的现状报告</w:t>
      </w:r>
      <w:r w:rsidR="00891934" w:rsidRPr="00D31822">
        <w:rPr>
          <w:rFonts w:ascii="SimSun" w:hAnsi="SimSun"/>
          <w:color w:val="000000"/>
          <w:sz w:val="21"/>
          <w:szCs w:val="22"/>
        </w:rPr>
        <w:br/>
      </w:r>
      <w:r w:rsidR="00891934" w:rsidRPr="00D31822">
        <w:rPr>
          <w:rFonts w:ascii="SimSun" w:hAnsi="SimSun"/>
          <w:sz w:val="21"/>
        </w:rPr>
        <w:tab/>
        <w:t>见文件CWS/4/8</w:t>
      </w:r>
      <w:r w:rsidR="008070CB" w:rsidRPr="00D31822">
        <w:rPr>
          <w:rFonts w:ascii="SimSun" w:hAnsi="SimSun"/>
          <w:sz w:val="21"/>
        </w:rPr>
        <w:t>。</w:t>
      </w:r>
    </w:p>
    <w:p w:rsidR="00891934" w:rsidRPr="00D31822" w:rsidRDefault="00A852CA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关于修订</w:t>
      </w:r>
      <w:r w:rsidR="00891934" w:rsidRPr="00D31822">
        <w:rPr>
          <w:rFonts w:ascii="SimSun" w:hAnsi="SimSun"/>
          <w:sz w:val="21"/>
        </w:rPr>
        <w:t>WIPO</w:t>
      </w:r>
      <w:r w:rsidRPr="00D31822">
        <w:rPr>
          <w:rFonts w:ascii="SimSun" w:hAnsi="SimSun" w:hint="eastAsia"/>
          <w:sz w:val="21"/>
        </w:rPr>
        <w:t>标准</w:t>
      </w:r>
      <w:r w:rsidR="00891934" w:rsidRPr="00D31822">
        <w:rPr>
          <w:rFonts w:ascii="SimSun" w:hAnsi="SimSun"/>
          <w:sz w:val="21"/>
        </w:rPr>
        <w:t>ST.60</w:t>
      </w:r>
      <w:r w:rsidRPr="00D31822">
        <w:rPr>
          <w:rFonts w:ascii="SimSun" w:hAnsi="SimSun" w:hint="eastAsia"/>
          <w:sz w:val="21"/>
        </w:rPr>
        <w:t>的建议</w:t>
      </w:r>
      <w:r w:rsidR="00891934" w:rsidRPr="00D31822">
        <w:rPr>
          <w:rFonts w:ascii="SimSun" w:hAnsi="SimSun"/>
          <w:sz w:val="21"/>
        </w:rPr>
        <w:br/>
      </w:r>
      <w:r w:rsidR="00891934" w:rsidRPr="00D31822">
        <w:rPr>
          <w:rFonts w:ascii="SimSun" w:hAnsi="SimSun"/>
          <w:sz w:val="21"/>
        </w:rPr>
        <w:tab/>
        <w:t>见文件CWS/4/9</w:t>
      </w:r>
      <w:r w:rsidR="008070CB" w:rsidRPr="00D31822">
        <w:rPr>
          <w:rFonts w:ascii="SimSun" w:hAnsi="SimSun"/>
          <w:sz w:val="21"/>
        </w:rPr>
        <w:t>。</w:t>
      </w:r>
    </w:p>
    <w:p w:rsidR="00891934" w:rsidRPr="00D31822" w:rsidRDefault="00A852CA" w:rsidP="00751177">
      <w:pPr>
        <w:pStyle w:val="ONUME"/>
        <w:spacing w:after="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关于为以下两方面</w:t>
      </w:r>
      <w:r w:rsidR="00321614" w:rsidRPr="00D31822">
        <w:rPr>
          <w:rFonts w:ascii="SimSun" w:hAnsi="SimSun" w:hint="eastAsia"/>
          <w:sz w:val="21"/>
        </w:rPr>
        <w:t>的电子管理</w:t>
      </w:r>
      <w:r w:rsidRPr="00D31822">
        <w:rPr>
          <w:rFonts w:ascii="SimSun" w:hAnsi="SimSun" w:hint="eastAsia"/>
          <w:sz w:val="21"/>
        </w:rPr>
        <w:t>编写建议</w:t>
      </w:r>
      <w:r w:rsidR="00321614" w:rsidRPr="00D31822">
        <w:rPr>
          <w:rFonts w:ascii="SimSun" w:hAnsi="SimSun" w:hint="eastAsia"/>
          <w:sz w:val="21"/>
        </w:rPr>
        <w:t>以作为WIPO标准通过</w:t>
      </w:r>
      <w:r w:rsidRPr="00D31822">
        <w:rPr>
          <w:rFonts w:ascii="SimSun" w:hAnsi="SimSun" w:hint="eastAsia"/>
          <w:sz w:val="21"/>
        </w:rPr>
        <w:t>的现状报告：</w:t>
      </w:r>
    </w:p>
    <w:p w:rsidR="00891934" w:rsidRPr="00D31822" w:rsidRDefault="00A852CA" w:rsidP="00751177">
      <w:pPr>
        <w:pStyle w:val="ONUME"/>
        <w:numPr>
          <w:ilvl w:val="1"/>
          <w:numId w:val="1"/>
        </w:numPr>
        <w:spacing w:afterLines="100" w:after="240" w:line="340" w:lineRule="atLeast"/>
        <w:contextualSpacing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声音商标；</w:t>
      </w:r>
      <w:r w:rsidR="007B5258">
        <w:rPr>
          <w:rFonts w:ascii="SimSun" w:hAnsi="SimSun" w:hint="eastAsia"/>
          <w:sz w:val="21"/>
        </w:rPr>
        <w:t>和</w:t>
      </w:r>
    </w:p>
    <w:p w:rsidR="00751177" w:rsidRDefault="00A852CA" w:rsidP="00751177">
      <w:pPr>
        <w:pStyle w:val="ONUME"/>
        <w:numPr>
          <w:ilvl w:val="1"/>
          <w:numId w:val="1"/>
        </w:numPr>
        <w:spacing w:afterLines="100" w:after="240" w:line="340" w:lineRule="atLeast"/>
        <w:contextualSpacing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动作商标或多媒体商标</w:t>
      </w:r>
    </w:p>
    <w:p w:rsidR="00891934" w:rsidRPr="00D31822" w:rsidRDefault="00751177" w:rsidP="00751177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ab/>
      </w:r>
      <w:r w:rsidR="00891934" w:rsidRPr="00D31822">
        <w:rPr>
          <w:rFonts w:ascii="SimSun" w:hAnsi="SimSun"/>
          <w:sz w:val="21"/>
        </w:rPr>
        <w:t>见文件CWS/4/10</w:t>
      </w:r>
      <w:r w:rsidR="008070CB" w:rsidRPr="00D31822">
        <w:rPr>
          <w:rFonts w:ascii="SimSun" w:hAnsi="SimSun"/>
          <w:sz w:val="21"/>
        </w:rPr>
        <w:t>。</w:t>
      </w:r>
    </w:p>
    <w:p w:rsidR="00891934" w:rsidRPr="00D31822" w:rsidRDefault="00891934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/>
          <w:sz w:val="21"/>
        </w:rPr>
        <w:t>WIPO</w:t>
      </w:r>
      <w:r w:rsidR="00A852CA" w:rsidRPr="00D31822">
        <w:rPr>
          <w:rFonts w:ascii="SimSun" w:hAnsi="SimSun" w:hint="eastAsia"/>
          <w:sz w:val="21"/>
        </w:rPr>
        <w:t>《工业产权信息与文献手册》</w:t>
      </w:r>
      <w:r w:rsidR="00D31822" w:rsidRPr="00D31822">
        <w:rPr>
          <w:rFonts w:ascii="SimSun" w:hAnsi="SimSun" w:hint="eastAsia"/>
          <w:sz w:val="21"/>
        </w:rPr>
        <w:t>中发布的各项调查的维护和更新</w:t>
      </w:r>
      <w:r w:rsidRPr="00D31822">
        <w:rPr>
          <w:rFonts w:ascii="SimSun" w:hAnsi="SimSun"/>
          <w:sz w:val="21"/>
        </w:rPr>
        <w:br/>
      </w:r>
      <w:r w:rsidRPr="00D31822">
        <w:rPr>
          <w:rFonts w:ascii="SimSun" w:hAnsi="SimSun"/>
          <w:sz w:val="21"/>
        </w:rPr>
        <w:tab/>
        <w:t>见文件CWS/4/11</w:t>
      </w:r>
      <w:r w:rsidR="008070CB" w:rsidRPr="00D31822">
        <w:rPr>
          <w:rFonts w:ascii="SimSun" w:hAnsi="SimSun"/>
          <w:sz w:val="21"/>
        </w:rPr>
        <w:t>。</w:t>
      </w:r>
    </w:p>
    <w:p w:rsidR="00891934" w:rsidRPr="00D31822" w:rsidRDefault="00D31822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关于已公布PCT国际申请进入国家</w:t>
      </w:r>
      <w:r w:rsidR="007B5258">
        <w:rPr>
          <w:rFonts w:ascii="SimSun" w:hAnsi="SimSun" w:hint="eastAsia"/>
          <w:sz w:val="21"/>
        </w:rPr>
        <w:t>(</w:t>
      </w:r>
      <w:r w:rsidRPr="00D31822">
        <w:rPr>
          <w:rFonts w:ascii="SimSun" w:hAnsi="SimSun" w:hint="eastAsia"/>
          <w:sz w:val="21"/>
        </w:rPr>
        <w:t>地区</w:t>
      </w:r>
      <w:r w:rsidR="007B5258">
        <w:rPr>
          <w:rFonts w:ascii="SimSun" w:hAnsi="SimSun" w:hint="eastAsia"/>
          <w:sz w:val="21"/>
        </w:rPr>
        <w:t>)</w:t>
      </w:r>
      <w:r w:rsidRPr="00D31822">
        <w:rPr>
          <w:rFonts w:ascii="SimSun" w:hAnsi="SimSun" w:hint="eastAsia"/>
          <w:sz w:val="21"/>
        </w:rPr>
        <w:t>阶段的信息</w:t>
      </w:r>
      <w:r w:rsidR="00891934" w:rsidRPr="00D31822">
        <w:rPr>
          <w:rFonts w:ascii="SimSun" w:hAnsi="SimSun"/>
          <w:sz w:val="21"/>
        </w:rPr>
        <w:br/>
      </w:r>
      <w:r w:rsidR="00891934" w:rsidRPr="00D31822">
        <w:rPr>
          <w:rFonts w:ascii="SimSun" w:hAnsi="SimSun"/>
          <w:sz w:val="21"/>
        </w:rPr>
        <w:tab/>
        <w:t>见文件CWS/4/12</w:t>
      </w:r>
      <w:r w:rsidR="008070CB" w:rsidRPr="00D31822">
        <w:rPr>
          <w:rFonts w:ascii="SimSun" w:hAnsi="SimSun"/>
          <w:sz w:val="21"/>
        </w:rPr>
        <w:t>。</w:t>
      </w:r>
    </w:p>
    <w:p w:rsidR="00891934" w:rsidRPr="00D31822" w:rsidRDefault="00D31822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国际局关于根据标准委员会任务</w:t>
      </w:r>
      <w:r w:rsidR="00321614">
        <w:rPr>
          <w:rFonts w:ascii="SimSun" w:hAnsi="SimSun" w:hint="eastAsia"/>
          <w:sz w:val="21"/>
        </w:rPr>
        <w:t>规定</w:t>
      </w:r>
      <w:r w:rsidRPr="00D31822">
        <w:rPr>
          <w:rFonts w:ascii="SimSun" w:hAnsi="SimSun" w:hint="eastAsia"/>
          <w:sz w:val="21"/>
        </w:rPr>
        <w:t>向工业产权局提供技术咨询和援助</w:t>
      </w:r>
      <w:r w:rsidR="00321614">
        <w:rPr>
          <w:rFonts w:ascii="SimSun" w:hAnsi="SimSun" w:hint="eastAsia"/>
          <w:sz w:val="21"/>
        </w:rPr>
        <w:t>开展</w:t>
      </w:r>
      <w:r w:rsidR="00321614" w:rsidRPr="00D31822">
        <w:rPr>
          <w:rFonts w:ascii="SimSun" w:hAnsi="SimSun" w:hint="eastAsia"/>
          <w:sz w:val="21"/>
        </w:rPr>
        <w:t>能力建设</w:t>
      </w:r>
      <w:r w:rsidRPr="00D31822">
        <w:rPr>
          <w:rFonts w:ascii="SimSun" w:hAnsi="SimSun" w:hint="eastAsia"/>
          <w:sz w:val="21"/>
        </w:rPr>
        <w:t>的报告</w:t>
      </w:r>
      <w:r w:rsidR="00891934" w:rsidRPr="00D31822">
        <w:rPr>
          <w:rFonts w:ascii="SimSun" w:hAnsi="SimSun"/>
          <w:sz w:val="21"/>
        </w:rPr>
        <w:br/>
      </w:r>
      <w:r w:rsidR="00891934" w:rsidRPr="00D31822">
        <w:rPr>
          <w:rFonts w:ascii="SimSun" w:hAnsi="SimSun"/>
          <w:sz w:val="21"/>
        </w:rPr>
        <w:tab/>
        <w:t>见文件CWS/4/13</w:t>
      </w:r>
      <w:r w:rsidR="008070CB" w:rsidRPr="00D31822">
        <w:rPr>
          <w:rFonts w:ascii="SimSun" w:hAnsi="SimSun"/>
          <w:sz w:val="21"/>
        </w:rPr>
        <w:t>。</w:t>
      </w:r>
    </w:p>
    <w:p w:rsidR="00891934" w:rsidRPr="00D31822" w:rsidRDefault="00D31822" w:rsidP="00321614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审议标准委员会的工作计划和任务单</w:t>
      </w:r>
      <w:bookmarkStart w:id="2" w:name="_GoBack"/>
      <w:bookmarkEnd w:id="2"/>
      <w:r w:rsidR="00891934" w:rsidRPr="00D31822">
        <w:rPr>
          <w:rFonts w:ascii="SimSun" w:hAnsi="SimSun"/>
          <w:sz w:val="21"/>
        </w:rPr>
        <w:br/>
      </w:r>
      <w:r w:rsidR="00891934" w:rsidRPr="00D31822">
        <w:rPr>
          <w:rFonts w:ascii="SimSun" w:hAnsi="SimSun"/>
          <w:sz w:val="21"/>
        </w:rPr>
        <w:tab/>
        <w:t>见文件CWS/4/14</w:t>
      </w:r>
      <w:r w:rsidR="008070CB" w:rsidRPr="00D31822">
        <w:rPr>
          <w:rFonts w:ascii="SimSun" w:hAnsi="SimSun"/>
          <w:sz w:val="21"/>
        </w:rPr>
        <w:t>。</w:t>
      </w:r>
    </w:p>
    <w:p w:rsidR="00891934" w:rsidRPr="00D31822" w:rsidRDefault="00D31822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信息交流：工业产权局与涉及XML的WIPO标准有关的活动和计划报告</w:t>
      </w:r>
    </w:p>
    <w:p w:rsidR="00891934" w:rsidRPr="00D31822" w:rsidRDefault="00D31822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主席总结</w:t>
      </w:r>
    </w:p>
    <w:p w:rsidR="00891934" w:rsidRPr="00D31822" w:rsidRDefault="00D31822" w:rsidP="00D31822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会议闭幕</w:t>
      </w:r>
    </w:p>
    <w:p w:rsidR="00891934" w:rsidRPr="00D31822" w:rsidRDefault="00891934" w:rsidP="00891934">
      <w:pPr>
        <w:pStyle w:val="ONUME"/>
        <w:numPr>
          <w:ilvl w:val="0"/>
          <w:numId w:val="0"/>
        </w:numPr>
        <w:spacing w:after="120"/>
        <w:rPr>
          <w:rFonts w:ascii="SimSun" w:hAnsi="SimSun"/>
          <w:sz w:val="21"/>
        </w:rPr>
      </w:pPr>
    </w:p>
    <w:p w:rsidR="00891934" w:rsidRPr="00751177" w:rsidRDefault="00D31822" w:rsidP="00751177">
      <w:pPr>
        <w:spacing w:afterLines="50" w:after="120" w:line="340" w:lineRule="atLeast"/>
        <w:jc w:val="both"/>
        <w:rPr>
          <w:rFonts w:ascii="KaiTi" w:eastAsia="KaiTi" w:hAnsi="KaiTi"/>
          <w:i/>
          <w:sz w:val="21"/>
        </w:rPr>
      </w:pPr>
      <w:proofErr w:type="gramStart"/>
      <w:r w:rsidRPr="00751177">
        <w:rPr>
          <w:rFonts w:ascii="KaiTi" w:eastAsia="KaiTi" w:hAnsi="KaiTi" w:hint="eastAsia"/>
          <w:i/>
          <w:sz w:val="21"/>
        </w:rPr>
        <w:t>开幕会议将于201</w:t>
      </w:r>
      <w:r w:rsidRPr="00751177">
        <w:rPr>
          <w:rFonts w:ascii="KaiTi" w:eastAsia="KaiTi" w:hAnsi="KaiTi" w:hint="eastAsia"/>
          <w:i/>
          <w:sz w:val="21"/>
          <w:lang w:eastAsia="zh-CN"/>
        </w:rPr>
        <w:t>4</w:t>
      </w:r>
      <w:r w:rsidRPr="00751177">
        <w:rPr>
          <w:rFonts w:ascii="KaiTi" w:eastAsia="KaiTi" w:hAnsi="KaiTi" w:hint="eastAsia"/>
          <w:i/>
          <w:sz w:val="21"/>
        </w:rPr>
        <w:t>年</w:t>
      </w:r>
      <w:r w:rsidRPr="00751177">
        <w:rPr>
          <w:rFonts w:ascii="KaiTi" w:eastAsia="KaiTi" w:hAnsi="KaiTi" w:hint="eastAsia"/>
          <w:i/>
          <w:sz w:val="21"/>
          <w:lang w:eastAsia="zh-CN"/>
        </w:rPr>
        <w:t>5</w:t>
      </w:r>
      <w:r w:rsidRPr="00751177">
        <w:rPr>
          <w:rFonts w:ascii="KaiTi" w:eastAsia="KaiTi" w:hAnsi="KaiTi" w:hint="eastAsia"/>
          <w:i/>
          <w:sz w:val="21"/>
        </w:rPr>
        <w:t>月1</w:t>
      </w:r>
      <w:r w:rsidRPr="00751177">
        <w:rPr>
          <w:rFonts w:ascii="KaiTi" w:eastAsia="KaiTi" w:hAnsi="KaiTi" w:hint="eastAsia"/>
          <w:i/>
          <w:sz w:val="21"/>
          <w:lang w:eastAsia="zh-CN"/>
        </w:rPr>
        <w:t>2</w:t>
      </w:r>
      <w:r w:rsidRPr="00751177">
        <w:rPr>
          <w:rFonts w:ascii="KaiTi" w:eastAsia="KaiTi" w:hAnsi="KaiTi" w:hint="eastAsia"/>
          <w:i/>
          <w:sz w:val="21"/>
        </w:rPr>
        <w:t>日(</w:t>
      </w:r>
      <w:proofErr w:type="spellStart"/>
      <w:proofErr w:type="gramEnd"/>
      <w:r w:rsidRPr="00751177">
        <w:rPr>
          <w:rFonts w:ascii="KaiTi" w:eastAsia="KaiTi" w:hAnsi="KaiTi" w:hint="eastAsia"/>
          <w:i/>
          <w:sz w:val="21"/>
        </w:rPr>
        <w:t>星期一</w:t>
      </w:r>
      <w:proofErr w:type="spellEnd"/>
      <w:r w:rsidRPr="00751177">
        <w:rPr>
          <w:rFonts w:ascii="KaiTi" w:eastAsia="KaiTi" w:hAnsi="KaiTi" w:hint="eastAsia"/>
          <w:i/>
          <w:sz w:val="21"/>
        </w:rPr>
        <w:t xml:space="preserve">)上午10时在WIPO总部开始，地址：34，chemin des </w:t>
      </w:r>
      <w:proofErr w:type="spellStart"/>
      <w:r w:rsidRPr="00751177">
        <w:rPr>
          <w:rFonts w:ascii="KaiTi" w:eastAsia="KaiTi" w:hAnsi="KaiTi" w:hint="eastAsia"/>
          <w:i/>
          <w:sz w:val="21"/>
        </w:rPr>
        <w:t>Colombettes,Geneva</w:t>
      </w:r>
      <w:proofErr w:type="spellEnd"/>
      <w:r w:rsidRPr="00751177">
        <w:rPr>
          <w:rFonts w:ascii="KaiTi" w:eastAsia="KaiTi" w:hAnsi="KaiTi" w:hint="eastAsia"/>
          <w:i/>
          <w:sz w:val="21"/>
        </w:rPr>
        <w:t xml:space="preserve"> (</w:t>
      </w:r>
      <w:proofErr w:type="spellStart"/>
      <w:r w:rsidRPr="00751177">
        <w:rPr>
          <w:rFonts w:ascii="KaiTi" w:eastAsia="KaiTi" w:hAnsi="KaiTi" w:hint="eastAsia"/>
          <w:i/>
          <w:sz w:val="21"/>
        </w:rPr>
        <w:t>A会议室</w:t>
      </w:r>
      <w:proofErr w:type="spellEnd"/>
      <w:r w:rsidRPr="00751177">
        <w:rPr>
          <w:rFonts w:ascii="KaiTi" w:eastAsia="KaiTi" w:hAnsi="KaiTi" w:hint="eastAsia"/>
          <w:i/>
          <w:sz w:val="21"/>
        </w:rPr>
        <w:t>)。</w:t>
      </w:r>
    </w:p>
    <w:p w:rsidR="0094419E" w:rsidRPr="00D31822" w:rsidRDefault="0088473A">
      <w:pPr>
        <w:rPr>
          <w:rFonts w:ascii="SimSun" w:hAnsi="SimSun"/>
          <w:sz w:val="21"/>
          <w:lang w:eastAsia="zh-CN"/>
        </w:rPr>
      </w:pPr>
    </w:p>
    <w:p w:rsidR="00D31822" w:rsidRPr="00751177" w:rsidRDefault="00D31822" w:rsidP="00751177">
      <w:pPr>
        <w:spacing w:afterLines="50" w:after="120" w:line="340" w:lineRule="atLeast"/>
        <w:ind w:left="5534"/>
        <w:rPr>
          <w:rFonts w:ascii="KaiTi" w:eastAsia="KaiTi" w:hAnsi="KaiTi"/>
          <w:sz w:val="21"/>
          <w:lang w:eastAsia="zh-CN"/>
        </w:rPr>
      </w:pPr>
      <w:r w:rsidRPr="00751177">
        <w:rPr>
          <w:rFonts w:ascii="KaiTi" w:eastAsia="KaiTi" w:hAnsi="KaiTi" w:hint="eastAsia"/>
          <w:sz w:val="21"/>
          <w:lang w:eastAsia="zh-CN"/>
        </w:rPr>
        <w:t>[文件完]</w:t>
      </w:r>
    </w:p>
    <w:sectPr w:rsidR="00D31822" w:rsidRPr="00751177" w:rsidSect="00891934">
      <w:headerReference w:type="default" r:id="rId10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4B" w:rsidRDefault="00AE764B" w:rsidP="00AE764B">
      <w:pPr>
        <w:spacing w:after="0" w:line="240" w:lineRule="auto"/>
      </w:pPr>
      <w:r>
        <w:separator/>
      </w:r>
    </w:p>
  </w:endnote>
  <w:endnote w:type="continuationSeparator" w:id="0">
    <w:p w:rsidR="00AE764B" w:rsidRDefault="00AE764B" w:rsidP="00AE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4B" w:rsidRDefault="00AE764B" w:rsidP="00AE764B">
      <w:pPr>
        <w:spacing w:after="0" w:line="240" w:lineRule="auto"/>
      </w:pPr>
      <w:r>
        <w:separator/>
      </w:r>
    </w:p>
  </w:footnote>
  <w:footnote w:type="continuationSeparator" w:id="0">
    <w:p w:rsidR="00AE764B" w:rsidRDefault="00AE764B" w:rsidP="00AE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34" w:rsidRP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 w:rsidRPr="00891934">
      <w:rPr>
        <w:rFonts w:ascii="SimSun" w:hAnsi="SimSun" w:hint="eastAsia"/>
        <w:sz w:val="21"/>
        <w:lang w:eastAsia="zh-CN"/>
      </w:rPr>
      <w:t>CWS/4/1 Prov.</w:t>
    </w:r>
  </w:p>
  <w:p w:rsid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 w:rsidRPr="00891934">
      <w:rPr>
        <w:rFonts w:ascii="SimSun" w:hAnsi="SimSun" w:hint="eastAsia"/>
        <w:sz w:val="21"/>
        <w:lang w:eastAsia="zh-CN"/>
      </w:rPr>
      <w:t>第</w:t>
    </w:r>
    <w:r w:rsidRPr="00891934">
      <w:rPr>
        <w:rFonts w:ascii="SimSun" w:hAnsi="SimSun"/>
        <w:sz w:val="21"/>
        <w:lang w:eastAsia="zh-CN"/>
      </w:rPr>
      <w:fldChar w:fldCharType="begin"/>
    </w:r>
    <w:r w:rsidRPr="00891934">
      <w:rPr>
        <w:rFonts w:ascii="SimSun" w:hAnsi="SimSun"/>
        <w:sz w:val="21"/>
        <w:lang w:eastAsia="zh-CN"/>
      </w:rPr>
      <w:instrText>PAGE   \* MERGEFORMAT</w:instrText>
    </w:r>
    <w:r w:rsidRPr="00891934">
      <w:rPr>
        <w:rFonts w:ascii="SimSun" w:hAnsi="SimSun"/>
        <w:sz w:val="21"/>
        <w:lang w:eastAsia="zh-CN"/>
      </w:rPr>
      <w:fldChar w:fldCharType="separate"/>
    </w:r>
    <w:r w:rsidR="0088473A" w:rsidRPr="0088473A">
      <w:rPr>
        <w:rFonts w:ascii="SimSun" w:hAnsi="SimSun"/>
        <w:noProof/>
        <w:sz w:val="21"/>
        <w:lang w:val="zh-CN" w:eastAsia="zh-CN"/>
      </w:rPr>
      <w:t>2</w:t>
    </w:r>
    <w:r w:rsidRPr="00891934">
      <w:rPr>
        <w:rFonts w:ascii="SimSun" w:hAnsi="SimSun"/>
        <w:sz w:val="21"/>
        <w:lang w:eastAsia="zh-CN"/>
      </w:rPr>
      <w:fldChar w:fldCharType="end"/>
    </w:r>
    <w:r w:rsidRPr="00891934">
      <w:rPr>
        <w:rFonts w:ascii="SimSun" w:hAnsi="SimSun" w:hint="eastAsia"/>
        <w:sz w:val="21"/>
        <w:lang w:eastAsia="zh-CN"/>
      </w:rPr>
      <w:t>页</w:t>
    </w:r>
  </w:p>
  <w:p w:rsid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  <w:p w:rsidR="00891934" w:rsidRP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CD"/>
    <w:rsid w:val="000E44EC"/>
    <w:rsid w:val="00321614"/>
    <w:rsid w:val="00393AB7"/>
    <w:rsid w:val="00557384"/>
    <w:rsid w:val="00627E13"/>
    <w:rsid w:val="006E0323"/>
    <w:rsid w:val="00751177"/>
    <w:rsid w:val="00796CCD"/>
    <w:rsid w:val="007B5258"/>
    <w:rsid w:val="008070CB"/>
    <w:rsid w:val="008470FA"/>
    <w:rsid w:val="0088473A"/>
    <w:rsid w:val="00891934"/>
    <w:rsid w:val="008D6C2D"/>
    <w:rsid w:val="00A852CA"/>
    <w:rsid w:val="00A863B8"/>
    <w:rsid w:val="00AE764B"/>
    <w:rsid w:val="00AF72BF"/>
    <w:rsid w:val="00AF7FD9"/>
    <w:rsid w:val="00BC0FA5"/>
    <w:rsid w:val="00D31822"/>
    <w:rsid w:val="00E62D05"/>
    <w:rsid w:val="00F540D2"/>
    <w:rsid w:val="00F5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64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E764B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764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E764B"/>
    <w:rPr>
      <w:sz w:val="18"/>
      <w:szCs w:val="18"/>
      <w:lang w:eastAsia="en-US"/>
    </w:rPr>
  </w:style>
  <w:style w:type="paragraph" w:customStyle="1" w:styleId="ONUME">
    <w:name w:val="ONUM E"/>
    <w:basedOn w:val="BodyText"/>
    <w:rsid w:val="00891934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19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193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64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E764B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764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E764B"/>
    <w:rPr>
      <w:sz w:val="18"/>
      <w:szCs w:val="18"/>
      <w:lang w:eastAsia="en-US"/>
    </w:rPr>
  </w:style>
  <w:style w:type="paragraph" w:customStyle="1" w:styleId="ONUME">
    <w:name w:val="ONUM E"/>
    <w:basedOn w:val="BodyText"/>
    <w:rsid w:val="00891934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19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19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EC24-9AFF-4A4A-8241-C6547E0B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 Prov. (in Chinese)</vt:lpstr>
    </vt:vector>
  </TitlesOfParts>
  <Manager/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 Prov. (in Chinese)</dc:title>
  <dc:subject>议程草案</dc:subject>
  <dc:creator/>
  <cp:lastModifiedBy/>
  <cp:revision>1</cp:revision>
  <dcterms:created xsi:type="dcterms:W3CDTF">2014-02-11T16:06:00Z</dcterms:created>
  <dcterms:modified xsi:type="dcterms:W3CDTF">2014-02-11T16:22:00Z</dcterms:modified>
</cp:coreProperties>
</file>