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FCD4" w14:textId="638CC7E1" w:rsidR="007B01FB" w:rsidRPr="00060E7B" w:rsidRDefault="007B01FB" w:rsidP="008C1FCB">
      <w:pPr>
        <w:spacing w:beforeLines="100" w:before="240" w:afterLines="50" w:after="120" w:line="340" w:lineRule="atLeast"/>
        <w:rPr>
          <w:rFonts w:ascii="SimHei" w:eastAsia="SimHei" w:hAnsi="SimHei"/>
          <w:lang w:eastAsia="zh-CN"/>
        </w:rPr>
      </w:pPr>
      <w:r w:rsidRPr="00060E7B">
        <w:rPr>
          <w:rFonts w:ascii="SimHei" w:eastAsia="SimHei" w:hAnsi="SimHei" w:hint="eastAsia"/>
          <w:lang w:eastAsia="zh-CN"/>
        </w:rPr>
        <w:t>秘书处为资源分配对标准委任务的分析</w:t>
      </w:r>
    </w:p>
    <w:p w14:paraId="3BD9332C" w14:textId="3F52FF95" w:rsidR="007B01FB" w:rsidRPr="007B01FB" w:rsidRDefault="007B01FB" w:rsidP="008C1FCB">
      <w:pPr>
        <w:spacing w:afterLines="50" w:after="120" w:line="340" w:lineRule="atLeast"/>
        <w:ind w:firstLineChars="200" w:firstLine="440"/>
        <w:jc w:val="both"/>
        <w:rPr>
          <w:lang w:eastAsia="zh-CN"/>
        </w:rPr>
      </w:pPr>
      <w:r w:rsidRPr="007B01FB">
        <w:rPr>
          <w:rFonts w:hint="eastAsia"/>
          <w:lang w:eastAsia="zh-CN"/>
        </w:rPr>
        <w:t>根据</w:t>
      </w:r>
      <w:r w:rsidRPr="00060E7B">
        <w:rPr>
          <w:rFonts w:hint="eastAsia"/>
          <w:lang w:eastAsia="zh-CN"/>
        </w:rPr>
        <w:t>标准委</w:t>
      </w:r>
      <w:r w:rsidRPr="007B01FB">
        <w:rPr>
          <w:rFonts w:hint="eastAsia"/>
          <w:lang w:eastAsia="zh-CN"/>
        </w:rPr>
        <w:t>第十二届会议的决定，秘书处分析了</w:t>
      </w:r>
      <w:r w:rsidRPr="00060E7B">
        <w:rPr>
          <w:rFonts w:hint="eastAsia"/>
          <w:lang w:eastAsia="zh-CN"/>
        </w:rPr>
        <w:t>标准委</w:t>
      </w:r>
      <w:r w:rsidRPr="007B01FB">
        <w:rPr>
          <w:rFonts w:hint="eastAsia"/>
          <w:lang w:eastAsia="zh-CN"/>
        </w:rPr>
        <w:t>各项任务的复杂</w:t>
      </w:r>
      <w:r w:rsidR="00F0737F" w:rsidRPr="00060E7B">
        <w:rPr>
          <w:rFonts w:hint="eastAsia"/>
          <w:lang w:eastAsia="zh-CN"/>
        </w:rPr>
        <w:t>度</w:t>
      </w:r>
      <w:r w:rsidRPr="007B01FB">
        <w:rPr>
          <w:rFonts w:hint="eastAsia"/>
          <w:lang w:eastAsia="zh-CN"/>
        </w:rPr>
        <w:t>和活动水平。秘书处还对</w:t>
      </w:r>
      <w:r w:rsidRPr="00060E7B">
        <w:rPr>
          <w:rFonts w:hint="eastAsia"/>
          <w:lang w:eastAsia="zh-CN"/>
        </w:rPr>
        <w:t>标准委</w:t>
      </w:r>
      <w:r w:rsidRPr="007B01FB">
        <w:rPr>
          <w:rFonts w:hint="eastAsia"/>
          <w:lang w:eastAsia="zh-CN"/>
        </w:rPr>
        <w:t>的所有任务进行了年度审查，以便提出应优先处理或暂时搁置的任务，供</w:t>
      </w:r>
      <w:r w:rsidRPr="00060E7B">
        <w:rPr>
          <w:rFonts w:hint="eastAsia"/>
          <w:lang w:eastAsia="zh-CN"/>
        </w:rPr>
        <w:t>标准委</w:t>
      </w:r>
      <w:r w:rsidRPr="007B01FB">
        <w:rPr>
          <w:rFonts w:hint="eastAsia"/>
          <w:lang w:eastAsia="zh-CN"/>
        </w:rPr>
        <w:t>成员和观察员在今后分配资源时考虑。</w:t>
      </w:r>
    </w:p>
    <w:p w14:paraId="3EF042CA" w14:textId="77A385FB" w:rsidR="004E0CAF" w:rsidRPr="00060E7B" w:rsidRDefault="007B01FB" w:rsidP="008C1FCB">
      <w:pPr>
        <w:spacing w:afterLines="50" w:after="120" w:line="340" w:lineRule="atLeast"/>
        <w:ind w:firstLineChars="200" w:firstLine="440"/>
        <w:jc w:val="both"/>
        <w:rPr>
          <w:b/>
          <w:bCs/>
          <w:lang w:eastAsia="zh-CN"/>
        </w:rPr>
      </w:pPr>
      <w:r w:rsidRPr="00060E7B">
        <w:rPr>
          <w:rFonts w:hint="eastAsia"/>
          <w:lang w:eastAsia="zh-CN"/>
        </w:rPr>
        <w:t>被列为</w:t>
      </w:r>
      <w:r w:rsidRPr="007B01FB">
        <w:rPr>
          <w:rFonts w:hint="eastAsia"/>
          <w:lang w:eastAsia="zh-CN"/>
        </w:rPr>
        <w:t>优先的任务</w:t>
      </w:r>
      <w:r w:rsidRPr="00060E7B">
        <w:rPr>
          <w:rFonts w:hint="eastAsia"/>
          <w:lang w:eastAsia="zh-CN"/>
        </w:rPr>
        <w:t>标</w:t>
      </w:r>
      <w:r w:rsidRPr="007B01FB">
        <w:rPr>
          <w:rFonts w:hint="eastAsia"/>
          <w:lang w:eastAsia="zh-CN"/>
        </w:rPr>
        <w:t>为“基本”和“重要”。</w:t>
      </w:r>
      <w:r w:rsidRPr="00060E7B">
        <w:rPr>
          <w:rFonts w:hint="eastAsia"/>
          <w:lang w:eastAsia="zh-CN"/>
        </w:rPr>
        <w:t>“</w:t>
      </w:r>
      <w:r w:rsidRPr="007B01FB">
        <w:rPr>
          <w:rFonts w:hint="eastAsia"/>
          <w:lang w:eastAsia="zh-CN"/>
        </w:rPr>
        <w:t>基本</w:t>
      </w:r>
      <w:r w:rsidRPr="00060E7B">
        <w:rPr>
          <w:rFonts w:hint="eastAsia"/>
          <w:lang w:eastAsia="zh-CN"/>
        </w:rPr>
        <w:t>”</w:t>
      </w:r>
      <w:r w:rsidRPr="007B01FB">
        <w:rPr>
          <w:rFonts w:hint="eastAsia"/>
          <w:lang w:eastAsia="zh-CN"/>
        </w:rPr>
        <w:t>任务与知识产权局正在讨论以协调实施的</w:t>
      </w:r>
      <w:r w:rsidRPr="00060E7B">
        <w:rPr>
          <w:rFonts w:hint="eastAsia"/>
          <w:lang w:eastAsia="zh-CN"/>
        </w:rPr>
        <w:t>产权组织</w:t>
      </w:r>
      <w:r w:rsidRPr="007B01FB">
        <w:rPr>
          <w:rFonts w:hint="eastAsia"/>
          <w:lang w:eastAsia="zh-CN"/>
        </w:rPr>
        <w:t>标准或建议有关。</w:t>
      </w:r>
      <w:r w:rsidRPr="00060E7B">
        <w:rPr>
          <w:rFonts w:hint="eastAsia"/>
          <w:lang w:eastAsia="zh-CN"/>
        </w:rPr>
        <w:t>“</w:t>
      </w:r>
      <w:r w:rsidRPr="007B01FB">
        <w:rPr>
          <w:rFonts w:hint="eastAsia"/>
          <w:lang w:eastAsia="zh-CN"/>
        </w:rPr>
        <w:t>重要</w:t>
      </w:r>
      <w:r w:rsidRPr="00060E7B">
        <w:rPr>
          <w:rFonts w:hint="eastAsia"/>
          <w:lang w:eastAsia="zh-CN"/>
        </w:rPr>
        <w:t>”</w:t>
      </w:r>
      <w:r w:rsidR="003F03ED" w:rsidRPr="00060E7B">
        <w:rPr>
          <w:rFonts w:hint="eastAsia"/>
          <w:lang w:eastAsia="zh-CN"/>
        </w:rPr>
        <w:t>任务</w:t>
      </w:r>
      <w:r w:rsidRPr="007B01FB">
        <w:rPr>
          <w:rFonts w:hint="eastAsia"/>
          <w:lang w:eastAsia="zh-CN"/>
        </w:rPr>
        <w:t>是那些在制定或修订</w:t>
      </w:r>
      <w:r w:rsidRPr="00060E7B">
        <w:rPr>
          <w:rFonts w:hint="eastAsia"/>
          <w:lang w:eastAsia="zh-CN"/>
        </w:rPr>
        <w:t>产权组织</w:t>
      </w:r>
      <w:r w:rsidRPr="007B01FB">
        <w:rPr>
          <w:rFonts w:hint="eastAsia"/>
          <w:lang w:eastAsia="zh-CN"/>
        </w:rPr>
        <w:t>标准或在2026年共享各局关于</w:t>
      </w:r>
      <w:r w:rsidRPr="00060E7B">
        <w:rPr>
          <w:rFonts w:hint="eastAsia"/>
          <w:lang w:eastAsia="zh-CN"/>
        </w:rPr>
        <w:t>产权组织</w:t>
      </w:r>
      <w:r w:rsidRPr="007B01FB">
        <w:rPr>
          <w:rFonts w:hint="eastAsia"/>
          <w:lang w:eastAsia="zh-CN"/>
        </w:rPr>
        <w:t>标准或建议的做法方面视为优先的任务。</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4860"/>
        <w:gridCol w:w="1350"/>
        <w:gridCol w:w="1440"/>
        <w:gridCol w:w="896"/>
      </w:tblGrid>
      <w:tr w:rsidR="00915A8B" w:rsidRPr="00060E7B" w14:paraId="289A31BA" w14:textId="67971ED3" w:rsidTr="008C1FCB">
        <w:trPr>
          <w:trHeight w:val="144"/>
          <w:tblHeader/>
        </w:trPr>
        <w:tc>
          <w:tcPr>
            <w:tcW w:w="805" w:type="dxa"/>
            <w:noWrap/>
            <w:vAlign w:val="center"/>
            <w:hideMark/>
          </w:tcPr>
          <w:p w14:paraId="4AB3A7BB" w14:textId="0A3D5D24" w:rsidR="0010477A" w:rsidRPr="00060E7B" w:rsidRDefault="007B01FB" w:rsidP="008C1FCB">
            <w:pPr>
              <w:spacing w:before="40" w:after="40" w:line="240" w:lineRule="auto"/>
              <w:rPr>
                <w:rFonts w:ascii="Arial" w:eastAsia="Times New Roman" w:hAnsi="Arial"/>
                <w:b/>
                <w:bCs/>
                <w:color w:val="000000"/>
                <w:kern w:val="0"/>
                <w:lang w:eastAsia="zh-CN"/>
                <w14:ligatures w14:val="none"/>
              </w:rPr>
            </w:pPr>
            <w:r w:rsidRPr="00060E7B">
              <w:rPr>
                <w:rFonts w:cs="SimSun" w:hint="eastAsia"/>
                <w:b/>
                <w:bCs/>
                <w:color w:val="000000"/>
                <w:kern w:val="0"/>
                <w:lang w:eastAsia="zh-CN"/>
                <w14:ligatures w14:val="none"/>
              </w:rPr>
              <w:t>任务编号</w:t>
            </w:r>
          </w:p>
        </w:tc>
        <w:tc>
          <w:tcPr>
            <w:tcW w:w="4860" w:type="dxa"/>
            <w:noWrap/>
            <w:vAlign w:val="center"/>
            <w:hideMark/>
          </w:tcPr>
          <w:p w14:paraId="693684ED" w14:textId="51F599C2" w:rsidR="0010477A" w:rsidRPr="00060E7B" w:rsidRDefault="007B01FB" w:rsidP="008C1FCB">
            <w:pPr>
              <w:spacing w:before="40" w:after="40" w:line="240" w:lineRule="auto"/>
              <w:jc w:val="both"/>
              <w:rPr>
                <w:rFonts w:ascii="Arial" w:eastAsia="Times New Roman" w:hAnsi="Arial"/>
                <w:b/>
                <w:bCs/>
                <w:color w:val="000000"/>
                <w:kern w:val="0"/>
                <w:lang w:eastAsia="zh-CN"/>
                <w14:ligatures w14:val="none"/>
              </w:rPr>
            </w:pPr>
            <w:r w:rsidRPr="00060E7B">
              <w:rPr>
                <w:rFonts w:cs="SimSun" w:hint="eastAsia"/>
                <w:b/>
                <w:bCs/>
                <w:color w:val="000000"/>
                <w:kern w:val="0"/>
                <w:lang w:eastAsia="zh-CN"/>
                <w14:ligatures w14:val="none"/>
              </w:rPr>
              <w:t>任务说明</w:t>
            </w:r>
          </w:p>
        </w:tc>
        <w:tc>
          <w:tcPr>
            <w:tcW w:w="1350" w:type="dxa"/>
            <w:noWrap/>
            <w:vAlign w:val="center"/>
            <w:hideMark/>
          </w:tcPr>
          <w:p w14:paraId="6B9669B0" w14:textId="6D4874DE" w:rsidR="0010477A" w:rsidRPr="00060E7B" w:rsidRDefault="007B01FB" w:rsidP="008C1FCB">
            <w:pPr>
              <w:spacing w:before="40" w:after="40" w:line="240" w:lineRule="auto"/>
              <w:jc w:val="both"/>
              <w:rPr>
                <w:rFonts w:ascii="Arial" w:eastAsia="Times New Roman" w:hAnsi="Arial"/>
                <w:b/>
                <w:bCs/>
                <w:color w:val="000000"/>
                <w:kern w:val="0"/>
                <w:lang w:eastAsia="zh-CN"/>
                <w14:ligatures w14:val="none"/>
              </w:rPr>
            </w:pPr>
            <w:r w:rsidRPr="00060E7B">
              <w:rPr>
                <w:rFonts w:cs="SimSun" w:hint="eastAsia"/>
                <w:b/>
                <w:bCs/>
                <w:color w:val="000000"/>
                <w:kern w:val="0"/>
                <w:lang w:eastAsia="zh-CN"/>
                <w14:ligatures w14:val="none"/>
              </w:rPr>
              <w:t>活动水平</w:t>
            </w:r>
          </w:p>
        </w:tc>
        <w:tc>
          <w:tcPr>
            <w:tcW w:w="1440" w:type="dxa"/>
            <w:noWrap/>
            <w:vAlign w:val="center"/>
            <w:hideMark/>
          </w:tcPr>
          <w:p w14:paraId="04616CDE" w14:textId="190DB802" w:rsidR="0010477A" w:rsidRPr="00060E7B" w:rsidRDefault="007B01FB" w:rsidP="008C1FCB">
            <w:pPr>
              <w:spacing w:before="40" w:after="40" w:line="240" w:lineRule="auto"/>
              <w:jc w:val="both"/>
              <w:rPr>
                <w:rFonts w:ascii="Arial" w:eastAsia="Times New Roman" w:hAnsi="Arial"/>
                <w:b/>
                <w:bCs/>
                <w:color w:val="000000"/>
                <w:kern w:val="0"/>
                <w:lang w:eastAsia="zh-CN"/>
                <w14:ligatures w14:val="none"/>
              </w:rPr>
            </w:pPr>
            <w:r w:rsidRPr="00060E7B">
              <w:rPr>
                <w:rFonts w:cs="SimSun" w:hint="eastAsia"/>
                <w:b/>
                <w:bCs/>
                <w:color w:val="000000"/>
                <w:kern w:val="0"/>
                <w:lang w:eastAsia="zh-CN"/>
                <w14:ligatures w14:val="none"/>
              </w:rPr>
              <w:t>复杂</w:t>
            </w:r>
            <w:r w:rsidR="00F0737F" w:rsidRPr="00060E7B">
              <w:rPr>
                <w:rFonts w:cs="SimSun" w:hint="eastAsia"/>
                <w:b/>
                <w:bCs/>
                <w:color w:val="000000"/>
                <w:kern w:val="0"/>
                <w:lang w:eastAsia="zh-CN"/>
                <w14:ligatures w14:val="none"/>
              </w:rPr>
              <w:t>度</w:t>
            </w:r>
          </w:p>
        </w:tc>
        <w:tc>
          <w:tcPr>
            <w:tcW w:w="896" w:type="dxa"/>
            <w:vAlign w:val="center"/>
          </w:tcPr>
          <w:p w14:paraId="2B867BA4" w14:textId="02E6124A" w:rsidR="0010477A" w:rsidRPr="00060E7B" w:rsidRDefault="007B01FB" w:rsidP="008C1FCB">
            <w:pPr>
              <w:spacing w:before="40" w:after="40" w:line="240" w:lineRule="auto"/>
              <w:jc w:val="both"/>
              <w:rPr>
                <w:rFonts w:ascii="Arial" w:eastAsia="Times New Roman" w:hAnsi="Arial"/>
                <w:b/>
                <w:bCs/>
                <w:color w:val="000000"/>
                <w:kern w:val="0"/>
                <w:lang w:eastAsia="zh-CN"/>
                <w14:ligatures w14:val="none"/>
              </w:rPr>
            </w:pPr>
            <w:r w:rsidRPr="00060E7B">
              <w:rPr>
                <w:rFonts w:cs="SimSun" w:hint="eastAsia"/>
                <w:b/>
                <w:bCs/>
                <w:color w:val="000000"/>
                <w:kern w:val="0"/>
                <w:lang w:eastAsia="zh-CN"/>
                <w14:ligatures w14:val="none"/>
              </w:rPr>
              <w:t>优先级</w:t>
            </w:r>
          </w:p>
        </w:tc>
      </w:tr>
      <w:tr w:rsidR="00915A8B" w:rsidRPr="00060E7B" w14:paraId="335D59A0" w14:textId="766F62EF" w:rsidTr="008C1FCB">
        <w:trPr>
          <w:trHeight w:val="144"/>
        </w:trPr>
        <w:tc>
          <w:tcPr>
            <w:tcW w:w="805" w:type="dxa"/>
            <w:noWrap/>
            <w:vAlign w:val="center"/>
            <w:hideMark/>
          </w:tcPr>
          <w:p w14:paraId="3E728570" w14:textId="77777777" w:rsidR="0010477A" w:rsidRPr="00060E7B" w:rsidRDefault="0010477A" w:rsidP="006908A8">
            <w:pPr>
              <w:spacing w:before="40" w:after="40" w:line="240" w:lineRule="auto"/>
              <w:rPr>
                <w:color w:val="000000"/>
                <w:kern w:val="0"/>
                <w:lang w:eastAsia="zh-CN"/>
                <w14:ligatures w14:val="none"/>
              </w:rPr>
            </w:pPr>
            <w:r w:rsidRPr="00060E7B">
              <w:rPr>
                <w:rFonts w:hint="eastAsia"/>
                <w:color w:val="000000"/>
                <w:kern w:val="0"/>
                <w:lang w:eastAsia="zh-CN"/>
                <w14:ligatures w14:val="none"/>
              </w:rPr>
              <w:t>18</w:t>
            </w:r>
          </w:p>
        </w:tc>
        <w:tc>
          <w:tcPr>
            <w:tcW w:w="4860" w:type="dxa"/>
            <w:noWrap/>
            <w:vAlign w:val="center"/>
            <w:hideMark/>
          </w:tcPr>
          <w:p w14:paraId="4A75DD7F" w14:textId="6AE54BE9" w:rsidR="0010477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根据五大知识产权局（五局）、五大商标局（商标五方）、工业品外观设计五局合作论坛（</w:t>
            </w:r>
            <w:r w:rsidRPr="00060E7B">
              <w:rPr>
                <w:rFonts w:hint="eastAsia"/>
                <w:color w:val="000000"/>
                <w:kern w:val="0"/>
                <w:lang w:eastAsia="zh-CN"/>
                <w14:ligatures w14:val="none"/>
              </w:rPr>
              <w:t>ID5</w:t>
            </w:r>
            <w:r w:rsidRPr="00060E7B">
              <w:rPr>
                <w:rFonts w:cs="Microsoft YaHei" w:hint="eastAsia"/>
                <w:color w:val="000000"/>
                <w:kern w:val="0"/>
                <w:lang w:eastAsia="zh-CN"/>
                <w14:ligatures w14:val="none"/>
              </w:rPr>
              <w:t>）、</w:t>
            </w:r>
            <w:r w:rsidRPr="00060E7B">
              <w:rPr>
                <w:rFonts w:hint="eastAsia"/>
                <w:color w:val="000000"/>
                <w:kern w:val="0"/>
                <w:lang w:eastAsia="zh-CN"/>
                <w14:ligatures w14:val="none"/>
              </w:rPr>
              <w:t>ISO</w:t>
            </w:r>
            <w:r w:rsidRPr="00060E7B">
              <w:rPr>
                <w:rFonts w:cs="Microsoft YaHei" w:hint="eastAsia"/>
                <w:color w:val="000000"/>
                <w:kern w:val="0"/>
                <w:lang w:eastAsia="zh-CN"/>
                <w14:ligatures w14:val="none"/>
              </w:rPr>
              <w:t>、</w:t>
            </w:r>
            <w:r w:rsidRPr="00060E7B">
              <w:rPr>
                <w:rFonts w:hint="eastAsia"/>
                <w:color w:val="000000"/>
                <w:kern w:val="0"/>
                <w:lang w:eastAsia="zh-CN"/>
                <w14:ligatures w14:val="none"/>
              </w:rPr>
              <w:t>IEC</w:t>
            </w:r>
            <w:r w:rsidRPr="00060E7B">
              <w:rPr>
                <w:rFonts w:cs="Microsoft YaHei" w:hint="eastAsia"/>
                <w:color w:val="000000"/>
                <w:kern w:val="0"/>
                <w:lang w:eastAsia="zh-CN"/>
                <w14:ligatures w14:val="none"/>
              </w:rPr>
              <w:t>等机构和其他知名的行业标准制定机构所计划的项目，确认与机器可读数据交换有关的标准化领域。</w:t>
            </w:r>
          </w:p>
        </w:tc>
        <w:tc>
          <w:tcPr>
            <w:tcW w:w="1350" w:type="dxa"/>
            <w:noWrap/>
            <w:vAlign w:val="center"/>
            <w:hideMark/>
          </w:tcPr>
          <w:p w14:paraId="26BF39BD" w14:textId="6EE34EE1" w:rsidR="0010477A" w:rsidRPr="00060E7B" w:rsidRDefault="00F0737F" w:rsidP="006908A8">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非经常</w:t>
            </w:r>
          </w:p>
        </w:tc>
        <w:tc>
          <w:tcPr>
            <w:tcW w:w="1440" w:type="dxa"/>
            <w:noWrap/>
            <w:vAlign w:val="center"/>
            <w:hideMark/>
          </w:tcPr>
          <w:p w14:paraId="1116D105" w14:textId="447A9DAE" w:rsidR="0010477A" w:rsidRPr="00060E7B" w:rsidRDefault="00F0737F" w:rsidP="006908A8">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中</w:t>
            </w:r>
          </w:p>
        </w:tc>
        <w:tc>
          <w:tcPr>
            <w:tcW w:w="896" w:type="dxa"/>
            <w:vAlign w:val="center"/>
          </w:tcPr>
          <w:p w14:paraId="2A33681B" w14:textId="77777777" w:rsidR="0010477A" w:rsidRPr="00060E7B" w:rsidRDefault="0010477A" w:rsidP="006908A8">
            <w:pPr>
              <w:spacing w:before="40" w:after="40" w:line="240" w:lineRule="auto"/>
              <w:rPr>
                <w:color w:val="000000"/>
                <w:kern w:val="0"/>
                <w:lang w:eastAsia="zh-CN"/>
                <w14:ligatures w14:val="none"/>
              </w:rPr>
            </w:pPr>
          </w:p>
        </w:tc>
      </w:tr>
      <w:tr w:rsidR="00915A8B" w:rsidRPr="00060E7B" w14:paraId="4FF1EBC4" w14:textId="5EF092D4" w:rsidTr="008C1FCB">
        <w:trPr>
          <w:trHeight w:val="144"/>
        </w:trPr>
        <w:tc>
          <w:tcPr>
            <w:tcW w:w="805" w:type="dxa"/>
            <w:noWrap/>
            <w:vAlign w:val="center"/>
            <w:hideMark/>
          </w:tcPr>
          <w:p w14:paraId="1F441A6E" w14:textId="77777777" w:rsidR="0010477A" w:rsidRPr="00060E7B" w:rsidRDefault="0010477A" w:rsidP="006908A8">
            <w:pPr>
              <w:spacing w:before="40" w:after="40" w:line="240" w:lineRule="auto"/>
              <w:rPr>
                <w:color w:val="000000"/>
                <w:kern w:val="0"/>
                <w:lang w:eastAsia="zh-CN"/>
                <w14:ligatures w14:val="none"/>
              </w:rPr>
            </w:pPr>
            <w:r w:rsidRPr="00060E7B">
              <w:rPr>
                <w:rFonts w:hint="eastAsia"/>
                <w:color w:val="000000"/>
                <w:kern w:val="0"/>
                <w:lang w:eastAsia="zh-CN"/>
                <w14:ligatures w14:val="none"/>
              </w:rPr>
              <w:t>24</w:t>
            </w:r>
          </w:p>
        </w:tc>
        <w:tc>
          <w:tcPr>
            <w:tcW w:w="4860" w:type="dxa"/>
            <w:noWrap/>
            <w:vAlign w:val="center"/>
            <w:hideMark/>
          </w:tcPr>
          <w:p w14:paraId="12B6B67F" w14:textId="799E27E5" w:rsidR="0010477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收集并公布关于标准委成员专利、商标和工业品外观设计信息活动（</w:t>
            </w:r>
            <w:r w:rsidRPr="00060E7B">
              <w:rPr>
                <w:rFonts w:hint="eastAsia"/>
                <w:color w:val="000000"/>
                <w:kern w:val="0"/>
                <w:lang w:eastAsia="zh-CN"/>
                <w14:ligatures w14:val="none"/>
              </w:rPr>
              <w:t>ATR/PI</w:t>
            </w:r>
            <w:r w:rsidRPr="00060E7B">
              <w:rPr>
                <w:rFonts w:cs="Microsoft YaHei" w:hint="eastAsia"/>
                <w:color w:val="000000"/>
                <w:kern w:val="0"/>
                <w:lang w:eastAsia="zh-CN"/>
                <w14:ligatures w14:val="none"/>
              </w:rPr>
              <w:t>、</w:t>
            </w:r>
            <w:r w:rsidRPr="00060E7B">
              <w:rPr>
                <w:rFonts w:hint="eastAsia"/>
                <w:color w:val="000000"/>
                <w:kern w:val="0"/>
                <w:lang w:eastAsia="zh-CN"/>
                <w14:ligatures w14:val="none"/>
              </w:rPr>
              <w:t>ATR/TM</w:t>
            </w:r>
            <w:r w:rsidRPr="00060E7B">
              <w:rPr>
                <w:rFonts w:cs="Microsoft YaHei" w:hint="eastAsia"/>
                <w:color w:val="000000"/>
                <w:kern w:val="0"/>
                <w:lang w:eastAsia="zh-CN"/>
                <w14:ligatures w14:val="none"/>
              </w:rPr>
              <w:t>和</w:t>
            </w:r>
            <w:r w:rsidRPr="00060E7B">
              <w:rPr>
                <w:rFonts w:hint="eastAsia"/>
                <w:color w:val="000000"/>
                <w:kern w:val="0"/>
                <w:lang w:eastAsia="zh-CN"/>
                <w14:ligatures w14:val="none"/>
              </w:rPr>
              <w:t>ATR/ID</w:t>
            </w:r>
            <w:r w:rsidRPr="00060E7B">
              <w:rPr>
                <w:rFonts w:cs="Microsoft YaHei" w:hint="eastAsia"/>
                <w:color w:val="000000"/>
                <w:kern w:val="0"/>
                <w:lang w:eastAsia="zh-CN"/>
                <w14:ligatures w14:val="none"/>
              </w:rPr>
              <w:t>）的年度技术报告（</w:t>
            </w:r>
            <w:r w:rsidRPr="00060E7B">
              <w:rPr>
                <w:rFonts w:hint="eastAsia"/>
                <w:color w:val="000000"/>
                <w:kern w:val="0"/>
                <w:lang w:eastAsia="zh-CN"/>
                <w14:ligatures w14:val="none"/>
              </w:rPr>
              <w:t>ATR</w:t>
            </w:r>
            <w:r w:rsidRPr="00060E7B">
              <w:rPr>
                <w:rFonts w:cs="Microsoft YaHei" w:hint="eastAsia"/>
                <w:color w:val="000000"/>
                <w:kern w:val="0"/>
                <w:lang w:eastAsia="zh-CN"/>
                <w14:ligatures w14:val="none"/>
              </w:rPr>
              <w:t>）。</w:t>
            </w:r>
          </w:p>
        </w:tc>
        <w:tc>
          <w:tcPr>
            <w:tcW w:w="1350" w:type="dxa"/>
            <w:noWrap/>
            <w:vAlign w:val="center"/>
            <w:hideMark/>
          </w:tcPr>
          <w:p w14:paraId="0683D306" w14:textId="15708E1D" w:rsidR="0010477A" w:rsidRPr="00060E7B" w:rsidRDefault="00F0737F" w:rsidP="006908A8">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活跃</w:t>
            </w:r>
          </w:p>
        </w:tc>
        <w:tc>
          <w:tcPr>
            <w:tcW w:w="1440" w:type="dxa"/>
            <w:noWrap/>
            <w:vAlign w:val="center"/>
            <w:hideMark/>
          </w:tcPr>
          <w:p w14:paraId="0A433917" w14:textId="29A6A3E4" w:rsidR="0010477A" w:rsidRPr="00060E7B" w:rsidRDefault="00F0737F" w:rsidP="006908A8">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中</w:t>
            </w:r>
          </w:p>
        </w:tc>
        <w:tc>
          <w:tcPr>
            <w:tcW w:w="896" w:type="dxa"/>
            <w:vAlign w:val="center"/>
          </w:tcPr>
          <w:p w14:paraId="4E3DB105" w14:textId="5A51D644" w:rsidR="0010477A" w:rsidRPr="00060E7B" w:rsidRDefault="00F0737F" w:rsidP="006908A8">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重要</w:t>
            </w:r>
          </w:p>
        </w:tc>
      </w:tr>
      <w:tr w:rsidR="00915A8B" w:rsidRPr="00060E7B" w14:paraId="390AC8CB" w14:textId="614BC5FA" w:rsidTr="008C1FCB">
        <w:trPr>
          <w:trHeight w:val="144"/>
        </w:trPr>
        <w:tc>
          <w:tcPr>
            <w:tcW w:w="805" w:type="dxa"/>
            <w:noWrap/>
            <w:vAlign w:val="center"/>
            <w:hideMark/>
          </w:tcPr>
          <w:p w14:paraId="0EEE91D4" w14:textId="77777777" w:rsidR="0010477A" w:rsidRPr="00060E7B" w:rsidRDefault="0010477A" w:rsidP="006908A8">
            <w:pPr>
              <w:spacing w:before="40" w:after="40" w:line="240" w:lineRule="auto"/>
              <w:rPr>
                <w:color w:val="000000"/>
                <w:kern w:val="0"/>
                <w:lang w:eastAsia="zh-CN"/>
                <w14:ligatures w14:val="none"/>
              </w:rPr>
            </w:pPr>
            <w:r w:rsidRPr="00060E7B">
              <w:rPr>
                <w:rFonts w:hint="eastAsia"/>
                <w:color w:val="000000"/>
                <w:kern w:val="0"/>
                <w:lang w:eastAsia="zh-CN"/>
                <w14:ligatures w14:val="none"/>
              </w:rPr>
              <w:t>33</w:t>
            </w:r>
          </w:p>
        </w:tc>
        <w:tc>
          <w:tcPr>
            <w:tcW w:w="4860" w:type="dxa"/>
            <w:noWrap/>
            <w:vAlign w:val="center"/>
            <w:hideMark/>
          </w:tcPr>
          <w:p w14:paraId="715D1A66" w14:textId="27FEBF8E" w:rsidR="0010477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产权组织标准的不断修订。</w:t>
            </w:r>
          </w:p>
        </w:tc>
        <w:tc>
          <w:tcPr>
            <w:tcW w:w="1350" w:type="dxa"/>
            <w:noWrap/>
            <w:vAlign w:val="center"/>
            <w:hideMark/>
          </w:tcPr>
          <w:p w14:paraId="1BCAB797" w14:textId="79B2D2B7" w:rsidR="0010477A" w:rsidRPr="00060E7B" w:rsidRDefault="00F0737F" w:rsidP="006908A8">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非经常</w:t>
            </w:r>
          </w:p>
        </w:tc>
        <w:tc>
          <w:tcPr>
            <w:tcW w:w="1440" w:type="dxa"/>
            <w:noWrap/>
            <w:vAlign w:val="center"/>
            <w:hideMark/>
          </w:tcPr>
          <w:p w14:paraId="4AF1CB23" w14:textId="4BE90D56" w:rsidR="0010477A" w:rsidRPr="00060E7B" w:rsidRDefault="00F0737F" w:rsidP="006908A8">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中</w:t>
            </w:r>
          </w:p>
        </w:tc>
        <w:tc>
          <w:tcPr>
            <w:tcW w:w="896" w:type="dxa"/>
            <w:vAlign w:val="center"/>
          </w:tcPr>
          <w:p w14:paraId="32F6F9B7" w14:textId="06C9E024" w:rsidR="0010477A" w:rsidRPr="00060E7B" w:rsidRDefault="0010477A" w:rsidP="006908A8">
            <w:pPr>
              <w:spacing w:before="40" w:after="40" w:line="240" w:lineRule="auto"/>
              <w:rPr>
                <w:color w:val="000000"/>
                <w:kern w:val="0"/>
                <w:lang w:eastAsia="zh-CN"/>
                <w14:ligatures w14:val="none"/>
              </w:rPr>
            </w:pPr>
          </w:p>
        </w:tc>
      </w:tr>
      <w:tr w:rsidR="00915A8B" w:rsidRPr="00060E7B" w14:paraId="7C844EE5" w14:textId="7716A7FE" w:rsidTr="008C1FCB">
        <w:trPr>
          <w:trHeight w:val="144"/>
        </w:trPr>
        <w:tc>
          <w:tcPr>
            <w:tcW w:w="805" w:type="dxa"/>
            <w:noWrap/>
            <w:vAlign w:val="center"/>
            <w:hideMark/>
          </w:tcPr>
          <w:p w14:paraId="6DC5EDBC" w14:textId="77777777" w:rsidR="0010477A" w:rsidRPr="00060E7B" w:rsidRDefault="0010477A" w:rsidP="006908A8">
            <w:pPr>
              <w:spacing w:before="40" w:after="40" w:line="240" w:lineRule="auto"/>
              <w:rPr>
                <w:color w:val="000000"/>
                <w:kern w:val="0"/>
                <w:lang w:eastAsia="zh-CN"/>
                <w14:ligatures w14:val="none"/>
              </w:rPr>
            </w:pPr>
            <w:r w:rsidRPr="00060E7B">
              <w:rPr>
                <w:rFonts w:hint="eastAsia"/>
                <w:color w:val="000000"/>
                <w:kern w:val="0"/>
                <w:lang w:eastAsia="zh-CN"/>
                <w14:ligatures w14:val="none"/>
              </w:rPr>
              <w:t>33/3</w:t>
            </w:r>
          </w:p>
        </w:tc>
        <w:tc>
          <w:tcPr>
            <w:tcW w:w="4860" w:type="dxa"/>
            <w:noWrap/>
            <w:vAlign w:val="center"/>
            <w:hideMark/>
          </w:tcPr>
          <w:p w14:paraId="5D3E24E7" w14:textId="730763C1" w:rsidR="0010477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产权组织标准</w:t>
            </w:r>
            <w:r w:rsidRPr="00060E7B">
              <w:rPr>
                <w:rFonts w:hint="eastAsia"/>
                <w:color w:val="000000"/>
                <w:kern w:val="0"/>
                <w:lang w:eastAsia="zh-CN"/>
                <w14:ligatures w14:val="none"/>
              </w:rPr>
              <w:t>ST.3</w:t>
            </w:r>
            <w:r w:rsidRPr="00060E7B">
              <w:rPr>
                <w:rFonts w:cs="Microsoft YaHei" w:hint="eastAsia"/>
                <w:color w:val="000000"/>
                <w:kern w:val="0"/>
                <w:lang w:eastAsia="zh-CN"/>
                <w14:ligatures w14:val="none"/>
              </w:rPr>
              <w:t>的不断修订。</w:t>
            </w:r>
          </w:p>
        </w:tc>
        <w:tc>
          <w:tcPr>
            <w:tcW w:w="1350" w:type="dxa"/>
            <w:noWrap/>
            <w:vAlign w:val="center"/>
            <w:hideMark/>
          </w:tcPr>
          <w:p w14:paraId="341AA96E" w14:textId="35E270D7" w:rsidR="0010477A" w:rsidRPr="00060E7B" w:rsidRDefault="00F0737F" w:rsidP="006908A8">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非经常</w:t>
            </w:r>
          </w:p>
        </w:tc>
        <w:tc>
          <w:tcPr>
            <w:tcW w:w="1440" w:type="dxa"/>
            <w:noWrap/>
            <w:vAlign w:val="center"/>
            <w:hideMark/>
          </w:tcPr>
          <w:p w14:paraId="7DE2AFEF" w14:textId="1D651D9D" w:rsidR="0010477A" w:rsidRPr="00060E7B" w:rsidRDefault="00F0737F" w:rsidP="006908A8">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低</w:t>
            </w:r>
          </w:p>
        </w:tc>
        <w:tc>
          <w:tcPr>
            <w:tcW w:w="896" w:type="dxa"/>
            <w:vAlign w:val="center"/>
          </w:tcPr>
          <w:p w14:paraId="3B37BD0D" w14:textId="77777777" w:rsidR="0010477A" w:rsidRPr="00060E7B" w:rsidRDefault="0010477A" w:rsidP="006908A8">
            <w:pPr>
              <w:spacing w:before="40" w:after="40" w:line="240" w:lineRule="auto"/>
              <w:rPr>
                <w:color w:val="000000"/>
                <w:kern w:val="0"/>
                <w:lang w:eastAsia="zh-CN"/>
                <w14:ligatures w14:val="none"/>
              </w:rPr>
            </w:pPr>
          </w:p>
        </w:tc>
      </w:tr>
      <w:tr w:rsidR="00915A8B" w:rsidRPr="00060E7B" w14:paraId="58B19154" w14:textId="0B8BC93F" w:rsidTr="008C1FCB">
        <w:trPr>
          <w:trHeight w:val="144"/>
        </w:trPr>
        <w:tc>
          <w:tcPr>
            <w:tcW w:w="805" w:type="dxa"/>
            <w:noWrap/>
            <w:vAlign w:val="center"/>
            <w:hideMark/>
          </w:tcPr>
          <w:p w14:paraId="7AD396C2" w14:textId="77777777" w:rsidR="0010477A" w:rsidRPr="00060E7B" w:rsidRDefault="0010477A" w:rsidP="006908A8">
            <w:pPr>
              <w:spacing w:before="40" w:after="40" w:line="240" w:lineRule="auto"/>
              <w:rPr>
                <w:color w:val="000000"/>
                <w:kern w:val="0"/>
                <w:lang w:eastAsia="zh-CN"/>
                <w14:ligatures w14:val="none"/>
              </w:rPr>
            </w:pPr>
            <w:r w:rsidRPr="00060E7B">
              <w:rPr>
                <w:rFonts w:hint="eastAsia"/>
                <w:color w:val="000000"/>
                <w:kern w:val="0"/>
                <w:lang w:eastAsia="zh-CN"/>
                <w14:ligatures w14:val="none"/>
              </w:rPr>
              <w:t>41</w:t>
            </w:r>
          </w:p>
        </w:tc>
        <w:tc>
          <w:tcPr>
            <w:tcW w:w="4860" w:type="dxa"/>
            <w:noWrap/>
            <w:vAlign w:val="center"/>
            <w:hideMark/>
          </w:tcPr>
          <w:p w14:paraId="224B7C27" w14:textId="7D8AD3A7" w:rsidR="0010477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确保对产权组织标准</w:t>
            </w:r>
            <w:r w:rsidRPr="00060E7B">
              <w:rPr>
                <w:rFonts w:hint="eastAsia"/>
                <w:color w:val="000000"/>
                <w:kern w:val="0"/>
                <w:lang w:eastAsia="zh-CN"/>
                <w14:ligatures w14:val="none"/>
              </w:rPr>
              <w:t>ST.36</w:t>
            </w:r>
            <w:r w:rsidRPr="00060E7B">
              <w:rPr>
                <w:rFonts w:cs="Microsoft YaHei" w:hint="eastAsia"/>
                <w:color w:val="000000"/>
                <w:kern w:val="0"/>
                <w:lang w:eastAsia="zh-CN"/>
                <w14:ligatures w14:val="none"/>
              </w:rPr>
              <w:t>、</w:t>
            </w:r>
            <w:r w:rsidRPr="00060E7B">
              <w:rPr>
                <w:rFonts w:hint="eastAsia"/>
                <w:color w:val="000000"/>
                <w:kern w:val="0"/>
                <w:lang w:eastAsia="zh-CN"/>
                <w14:ligatures w14:val="none"/>
              </w:rPr>
              <w:t>ST.66</w:t>
            </w:r>
            <w:r w:rsidRPr="00060E7B">
              <w:rPr>
                <w:rFonts w:cs="Microsoft YaHei" w:hint="eastAsia"/>
                <w:color w:val="000000"/>
                <w:kern w:val="0"/>
                <w:lang w:eastAsia="zh-CN"/>
                <w14:ligatures w14:val="none"/>
              </w:rPr>
              <w:t>、</w:t>
            </w:r>
            <w:r w:rsidRPr="00060E7B">
              <w:rPr>
                <w:rFonts w:hint="eastAsia"/>
                <w:color w:val="000000"/>
                <w:kern w:val="0"/>
                <w:lang w:eastAsia="zh-CN"/>
                <w14:ligatures w14:val="none"/>
              </w:rPr>
              <w:t>ST.86</w:t>
            </w:r>
            <w:r w:rsidRPr="00060E7B">
              <w:rPr>
                <w:rFonts w:cs="Microsoft YaHei" w:hint="eastAsia"/>
                <w:color w:val="000000"/>
                <w:kern w:val="0"/>
                <w:lang w:eastAsia="zh-CN"/>
                <w14:ligatures w14:val="none"/>
              </w:rPr>
              <w:t>和</w:t>
            </w:r>
            <w:r w:rsidRPr="00060E7B">
              <w:rPr>
                <w:rFonts w:hint="eastAsia"/>
                <w:color w:val="000000"/>
                <w:kern w:val="0"/>
                <w:lang w:eastAsia="zh-CN"/>
                <w14:ligatures w14:val="none"/>
              </w:rPr>
              <w:t>ST.96</w:t>
            </w:r>
            <w:r w:rsidRPr="00060E7B">
              <w:rPr>
                <w:rFonts w:cs="Microsoft YaHei" w:hint="eastAsia"/>
                <w:color w:val="000000"/>
                <w:kern w:val="0"/>
                <w:lang w:eastAsia="zh-CN"/>
                <w14:ligatures w14:val="none"/>
              </w:rPr>
              <w:t>进行必要的修订和更新；并支持这些标准的实施。</w:t>
            </w:r>
          </w:p>
        </w:tc>
        <w:tc>
          <w:tcPr>
            <w:tcW w:w="1350" w:type="dxa"/>
            <w:noWrap/>
            <w:vAlign w:val="center"/>
            <w:hideMark/>
          </w:tcPr>
          <w:p w14:paraId="44E69865" w14:textId="4EBB603C" w:rsidR="0010477A" w:rsidRPr="00060E7B" w:rsidRDefault="00F0737F" w:rsidP="006908A8">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非常活跃</w:t>
            </w:r>
          </w:p>
        </w:tc>
        <w:tc>
          <w:tcPr>
            <w:tcW w:w="1440" w:type="dxa"/>
            <w:noWrap/>
            <w:vAlign w:val="center"/>
            <w:hideMark/>
          </w:tcPr>
          <w:p w14:paraId="5D712552" w14:textId="4D60001B" w:rsidR="0010477A" w:rsidRPr="00060E7B" w:rsidRDefault="00F0737F" w:rsidP="006908A8">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高</w:t>
            </w:r>
          </w:p>
        </w:tc>
        <w:tc>
          <w:tcPr>
            <w:tcW w:w="896" w:type="dxa"/>
            <w:vAlign w:val="center"/>
          </w:tcPr>
          <w:p w14:paraId="0CB41E0D" w14:textId="6E6C1BFD" w:rsidR="0010477A" w:rsidRPr="00060E7B" w:rsidRDefault="00F0737F" w:rsidP="006908A8">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重要</w:t>
            </w:r>
          </w:p>
        </w:tc>
      </w:tr>
      <w:tr w:rsidR="00915A8B" w:rsidRPr="00060E7B" w14:paraId="0D20C6B6" w14:textId="77777777" w:rsidTr="008C1FCB">
        <w:trPr>
          <w:trHeight w:val="144"/>
        </w:trPr>
        <w:tc>
          <w:tcPr>
            <w:tcW w:w="805" w:type="dxa"/>
            <w:noWrap/>
            <w:vAlign w:val="center"/>
          </w:tcPr>
          <w:p w14:paraId="53972DEE" w14:textId="51DB0F19" w:rsidR="00994AC0" w:rsidRPr="00060E7B" w:rsidRDefault="00994AC0" w:rsidP="006908A8">
            <w:pPr>
              <w:spacing w:before="40" w:after="40" w:line="240" w:lineRule="auto"/>
              <w:rPr>
                <w:color w:val="000000"/>
                <w:kern w:val="0"/>
                <w:lang w:eastAsia="zh-CN"/>
                <w14:ligatures w14:val="none"/>
              </w:rPr>
            </w:pPr>
            <w:r w:rsidRPr="00060E7B">
              <w:rPr>
                <w:rFonts w:hint="eastAsia"/>
                <w:color w:val="000000"/>
                <w:kern w:val="0"/>
                <w:lang w:eastAsia="zh-CN"/>
                <w14:ligatures w14:val="none"/>
              </w:rPr>
              <w:t>43</w:t>
            </w:r>
          </w:p>
        </w:tc>
        <w:tc>
          <w:tcPr>
            <w:tcW w:w="4860" w:type="dxa"/>
            <w:noWrap/>
            <w:vAlign w:val="center"/>
          </w:tcPr>
          <w:p w14:paraId="69C9E803" w14:textId="51E6A747" w:rsidR="00994AC0"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制定有关段落编号、长段落和专利文献一致化处理的准则，供各工业产权局执行。</w:t>
            </w:r>
          </w:p>
        </w:tc>
        <w:tc>
          <w:tcPr>
            <w:tcW w:w="1350" w:type="dxa"/>
            <w:noWrap/>
            <w:vAlign w:val="center"/>
          </w:tcPr>
          <w:p w14:paraId="01D6BD9E" w14:textId="38AE2294" w:rsidR="00994AC0" w:rsidRPr="00060E7B" w:rsidRDefault="00F0737F" w:rsidP="006908A8">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搁置</w:t>
            </w:r>
          </w:p>
        </w:tc>
        <w:tc>
          <w:tcPr>
            <w:tcW w:w="1440" w:type="dxa"/>
            <w:noWrap/>
            <w:vAlign w:val="center"/>
          </w:tcPr>
          <w:p w14:paraId="263519E9" w14:textId="1C1A52E3" w:rsidR="00994AC0" w:rsidRPr="00060E7B" w:rsidRDefault="00F0737F" w:rsidP="006908A8">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不适用</w:t>
            </w:r>
          </w:p>
        </w:tc>
        <w:tc>
          <w:tcPr>
            <w:tcW w:w="896" w:type="dxa"/>
            <w:vAlign w:val="center"/>
          </w:tcPr>
          <w:p w14:paraId="5E2FCC5F" w14:textId="77777777" w:rsidR="00994AC0" w:rsidRPr="00060E7B" w:rsidRDefault="00994AC0" w:rsidP="006908A8">
            <w:pPr>
              <w:spacing w:before="40" w:after="40" w:line="240" w:lineRule="auto"/>
              <w:rPr>
                <w:color w:val="000000"/>
                <w:kern w:val="0"/>
                <w:lang w:eastAsia="zh-CN"/>
                <w14:ligatures w14:val="none"/>
              </w:rPr>
            </w:pPr>
          </w:p>
        </w:tc>
      </w:tr>
      <w:tr w:rsidR="00915A8B" w:rsidRPr="00060E7B" w14:paraId="6752C799" w14:textId="57A663F3" w:rsidTr="008C1FCB">
        <w:trPr>
          <w:trHeight w:val="144"/>
        </w:trPr>
        <w:tc>
          <w:tcPr>
            <w:tcW w:w="805" w:type="dxa"/>
            <w:noWrap/>
            <w:vAlign w:val="center"/>
            <w:hideMark/>
          </w:tcPr>
          <w:p w14:paraId="7A01552B" w14:textId="77777777" w:rsidR="0010477A" w:rsidRPr="00060E7B" w:rsidRDefault="0010477A" w:rsidP="006908A8">
            <w:pPr>
              <w:spacing w:before="40" w:after="40" w:line="240" w:lineRule="auto"/>
              <w:rPr>
                <w:color w:val="000000"/>
                <w:kern w:val="0"/>
                <w:lang w:eastAsia="zh-CN"/>
                <w14:ligatures w14:val="none"/>
              </w:rPr>
            </w:pPr>
            <w:r w:rsidRPr="00060E7B">
              <w:rPr>
                <w:rFonts w:hint="eastAsia"/>
                <w:color w:val="000000"/>
                <w:kern w:val="0"/>
                <w:lang w:eastAsia="zh-CN"/>
                <w14:ligatures w14:val="none"/>
              </w:rPr>
              <w:t>44</w:t>
            </w:r>
          </w:p>
        </w:tc>
        <w:tc>
          <w:tcPr>
            <w:tcW w:w="4860" w:type="dxa"/>
            <w:noWrap/>
            <w:vAlign w:val="center"/>
            <w:hideMark/>
          </w:tcPr>
          <w:p w14:paraId="202D5500" w14:textId="18AC2124" w:rsidR="0010477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基于可用资源为国际局提供支持，测试新版本和提供用户对</w:t>
            </w:r>
            <w:r w:rsidRPr="00060E7B">
              <w:rPr>
                <w:rFonts w:hint="eastAsia"/>
                <w:color w:val="000000"/>
                <w:kern w:val="0"/>
                <w:lang w:eastAsia="zh-CN"/>
                <w14:ligatures w14:val="none"/>
              </w:rPr>
              <w:t>WIPO Sequence</w:t>
            </w:r>
            <w:r w:rsidRPr="00060E7B">
              <w:rPr>
                <w:rFonts w:cs="Microsoft YaHei" w:hint="eastAsia"/>
                <w:color w:val="000000"/>
                <w:kern w:val="0"/>
                <w:lang w:eastAsia="zh-CN"/>
                <w14:ligatures w14:val="none"/>
              </w:rPr>
              <w:t>套件的反馈意见；为产权组织标准</w:t>
            </w:r>
            <w:r w:rsidRPr="00060E7B">
              <w:rPr>
                <w:rFonts w:hint="eastAsia"/>
                <w:color w:val="000000"/>
                <w:kern w:val="0"/>
                <w:lang w:eastAsia="zh-CN"/>
                <w14:ligatures w14:val="none"/>
              </w:rPr>
              <w:t>ST.26</w:t>
            </w:r>
            <w:r w:rsidRPr="00060E7B">
              <w:rPr>
                <w:rFonts w:cs="Microsoft YaHei" w:hint="eastAsia"/>
                <w:color w:val="000000"/>
                <w:kern w:val="0"/>
                <w:lang w:eastAsia="zh-CN"/>
                <w14:ligatures w14:val="none"/>
              </w:rPr>
              <w:t>编写必要的修订。</w:t>
            </w:r>
          </w:p>
        </w:tc>
        <w:tc>
          <w:tcPr>
            <w:tcW w:w="1350" w:type="dxa"/>
            <w:noWrap/>
            <w:vAlign w:val="center"/>
            <w:hideMark/>
          </w:tcPr>
          <w:p w14:paraId="06229694" w14:textId="0567B47E" w:rsidR="0010477A" w:rsidRPr="00060E7B" w:rsidRDefault="00F0737F" w:rsidP="006908A8">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非常活跃</w:t>
            </w:r>
          </w:p>
        </w:tc>
        <w:tc>
          <w:tcPr>
            <w:tcW w:w="1440" w:type="dxa"/>
            <w:noWrap/>
            <w:vAlign w:val="center"/>
            <w:hideMark/>
          </w:tcPr>
          <w:p w14:paraId="77F75A5E" w14:textId="49A17B1D" w:rsidR="0010477A" w:rsidRPr="00060E7B" w:rsidRDefault="00F0737F" w:rsidP="006908A8">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高</w:t>
            </w:r>
          </w:p>
        </w:tc>
        <w:tc>
          <w:tcPr>
            <w:tcW w:w="896" w:type="dxa"/>
            <w:vAlign w:val="center"/>
          </w:tcPr>
          <w:p w14:paraId="255535B9" w14:textId="128A5F48" w:rsidR="0010477A" w:rsidRPr="00060E7B" w:rsidRDefault="00F0737F" w:rsidP="006908A8">
            <w:pPr>
              <w:spacing w:before="40" w:after="40" w:line="240" w:lineRule="auto"/>
              <w:rPr>
                <w:color w:val="000000"/>
                <w:kern w:val="0"/>
                <w:lang w:eastAsia="zh-CN"/>
                <w14:ligatures w14:val="none"/>
              </w:rPr>
            </w:pPr>
            <w:r w:rsidRPr="00060E7B">
              <w:rPr>
                <w:rFonts w:hint="eastAsia"/>
                <w:lang w:eastAsia="zh-CN"/>
              </w:rPr>
              <w:t>基本</w:t>
            </w:r>
          </w:p>
        </w:tc>
      </w:tr>
      <w:tr w:rsidR="0037258A" w:rsidRPr="00060E7B" w14:paraId="09EFD9A3" w14:textId="5B4A4496" w:rsidTr="008C1FCB">
        <w:trPr>
          <w:trHeight w:val="144"/>
        </w:trPr>
        <w:tc>
          <w:tcPr>
            <w:tcW w:w="805" w:type="dxa"/>
            <w:noWrap/>
            <w:vAlign w:val="center"/>
            <w:hideMark/>
          </w:tcPr>
          <w:p w14:paraId="6DC037BC" w14:textId="4E01BBF6" w:rsidR="0037258A" w:rsidRPr="00060E7B" w:rsidRDefault="0037258A" w:rsidP="0037258A">
            <w:pPr>
              <w:spacing w:before="40" w:after="40" w:line="240" w:lineRule="auto"/>
              <w:rPr>
                <w:color w:val="000000"/>
                <w:kern w:val="0"/>
                <w:lang w:eastAsia="zh-CN"/>
                <w14:ligatures w14:val="none"/>
              </w:rPr>
            </w:pPr>
            <w:r w:rsidRPr="00060E7B">
              <w:rPr>
                <w:rFonts w:hint="eastAsia"/>
                <w:color w:val="000000"/>
                <w:kern w:val="0"/>
                <w:lang w:eastAsia="zh-CN"/>
                <w14:ligatures w14:val="none"/>
              </w:rPr>
              <w:t>47</w:t>
            </w:r>
          </w:p>
        </w:tc>
        <w:tc>
          <w:tcPr>
            <w:tcW w:w="4860" w:type="dxa"/>
            <w:noWrap/>
            <w:vAlign w:val="center"/>
            <w:hideMark/>
          </w:tcPr>
          <w:p w14:paraId="02270A82" w14:textId="1E802D75" w:rsidR="0037258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确保对产权组织标准</w:t>
            </w:r>
            <w:r w:rsidRPr="00060E7B">
              <w:rPr>
                <w:rFonts w:hint="eastAsia"/>
                <w:color w:val="000000"/>
                <w:kern w:val="0"/>
                <w:lang w:eastAsia="zh-CN"/>
                <w14:ligatures w14:val="none"/>
              </w:rPr>
              <w:t>ST.27</w:t>
            </w:r>
            <w:r w:rsidRPr="00060E7B">
              <w:rPr>
                <w:rFonts w:cs="Microsoft YaHei" w:hint="eastAsia"/>
                <w:color w:val="000000"/>
                <w:kern w:val="0"/>
                <w:lang w:eastAsia="zh-CN"/>
                <w14:ligatures w14:val="none"/>
              </w:rPr>
              <w:t>、</w:t>
            </w:r>
            <w:r w:rsidRPr="00060E7B">
              <w:rPr>
                <w:rFonts w:hint="eastAsia"/>
                <w:color w:val="000000"/>
                <w:kern w:val="0"/>
                <w:lang w:eastAsia="zh-CN"/>
                <w14:ligatures w14:val="none"/>
              </w:rPr>
              <w:t>ST.87</w:t>
            </w:r>
            <w:r w:rsidRPr="00060E7B">
              <w:rPr>
                <w:rFonts w:cs="Microsoft YaHei" w:hint="eastAsia"/>
                <w:color w:val="000000"/>
                <w:kern w:val="0"/>
                <w:lang w:eastAsia="zh-CN"/>
                <w14:ligatures w14:val="none"/>
              </w:rPr>
              <w:t>和</w:t>
            </w:r>
            <w:r w:rsidRPr="00060E7B">
              <w:rPr>
                <w:rFonts w:hint="eastAsia"/>
                <w:color w:val="000000"/>
                <w:kern w:val="0"/>
                <w:lang w:eastAsia="zh-CN"/>
                <w14:ligatures w14:val="none"/>
              </w:rPr>
              <w:t>ST.61</w:t>
            </w:r>
            <w:r w:rsidRPr="00060E7B">
              <w:rPr>
                <w:rFonts w:cs="Microsoft YaHei" w:hint="eastAsia"/>
                <w:color w:val="000000"/>
                <w:kern w:val="0"/>
                <w:lang w:eastAsia="zh-CN"/>
                <w14:ligatures w14:val="none"/>
              </w:rPr>
              <w:t>进行必要的修订和更新；编写支持材料以协助这些标准在工业产权界的使用；并支持</w:t>
            </w:r>
            <w:r w:rsidRPr="00060E7B">
              <w:rPr>
                <w:rFonts w:hint="eastAsia"/>
                <w:color w:val="000000"/>
                <w:kern w:val="0"/>
                <w:lang w:eastAsia="zh-CN"/>
                <w14:ligatures w14:val="none"/>
              </w:rPr>
              <w:t>XML4IP</w:t>
            </w:r>
            <w:r w:rsidRPr="00060E7B">
              <w:rPr>
                <w:rFonts w:cs="Microsoft YaHei" w:hint="eastAsia"/>
                <w:color w:val="000000"/>
                <w:kern w:val="0"/>
                <w:lang w:eastAsia="zh-CN"/>
                <w14:ligatures w14:val="none"/>
              </w:rPr>
              <w:t>工作队开发用于法律状态事件数据的</w:t>
            </w:r>
            <w:r w:rsidRPr="00060E7B">
              <w:rPr>
                <w:rFonts w:hint="eastAsia"/>
                <w:color w:val="000000"/>
                <w:kern w:val="0"/>
                <w:lang w:eastAsia="zh-CN"/>
                <w14:ligatures w14:val="none"/>
              </w:rPr>
              <w:t>XML</w:t>
            </w:r>
            <w:r w:rsidRPr="00060E7B">
              <w:rPr>
                <w:rFonts w:cs="Microsoft YaHei" w:hint="eastAsia"/>
                <w:color w:val="000000"/>
                <w:kern w:val="0"/>
                <w:lang w:eastAsia="zh-CN"/>
                <w14:ligatures w14:val="none"/>
              </w:rPr>
              <w:t>组件。</w:t>
            </w:r>
          </w:p>
        </w:tc>
        <w:tc>
          <w:tcPr>
            <w:tcW w:w="1350" w:type="dxa"/>
            <w:noWrap/>
            <w:vAlign w:val="center"/>
            <w:hideMark/>
          </w:tcPr>
          <w:p w14:paraId="2ECABD39" w14:textId="633B7C77"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活跃</w:t>
            </w:r>
          </w:p>
        </w:tc>
        <w:tc>
          <w:tcPr>
            <w:tcW w:w="1440" w:type="dxa"/>
            <w:noWrap/>
            <w:vAlign w:val="center"/>
            <w:hideMark/>
          </w:tcPr>
          <w:p w14:paraId="32C9FCB1" w14:textId="23677A25"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中</w:t>
            </w:r>
          </w:p>
        </w:tc>
        <w:tc>
          <w:tcPr>
            <w:tcW w:w="896" w:type="dxa"/>
            <w:vAlign w:val="center"/>
          </w:tcPr>
          <w:p w14:paraId="4B36119F" w14:textId="30AF7B38"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重要</w:t>
            </w:r>
          </w:p>
        </w:tc>
      </w:tr>
      <w:tr w:rsidR="0037258A" w:rsidRPr="00060E7B" w14:paraId="0BB17472" w14:textId="77C3A67A" w:rsidTr="008C1FCB">
        <w:trPr>
          <w:trHeight w:val="144"/>
        </w:trPr>
        <w:tc>
          <w:tcPr>
            <w:tcW w:w="805" w:type="dxa"/>
            <w:noWrap/>
            <w:vAlign w:val="center"/>
            <w:hideMark/>
          </w:tcPr>
          <w:p w14:paraId="517CF2B1" w14:textId="77777777" w:rsidR="0037258A" w:rsidRPr="00060E7B" w:rsidRDefault="0037258A" w:rsidP="0037258A">
            <w:pPr>
              <w:spacing w:before="40" w:after="40" w:line="240" w:lineRule="auto"/>
              <w:rPr>
                <w:color w:val="000000"/>
                <w:kern w:val="0"/>
                <w:lang w:eastAsia="zh-CN"/>
                <w14:ligatures w14:val="none"/>
              </w:rPr>
            </w:pPr>
            <w:r w:rsidRPr="00060E7B">
              <w:rPr>
                <w:rFonts w:hint="eastAsia"/>
                <w:color w:val="000000"/>
                <w:kern w:val="0"/>
                <w:lang w:eastAsia="zh-CN"/>
                <w14:ligatures w14:val="none"/>
              </w:rPr>
              <w:t>50</w:t>
            </w:r>
          </w:p>
        </w:tc>
        <w:tc>
          <w:tcPr>
            <w:tcW w:w="4860" w:type="dxa"/>
            <w:noWrap/>
            <w:vAlign w:val="center"/>
            <w:hideMark/>
          </w:tcPr>
          <w:p w14:paraId="41775E25" w14:textId="365CB101" w:rsidR="0037258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确保对《产权组织知识产权信息与文献手册》第七部分公布的调查进行必要的维护和更新。</w:t>
            </w:r>
          </w:p>
        </w:tc>
        <w:tc>
          <w:tcPr>
            <w:tcW w:w="1350" w:type="dxa"/>
            <w:noWrap/>
            <w:vAlign w:val="center"/>
            <w:hideMark/>
          </w:tcPr>
          <w:p w14:paraId="1B639639" w14:textId="5EB9AD51"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活跃</w:t>
            </w:r>
          </w:p>
        </w:tc>
        <w:tc>
          <w:tcPr>
            <w:tcW w:w="1440" w:type="dxa"/>
            <w:noWrap/>
            <w:vAlign w:val="center"/>
            <w:hideMark/>
          </w:tcPr>
          <w:p w14:paraId="5686C7F2" w14:textId="5FCDBC97"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中</w:t>
            </w:r>
          </w:p>
        </w:tc>
        <w:tc>
          <w:tcPr>
            <w:tcW w:w="896" w:type="dxa"/>
            <w:vAlign w:val="center"/>
          </w:tcPr>
          <w:p w14:paraId="27D680B8" w14:textId="21FB3F43"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重要</w:t>
            </w:r>
          </w:p>
        </w:tc>
      </w:tr>
      <w:tr w:rsidR="0037258A" w:rsidRPr="00060E7B" w14:paraId="4C067116" w14:textId="5BA9B15C" w:rsidTr="008C1FCB">
        <w:trPr>
          <w:trHeight w:val="144"/>
        </w:trPr>
        <w:tc>
          <w:tcPr>
            <w:tcW w:w="805" w:type="dxa"/>
            <w:noWrap/>
            <w:vAlign w:val="center"/>
            <w:hideMark/>
          </w:tcPr>
          <w:p w14:paraId="31CCF19D" w14:textId="77777777" w:rsidR="0037258A" w:rsidRPr="00060E7B" w:rsidRDefault="0037258A" w:rsidP="0037258A">
            <w:pPr>
              <w:spacing w:before="40" w:after="40" w:line="240" w:lineRule="auto"/>
              <w:rPr>
                <w:color w:val="000000"/>
                <w:kern w:val="0"/>
                <w:lang w:eastAsia="zh-CN"/>
                <w14:ligatures w14:val="none"/>
              </w:rPr>
            </w:pPr>
            <w:r w:rsidRPr="00060E7B">
              <w:rPr>
                <w:rFonts w:hint="eastAsia"/>
                <w:color w:val="000000"/>
                <w:kern w:val="0"/>
                <w:lang w:eastAsia="zh-CN"/>
                <w14:ligatures w14:val="none"/>
              </w:rPr>
              <w:t>52</w:t>
            </w:r>
          </w:p>
        </w:tc>
        <w:tc>
          <w:tcPr>
            <w:tcW w:w="4860" w:type="dxa"/>
            <w:noWrap/>
            <w:vAlign w:val="center"/>
            <w:hideMark/>
          </w:tcPr>
          <w:p w14:paraId="1E5DD05B" w14:textId="1CFF427D" w:rsidR="0037258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为更新《产权组织手册》第</w:t>
            </w:r>
            <w:r w:rsidRPr="00060E7B">
              <w:rPr>
                <w:rFonts w:hint="eastAsia"/>
                <w:color w:val="000000"/>
                <w:kern w:val="0"/>
                <w:lang w:eastAsia="zh-CN"/>
                <w14:ligatures w14:val="none"/>
              </w:rPr>
              <w:t>6.1</w:t>
            </w:r>
            <w:r w:rsidRPr="00060E7B">
              <w:rPr>
                <w:rFonts w:cs="Microsoft YaHei" w:hint="eastAsia"/>
                <w:color w:val="000000"/>
                <w:kern w:val="0"/>
                <w:lang w:eastAsia="zh-CN"/>
                <w14:ligatures w14:val="none"/>
              </w:rPr>
              <w:t>部分</w:t>
            </w:r>
            <w:r w:rsidRPr="00060E7B">
              <w:rPr>
                <w:rFonts w:hint="eastAsia"/>
                <w:color w:val="000000"/>
                <w:kern w:val="0"/>
                <w:lang w:eastAsia="zh-CN"/>
                <w14:ligatures w14:val="none"/>
              </w:rPr>
              <w:t>“</w:t>
            </w:r>
            <w:r w:rsidRPr="00060E7B">
              <w:rPr>
                <w:rFonts w:cs="Microsoft YaHei" w:hint="eastAsia"/>
                <w:color w:val="000000"/>
                <w:kern w:val="0"/>
                <w:lang w:eastAsia="zh-CN"/>
                <w14:ligatures w14:val="none"/>
              </w:rPr>
              <w:t>知识产权局网站最低限度内容的建议</w:t>
            </w:r>
            <w:r w:rsidRPr="00060E7B">
              <w:rPr>
                <w:rFonts w:hint="eastAsia"/>
                <w:color w:val="000000"/>
                <w:kern w:val="0"/>
                <w:lang w:eastAsia="zh-CN"/>
                <w14:ligatures w14:val="none"/>
              </w:rPr>
              <w:t>”</w:t>
            </w:r>
            <w:r w:rsidRPr="00060E7B">
              <w:rPr>
                <w:rFonts w:cs="Microsoft YaHei" w:hint="eastAsia"/>
                <w:color w:val="000000"/>
                <w:kern w:val="0"/>
                <w:lang w:eastAsia="zh-CN"/>
                <w14:ligatures w14:val="none"/>
              </w:rPr>
              <w:t>编写一份提案。</w:t>
            </w:r>
          </w:p>
        </w:tc>
        <w:tc>
          <w:tcPr>
            <w:tcW w:w="1350" w:type="dxa"/>
            <w:noWrap/>
            <w:vAlign w:val="center"/>
            <w:hideMark/>
          </w:tcPr>
          <w:p w14:paraId="100EEF01" w14:textId="3739CAF5"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非经常</w:t>
            </w:r>
          </w:p>
        </w:tc>
        <w:tc>
          <w:tcPr>
            <w:tcW w:w="1440" w:type="dxa"/>
            <w:noWrap/>
            <w:vAlign w:val="center"/>
            <w:hideMark/>
          </w:tcPr>
          <w:p w14:paraId="27F3B8D4" w14:textId="124A03CB"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低</w:t>
            </w:r>
          </w:p>
        </w:tc>
        <w:tc>
          <w:tcPr>
            <w:tcW w:w="896" w:type="dxa"/>
            <w:vAlign w:val="center"/>
          </w:tcPr>
          <w:p w14:paraId="18060B76" w14:textId="77777777" w:rsidR="0037258A" w:rsidRPr="00060E7B" w:rsidRDefault="0037258A" w:rsidP="0037258A">
            <w:pPr>
              <w:spacing w:before="40" w:after="40" w:line="240" w:lineRule="auto"/>
              <w:rPr>
                <w:color w:val="000000"/>
                <w:kern w:val="0"/>
                <w:lang w:eastAsia="zh-CN"/>
                <w14:ligatures w14:val="none"/>
              </w:rPr>
            </w:pPr>
          </w:p>
        </w:tc>
      </w:tr>
      <w:tr w:rsidR="0037258A" w:rsidRPr="00060E7B" w14:paraId="1BB8B1F5" w14:textId="4A6DFE83" w:rsidTr="008C1FCB">
        <w:trPr>
          <w:trHeight w:val="144"/>
        </w:trPr>
        <w:tc>
          <w:tcPr>
            <w:tcW w:w="805" w:type="dxa"/>
            <w:noWrap/>
            <w:vAlign w:val="center"/>
            <w:hideMark/>
          </w:tcPr>
          <w:p w14:paraId="2E2D2B31" w14:textId="664F48BB" w:rsidR="0037258A" w:rsidRPr="00060E7B" w:rsidRDefault="00E633DB" w:rsidP="0037258A">
            <w:pPr>
              <w:spacing w:before="40" w:after="40" w:line="240" w:lineRule="auto"/>
              <w:rPr>
                <w:color w:val="000000"/>
                <w:kern w:val="0"/>
                <w:lang w:eastAsia="zh-CN"/>
                <w14:ligatures w14:val="none"/>
              </w:rPr>
            </w:pPr>
            <w:r>
              <w:rPr>
                <w:color w:val="000000"/>
                <w:kern w:val="0"/>
                <w:lang w:eastAsia="zh-CN"/>
                <w14:ligatures w14:val="none"/>
              </w:rPr>
              <w:lastRenderedPageBreak/>
              <w:tab/>
            </w:r>
            <w:r>
              <w:rPr>
                <w:color w:val="000000"/>
                <w:kern w:val="0"/>
                <w:lang w:eastAsia="zh-CN"/>
                <w14:ligatures w14:val="none"/>
              </w:rPr>
              <w:tab/>
            </w:r>
            <w:r w:rsidR="0037258A" w:rsidRPr="00060E7B">
              <w:rPr>
                <w:rFonts w:hint="eastAsia"/>
                <w:color w:val="000000"/>
                <w:kern w:val="0"/>
                <w:lang w:eastAsia="zh-CN"/>
                <w14:ligatures w14:val="none"/>
              </w:rPr>
              <w:t>55</w:t>
            </w:r>
          </w:p>
        </w:tc>
        <w:tc>
          <w:tcPr>
            <w:tcW w:w="4860" w:type="dxa"/>
            <w:noWrap/>
            <w:vAlign w:val="center"/>
            <w:hideMark/>
          </w:tcPr>
          <w:p w14:paraId="15DEB43F" w14:textId="07A6880F" w:rsidR="0037258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就旨在实现知识产权文献中名称标准化的未来行动编写提案，以期制定一项产权组织标准，帮助知识产权局更好地从源头确保名称的质量。</w:t>
            </w:r>
          </w:p>
        </w:tc>
        <w:tc>
          <w:tcPr>
            <w:tcW w:w="1350" w:type="dxa"/>
            <w:noWrap/>
            <w:vAlign w:val="center"/>
            <w:hideMark/>
          </w:tcPr>
          <w:p w14:paraId="1BB58644" w14:textId="7204C465" w:rsidR="0037258A" w:rsidRPr="00060E7B" w:rsidRDefault="002E29BD" w:rsidP="0037258A">
            <w:pPr>
              <w:spacing w:before="40" w:after="40" w:line="240" w:lineRule="auto"/>
              <w:rPr>
                <w:color w:val="000000"/>
                <w:kern w:val="0"/>
                <w:lang w:eastAsia="zh-CN"/>
                <w14:ligatures w14:val="none"/>
              </w:rPr>
            </w:pPr>
            <w:r>
              <w:rPr>
                <w:rFonts w:cs="Microsoft YaHei" w:hint="eastAsia"/>
                <w:color w:val="000000"/>
                <w:kern w:val="0"/>
                <w:lang w:eastAsia="zh-CN"/>
                <w14:ligatures w14:val="none"/>
              </w:rPr>
              <w:t>偶尔</w:t>
            </w:r>
          </w:p>
        </w:tc>
        <w:tc>
          <w:tcPr>
            <w:tcW w:w="1440" w:type="dxa"/>
            <w:noWrap/>
            <w:vAlign w:val="center"/>
            <w:hideMark/>
          </w:tcPr>
          <w:p w14:paraId="1DECAD15" w14:textId="1D8694CD"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中</w:t>
            </w:r>
          </w:p>
        </w:tc>
        <w:tc>
          <w:tcPr>
            <w:tcW w:w="896" w:type="dxa"/>
            <w:vAlign w:val="center"/>
          </w:tcPr>
          <w:p w14:paraId="78C9CD57" w14:textId="4D258538" w:rsidR="0037258A" w:rsidRPr="00060E7B" w:rsidRDefault="0037258A" w:rsidP="0037258A">
            <w:pPr>
              <w:spacing w:before="40" w:after="40" w:line="240" w:lineRule="auto"/>
              <w:rPr>
                <w:color w:val="000000"/>
                <w:kern w:val="0"/>
                <w:lang w:eastAsia="zh-CN"/>
                <w14:ligatures w14:val="none"/>
              </w:rPr>
            </w:pPr>
          </w:p>
        </w:tc>
      </w:tr>
      <w:tr w:rsidR="0037258A" w:rsidRPr="00060E7B" w14:paraId="02B23D32" w14:textId="734EA2EE" w:rsidTr="008C1FCB">
        <w:trPr>
          <w:trHeight w:val="144"/>
        </w:trPr>
        <w:tc>
          <w:tcPr>
            <w:tcW w:w="805" w:type="dxa"/>
            <w:noWrap/>
            <w:vAlign w:val="center"/>
            <w:hideMark/>
          </w:tcPr>
          <w:p w14:paraId="178FC7BE" w14:textId="77777777" w:rsidR="0037258A" w:rsidRPr="00060E7B" w:rsidRDefault="0037258A" w:rsidP="0037258A">
            <w:pPr>
              <w:spacing w:before="40" w:after="40" w:line="240" w:lineRule="auto"/>
              <w:rPr>
                <w:color w:val="000000"/>
                <w:kern w:val="0"/>
                <w:lang w:eastAsia="zh-CN"/>
                <w14:ligatures w14:val="none"/>
              </w:rPr>
            </w:pPr>
            <w:r w:rsidRPr="00060E7B">
              <w:rPr>
                <w:rFonts w:hint="eastAsia"/>
                <w:color w:val="000000"/>
                <w:kern w:val="0"/>
                <w:lang w:eastAsia="zh-CN"/>
                <w14:ligatures w14:val="none"/>
              </w:rPr>
              <w:t>56</w:t>
            </w:r>
          </w:p>
        </w:tc>
        <w:tc>
          <w:tcPr>
            <w:tcW w:w="4860" w:type="dxa"/>
            <w:noWrap/>
            <w:vAlign w:val="center"/>
            <w:hideMark/>
          </w:tcPr>
          <w:p w14:paraId="01EE7F4C" w14:textId="1ABE6857" w:rsidR="0037258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确保对产权组织标准</w:t>
            </w:r>
            <w:r w:rsidRPr="00060E7B">
              <w:rPr>
                <w:rFonts w:hint="eastAsia"/>
                <w:color w:val="000000"/>
                <w:kern w:val="0"/>
                <w:lang w:eastAsia="zh-CN"/>
                <w14:ligatures w14:val="none"/>
              </w:rPr>
              <w:t>ST.90</w:t>
            </w:r>
            <w:r w:rsidRPr="00060E7B">
              <w:rPr>
                <w:rFonts w:cs="Microsoft YaHei" w:hint="eastAsia"/>
                <w:color w:val="000000"/>
                <w:kern w:val="0"/>
                <w:lang w:eastAsia="zh-CN"/>
                <w14:ligatures w14:val="none"/>
              </w:rPr>
              <w:t>进行必要的修订和更新；支持国际局推广和实施产权组织标准</w:t>
            </w:r>
            <w:r w:rsidRPr="00060E7B">
              <w:rPr>
                <w:rFonts w:hint="eastAsia"/>
                <w:color w:val="000000"/>
                <w:kern w:val="0"/>
                <w:lang w:eastAsia="zh-CN"/>
                <w14:ligatures w14:val="none"/>
              </w:rPr>
              <w:t>ST.90</w:t>
            </w:r>
            <w:r w:rsidRPr="00060E7B">
              <w:rPr>
                <w:rFonts w:cs="Microsoft YaHei" w:hint="eastAsia"/>
                <w:color w:val="000000"/>
                <w:kern w:val="0"/>
                <w:lang w:eastAsia="zh-CN"/>
                <w14:ligatures w14:val="none"/>
              </w:rPr>
              <w:t>；推广知识产权用</w:t>
            </w:r>
            <w:r w:rsidRPr="00060E7B">
              <w:rPr>
                <w:rFonts w:hint="eastAsia"/>
                <w:color w:val="000000"/>
                <w:kern w:val="0"/>
                <w:lang w:eastAsia="zh-CN"/>
                <w14:ligatures w14:val="none"/>
              </w:rPr>
              <w:t>API</w:t>
            </w:r>
            <w:r w:rsidRPr="00060E7B">
              <w:rPr>
                <w:rFonts w:cs="Microsoft YaHei" w:hint="eastAsia"/>
                <w:color w:val="000000"/>
                <w:kern w:val="0"/>
                <w:lang w:eastAsia="zh-CN"/>
                <w14:ligatures w14:val="none"/>
              </w:rPr>
              <w:t>目录。</w:t>
            </w:r>
          </w:p>
        </w:tc>
        <w:tc>
          <w:tcPr>
            <w:tcW w:w="1350" w:type="dxa"/>
            <w:noWrap/>
            <w:vAlign w:val="center"/>
            <w:hideMark/>
          </w:tcPr>
          <w:p w14:paraId="35962DB9" w14:textId="7683FF51"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非常活跃</w:t>
            </w:r>
          </w:p>
        </w:tc>
        <w:tc>
          <w:tcPr>
            <w:tcW w:w="1440" w:type="dxa"/>
            <w:noWrap/>
            <w:vAlign w:val="center"/>
            <w:hideMark/>
          </w:tcPr>
          <w:p w14:paraId="5D64E501" w14:textId="4A285401"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高</w:t>
            </w:r>
          </w:p>
        </w:tc>
        <w:tc>
          <w:tcPr>
            <w:tcW w:w="896" w:type="dxa"/>
            <w:vAlign w:val="center"/>
          </w:tcPr>
          <w:p w14:paraId="2ACD88F0" w14:textId="01F9046F"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重要</w:t>
            </w:r>
          </w:p>
        </w:tc>
      </w:tr>
      <w:tr w:rsidR="0037258A" w:rsidRPr="00060E7B" w14:paraId="4E600E5B" w14:textId="47F17E7A" w:rsidTr="008C1FCB">
        <w:trPr>
          <w:trHeight w:val="144"/>
        </w:trPr>
        <w:tc>
          <w:tcPr>
            <w:tcW w:w="805" w:type="dxa"/>
            <w:noWrap/>
            <w:vAlign w:val="center"/>
            <w:hideMark/>
          </w:tcPr>
          <w:p w14:paraId="0AE254E0" w14:textId="77777777" w:rsidR="0037258A" w:rsidRPr="00060E7B" w:rsidRDefault="0037258A" w:rsidP="0037258A">
            <w:pPr>
              <w:spacing w:before="40" w:after="40" w:line="240" w:lineRule="auto"/>
              <w:rPr>
                <w:color w:val="000000"/>
                <w:kern w:val="0"/>
                <w:lang w:eastAsia="zh-CN"/>
                <w14:ligatures w14:val="none"/>
              </w:rPr>
            </w:pPr>
            <w:r w:rsidRPr="00060E7B">
              <w:rPr>
                <w:rFonts w:hint="eastAsia"/>
                <w:color w:val="000000"/>
                <w:kern w:val="0"/>
                <w:lang w:eastAsia="zh-CN"/>
                <w14:ligatures w14:val="none"/>
              </w:rPr>
              <w:t>58</w:t>
            </w:r>
          </w:p>
        </w:tc>
        <w:tc>
          <w:tcPr>
            <w:tcW w:w="4860" w:type="dxa"/>
            <w:noWrap/>
            <w:vAlign w:val="center"/>
            <w:hideMark/>
          </w:tcPr>
          <w:p w14:paraId="27DEC136" w14:textId="15B590A0" w:rsidR="0037258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为知识产权局和国际局实施信通技术相关建议提供便利；根据需要评价和更新这些建议，以保持其相关性。</w:t>
            </w:r>
          </w:p>
        </w:tc>
        <w:tc>
          <w:tcPr>
            <w:tcW w:w="1350" w:type="dxa"/>
            <w:noWrap/>
            <w:vAlign w:val="center"/>
            <w:hideMark/>
          </w:tcPr>
          <w:p w14:paraId="27A7090E" w14:textId="63774075"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活跃</w:t>
            </w:r>
          </w:p>
        </w:tc>
        <w:tc>
          <w:tcPr>
            <w:tcW w:w="1440" w:type="dxa"/>
            <w:noWrap/>
            <w:vAlign w:val="center"/>
            <w:hideMark/>
          </w:tcPr>
          <w:p w14:paraId="4E131D83" w14:textId="08A6AEA0"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高</w:t>
            </w:r>
          </w:p>
        </w:tc>
        <w:tc>
          <w:tcPr>
            <w:tcW w:w="896" w:type="dxa"/>
            <w:vAlign w:val="center"/>
          </w:tcPr>
          <w:p w14:paraId="168DF786" w14:textId="080E6C80" w:rsidR="0037258A" w:rsidRPr="00060E7B" w:rsidRDefault="00F0737F" w:rsidP="0037258A">
            <w:pPr>
              <w:spacing w:before="40" w:after="40" w:line="240" w:lineRule="auto"/>
              <w:rPr>
                <w:color w:val="000000"/>
                <w:kern w:val="0"/>
                <w:lang w:eastAsia="zh-CN"/>
                <w14:ligatures w14:val="none"/>
              </w:rPr>
            </w:pPr>
            <w:r w:rsidRPr="00060E7B">
              <w:rPr>
                <w:rFonts w:hint="eastAsia"/>
                <w:lang w:eastAsia="zh-CN"/>
              </w:rPr>
              <w:t>基本</w:t>
            </w:r>
          </w:p>
        </w:tc>
      </w:tr>
      <w:tr w:rsidR="0037258A" w:rsidRPr="00060E7B" w14:paraId="55E20C55" w14:textId="0E3A05F9" w:rsidTr="008C1FCB">
        <w:trPr>
          <w:trHeight w:val="144"/>
        </w:trPr>
        <w:tc>
          <w:tcPr>
            <w:tcW w:w="805" w:type="dxa"/>
            <w:noWrap/>
            <w:vAlign w:val="center"/>
            <w:hideMark/>
          </w:tcPr>
          <w:p w14:paraId="5613A075" w14:textId="31E4102F" w:rsidR="0037258A" w:rsidRPr="00060E7B" w:rsidRDefault="0037258A" w:rsidP="0037258A">
            <w:pPr>
              <w:spacing w:before="40" w:after="40" w:line="240" w:lineRule="auto"/>
              <w:rPr>
                <w:color w:val="000000"/>
                <w:kern w:val="0"/>
                <w:lang w:eastAsia="zh-CN"/>
                <w14:ligatures w14:val="none"/>
              </w:rPr>
            </w:pPr>
            <w:r w:rsidRPr="00060E7B">
              <w:rPr>
                <w:rFonts w:hint="eastAsia"/>
                <w:color w:val="000000"/>
                <w:kern w:val="0"/>
                <w:lang w:eastAsia="zh-CN"/>
                <w14:ligatures w14:val="none"/>
              </w:rPr>
              <w:t>59</w:t>
            </w:r>
          </w:p>
        </w:tc>
        <w:tc>
          <w:tcPr>
            <w:tcW w:w="4860" w:type="dxa"/>
            <w:noWrap/>
            <w:vAlign w:val="center"/>
            <w:hideMark/>
          </w:tcPr>
          <w:p w14:paraId="49FF9BD1" w14:textId="7179F462" w:rsidR="0037258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探讨在提供知识产权保护、处理有关知识产权对象及其使用信息的过程中使用区块链技术的可能性；收集工业产权局使用和体验区块链的发展动态信息，评估区块链的现行行业标准，并考虑对工业产权局的价值和适用性；开发在知识产权领域使用区块链技术的参考模型，包括指导原则、通行做法和术语使用，以作为支持合作、联合项目和概念验证的框架；以及为支持可能在知识产权生态系统内应用的区块链技术编制新的产权组织标准提案。</w:t>
            </w:r>
          </w:p>
        </w:tc>
        <w:tc>
          <w:tcPr>
            <w:tcW w:w="1350" w:type="dxa"/>
            <w:noWrap/>
            <w:vAlign w:val="center"/>
            <w:hideMark/>
          </w:tcPr>
          <w:p w14:paraId="6E098FAB" w14:textId="682A5DD5" w:rsidR="0037258A" w:rsidRPr="00060E7B" w:rsidRDefault="002E29BD" w:rsidP="0037258A">
            <w:pPr>
              <w:spacing w:before="40" w:after="40" w:line="240" w:lineRule="auto"/>
              <w:rPr>
                <w:color w:val="000000"/>
                <w:kern w:val="0"/>
                <w:lang w:eastAsia="zh-CN"/>
                <w14:ligatures w14:val="none"/>
              </w:rPr>
            </w:pPr>
            <w:r>
              <w:rPr>
                <w:rFonts w:cs="Microsoft YaHei" w:hint="eastAsia"/>
                <w:color w:val="000000"/>
                <w:kern w:val="0"/>
                <w:lang w:eastAsia="zh-CN"/>
                <w14:ligatures w14:val="none"/>
              </w:rPr>
              <w:t>偶尔</w:t>
            </w:r>
          </w:p>
        </w:tc>
        <w:tc>
          <w:tcPr>
            <w:tcW w:w="1440" w:type="dxa"/>
            <w:noWrap/>
            <w:vAlign w:val="center"/>
            <w:hideMark/>
          </w:tcPr>
          <w:p w14:paraId="7FD97ECA" w14:textId="644B31FA"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中</w:t>
            </w:r>
          </w:p>
        </w:tc>
        <w:tc>
          <w:tcPr>
            <w:tcW w:w="896" w:type="dxa"/>
            <w:vAlign w:val="center"/>
          </w:tcPr>
          <w:p w14:paraId="6303CDD0" w14:textId="77777777" w:rsidR="0037258A" w:rsidRPr="00060E7B" w:rsidRDefault="0037258A" w:rsidP="0037258A">
            <w:pPr>
              <w:spacing w:before="40" w:after="40" w:line="240" w:lineRule="auto"/>
              <w:rPr>
                <w:color w:val="000000"/>
                <w:kern w:val="0"/>
                <w:lang w:eastAsia="zh-CN"/>
                <w14:ligatures w14:val="none"/>
              </w:rPr>
            </w:pPr>
          </w:p>
        </w:tc>
      </w:tr>
      <w:tr w:rsidR="0037258A" w:rsidRPr="00060E7B" w14:paraId="1DC39893" w14:textId="77777777" w:rsidTr="008C1FCB">
        <w:trPr>
          <w:trHeight w:val="144"/>
        </w:trPr>
        <w:tc>
          <w:tcPr>
            <w:tcW w:w="805" w:type="dxa"/>
            <w:noWrap/>
            <w:vAlign w:val="center"/>
          </w:tcPr>
          <w:p w14:paraId="5C63EAE6" w14:textId="1B65EB3E" w:rsidR="0037258A" w:rsidRPr="00060E7B" w:rsidRDefault="0037258A" w:rsidP="0037258A">
            <w:pPr>
              <w:spacing w:before="40" w:after="40" w:line="240" w:lineRule="auto"/>
              <w:rPr>
                <w:color w:val="000000"/>
                <w:kern w:val="0"/>
                <w:lang w:eastAsia="zh-CN"/>
                <w14:ligatures w14:val="none"/>
              </w:rPr>
            </w:pPr>
            <w:r w:rsidRPr="00060E7B">
              <w:rPr>
                <w:rFonts w:hint="eastAsia"/>
                <w:color w:val="000000"/>
                <w:kern w:val="0"/>
                <w:lang w:eastAsia="zh-CN"/>
                <w14:ligatures w14:val="none"/>
              </w:rPr>
              <w:t>60</w:t>
            </w:r>
          </w:p>
        </w:tc>
        <w:tc>
          <w:tcPr>
            <w:tcW w:w="4860" w:type="dxa"/>
            <w:noWrap/>
            <w:vAlign w:val="center"/>
          </w:tcPr>
          <w:p w14:paraId="00375100" w14:textId="6EA13E86" w:rsidR="0037258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编写一份关于下述事项的提案：为文字商标和图形商标的</w:t>
            </w:r>
            <w:r w:rsidRPr="00060E7B">
              <w:rPr>
                <w:rFonts w:hint="eastAsia"/>
                <w:color w:val="000000"/>
                <w:kern w:val="0"/>
                <w:lang w:eastAsia="zh-CN"/>
                <w14:ligatures w14:val="none"/>
              </w:rPr>
              <w:t>INID</w:t>
            </w:r>
            <w:r w:rsidRPr="00060E7B">
              <w:rPr>
                <w:rFonts w:cs="Microsoft YaHei" w:hint="eastAsia"/>
                <w:color w:val="000000"/>
                <w:kern w:val="0"/>
                <w:lang w:eastAsia="zh-CN"/>
                <w14:ligatures w14:val="none"/>
              </w:rPr>
              <w:t>代码编码，拆分</w:t>
            </w:r>
            <w:r w:rsidRPr="00060E7B">
              <w:rPr>
                <w:rFonts w:hint="eastAsia"/>
                <w:color w:val="000000"/>
                <w:kern w:val="0"/>
                <w:lang w:eastAsia="zh-CN"/>
                <w14:ligatures w14:val="none"/>
              </w:rPr>
              <w:t>INID</w:t>
            </w:r>
            <w:r w:rsidRPr="00060E7B">
              <w:rPr>
                <w:rFonts w:cs="Microsoft YaHei" w:hint="eastAsia"/>
                <w:color w:val="000000"/>
                <w:kern w:val="0"/>
                <w:lang w:eastAsia="zh-CN"/>
                <w14:ligatures w14:val="none"/>
              </w:rPr>
              <w:t>代码（</w:t>
            </w:r>
            <w:r w:rsidRPr="00060E7B">
              <w:rPr>
                <w:rFonts w:hint="eastAsia"/>
                <w:color w:val="000000"/>
                <w:kern w:val="0"/>
                <w:lang w:eastAsia="zh-CN"/>
                <w14:ligatures w14:val="none"/>
              </w:rPr>
              <w:t>551</w:t>
            </w:r>
            <w:r w:rsidRPr="00060E7B">
              <w:rPr>
                <w:rFonts w:cs="Microsoft YaHei" w:hint="eastAsia"/>
                <w:color w:val="000000"/>
                <w:kern w:val="0"/>
                <w:lang w:eastAsia="zh-CN"/>
                <w14:ligatures w14:val="none"/>
              </w:rPr>
              <w:t>），以及组合商标可能的</w:t>
            </w:r>
            <w:r w:rsidRPr="00060E7B">
              <w:rPr>
                <w:rFonts w:hint="eastAsia"/>
                <w:color w:val="000000"/>
                <w:kern w:val="0"/>
                <w:lang w:eastAsia="zh-CN"/>
                <w14:ligatures w14:val="none"/>
              </w:rPr>
              <w:t>INID</w:t>
            </w:r>
            <w:r w:rsidRPr="00060E7B">
              <w:rPr>
                <w:rFonts w:cs="Microsoft YaHei" w:hint="eastAsia"/>
                <w:color w:val="000000"/>
                <w:kern w:val="0"/>
                <w:lang w:eastAsia="zh-CN"/>
                <w14:ligatures w14:val="none"/>
              </w:rPr>
              <w:t>代码。</w:t>
            </w:r>
          </w:p>
        </w:tc>
        <w:tc>
          <w:tcPr>
            <w:tcW w:w="1350" w:type="dxa"/>
            <w:noWrap/>
            <w:vAlign w:val="center"/>
          </w:tcPr>
          <w:p w14:paraId="652B1F80" w14:textId="159261D0"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搁置</w:t>
            </w:r>
          </w:p>
        </w:tc>
        <w:tc>
          <w:tcPr>
            <w:tcW w:w="1440" w:type="dxa"/>
            <w:noWrap/>
            <w:vAlign w:val="center"/>
          </w:tcPr>
          <w:p w14:paraId="42645BAD" w14:textId="1A7EAA15"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不适用</w:t>
            </w:r>
          </w:p>
        </w:tc>
        <w:tc>
          <w:tcPr>
            <w:tcW w:w="896" w:type="dxa"/>
            <w:vAlign w:val="center"/>
          </w:tcPr>
          <w:p w14:paraId="1F1DCC79" w14:textId="77777777" w:rsidR="0037258A" w:rsidRPr="00060E7B" w:rsidRDefault="0037258A" w:rsidP="0037258A">
            <w:pPr>
              <w:spacing w:before="40" w:after="40" w:line="240" w:lineRule="auto"/>
              <w:rPr>
                <w:color w:val="000000"/>
                <w:kern w:val="0"/>
                <w:lang w:eastAsia="zh-CN"/>
                <w14:ligatures w14:val="none"/>
              </w:rPr>
            </w:pPr>
          </w:p>
        </w:tc>
      </w:tr>
      <w:tr w:rsidR="0037258A" w:rsidRPr="00060E7B" w14:paraId="6E46B3E5" w14:textId="3F465901" w:rsidTr="008C1FCB">
        <w:trPr>
          <w:trHeight w:val="144"/>
        </w:trPr>
        <w:tc>
          <w:tcPr>
            <w:tcW w:w="805" w:type="dxa"/>
            <w:noWrap/>
            <w:vAlign w:val="center"/>
            <w:hideMark/>
          </w:tcPr>
          <w:p w14:paraId="5C73CE58" w14:textId="77777777" w:rsidR="0037258A" w:rsidRPr="00060E7B" w:rsidRDefault="0037258A" w:rsidP="0037258A">
            <w:pPr>
              <w:spacing w:before="40" w:after="40" w:line="240" w:lineRule="auto"/>
              <w:rPr>
                <w:color w:val="000000"/>
                <w:kern w:val="0"/>
                <w:lang w:eastAsia="zh-CN"/>
                <w14:ligatures w14:val="none"/>
              </w:rPr>
            </w:pPr>
            <w:r w:rsidRPr="00060E7B">
              <w:rPr>
                <w:rFonts w:hint="eastAsia"/>
                <w:color w:val="000000"/>
                <w:kern w:val="0"/>
                <w:lang w:eastAsia="zh-CN"/>
                <w14:ligatures w14:val="none"/>
              </w:rPr>
              <w:t>61</w:t>
            </w:r>
          </w:p>
        </w:tc>
        <w:tc>
          <w:tcPr>
            <w:tcW w:w="4860" w:type="dxa"/>
            <w:noWrap/>
            <w:vAlign w:val="center"/>
            <w:hideMark/>
          </w:tcPr>
          <w:p w14:paraId="61BFEC18" w14:textId="3AE87C50" w:rsidR="0037258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确保对产权组织标准</w:t>
            </w:r>
            <w:r w:rsidRPr="00060E7B">
              <w:rPr>
                <w:rFonts w:hint="eastAsia"/>
                <w:color w:val="000000"/>
                <w:kern w:val="0"/>
                <w:lang w:eastAsia="zh-CN"/>
                <w14:ligatures w14:val="none"/>
              </w:rPr>
              <w:t>ST.91</w:t>
            </w:r>
            <w:r w:rsidRPr="00060E7B">
              <w:rPr>
                <w:rFonts w:cs="Microsoft YaHei" w:hint="eastAsia"/>
                <w:color w:val="000000"/>
                <w:kern w:val="0"/>
                <w:lang w:eastAsia="zh-CN"/>
                <w14:ligatures w14:val="none"/>
              </w:rPr>
              <w:t>进行必要的修订和更新，包括检索立体模型和立体图像的方法。</w:t>
            </w:r>
          </w:p>
        </w:tc>
        <w:tc>
          <w:tcPr>
            <w:tcW w:w="1350" w:type="dxa"/>
            <w:noWrap/>
            <w:vAlign w:val="center"/>
            <w:hideMark/>
          </w:tcPr>
          <w:p w14:paraId="1AD144AA" w14:textId="5CDB4142"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活跃</w:t>
            </w:r>
          </w:p>
        </w:tc>
        <w:tc>
          <w:tcPr>
            <w:tcW w:w="1440" w:type="dxa"/>
            <w:noWrap/>
            <w:vAlign w:val="center"/>
            <w:hideMark/>
          </w:tcPr>
          <w:p w14:paraId="6943EF78" w14:textId="4AD630C4"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中</w:t>
            </w:r>
          </w:p>
        </w:tc>
        <w:tc>
          <w:tcPr>
            <w:tcW w:w="896" w:type="dxa"/>
            <w:vAlign w:val="center"/>
          </w:tcPr>
          <w:p w14:paraId="08D162C5" w14:textId="6D5D7EC3" w:rsidR="0037258A" w:rsidRPr="00060E7B" w:rsidRDefault="0037258A" w:rsidP="0037258A">
            <w:pPr>
              <w:spacing w:before="40" w:after="40" w:line="240" w:lineRule="auto"/>
              <w:rPr>
                <w:color w:val="000000"/>
                <w:kern w:val="0"/>
                <w:lang w:eastAsia="zh-CN"/>
                <w14:ligatures w14:val="none"/>
              </w:rPr>
            </w:pPr>
          </w:p>
        </w:tc>
      </w:tr>
      <w:tr w:rsidR="0037258A" w:rsidRPr="00060E7B" w14:paraId="4B53B4A7" w14:textId="0BA53A52" w:rsidTr="008C1FCB">
        <w:trPr>
          <w:trHeight w:val="144"/>
        </w:trPr>
        <w:tc>
          <w:tcPr>
            <w:tcW w:w="805" w:type="dxa"/>
            <w:noWrap/>
            <w:vAlign w:val="center"/>
            <w:hideMark/>
          </w:tcPr>
          <w:p w14:paraId="29704836" w14:textId="77777777" w:rsidR="0037258A" w:rsidRPr="00060E7B" w:rsidRDefault="0037258A" w:rsidP="0037258A">
            <w:pPr>
              <w:spacing w:before="40" w:after="40" w:line="240" w:lineRule="auto"/>
              <w:rPr>
                <w:color w:val="000000"/>
                <w:kern w:val="0"/>
                <w:lang w:eastAsia="zh-CN"/>
                <w14:ligatures w14:val="none"/>
              </w:rPr>
            </w:pPr>
            <w:r w:rsidRPr="00060E7B">
              <w:rPr>
                <w:rFonts w:hint="eastAsia"/>
                <w:color w:val="000000"/>
                <w:kern w:val="0"/>
                <w:lang w:eastAsia="zh-CN"/>
                <w14:ligatures w14:val="none"/>
              </w:rPr>
              <w:t>62</w:t>
            </w:r>
          </w:p>
        </w:tc>
        <w:tc>
          <w:tcPr>
            <w:tcW w:w="4860" w:type="dxa"/>
            <w:noWrap/>
            <w:vAlign w:val="center"/>
            <w:hideMark/>
          </w:tcPr>
          <w:p w14:paraId="538F085F" w14:textId="03F5D69E" w:rsidR="0037258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着眼于电子申请和知识产权文献的公布和交换，审查为纸质或图像格式通信而制定的产权组织标准，在必要时提出对这些标准的修订或提出新建议；编写一份关于</w:t>
            </w:r>
            <w:r w:rsidRPr="00060E7B">
              <w:rPr>
                <w:rFonts w:hint="eastAsia"/>
                <w:color w:val="000000"/>
                <w:kern w:val="0"/>
                <w:lang w:eastAsia="zh-CN"/>
                <w14:ligatures w14:val="none"/>
              </w:rPr>
              <w:t>DOCX</w:t>
            </w:r>
            <w:r w:rsidRPr="00060E7B">
              <w:rPr>
                <w:rFonts w:cs="Microsoft YaHei" w:hint="eastAsia"/>
                <w:color w:val="000000"/>
                <w:kern w:val="0"/>
                <w:lang w:eastAsia="zh-CN"/>
                <w14:ligatures w14:val="none"/>
              </w:rPr>
              <w:t>到</w:t>
            </w:r>
            <w:r w:rsidRPr="00060E7B">
              <w:rPr>
                <w:rFonts w:hint="eastAsia"/>
                <w:color w:val="000000"/>
                <w:kern w:val="0"/>
                <w:lang w:eastAsia="zh-CN"/>
                <w14:ligatures w14:val="none"/>
              </w:rPr>
              <w:t>XML</w:t>
            </w:r>
            <w:r w:rsidRPr="00060E7B">
              <w:rPr>
                <w:rFonts w:cs="Microsoft YaHei" w:hint="eastAsia"/>
                <w:color w:val="000000"/>
                <w:kern w:val="0"/>
                <w:lang w:eastAsia="zh-CN"/>
                <w14:ligatures w14:val="none"/>
              </w:rPr>
              <w:t>（</w:t>
            </w:r>
            <w:r w:rsidRPr="00060E7B">
              <w:rPr>
                <w:rFonts w:hint="eastAsia"/>
                <w:color w:val="000000"/>
                <w:kern w:val="0"/>
                <w:lang w:eastAsia="zh-CN"/>
                <w14:ligatures w14:val="none"/>
              </w:rPr>
              <w:t>DOCX2XML</w:t>
            </w:r>
            <w:r w:rsidRPr="00060E7B">
              <w:rPr>
                <w:rFonts w:cs="Microsoft YaHei" w:hint="eastAsia"/>
                <w:color w:val="000000"/>
                <w:kern w:val="0"/>
                <w:lang w:eastAsia="zh-CN"/>
                <w14:ligatures w14:val="none"/>
              </w:rPr>
              <w:t>）转换器通用要求规范建议的提案。</w:t>
            </w:r>
          </w:p>
        </w:tc>
        <w:tc>
          <w:tcPr>
            <w:tcW w:w="1350" w:type="dxa"/>
            <w:noWrap/>
            <w:vAlign w:val="center"/>
            <w:hideMark/>
          </w:tcPr>
          <w:p w14:paraId="31410CAA" w14:textId="1912D06D"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活跃</w:t>
            </w:r>
          </w:p>
        </w:tc>
        <w:tc>
          <w:tcPr>
            <w:tcW w:w="1440" w:type="dxa"/>
            <w:noWrap/>
            <w:vAlign w:val="center"/>
            <w:hideMark/>
          </w:tcPr>
          <w:p w14:paraId="278F9BAB" w14:textId="71DE5802"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中</w:t>
            </w:r>
          </w:p>
        </w:tc>
        <w:tc>
          <w:tcPr>
            <w:tcW w:w="896" w:type="dxa"/>
            <w:vAlign w:val="center"/>
          </w:tcPr>
          <w:p w14:paraId="5CBB0FF0" w14:textId="35971AD4" w:rsidR="0037258A" w:rsidRPr="00060E7B" w:rsidRDefault="0037258A" w:rsidP="0037258A">
            <w:pPr>
              <w:spacing w:before="40" w:after="40" w:line="240" w:lineRule="auto"/>
              <w:rPr>
                <w:color w:val="000000"/>
                <w:kern w:val="0"/>
                <w:lang w:eastAsia="zh-CN"/>
                <w14:ligatures w14:val="none"/>
              </w:rPr>
            </w:pPr>
          </w:p>
        </w:tc>
      </w:tr>
      <w:tr w:rsidR="0037258A" w:rsidRPr="00060E7B" w14:paraId="0A74D51B" w14:textId="2C7C79C1" w:rsidTr="008C1FCB">
        <w:trPr>
          <w:trHeight w:val="144"/>
        </w:trPr>
        <w:tc>
          <w:tcPr>
            <w:tcW w:w="805" w:type="dxa"/>
            <w:noWrap/>
            <w:vAlign w:val="center"/>
            <w:hideMark/>
          </w:tcPr>
          <w:p w14:paraId="65465A16" w14:textId="77777777" w:rsidR="0037258A" w:rsidRPr="00060E7B" w:rsidRDefault="0037258A" w:rsidP="0037258A">
            <w:pPr>
              <w:spacing w:before="40" w:after="40" w:line="240" w:lineRule="auto"/>
              <w:rPr>
                <w:color w:val="000000"/>
                <w:kern w:val="0"/>
                <w:lang w:eastAsia="zh-CN"/>
                <w14:ligatures w14:val="none"/>
              </w:rPr>
            </w:pPr>
            <w:r w:rsidRPr="00060E7B">
              <w:rPr>
                <w:rFonts w:hint="eastAsia"/>
                <w:color w:val="000000"/>
                <w:kern w:val="0"/>
                <w:lang w:eastAsia="zh-CN"/>
                <w14:ligatures w14:val="none"/>
              </w:rPr>
              <w:t>63</w:t>
            </w:r>
          </w:p>
        </w:tc>
        <w:tc>
          <w:tcPr>
            <w:tcW w:w="4860" w:type="dxa"/>
            <w:noWrap/>
            <w:vAlign w:val="center"/>
            <w:hideMark/>
          </w:tcPr>
          <w:p w14:paraId="56FADBA7" w14:textId="09371ECE" w:rsidR="0037258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基于产权组织的</w:t>
            </w:r>
            <w:r w:rsidRPr="00060E7B">
              <w:rPr>
                <w:rFonts w:hint="eastAsia"/>
                <w:color w:val="000000"/>
                <w:kern w:val="0"/>
                <w:lang w:eastAsia="zh-CN"/>
                <w14:ligatures w14:val="none"/>
              </w:rPr>
              <w:t>XML</w:t>
            </w:r>
            <w:r w:rsidRPr="00060E7B">
              <w:rPr>
                <w:rFonts w:cs="Microsoft YaHei" w:hint="eastAsia"/>
                <w:color w:val="000000"/>
                <w:kern w:val="0"/>
                <w:lang w:eastAsia="zh-CN"/>
                <w14:ligatures w14:val="none"/>
              </w:rPr>
              <w:t>标准，为电子公布开发</w:t>
            </w:r>
            <w:r w:rsidRPr="00060E7B">
              <w:rPr>
                <w:rFonts w:hint="eastAsia"/>
                <w:color w:val="000000"/>
                <w:kern w:val="0"/>
                <w:lang w:eastAsia="zh-CN"/>
                <w14:ligatures w14:val="none"/>
              </w:rPr>
              <w:t>XML</w:t>
            </w:r>
            <w:r w:rsidRPr="00060E7B">
              <w:rPr>
                <w:rFonts w:cs="Microsoft YaHei" w:hint="eastAsia"/>
                <w:color w:val="000000"/>
                <w:kern w:val="0"/>
                <w:lang w:eastAsia="zh-CN"/>
                <w14:ligatures w14:val="none"/>
              </w:rPr>
              <w:t>数据的可视表现形式。</w:t>
            </w:r>
          </w:p>
        </w:tc>
        <w:tc>
          <w:tcPr>
            <w:tcW w:w="1350" w:type="dxa"/>
            <w:noWrap/>
            <w:vAlign w:val="center"/>
            <w:hideMark/>
          </w:tcPr>
          <w:p w14:paraId="70C97174" w14:textId="15E9C4D5" w:rsidR="0037258A" w:rsidRPr="00060E7B" w:rsidRDefault="002E29BD" w:rsidP="0037258A">
            <w:pPr>
              <w:spacing w:before="40" w:after="40" w:line="240" w:lineRule="auto"/>
              <w:rPr>
                <w:color w:val="000000"/>
                <w:kern w:val="0"/>
                <w:lang w:eastAsia="zh-CN"/>
                <w14:ligatures w14:val="none"/>
              </w:rPr>
            </w:pPr>
            <w:r>
              <w:rPr>
                <w:rFonts w:cs="Microsoft YaHei" w:hint="eastAsia"/>
                <w:color w:val="000000"/>
                <w:kern w:val="0"/>
                <w:lang w:eastAsia="zh-CN"/>
                <w14:ligatures w14:val="none"/>
              </w:rPr>
              <w:t>偶尔</w:t>
            </w:r>
          </w:p>
        </w:tc>
        <w:tc>
          <w:tcPr>
            <w:tcW w:w="1440" w:type="dxa"/>
            <w:noWrap/>
            <w:vAlign w:val="center"/>
            <w:hideMark/>
          </w:tcPr>
          <w:p w14:paraId="7B125C88" w14:textId="1F8A6831"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中</w:t>
            </w:r>
          </w:p>
        </w:tc>
        <w:tc>
          <w:tcPr>
            <w:tcW w:w="896" w:type="dxa"/>
            <w:vAlign w:val="center"/>
          </w:tcPr>
          <w:p w14:paraId="3E57B389" w14:textId="77777777" w:rsidR="0037258A" w:rsidRPr="00060E7B" w:rsidRDefault="0037258A" w:rsidP="0037258A">
            <w:pPr>
              <w:spacing w:before="40" w:after="40" w:line="240" w:lineRule="auto"/>
              <w:rPr>
                <w:color w:val="000000"/>
                <w:kern w:val="0"/>
                <w:lang w:eastAsia="zh-CN"/>
                <w14:ligatures w14:val="none"/>
              </w:rPr>
            </w:pPr>
          </w:p>
        </w:tc>
      </w:tr>
      <w:tr w:rsidR="0037258A" w:rsidRPr="00060E7B" w14:paraId="7D17D870" w14:textId="588B7E4A" w:rsidTr="008C1FCB">
        <w:trPr>
          <w:trHeight w:val="144"/>
        </w:trPr>
        <w:tc>
          <w:tcPr>
            <w:tcW w:w="805" w:type="dxa"/>
            <w:noWrap/>
            <w:vAlign w:val="center"/>
            <w:hideMark/>
          </w:tcPr>
          <w:p w14:paraId="3F201E7D" w14:textId="77777777" w:rsidR="0037258A" w:rsidRPr="00060E7B" w:rsidRDefault="0037258A" w:rsidP="0037258A">
            <w:pPr>
              <w:spacing w:before="40" w:after="40" w:line="240" w:lineRule="auto"/>
              <w:rPr>
                <w:color w:val="000000"/>
                <w:kern w:val="0"/>
                <w:lang w:eastAsia="zh-CN"/>
                <w14:ligatures w14:val="none"/>
              </w:rPr>
            </w:pPr>
            <w:r w:rsidRPr="00060E7B">
              <w:rPr>
                <w:rFonts w:hint="eastAsia"/>
                <w:color w:val="000000"/>
                <w:kern w:val="0"/>
                <w:lang w:eastAsia="zh-CN"/>
                <w14:ligatures w14:val="none"/>
              </w:rPr>
              <w:t>64</w:t>
            </w:r>
          </w:p>
        </w:tc>
        <w:tc>
          <w:tcPr>
            <w:tcW w:w="4860" w:type="dxa"/>
            <w:noWrap/>
            <w:vAlign w:val="center"/>
            <w:hideMark/>
          </w:tcPr>
          <w:p w14:paraId="4E3E654B" w14:textId="22A5692E" w:rsidR="0037258A"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确保对产权组织标准</w:t>
            </w:r>
            <w:r w:rsidRPr="00060E7B">
              <w:rPr>
                <w:rFonts w:hint="eastAsia"/>
                <w:color w:val="000000"/>
                <w:kern w:val="0"/>
                <w:lang w:eastAsia="zh-CN"/>
                <w14:ligatures w14:val="none"/>
              </w:rPr>
              <w:t>ST.97</w:t>
            </w:r>
            <w:r w:rsidRPr="00060E7B">
              <w:rPr>
                <w:rFonts w:cs="Microsoft YaHei" w:hint="eastAsia"/>
                <w:color w:val="000000"/>
                <w:kern w:val="0"/>
                <w:lang w:eastAsia="zh-CN"/>
                <w14:ligatures w14:val="none"/>
              </w:rPr>
              <w:t>的必要修订和更新。</w:t>
            </w:r>
          </w:p>
        </w:tc>
        <w:tc>
          <w:tcPr>
            <w:tcW w:w="1350" w:type="dxa"/>
            <w:noWrap/>
            <w:vAlign w:val="center"/>
            <w:hideMark/>
          </w:tcPr>
          <w:p w14:paraId="4AC0DDD0" w14:textId="40E6B372"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非常活跃</w:t>
            </w:r>
          </w:p>
        </w:tc>
        <w:tc>
          <w:tcPr>
            <w:tcW w:w="1440" w:type="dxa"/>
            <w:noWrap/>
            <w:vAlign w:val="center"/>
            <w:hideMark/>
          </w:tcPr>
          <w:p w14:paraId="640A6028" w14:textId="16A423A9"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高</w:t>
            </w:r>
          </w:p>
        </w:tc>
        <w:tc>
          <w:tcPr>
            <w:tcW w:w="896" w:type="dxa"/>
            <w:vAlign w:val="center"/>
          </w:tcPr>
          <w:p w14:paraId="7A78D25E" w14:textId="307C288D"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重要</w:t>
            </w:r>
          </w:p>
        </w:tc>
      </w:tr>
      <w:tr w:rsidR="0037258A" w:rsidRPr="00060E7B" w14:paraId="18D9E552" w14:textId="10C6CFE8" w:rsidTr="008C1FCB">
        <w:trPr>
          <w:trHeight w:val="144"/>
        </w:trPr>
        <w:tc>
          <w:tcPr>
            <w:tcW w:w="805" w:type="dxa"/>
            <w:noWrap/>
            <w:vAlign w:val="center"/>
            <w:hideMark/>
          </w:tcPr>
          <w:p w14:paraId="16D72ED6" w14:textId="77777777" w:rsidR="0037258A" w:rsidRPr="00060E7B" w:rsidRDefault="0037258A" w:rsidP="0037258A">
            <w:pPr>
              <w:spacing w:before="40" w:after="40" w:line="240" w:lineRule="auto"/>
              <w:rPr>
                <w:kern w:val="0"/>
                <w:lang w:eastAsia="zh-CN"/>
                <w14:ligatures w14:val="none"/>
              </w:rPr>
            </w:pPr>
            <w:r w:rsidRPr="00060E7B">
              <w:rPr>
                <w:rFonts w:hint="eastAsia"/>
                <w:kern w:val="0"/>
                <w:lang w:eastAsia="zh-CN"/>
                <w14:ligatures w14:val="none"/>
              </w:rPr>
              <w:t>65</w:t>
            </w:r>
          </w:p>
        </w:tc>
        <w:tc>
          <w:tcPr>
            <w:tcW w:w="4860" w:type="dxa"/>
            <w:noWrap/>
            <w:vAlign w:val="center"/>
            <w:hideMark/>
          </w:tcPr>
          <w:p w14:paraId="582C7BD1" w14:textId="3EC0C0DC" w:rsidR="0037258A" w:rsidRPr="00060E7B" w:rsidRDefault="00A55F95" w:rsidP="008C1FCB">
            <w:pPr>
              <w:spacing w:before="40" w:after="40" w:line="340" w:lineRule="atLeast"/>
              <w:jc w:val="both"/>
              <w:rPr>
                <w:kern w:val="0"/>
                <w:lang w:eastAsia="zh-CN"/>
                <w14:ligatures w14:val="none"/>
              </w:rPr>
            </w:pPr>
            <w:r w:rsidRPr="00060E7B">
              <w:rPr>
                <w:rStyle w:val="normaltextrun"/>
                <w:rFonts w:hint="eastAsia"/>
                <w:bdr w:val="none" w:sz="0" w:space="0" w:color="auto" w:frame="1"/>
                <w:lang w:eastAsia="zh-CN"/>
              </w:rPr>
              <w:t>确保对产权组织标准ST.92进行必要的修订和更新，支持知识产权局在2027年7月1日之前实施该标准。</w:t>
            </w:r>
          </w:p>
        </w:tc>
        <w:tc>
          <w:tcPr>
            <w:tcW w:w="1350" w:type="dxa"/>
            <w:noWrap/>
            <w:vAlign w:val="center"/>
            <w:hideMark/>
          </w:tcPr>
          <w:p w14:paraId="3D96E3FB" w14:textId="6D7F0157"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非常活跃</w:t>
            </w:r>
          </w:p>
        </w:tc>
        <w:tc>
          <w:tcPr>
            <w:tcW w:w="1440" w:type="dxa"/>
            <w:noWrap/>
            <w:vAlign w:val="center"/>
            <w:hideMark/>
          </w:tcPr>
          <w:p w14:paraId="60B4F2F7" w14:textId="3014549D" w:rsidR="0037258A" w:rsidRPr="00060E7B" w:rsidRDefault="00F0737F" w:rsidP="0037258A">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高</w:t>
            </w:r>
          </w:p>
        </w:tc>
        <w:tc>
          <w:tcPr>
            <w:tcW w:w="896" w:type="dxa"/>
            <w:vAlign w:val="center"/>
          </w:tcPr>
          <w:p w14:paraId="3622C3C9" w14:textId="3E38F19F" w:rsidR="0037258A" w:rsidRPr="00060E7B" w:rsidRDefault="00F0737F" w:rsidP="0037258A">
            <w:pPr>
              <w:spacing w:before="40" w:after="40" w:line="240" w:lineRule="auto"/>
              <w:rPr>
                <w:color w:val="000000"/>
                <w:kern w:val="0"/>
                <w:lang w:eastAsia="zh-CN"/>
                <w14:ligatures w14:val="none"/>
              </w:rPr>
            </w:pPr>
            <w:r w:rsidRPr="00060E7B">
              <w:rPr>
                <w:rFonts w:hint="eastAsia"/>
                <w:lang w:eastAsia="zh-CN"/>
              </w:rPr>
              <w:t>基本</w:t>
            </w:r>
          </w:p>
        </w:tc>
      </w:tr>
      <w:tr w:rsidR="00102BB9" w:rsidRPr="00060E7B" w14:paraId="27E784CF" w14:textId="5C29C1B2" w:rsidTr="008C1FCB">
        <w:trPr>
          <w:trHeight w:val="144"/>
        </w:trPr>
        <w:tc>
          <w:tcPr>
            <w:tcW w:w="805" w:type="dxa"/>
            <w:noWrap/>
            <w:vAlign w:val="center"/>
            <w:hideMark/>
          </w:tcPr>
          <w:p w14:paraId="7A3F2A5E" w14:textId="09C40716" w:rsidR="00102BB9" w:rsidRPr="00060E7B" w:rsidRDefault="00102BB9" w:rsidP="00102BB9">
            <w:pPr>
              <w:spacing w:before="40" w:after="40" w:line="240" w:lineRule="auto"/>
              <w:rPr>
                <w:color w:val="000000"/>
                <w:kern w:val="0"/>
                <w:lang w:eastAsia="zh-CN"/>
                <w14:ligatures w14:val="none"/>
              </w:rPr>
            </w:pPr>
            <w:r w:rsidRPr="00060E7B">
              <w:rPr>
                <w:rFonts w:hint="eastAsia"/>
                <w:color w:val="000000"/>
                <w:kern w:val="0"/>
                <w:lang w:eastAsia="zh-CN"/>
                <w14:ligatures w14:val="none"/>
              </w:rPr>
              <w:t>66</w:t>
            </w:r>
          </w:p>
        </w:tc>
        <w:tc>
          <w:tcPr>
            <w:tcW w:w="4860" w:type="dxa"/>
            <w:noWrap/>
            <w:vAlign w:val="center"/>
            <w:hideMark/>
          </w:tcPr>
          <w:p w14:paraId="64493F19" w14:textId="03B385C7" w:rsidR="00102BB9"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基于可用资源提供必要的技术支持或培训，鼓励知识产权局提供符合产权组织标准</w:t>
            </w:r>
            <w:r w:rsidRPr="00060E7B">
              <w:rPr>
                <w:rFonts w:hint="eastAsia"/>
                <w:color w:val="000000"/>
                <w:kern w:val="0"/>
                <w:lang w:eastAsia="zh-CN"/>
                <w14:ligatures w14:val="none"/>
              </w:rPr>
              <w:t>ST.37</w:t>
            </w:r>
            <w:r w:rsidRPr="00060E7B">
              <w:rPr>
                <w:rFonts w:cs="Microsoft YaHei" w:hint="eastAsia"/>
                <w:color w:val="000000"/>
                <w:kern w:val="0"/>
                <w:lang w:eastAsia="zh-CN"/>
                <w14:ligatures w14:val="none"/>
              </w:rPr>
              <w:t>的专利权威文档；并对产权组织标准</w:t>
            </w:r>
            <w:r w:rsidRPr="00060E7B">
              <w:rPr>
                <w:rFonts w:hint="eastAsia"/>
                <w:color w:val="000000"/>
                <w:kern w:val="0"/>
                <w:lang w:eastAsia="zh-CN"/>
                <w14:ligatures w14:val="none"/>
              </w:rPr>
              <w:t>ST.37</w:t>
            </w:r>
            <w:r w:rsidRPr="00060E7B">
              <w:rPr>
                <w:rFonts w:cs="Microsoft YaHei" w:hint="eastAsia"/>
                <w:color w:val="000000"/>
                <w:kern w:val="0"/>
                <w:lang w:eastAsia="zh-CN"/>
                <w14:ligatures w14:val="none"/>
              </w:rPr>
              <w:t>进行任何必要的修订和更新。</w:t>
            </w:r>
          </w:p>
        </w:tc>
        <w:tc>
          <w:tcPr>
            <w:tcW w:w="1350" w:type="dxa"/>
            <w:noWrap/>
            <w:vAlign w:val="center"/>
            <w:hideMark/>
          </w:tcPr>
          <w:p w14:paraId="69069219" w14:textId="61B73FB8" w:rsidR="00102BB9" w:rsidRPr="00060E7B" w:rsidRDefault="00F0737F" w:rsidP="00102BB9">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活跃</w:t>
            </w:r>
          </w:p>
        </w:tc>
        <w:tc>
          <w:tcPr>
            <w:tcW w:w="1440" w:type="dxa"/>
            <w:noWrap/>
            <w:vAlign w:val="center"/>
            <w:hideMark/>
          </w:tcPr>
          <w:p w14:paraId="3C1FB820" w14:textId="78663A94" w:rsidR="00102BB9" w:rsidRPr="00060E7B" w:rsidRDefault="00F0737F" w:rsidP="00102BB9">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中</w:t>
            </w:r>
          </w:p>
        </w:tc>
        <w:tc>
          <w:tcPr>
            <w:tcW w:w="896" w:type="dxa"/>
            <w:vAlign w:val="center"/>
          </w:tcPr>
          <w:p w14:paraId="48F8B051" w14:textId="1D53D148" w:rsidR="00102BB9" w:rsidRPr="00060E7B" w:rsidDel="00674183" w:rsidRDefault="00F0737F" w:rsidP="00102BB9">
            <w:pPr>
              <w:spacing w:before="40" w:after="40" w:line="240" w:lineRule="auto"/>
              <w:rPr>
                <w:color w:val="000000"/>
                <w:kern w:val="0"/>
                <w:lang w:eastAsia="zh-CN"/>
                <w14:ligatures w14:val="none"/>
              </w:rPr>
            </w:pPr>
            <w:r w:rsidRPr="00060E7B">
              <w:rPr>
                <w:rFonts w:hint="eastAsia"/>
                <w:lang w:eastAsia="zh-CN"/>
              </w:rPr>
              <w:t>基本</w:t>
            </w:r>
          </w:p>
        </w:tc>
      </w:tr>
      <w:tr w:rsidR="00102BB9" w:rsidRPr="00060E7B" w14:paraId="13D0A02D" w14:textId="77777777" w:rsidTr="008C1FCB">
        <w:trPr>
          <w:trHeight w:val="144"/>
        </w:trPr>
        <w:tc>
          <w:tcPr>
            <w:tcW w:w="805" w:type="dxa"/>
            <w:noWrap/>
            <w:vAlign w:val="center"/>
          </w:tcPr>
          <w:p w14:paraId="5DA3A7DA" w14:textId="2E3F51E1" w:rsidR="00102BB9" w:rsidRPr="00060E7B" w:rsidRDefault="00102BB9" w:rsidP="00102BB9">
            <w:pPr>
              <w:spacing w:before="40" w:after="40" w:line="240" w:lineRule="auto"/>
              <w:rPr>
                <w:color w:val="000000"/>
                <w:kern w:val="0"/>
                <w:lang w:eastAsia="zh-CN"/>
                <w14:ligatures w14:val="none"/>
              </w:rPr>
            </w:pPr>
            <w:r w:rsidRPr="00060E7B">
              <w:rPr>
                <w:rFonts w:hint="eastAsia"/>
                <w:color w:val="000000"/>
                <w:kern w:val="0"/>
                <w:lang w:eastAsia="zh-CN"/>
                <w14:ligatures w14:val="none"/>
              </w:rPr>
              <w:t>67</w:t>
            </w:r>
          </w:p>
        </w:tc>
        <w:tc>
          <w:tcPr>
            <w:tcW w:w="4860" w:type="dxa"/>
            <w:noWrap/>
            <w:vAlign w:val="center"/>
          </w:tcPr>
          <w:p w14:paraId="6A6B4769" w14:textId="77B7AEF2" w:rsidR="00102BB9" w:rsidRPr="00060E7B" w:rsidRDefault="00A55F95" w:rsidP="008C1FCB">
            <w:pPr>
              <w:spacing w:before="40" w:after="40" w:line="340" w:lineRule="atLeast"/>
              <w:jc w:val="both"/>
              <w:rPr>
                <w:color w:val="000000"/>
                <w:kern w:val="0"/>
                <w:lang w:eastAsia="zh-CN"/>
                <w14:ligatures w14:val="none"/>
              </w:rPr>
            </w:pPr>
            <w:r w:rsidRPr="00060E7B">
              <w:rPr>
                <w:rFonts w:cs="Microsoft YaHei" w:hint="eastAsia"/>
                <w:color w:val="000000"/>
                <w:kern w:val="0"/>
                <w:lang w:eastAsia="zh-CN"/>
                <w14:ligatures w14:val="none"/>
              </w:rPr>
              <w:t>分析各知识产权局的现有做法和所遇挑战，以期探索解决方案来改善全球知识产权数据交换的获</w:t>
            </w:r>
            <w:r w:rsidR="006010C7">
              <w:rPr>
                <w:rFonts w:cs="Microsoft YaHei"/>
                <w:color w:val="000000"/>
                <w:kern w:val="0"/>
                <w:lang w:eastAsia="zh-CN"/>
                <w14:ligatures w14:val="none"/>
              </w:rPr>
              <w:t>‍</w:t>
            </w:r>
            <w:r w:rsidRPr="00060E7B">
              <w:rPr>
                <w:rFonts w:cs="Microsoft YaHei" w:hint="eastAsia"/>
                <w:color w:val="000000"/>
                <w:kern w:val="0"/>
                <w:lang w:eastAsia="zh-CN"/>
                <w14:ligatures w14:val="none"/>
              </w:rPr>
              <w:t>取。</w:t>
            </w:r>
          </w:p>
        </w:tc>
        <w:tc>
          <w:tcPr>
            <w:tcW w:w="1350" w:type="dxa"/>
            <w:noWrap/>
            <w:vAlign w:val="center"/>
          </w:tcPr>
          <w:p w14:paraId="309F7298" w14:textId="3C635A25" w:rsidR="00102BB9" w:rsidRPr="00060E7B" w:rsidRDefault="00F0737F" w:rsidP="00102BB9">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非常活跃</w:t>
            </w:r>
          </w:p>
        </w:tc>
        <w:tc>
          <w:tcPr>
            <w:tcW w:w="1440" w:type="dxa"/>
            <w:noWrap/>
            <w:vAlign w:val="center"/>
          </w:tcPr>
          <w:p w14:paraId="6FFBF6D3" w14:textId="4A8583B8" w:rsidR="00102BB9" w:rsidRPr="00060E7B" w:rsidDel="00674183" w:rsidRDefault="00F0737F" w:rsidP="00102BB9">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高</w:t>
            </w:r>
          </w:p>
        </w:tc>
        <w:tc>
          <w:tcPr>
            <w:tcW w:w="896" w:type="dxa"/>
            <w:vAlign w:val="center"/>
          </w:tcPr>
          <w:p w14:paraId="3038F30A" w14:textId="154DC73F" w:rsidR="00102BB9" w:rsidRPr="00060E7B" w:rsidRDefault="00F0737F" w:rsidP="00102BB9">
            <w:pPr>
              <w:spacing w:before="40" w:after="40" w:line="240" w:lineRule="auto"/>
              <w:rPr>
                <w:color w:val="000000"/>
                <w:kern w:val="0"/>
                <w:lang w:eastAsia="zh-CN"/>
                <w14:ligatures w14:val="none"/>
              </w:rPr>
            </w:pPr>
            <w:r w:rsidRPr="00060E7B">
              <w:rPr>
                <w:rFonts w:cs="Microsoft YaHei" w:hint="eastAsia"/>
                <w:color w:val="000000"/>
                <w:kern w:val="0"/>
                <w:lang w:eastAsia="zh-CN"/>
                <w14:ligatures w14:val="none"/>
              </w:rPr>
              <w:t>重要</w:t>
            </w:r>
          </w:p>
        </w:tc>
      </w:tr>
    </w:tbl>
    <w:p w14:paraId="7E5DFC1A" w14:textId="463F1AE9" w:rsidR="00727CB3" w:rsidRPr="00060E7B" w:rsidRDefault="00727CB3" w:rsidP="008C1FCB">
      <w:pPr>
        <w:overflowPunct w:val="0"/>
        <w:spacing w:before="720" w:afterLines="50" w:after="120" w:line="340" w:lineRule="atLeast"/>
        <w:ind w:left="5534"/>
        <w:jc w:val="both"/>
        <w:rPr>
          <w:rFonts w:ascii="KaiTi" w:eastAsia="KaiTi" w:hAnsi="Arial" w:cs="Noto Sans Display"/>
          <w:color w:val="000000"/>
          <w:lang w:eastAsia="zh-CN"/>
        </w:rPr>
      </w:pPr>
      <w:r w:rsidRPr="00060E7B">
        <w:rPr>
          <w:rFonts w:ascii="KaiTi" w:eastAsia="KaiTi" w:hAnsi="Arial" w:cs="Noto Sans Display" w:hint="eastAsia"/>
          <w:color w:val="000000"/>
          <w:lang w:eastAsia="zh-CN"/>
        </w:rPr>
        <w:t>[</w:t>
      </w:r>
      <w:r w:rsidR="00A55F95" w:rsidRPr="00060E7B">
        <w:rPr>
          <w:rFonts w:ascii="KaiTi" w:eastAsia="KaiTi" w:hAnsi="Arial" w:cs="Noto Sans Display" w:hint="eastAsia"/>
          <w:color w:val="000000"/>
          <w:lang w:eastAsia="zh-CN"/>
        </w:rPr>
        <w:t>附件二和文件完</w:t>
      </w:r>
      <w:r w:rsidRPr="00060E7B">
        <w:rPr>
          <w:rFonts w:ascii="KaiTi" w:eastAsia="KaiTi" w:hAnsi="Arial" w:cs="Noto Sans Display" w:hint="eastAsia"/>
          <w:color w:val="000000"/>
          <w:lang w:eastAsia="zh-CN"/>
        </w:rPr>
        <w:t>]</w:t>
      </w:r>
    </w:p>
    <w:sectPr w:rsidR="00727CB3" w:rsidRPr="00060E7B" w:rsidSect="008C1FCB">
      <w:headerReference w:type="even" r:id="rId13"/>
      <w:headerReference w:type="default" r:id="rId14"/>
      <w:footerReference w:type="even" r:id="rId15"/>
      <w:footerReference w:type="default" r:id="rId16"/>
      <w:headerReference w:type="first" r:id="rId17"/>
      <w:footerReference w:type="first" r:id="rId18"/>
      <w:pgSz w:w="11907" w:h="16840" w:code="9"/>
      <w:pgMar w:top="567" w:right="1134" w:bottom="1418" w:left="1418" w:header="510" w:footer="10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A2EA" w14:textId="77777777" w:rsidR="006B32B9" w:rsidRDefault="006B32B9" w:rsidP="002506EC">
      <w:pPr>
        <w:spacing w:after="0" w:line="240" w:lineRule="auto"/>
      </w:pPr>
      <w:r>
        <w:separator/>
      </w:r>
    </w:p>
  </w:endnote>
  <w:endnote w:type="continuationSeparator" w:id="0">
    <w:p w14:paraId="03BF4B79" w14:textId="77777777" w:rsidR="006B32B9" w:rsidRDefault="006B32B9" w:rsidP="0025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KaiTi">
    <w:charset w:val="86"/>
    <w:family w:val="modern"/>
    <w:pitch w:val="fixed"/>
    <w:sig w:usb0="800002BF" w:usb1="38CF7CFA" w:usb2="00000016" w:usb3="00000000" w:csb0="00040001" w:csb1="00000000"/>
  </w:font>
  <w:font w:name="Noto Sans Display">
    <w:panose1 w:val="020B0502040504020204"/>
    <w:charset w:val="00"/>
    <w:family w:val="swiss"/>
    <w:pitch w:val="variable"/>
    <w:sig w:usb0="E00002FF" w:usb1="4000201F" w:usb2="0800002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788C" w14:textId="77777777" w:rsidR="00503B11" w:rsidRDefault="00503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B928" w14:textId="77777777" w:rsidR="00503B11" w:rsidRDefault="00503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A825" w14:textId="77777777" w:rsidR="00503B11" w:rsidRDefault="00503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4E018" w14:textId="77777777" w:rsidR="006B32B9" w:rsidRDefault="006B32B9" w:rsidP="002506EC">
      <w:pPr>
        <w:spacing w:after="0" w:line="240" w:lineRule="auto"/>
      </w:pPr>
      <w:r>
        <w:separator/>
      </w:r>
    </w:p>
  </w:footnote>
  <w:footnote w:type="continuationSeparator" w:id="0">
    <w:p w14:paraId="428E653E" w14:textId="77777777" w:rsidR="006B32B9" w:rsidRDefault="006B32B9" w:rsidP="00250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1582" w14:textId="77777777" w:rsidR="00503B11" w:rsidRDefault="00503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03F7" w14:textId="29E4A499" w:rsidR="002B3F16" w:rsidRPr="008C1FCB" w:rsidRDefault="002B3F16" w:rsidP="00342341">
    <w:pPr>
      <w:pStyle w:val="Header"/>
      <w:wordWrap w:val="0"/>
      <w:jc w:val="right"/>
      <w:rPr>
        <w:lang w:val="fr-CH" w:eastAsia="zh-CN"/>
      </w:rPr>
    </w:pPr>
    <w:r w:rsidRPr="008C1FCB">
      <w:rPr>
        <w:lang w:val="fr-CH"/>
      </w:rPr>
      <w:t>CWS/1</w:t>
    </w:r>
    <w:r w:rsidR="00313858" w:rsidRPr="008C1FCB">
      <w:rPr>
        <w:lang w:val="fr-CH"/>
      </w:rPr>
      <w:t>3</w:t>
    </w:r>
    <w:r w:rsidRPr="008C1FCB">
      <w:rPr>
        <w:lang w:val="fr-CH"/>
      </w:rPr>
      <w:t>/</w:t>
    </w:r>
    <w:r w:rsidR="00313858" w:rsidRPr="008C1FCB">
      <w:rPr>
        <w:lang w:val="fr-CH"/>
      </w:rPr>
      <w:t>31</w:t>
    </w:r>
    <w:r w:rsidR="00342341">
      <w:rPr>
        <w:rFonts w:hint="eastAsia"/>
        <w:lang w:val="fr-CH" w:eastAsia="zh-CN"/>
      </w:rPr>
      <w:t xml:space="preserve"> Rev.</w:t>
    </w:r>
    <w:r w:rsidR="00503B11">
      <w:rPr>
        <w:rFonts w:hint="eastAsia"/>
        <w:lang w:val="fr-CH" w:eastAsia="zh-CN"/>
      </w:rPr>
      <w:t>2</w:t>
    </w:r>
  </w:p>
  <w:p w14:paraId="131D9010" w14:textId="573FEC82" w:rsidR="00532691" w:rsidRPr="008C1FCB" w:rsidRDefault="00F0737F" w:rsidP="008C1FCB">
    <w:pPr>
      <w:pStyle w:val="Header"/>
      <w:spacing w:afterLines="100" w:after="240"/>
      <w:jc w:val="right"/>
      <w:rPr>
        <w:lang w:val="fr-CH"/>
      </w:rPr>
    </w:pPr>
    <w:r w:rsidRPr="008C1FCB">
      <w:rPr>
        <w:rFonts w:hint="eastAsia"/>
        <w:lang w:eastAsia="zh-CN"/>
      </w:rPr>
      <w:t>附件二第</w:t>
    </w:r>
    <w:r w:rsidR="00532691" w:rsidRPr="008C1FCB">
      <w:fldChar w:fldCharType="begin"/>
    </w:r>
    <w:r w:rsidR="00532691" w:rsidRPr="008C1FCB">
      <w:rPr>
        <w:lang w:val="fr-CH"/>
      </w:rPr>
      <w:instrText xml:space="preserve"> PAGE   \* MERGEFORMAT </w:instrText>
    </w:r>
    <w:r w:rsidR="00532691" w:rsidRPr="008C1FCB">
      <w:fldChar w:fldCharType="separate"/>
    </w:r>
    <w:r w:rsidR="00532691" w:rsidRPr="008C1FCB">
      <w:rPr>
        <w:noProof/>
        <w:lang w:val="fr-CH"/>
      </w:rPr>
      <w:t>1</w:t>
    </w:r>
    <w:r w:rsidR="00532691" w:rsidRPr="008C1FCB">
      <w:rPr>
        <w:noProof/>
      </w:rPr>
      <w:fldChar w:fldCharType="end"/>
    </w:r>
    <w:r w:rsidRPr="008C1FCB">
      <w:rPr>
        <w:rFonts w:hint="eastAsia"/>
        <w:noProof/>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2DA3" w14:textId="438B3FEC" w:rsidR="00532691" w:rsidRPr="008C1FCB" w:rsidRDefault="00532691" w:rsidP="008C1FCB">
    <w:pPr>
      <w:pStyle w:val="Header"/>
      <w:jc w:val="right"/>
    </w:pPr>
    <w:r w:rsidRPr="008C1FCB">
      <w:t>CWS/13/31</w:t>
    </w:r>
    <w:r w:rsidR="00342341">
      <w:rPr>
        <w:rFonts w:hint="eastAsia"/>
        <w:lang w:val="fr-CH" w:eastAsia="zh-CN"/>
      </w:rPr>
      <w:t xml:space="preserve"> Rev.</w:t>
    </w:r>
    <w:r w:rsidR="00503B11">
      <w:rPr>
        <w:rFonts w:hint="eastAsia"/>
        <w:lang w:val="fr-CH" w:eastAsia="zh-CN"/>
      </w:rPr>
      <w:t>2</w:t>
    </w:r>
  </w:p>
  <w:p w14:paraId="4F428B86" w14:textId="1C76C371" w:rsidR="00532691" w:rsidRPr="008C1FCB" w:rsidRDefault="00F0737F" w:rsidP="008C1FCB">
    <w:pPr>
      <w:pStyle w:val="Header"/>
      <w:spacing w:afterLines="100" w:after="240"/>
      <w:jc w:val="right"/>
    </w:pPr>
    <w:r w:rsidRPr="008C1FCB">
      <w:rPr>
        <w:rFonts w:hint="eastAsia"/>
        <w:lang w:eastAsia="zh-CN"/>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E75"/>
    <w:multiLevelType w:val="hybridMultilevel"/>
    <w:tmpl w:val="355A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E54ED"/>
    <w:multiLevelType w:val="hybridMultilevel"/>
    <w:tmpl w:val="8D7A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C548CF"/>
    <w:multiLevelType w:val="hybridMultilevel"/>
    <w:tmpl w:val="F3B656AA"/>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524EA1"/>
    <w:multiLevelType w:val="hybridMultilevel"/>
    <w:tmpl w:val="6CF8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954037">
    <w:abstractNumId w:val="0"/>
  </w:num>
  <w:num w:numId="2" w16cid:durableId="196816423">
    <w:abstractNumId w:val="1"/>
  </w:num>
  <w:num w:numId="3" w16cid:durableId="129902249">
    <w:abstractNumId w:val="3"/>
  </w:num>
  <w:num w:numId="4" w16cid:durableId="677662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EC"/>
    <w:rsid w:val="00010BCB"/>
    <w:rsid w:val="00014E31"/>
    <w:rsid w:val="000361B8"/>
    <w:rsid w:val="00036854"/>
    <w:rsid w:val="0004451B"/>
    <w:rsid w:val="00060E7B"/>
    <w:rsid w:val="00061692"/>
    <w:rsid w:val="000702B9"/>
    <w:rsid w:val="00071CFB"/>
    <w:rsid w:val="0007341E"/>
    <w:rsid w:val="000879A0"/>
    <w:rsid w:val="000A7F1E"/>
    <w:rsid w:val="000B3291"/>
    <w:rsid w:val="000C0B01"/>
    <w:rsid w:val="000D1E10"/>
    <w:rsid w:val="000D3A20"/>
    <w:rsid w:val="000F0714"/>
    <w:rsid w:val="00102BB9"/>
    <w:rsid w:val="00103EDE"/>
    <w:rsid w:val="0010477A"/>
    <w:rsid w:val="001164F7"/>
    <w:rsid w:val="001269C7"/>
    <w:rsid w:val="00126CCA"/>
    <w:rsid w:val="00127818"/>
    <w:rsid w:val="001319A1"/>
    <w:rsid w:val="0013313A"/>
    <w:rsid w:val="0013486D"/>
    <w:rsid w:val="00136BEC"/>
    <w:rsid w:val="00145AF6"/>
    <w:rsid w:val="00150DA6"/>
    <w:rsid w:val="00151276"/>
    <w:rsid w:val="00173676"/>
    <w:rsid w:val="00175D3E"/>
    <w:rsid w:val="00182A89"/>
    <w:rsid w:val="00183AD8"/>
    <w:rsid w:val="001A1B7C"/>
    <w:rsid w:val="001C6F82"/>
    <w:rsid w:val="001D1AF2"/>
    <w:rsid w:val="001F7CE5"/>
    <w:rsid w:val="00213A00"/>
    <w:rsid w:val="00222215"/>
    <w:rsid w:val="002506EC"/>
    <w:rsid w:val="002647A4"/>
    <w:rsid w:val="00265489"/>
    <w:rsid w:val="002679D8"/>
    <w:rsid w:val="00267C13"/>
    <w:rsid w:val="002712AC"/>
    <w:rsid w:val="00290941"/>
    <w:rsid w:val="00290F5E"/>
    <w:rsid w:val="002B3F16"/>
    <w:rsid w:val="002C03D7"/>
    <w:rsid w:val="002D2661"/>
    <w:rsid w:val="002E29BD"/>
    <w:rsid w:val="002E6B75"/>
    <w:rsid w:val="002F10A5"/>
    <w:rsid w:val="002F16DE"/>
    <w:rsid w:val="003007BF"/>
    <w:rsid w:val="00305BFF"/>
    <w:rsid w:val="00306079"/>
    <w:rsid w:val="00313858"/>
    <w:rsid w:val="00315B11"/>
    <w:rsid w:val="003216FA"/>
    <w:rsid w:val="00322CAF"/>
    <w:rsid w:val="0032641E"/>
    <w:rsid w:val="00327B6B"/>
    <w:rsid w:val="00327EDE"/>
    <w:rsid w:val="003361D3"/>
    <w:rsid w:val="00342341"/>
    <w:rsid w:val="00347199"/>
    <w:rsid w:val="003716AF"/>
    <w:rsid w:val="0037258A"/>
    <w:rsid w:val="00396263"/>
    <w:rsid w:val="003A6804"/>
    <w:rsid w:val="003B0276"/>
    <w:rsid w:val="003D041D"/>
    <w:rsid w:val="003F03ED"/>
    <w:rsid w:val="004074E9"/>
    <w:rsid w:val="00421060"/>
    <w:rsid w:val="00426A4D"/>
    <w:rsid w:val="00434951"/>
    <w:rsid w:val="00470F6F"/>
    <w:rsid w:val="00472D4F"/>
    <w:rsid w:val="00472DD9"/>
    <w:rsid w:val="004739AB"/>
    <w:rsid w:val="00493285"/>
    <w:rsid w:val="004A0F34"/>
    <w:rsid w:val="004A539C"/>
    <w:rsid w:val="004A62CB"/>
    <w:rsid w:val="004A73B6"/>
    <w:rsid w:val="004C2591"/>
    <w:rsid w:val="004C50E8"/>
    <w:rsid w:val="004C5BC9"/>
    <w:rsid w:val="004E07D8"/>
    <w:rsid w:val="004E0CAF"/>
    <w:rsid w:val="00503B11"/>
    <w:rsid w:val="00504BB3"/>
    <w:rsid w:val="005129A8"/>
    <w:rsid w:val="00522E4A"/>
    <w:rsid w:val="005247C5"/>
    <w:rsid w:val="00524E7E"/>
    <w:rsid w:val="00525C74"/>
    <w:rsid w:val="00527E61"/>
    <w:rsid w:val="00530CCB"/>
    <w:rsid w:val="00531E4F"/>
    <w:rsid w:val="00532691"/>
    <w:rsid w:val="0054282C"/>
    <w:rsid w:val="00567F95"/>
    <w:rsid w:val="00580AC0"/>
    <w:rsid w:val="00583D45"/>
    <w:rsid w:val="00585F19"/>
    <w:rsid w:val="00586AFA"/>
    <w:rsid w:val="005A3588"/>
    <w:rsid w:val="005A43F5"/>
    <w:rsid w:val="005A552E"/>
    <w:rsid w:val="005A59F8"/>
    <w:rsid w:val="005D5BCB"/>
    <w:rsid w:val="005E33A7"/>
    <w:rsid w:val="005F0504"/>
    <w:rsid w:val="00600784"/>
    <w:rsid w:val="006010C7"/>
    <w:rsid w:val="006046F9"/>
    <w:rsid w:val="0060477B"/>
    <w:rsid w:val="00607F30"/>
    <w:rsid w:val="00610694"/>
    <w:rsid w:val="006662B9"/>
    <w:rsid w:val="00671E66"/>
    <w:rsid w:val="00674183"/>
    <w:rsid w:val="00684385"/>
    <w:rsid w:val="00687739"/>
    <w:rsid w:val="006908A8"/>
    <w:rsid w:val="00694445"/>
    <w:rsid w:val="006A550E"/>
    <w:rsid w:val="006A6D3C"/>
    <w:rsid w:val="006B32B9"/>
    <w:rsid w:val="006B4DFA"/>
    <w:rsid w:val="006C015D"/>
    <w:rsid w:val="006C24C5"/>
    <w:rsid w:val="006D6BE2"/>
    <w:rsid w:val="006D7349"/>
    <w:rsid w:val="006F23B2"/>
    <w:rsid w:val="00701833"/>
    <w:rsid w:val="00701926"/>
    <w:rsid w:val="00702D3A"/>
    <w:rsid w:val="00727CB3"/>
    <w:rsid w:val="00741F97"/>
    <w:rsid w:val="0075511A"/>
    <w:rsid w:val="00761CA8"/>
    <w:rsid w:val="007645FD"/>
    <w:rsid w:val="007743B8"/>
    <w:rsid w:val="0079347E"/>
    <w:rsid w:val="007A63A9"/>
    <w:rsid w:val="007B01FB"/>
    <w:rsid w:val="007C198E"/>
    <w:rsid w:val="007D0010"/>
    <w:rsid w:val="007D228A"/>
    <w:rsid w:val="007E5C22"/>
    <w:rsid w:val="007F7AD9"/>
    <w:rsid w:val="0080650E"/>
    <w:rsid w:val="00815118"/>
    <w:rsid w:val="00815837"/>
    <w:rsid w:val="00821AE1"/>
    <w:rsid w:val="008326B5"/>
    <w:rsid w:val="00833CB3"/>
    <w:rsid w:val="008342D1"/>
    <w:rsid w:val="00844DC9"/>
    <w:rsid w:val="00855D85"/>
    <w:rsid w:val="008663AD"/>
    <w:rsid w:val="00873E96"/>
    <w:rsid w:val="008828A1"/>
    <w:rsid w:val="00884845"/>
    <w:rsid w:val="00884F35"/>
    <w:rsid w:val="008930F2"/>
    <w:rsid w:val="008948DA"/>
    <w:rsid w:val="008A190B"/>
    <w:rsid w:val="008A6642"/>
    <w:rsid w:val="008B3EE5"/>
    <w:rsid w:val="008C1FCB"/>
    <w:rsid w:val="008C2946"/>
    <w:rsid w:val="008C7818"/>
    <w:rsid w:val="008D3155"/>
    <w:rsid w:val="008D543D"/>
    <w:rsid w:val="008F7158"/>
    <w:rsid w:val="00907C17"/>
    <w:rsid w:val="00915A8B"/>
    <w:rsid w:val="00916659"/>
    <w:rsid w:val="00923802"/>
    <w:rsid w:val="00936103"/>
    <w:rsid w:val="00954EA8"/>
    <w:rsid w:val="00961EB9"/>
    <w:rsid w:val="00975FC0"/>
    <w:rsid w:val="0098606B"/>
    <w:rsid w:val="00992009"/>
    <w:rsid w:val="00992A75"/>
    <w:rsid w:val="00994AC0"/>
    <w:rsid w:val="009A2F2F"/>
    <w:rsid w:val="009A3D85"/>
    <w:rsid w:val="009A6C28"/>
    <w:rsid w:val="009B651D"/>
    <w:rsid w:val="009C0217"/>
    <w:rsid w:val="009C2D97"/>
    <w:rsid w:val="009C3717"/>
    <w:rsid w:val="009C5D18"/>
    <w:rsid w:val="009C6244"/>
    <w:rsid w:val="009C6FEC"/>
    <w:rsid w:val="009D4C49"/>
    <w:rsid w:val="009D56AC"/>
    <w:rsid w:val="009F2150"/>
    <w:rsid w:val="009F4DD9"/>
    <w:rsid w:val="00A21372"/>
    <w:rsid w:val="00A22A38"/>
    <w:rsid w:val="00A352DD"/>
    <w:rsid w:val="00A371DF"/>
    <w:rsid w:val="00A47E45"/>
    <w:rsid w:val="00A55F95"/>
    <w:rsid w:val="00A60ED9"/>
    <w:rsid w:val="00A61192"/>
    <w:rsid w:val="00A63182"/>
    <w:rsid w:val="00A72B34"/>
    <w:rsid w:val="00A7451E"/>
    <w:rsid w:val="00A83443"/>
    <w:rsid w:val="00A94559"/>
    <w:rsid w:val="00A95ED5"/>
    <w:rsid w:val="00AA0094"/>
    <w:rsid w:val="00AA21A3"/>
    <w:rsid w:val="00AA634D"/>
    <w:rsid w:val="00AB43B6"/>
    <w:rsid w:val="00AB5EE4"/>
    <w:rsid w:val="00AB7BDC"/>
    <w:rsid w:val="00AC2684"/>
    <w:rsid w:val="00B1264A"/>
    <w:rsid w:val="00B31211"/>
    <w:rsid w:val="00B3708D"/>
    <w:rsid w:val="00B563B1"/>
    <w:rsid w:val="00B60749"/>
    <w:rsid w:val="00B6743D"/>
    <w:rsid w:val="00B72CF3"/>
    <w:rsid w:val="00B744CD"/>
    <w:rsid w:val="00B85C35"/>
    <w:rsid w:val="00B91C8D"/>
    <w:rsid w:val="00B95E2F"/>
    <w:rsid w:val="00BA1997"/>
    <w:rsid w:val="00BA1E4F"/>
    <w:rsid w:val="00BA3845"/>
    <w:rsid w:val="00BB3A57"/>
    <w:rsid w:val="00BB5584"/>
    <w:rsid w:val="00BC3B18"/>
    <w:rsid w:val="00BC6617"/>
    <w:rsid w:val="00BD4920"/>
    <w:rsid w:val="00BE044E"/>
    <w:rsid w:val="00BE259B"/>
    <w:rsid w:val="00BE6AE5"/>
    <w:rsid w:val="00BF2E59"/>
    <w:rsid w:val="00BF4FCE"/>
    <w:rsid w:val="00C05F3D"/>
    <w:rsid w:val="00C11C9E"/>
    <w:rsid w:val="00C27494"/>
    <w:rsid w:val="00C27A3A"/>
    <w:rsid w:val="00C52075"/>
    <w:rsid w:val="00C672BD"/>
    <w:rsid w:val="00C67461"/>
    <w:rsid w:val="00C677C4"/>
    <w:rsid w:val="00C75EA5"/>
    <w:rsid w:val="00CA09C0"/>
    <w:rsid w:val="00CB2A2E"/>
    <w:rsid w:val="00CB4F84"/>
    <w:rsid w:val="00CD229C"/>
    <w:rsid w:val="00CE31A5"/>
    <w:rsid w:val="00CE3B75"/>
    <w:rsid w:val="00CE4A48"/>
    <w:rsid w:val="00CE4AED"/>
    <w:rsid w:val="00CE6289"/>
    <w:rsid w:val="00CF0462"/>
    <w:rsid w:val="00CF363E"/>
    <w:rsid w:val="00CF416A"/>
    <w:rsid w:val="00CF5634"/>
    <w:rsid w:val="00CF669F"/>
    <w:rsid w:val="00D06412"/>
    <w:rsid w:val="00D14142"/>
    <w:rsid w:val="00D34929"/>
    <w:rsid w:val="00D45694"/>
    <w:rsid w:val="00D508A0"/>
    <w:rsid w:val="00D5486C"/>
    <w:rsid w:val="00D55C85"/>
    <w:rsid w:val="00D615E3"/>
    <w:rsid w:val="00D72572"/>
    <w:rsid w:val="00D8505B"/>
    <w:rsid w:val="00D93F6C"/>
    <w:rsid w:val="00DA77C7"/>
    <w:rsid w:val="00DB136F"/>
    <w:rsid w:val="00DB16C9"/>
    <w:rsid w:val="00DB3546"/>
    <w:rsid w:val="00DD6E8B"/>
    <w:rsid w:val="00DE6376"/>
    <w:rsid w:val="00DF48A2"/>
    <w:rsid w:val="00E029BE"/>
    <w:rsid w:val="00E059A1"/>
    <w:rsid w:val="00E10512"/>
    <w:rsid w:val="00E226E5"/>
    <w:rsid w:val="00E24B48"/>
    <w:rsid w:val="00E30D1E"/>
    <w:rsid w:val="00E30D26"/>
    <w:rsid w:val="00E40A69"/>
    <w:rsid w:val="00E5210A"/>
    <w:rsid w:val="00E56EBF"/>
    <w:rsid w:val="00E633DB"/>
    <w:rsid w:val="00E7280F"/>
    <w:rsid w:val="00E77E88"/>
    <w:rsid w:val="00E96B99"/>
    <w:rsid w:val="00EA2FCA"/>
    <w:rsid w:val="00F0737F"/>
    <w:rsid w:val="00F11FEB"/>
    <w:rsid w:val="00F20F12"/>
    <w:rsid w:val="00F521DA"/>
    <w:rsid w:val="00F60F08"/>
    <w:rsid w:val="00F66132"/>
    <w:rsid w:val="00F66AC8"/>
    <w:rsid w:val="00F738FE"/>
    <w:rsid w:val="00F77239"/>
    <w:rsid w:val="00F823BB"/>
    <w:rsid w:val="00F91800"/>
    <w:rsid w:val="00F93495"/>
    <w:rsid w:val="00F94832"/>
    <w:rsid w:val="00F96222"/>
    <w:rsid w:val="00FB39A0"/>
    <w:rsid w:val="00FB5110"/>
    <w:rsid w:val="00FF31BA"/>
    <w:rsid w:val="018FE636"/>
    <w:rsid w:val="09693ABE"/>
    <w:rsid w:val="09A68F86"/>
    <w:rsid w:val="177C34A2"/>
    <w:rsid w:val="1891F3A4"/>
    <w:rsid w:val="1B1B6305"/>
    <w:rsid w:val="1C934FBD"/>
    <w:rsid w:val="1F0C6972"/>
    <w:rsid w:val="1FEA6FD4"/>
    <w:rsid w:val="2789D2C6"/>
    <w:rsid w:val="2D6E6F3F"/>
    <w:rsid w:val="461D2177"/>
    <w:rsid w:val="536D712D"/>
    <w:rsid w:val="5E55F26F"/>
    <w:rsid w:val="600ECF19"/>
    <w:rsid w:val="61732803"/>
    <w:rsid w:val="64E59D84"/>
    <w:rsid w:val="729A9E17"/>
    <w:rsid w:val="7408AF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3C4AF"/>
  <w15:chartTrackingRefBased/>
  <w15:docId w15:val="{B5A83246-6F53-499D-A9DC-E10ADD15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Sun" w:eastAsia="SimSun" w:hAnsi="SimSun"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6EC"/>
    <w:rPr>
      <w:rFonts w:eastAsiaTheme="majorEastAsia" w:cstheme="majorBidi"/>
      <w:color w:val="272727" w:themeColor="text1" w:themeTint="D8"/>
    </w:rPr>
  </w:style>
  <w:style w:type="paragraph" w:styleId="Title">
    <w:name w:val="Title"/>
    <w:basedOn w:val="Normal"/>
    <w:next w:val="Normal"/>
    <w:link w:val="TitleChar"/>
    <w:uiPriority w:val="10"/>
    <w:qFormat/>
    <w:rsid w:val="00250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6EC"/>
    <w:pPr>
      <w:spacing w:before="160"/>
      <w:jc w:val="center"/>
    </w:pPr>
    <w:rPr>
      <w:i/>
      <w:iCs/>
      <w:color w:val="404040" w:themeColor="text1" w:themeTint="BF"/>
    </w:rPr>
  </w:style>
  <w:style w:type="character" w:customStyle="1" w:styleId="QuoteChar">
    <w:name w:val="Quote Char"/>
    <w:basedOn w:val="DefaultParagraphFont"/>
    <w:link w:val="Quote"/>
    <w:uiPriority w:val="29"/>
    <w:rsid w:val="002506EC"/>
    <w:rPr>
      <w:i/>
      <w:iCs/>
      <w:color w:val="404040" w:themeColor="text1" w:themeTint="BF"/>
    </w:rPr>
  </w:style>
  <w:style w:type="paragraph" w:styleId="ListParagraph">
    <w:name w:val="List Paragraph"/>
    <w:basedOn w:val="Normal"/>
    <w:uiPriority w:val="34"/>
    <w:qFormat/>
    <w:rsid w:val="002506EC"/>
    <w:pPr>
      <w:ind w:left="720"/>
      <w:contextualSpacing/>
    </w:pPr>
  </w:style>
  <w:style w:type="character" w:styleId="IntenseEmphasis">
    <w:name w:val="Intense Emphasis"/>
    <w:basedOn w:val="DefaultParagraphFont"/>
    <w:uiPriority w:val="21"/>
    <w:qFormat/>
    <w:rsid w:val="002506EC"/>
    <w:rPr>
      <w:i/>
      <w:iCs/>
      <w:color w:val="0F4761" w:themeColor="accent1" w:themeShade="BF"/>
    </w:rPr>
  </w:style>
  <w:style w:type="paragraph" w:styleId="IntenseQuote">
    <w:name w:val="Intense Quote"/>
    <w:basedOn w:val="Normal"/>
    <w:next w:val="Normal"/>
    <w:link w:val="IntenseQuoteChar"/>
    <w:uiPriority w:val="30"/>
    <w:qFormat/>
    <w:rsid w:val="00250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6EC"/>
    <w:rPr>
      <w:i/>
      <w:iCs/>
      <w:color w:val="0F4761" w:themeColor="accent1" w:themeShade="BF"/>
    </w:rPr>
  </w:style>
  <w:style w:type="character" w:styleId="IntenseReference">
    <w:name w:val="Intense Reference"/>
    <w:basedOn w:val="DefaultParagraphFont"/>
    <w:uiPriority w:val="32"/>
    <w:qFormat/>
    <w:rsid w:val="002506EC"/>
    <w:rPr>
      <w:b/>
      <w:bCs/>
      <w:smallCaps/>
      <w:color w:val="0F4761" w:themeColor="accent1" w:themeShade="BF"/>
      <w:spacing w:val="5"/>
    </w:rPr>
  </w:style>
  <w:style w:type="paragraph" w:styleId="Footer">
    <w:name w:val="footer"/>
    <w:basedOn w:val="Normal"/>
    <w:link w:val="FooterChar"/>
    <w:uiPriority w:val="99"/>
    <w:unhideWhenUsed/>
    <w:rsid w:val="00250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6EC"/>
  </w:style>
  <w:style w:type="paragraph" w:styleId="Header">
    <w:name w:val="header"/>
    <w:basedOn w:val="Normal"/>
    <w:link w:val="HeaderChar"/>
    <w:uiPriority w:val="99"/>
    <w:unhideWhenUsed/>
    <w:rsid w:val="002B3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F16"/>
  </w:style>
  <w:style w:type="paragraph" w:styleId="Revision">
    <w:name w:val="Revision"/>
    <w:hidden/>
    <w:uiPriority w:val="99"/>
    <w:semiHidden/>
    <w:rsid w:val="00961EB9"/>
    <w:pPr>
      <w:spacing w:after="0" w:line="240" w:lineRule="auto"/>
    </w:pPr>
  </w:style>
  <w:style w:type="character" w:styleId="CommentReference">
    <w:name w:val="annotation reference"/>
    <w:basedOn w:val="DefaultParagraphFont"/>
    <w:semiHidden/>
    <w:unhideWhenUsed/>
    <w:rsid w:val="00A72B34"/>
    <w:rPr>
      <w:sz w:val="16"/>
      <w:szCs w:val="16"/>
    </w:rPr>
  </w:style>
  <w:style w:type="paragraph" w:styleId="CommentText">
    <w:name w:val="annotation text"/>
    <w:basedOn w:val="Normal"/>
    <w:link w:val="CommentTextChar"/>
    <w:unhideWhenUsed/>
    <w:rsid w:val="00A72B34"/>
    <w:pPr>
      <w:spacing w:line="240" w:lineRule="auto"/>
    </w:pPr>
    <w:rPr>
      <w:sz w:val="20"/>
      <w:szCs w:val="20"/>
    </w:rPr>
  </w:style>
  <w:style w:type="character" w:customStyle="1" w:styleId="CommentTextChar">
    <w:name w:val="Comment Text Char"/>
    <w:basedOn w:val="DefaultParagraphFont"/>
    <w:link w:val="CommentText"/>
    <w:rsid w:val="00A72B34"/>
    <w:rPr>
      <w:sz w:val="20"/>
      <w:szCs w:val="20"/>
    </w:rPr>
  </w:style>
  <w:style w:type="paragraph" w:styleId="CommentSubject">
    <w:name w:val="annotation subject"/>
    <w:basedOn w:val="CommentText"/>
    <w:next w:val="CommentText"/>
    <w:link w:val="CommentSubjectChar"/>
    <w:uiPriority w:val="99"/>
    <w:semiHidden/>
    <w:unhideWhenUsed/>
    <w:rsid w:val="00A72B34"/>
    <w:rPr>
      <w:b/>
      <w:bCs/>
    </w:rPr>
  </w:style>
  <w:style w:type="character" w:customStyle="1" w:styleId="CommentSubjectChar">
    <w:name w:val="Comment Subject Char"/>
    <w:basedOn w:val="CommentTextChar"/>
    <w:link w:val="CommentSubject"/>
    <w:uiPriority w:val="99"/>
    <w:semiHidden/>
    <w:rsid w:val="00A72B34"/>
    <w:rPr>
      <w:b/>
      <w:bCs/>
      <w:sz w:val="20"/>
      <w:szCs w:val="20"/>
    </w:rPr>
  </w:style>
  <w:style w:type="character" w:customStyle="1" w:styleId="normaltextrun">
    <w:name w:val="normaltextrun"/>
    <w:basedOn w:val="DefaultParagraphFont"/>
    <w:rsid w:val="001269C7"/>
  </w:style>
  <w:style w:type="character" w:styleId="Hyperlink">
    <w:name w:val="Hyperlink"/>
    <w:unhideWhenUsed/>
    <w:rsid w:val="00873E96"/>
    <w:rPr>
      <w:color w:val="0000FF"/>
      <w:u w:val="single"/>
    </w:rPr>
  </w:style>
  <w:style w:type="paragraph" w:customStyle="1" w:styleId="Endofdocument">
    <w:name w:val="End of document"/>
    <w:basedOn w:val="Normal"/>
    <w:rsid w:val="00727CB3"/>
    <w:pPr>
      <w:spacing w:after="0" w:line="240" w:lineRule="auto"/>
      <w:ind w:left="5534"/>
    </w:pPr>
    <w:rPr>
      <w:rFonts w:ascii="Arial" w:hAnsi="Arial"/>
      <w:kern w:val="0"/>
      <w:szCs w:val="20"/>
      <w:lang w:eastAsia="zh-CN"/>
      <w14:ligatures w14:val="none"/>
    </w:rPr>
  </w:style>
  <w:style w:type="paragraph" w:styleId="NormalWeb">
    <w:name w:val="Normal (Web)"/>
    <w:basedOn w:val="Normal"/>
    <w:uiPriority w:val="99"/>
    <w:semiHidden/>
    <w:unhideWhenUsed/>
    <w:rsid w:val="007B01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0620">
      <w:bodyDiv w:val="1"/>
      <w:marLeft w:val="0"/>
      <w:marRight w:val="0"/>
      <w:marTop w:val="0"/>
      <w:marBottom w:val="0"/>
      <w:divBdr>
        <w:top w:val="none" w:sz="0" w:space="0" w:color="auto"/>
        <w:left w:val="none" w:sz="0" w:space="0" w:color="auto"/>
        <w:bottom w:val="none" w:sz="0" w:space="0" w:color="auto"/>
        <w:right w:val="none" w:sz="0" w:space="0" w:color="auto"/>
      </w:divBdr>
    </w:div>
    <w:div w:id="169102329">
      <w:bodyDiv w:val="1"/>
      <w:marLeft w:val="0"/>
      <w:marRight w:val="0"/>
      <w:marTop w:val="0"/>
      <w:marBottom w:val="0"/>
      <w:divBdr>
        <w:top w:val="none" w:sz="0" w:space="0" w:color="auto"/>
        <w:left w:val="none" w:sz="0" w:space="0" w:color="auto"/>
        <w:bottom w:val="none" w:sz="0" w:space="0" w:color="auto"/>
        <w:right w:val="none" w:sz="0" w:space="0" w:color="auto"/>
      </w:divBdr>
    </w:div>
    <w:div w:id="661323978">
      <w:bodyDiv w:val="1"/>
      <w:marLeft w:val="0"/>
      <w:marRight w:val="0"/>
      <w:marTop w:val="0"/>
      <w:marBottom w:val="0"/>
      <w:divBdr>
        <w:top w:val="none" w:sz="0" w:space="0" w:color="auto"/>
        <w:left w:val="none" w:sz="0" w:space="0" w:color="auto"/>
        <w:bottom w:val="none" w:sz="0" w:space="0" w:color="auto"/>
        <w:right w:val="none" w:sz="0" w:space="0" w:color="auto"/>
      </w:divBdr>
    </w:div>
    <w:div w:id="1314680733">
      <w:bodyDiv w:val="1"/>
      <w:marLeft w:val="0"/>
      <w:marRight w:val="0"/>
      <w:marTop w:val="0"/>
      <w:marBottom w:val="0"/>
      <w:divBdr>
        <w:top w:val="none" w:sz="0" w:space="0" w:color="auto"/>
        <w:left w:val="none" w:sz="0" w:space="0" w:color="auto"/>
        <w:bottom w:val="none" w:sz="0" w:space="0" w:color="auto"/>
        <w:right w:val="none" w:sz="0" w:space="0" w:color="auto"/>
      </w:divBdr>
    </w:div>
    <w:div w:id="1540126232">
      <w:bodyDiv w:val="1"/>
      <w:marLeft w:val="0"/>
      <w:marRight w:val="0"/>
      <w:marTop w:val="0"/>
      <w:marBottom w:val="0"/>
      <w:divBdr>
        <w:top w:val="none" w:sz="0" w:space="0" w:color="auto"/>
        <w:left w:val="none" w:sz="0" w:space="0" w:color="auto"/>
        <w:bottom w:val="none" w:sz="0" w:space="0" w:color="auto"/>
        <w:right w:val="none" w:sz="0" w:space="0" w:color="auto"/>
      </w:divBdr>
    </w:div>
    <w:div w:id="1650472904">
      <w:bodyDiv w:val="1"/>
      <w:marLeft w:val="0"/>
      <w:marRight w:val="0"/>
      <w:marTop w:val="0"/>
      <w:marBottom w:val="0"/>
      <w:divBdr>
        <w:top w:val="none" w:sz="0" w:space="0" w:color="auto"/>
        <w:left w:val="none" w:sz="0" w:space="0" w:color="auto"/>
        <w:bottom w:val="none" w:sz="0" w:space="0" w:color="auto"/>
        <w:right w:val="none" w:sz="0" w:space="0" w:color="auto"/>
      </w:divBdr>
      <w:divsChild>
        <w:div w:id="1009261086">
          <w:marLeft w:val="0"/>
          <w:marRight w:val="0"/>
          <w:marTop w:val="0"/>
          <w:marBottom w:val="0"/>
          <w:divBdr>
            <w:top w:val="none" w:sz="0" w:space="0" w:color="auto"/>
            <w:left w:val="none" w:sz="0" w:space="0" w:color="auto"/>
            <w:bottom w:val="none" w:sz="0" w:space="0" w:color="auto"/>
            <w:right w:val="none" w:sz="0" w:space="0" w:color="auto"/>
          </w:divBdr>
        </w:div>
      </w:divsChild>
    </w:div>
    <w:div w:id="165537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ICSDBFP-360348501-19454</_dlc_DocId>
    <_dlc_DocIdUrl xmlns="ec94eb93-2160-433d-bc9d-10bdc50beb83">
      <Url>https://wipoprod.sharepoint.com/sites/SPS-INT-BFP-ICSD-CWS/_layouts/15/DocIdRedir.aspx?ID=ICSDBFP-360348501-19454</Url>
      <Description>ICSDBFP-360348501-19454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92" ma:contentTypeDescription="" ma:contentTypeScope="" ma:versionID="f49e8a31b226cdb9cbf7fa670ccf81b3">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DF7FD8FD-2BD2-4A7A-A8C0-79250C8D73AD}">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56CCD4E3-1D53-4753-A56D-8F5C2BBD9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278F4-B804-4520-AB9F-6A98BEA611A6}">
  <ds:schemaRefs>
    <ds:schemaRef ds:uri="http://schemas.openxmlformats.org/officeDocument/2006/bibliography"/>
  </ds:schemaRefs>
</ds:datastoreItem>
</file>

<file path=customXml/itemProps4.xml><?xml version="1.0" encoding="utf-8"?>
<ds:datastoreItem xmlns:ds="http://schemas.openxmlformats.org/officeDocument/2006/customXml" ds:itemID="{38840729-AC05-4E73-9077-E94EC335992F}">
  <ds:schemaRefs>
    <ds:schemaRef ds:uri="http://schemas.microsoft.com/sharepoint/events"/>
  </ds:schemaRefs>
</ds:datastoreItem>
</file>

<file path=customXml/itemProps5.xml><?xml version="1.0" encoding="utf-8"?>
<ds:datastoreItem xmlns:ds="http://schemas.openxmlformats.org/officeDocument/2006/customXml" ds:itemID="{83D04241-6BE4-4F8E-806E-027D5148E881}">
  <ds:schemaRefs>
    <ds:schemaRef ds:uri="http://schemas.microsoft.com/sharepoint/v3/contenttype/forms"/>
  </ds:schemaRefs>
</ds:datastoreItem>
</file>

<file path=customXml/itemProps6.xml><?xml version="1.0" encoding="utf-8"?>
<ds:datastoreItem xmlns:ds="http://schemas.openxmlformats.org/officeDocument/2006/customXml" ds:itemID="{0C48F357-5492-4AFA-BDA6-AE8238B801F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CWS/13/31 Rev. 2 Annex II (Chinese) </vt:lpstr>
    </vt:vector>
  </TitlesOfParts>
  <Company>WIPO</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CWS/13/31 Rev. 2 Annex II (Chinese) </dc:title>
  <dc:subject>标准委工作计划 </dc:subject>
  <dc:creator>WIPO</dc:creator>
  <cp:keywords>WIPO CWS Thirteenth Session, CWS Work Program, Task List, Annex</cp:keywords>
  <dc:description/>
  <cp:lastModifiedBy>EMMETT Claudia</cp:lastModifiedBy>
  <cp:revision>4</cp:revision>
  <cp:lastPrinted>2025-10-07T15:48:00Z</cp:lastPrinted>
  <dcterms:created xsi:type="dcterms:W3CDTF">2025-10-30T13:32:00Z</dcterms:created>
  <dcterms:modified xsi:type="dcterms:W3CDTF">2025-10-31T16:18:00Z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2024-09-16T15:50:05Z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cee3da37-1b7d-4ce0-8882-0d79036de2b1</vt:lpwstr>
  </property>
  <property fmtid="{D5CDD505-2E9C-101B-9397-08002B2CF9AE}" pid="8" name="MSIP_Label_20773ee6-353b-4fb9-a59d-0b94c8c67bea_ContentBits">
    <vt:lpwstr>0</vt:lpwstr>
  </property>
  <property fmtid="{D5CDD505-2E9C-101B-9397-08002B2CF9AE}" pid="9" name="ContentTypeId">
    <vt:lpwstr>0x01010043A0F979BE30A3469F998CB749C11FBD00E3EF1C0FCFA26B4087379DC2A12DE885</vt:lpwstr>
  </property>
  <property fmtid="{D5CDD505-2E9C-101B-9397-08002B2CF9AE}" pid="10" name="BusinessUnit">
    <vt:lpwstr>4;#International Classifications and Standards Division|1bda9d19-f2c0-4f24-b9f1-c91ec6b8f041</vt:lpwstr>
  </property>
  <property fmtid="{D5CDD505-2E9C-101B-9397-08002B2CF9AE}" pid="11" name="MediaServiceImageTags">
    <vt:lpwstr/>
  </property>
  <property fmtid="{D5CDD505-2E9C-101B-9397-08002B2CF9AE}" pid="12" name="m4535404f5974080b635c68c1acaf1ab">
    <vt:lpwstr/>
  </property>
  <property fmtid="{D5CDD505-2E9C-101B-9397-08002B2CF9AE}" pid="13" name="RMClassification">
    <vt:lpwstr>5;#05 Committee Files|55687a62-9585-44b6-9628-3304e4ff88e9</vt:lpwstr>
  </property>
  <property fmtid="{D5CDD505-2E9C-101B-9397-08002B2CF9AE}" pid="14" name="lcf76f155ced4ddcb4097134ff3c332f">
    <vt:lpwstr/>
  </property>
  <property fmtid="{D5CDD505-2E9C-101B-9397-08002B2CF9AE}" pid="15" name="Body1">
    <vt:lpwstr>3;#Committee on WIPO Standards|505ec630-c8e5-4e30-8a4a-e8d9be6ccbb1</vt:lpwstr>
  </property>
  <property fmtid="{D5CDD505-2E9C-101B-9397-08002B2CF9AE}" pid="16" name="ECCM_Year">
    <vt:lpwstr/>
  </property>
  <property fmtid="{D5CDD505-2E9C-101B-9397-08002B2CF9AE}" pid="17" name="k5f91d7f67f54ee29b509143279df90f">
    <vt:lpwstr/>
  </property>
  <property fmtid="{D5CDD505-2E9C-101B-9397-08002B2CF9AE}" pid="18" name="IPTopics">
    <vt:lpwstr/>
  </property>
  <property fmtid="{D5CDD505-2E9C-101B-9397-08002B2CF9AE}" pid="19" name="Languages">
    <vt:lpwstr>1;#English|950e6fa2-2df0-4983-a604-54e57c7a6d93</vt:lpwstr>
  </property>
  <property fmtid="{D5CDD505-2E9C-101B-9397-08002B2CF9AE}" pid="20" name="gbd88f87496145e58da10973a57b07b8">
    <vt:lpwstr>Committee on WIPO Standards|505ec630-c8e5-4e30-8a4a-e8d9be6ccbb1</vt:lpwstr>
  </property>
  <property fmtid="{D5CDD505-2E9C-101B-9397-08002B2CF9AE}" pid="21" name="_dlc_DocIdItemGuid">
    <vt:lpwstr>48dc141b-a8c5-4ce6-81ab-f9870b272d87</vt:lpwstr>
  </property>
  <property fmtid="{D5CDD505-2E9C-101B-9397-08002B2CF9AE}" pid="22" name="docLang">
    <vt:lpwstr>en</vt:lpwstr>
  </property>
</Properties>
</file>