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92471" w14:textId="77777777" w:rsidR="00F74B78" w:rsidRPr="00B536BB" w:rsidRDefault="00F74B78" w:rsidP="00F74B78">
      <w:pPr>
        <w:jc w:val="right"/>
        <w:rPr>
          <w:rFonts w:ascii="Arial Black" w:hAnsi="Arial Black"/>
          <w:caps/>
          <w:sz w:val="15"/>
        </w:rPr>
      </w:pPr>
      <w:r w:rsidRPr="00B536BB">
        <w:rPr>
          <w:rFonts w:cs="Times New Roman"/>
          <w:noProof/>
        </w:rPr>
        <w:drawing>
          <wp:inline distT="0" distB="0" distL="0" distR="0" wp14:anchorId="7580ED8A" wp14:editId="6E25B068">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0">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BD7F9CF" w14:textId="64FF1B6C" w:rsidR="00F74B78" w:rsidRPr="00B536BB" w:rsidRDefault="00F74B78" w:rsidP="00F74B78">
      <w:pPr>
        <w:pBdr>
          <w:top w:val="single" w:sz="4" w:space="10" w:color="auto"/>
        </w:pBdr>
        <w:wordWrap w:val="0"/>
        <w:spacing w:before="120"/>
        <w:jc w:val="right"/>
        <w:rPr>
          <w:rFonts w:ascii="Arial Black" w:hAnsi="Arial Black"/>
          <w:b/>
          <w:caps/>
          <w:sz w:val="15"/>
        </w:rPr>
      </w:pPr>
      <w:r w:rsidRPr="00B536BB">
        <w:rPr>
          <w:rFonts w:ascii="Arial Black" w:hAnsi="Arial Black"/>
          <w:b/>
          <w:caps/>
          <w:sz w:val="15"/>
        </w:rPr>
        <w:t>cWS/1</w:t>
      </w:r>
      <w:r w:rsidR="00EF4572">
        <w:rPr>
          <w:rFonts w:ascii="Arial Black" w:hAnsi="Arial Black" w:hint="eastAsia"/>
          <w:b/>
          <w:caps/>
          <w:sz w:val="15"/>
        </w:rPr>
        <w:t>3</w:t>
      </w:r>
      <w:r w:rsidRPr="00B536BB">
        <w:rPr>
          <w:rFonts w:ascii="Arial Black" w:hAnsi="Arial Black"/>
          <w:b/>
          <w:caps/>
          <w:sz w:val="15"/>
        </w:rPr>
        <w:t>/</w:t>
      </w:r>
      <w:bookmarkStart w:id="0" w:name="Code"/>
      <w:r>
        <w:rPr>
          <w:rFonts w:ascii="Arial Black" w:hAnsi="Arial Black" w:hint="eastAsia"/>
          <w:b/>
          <w:caps/>
          <w:sz w:val="15"/>
        </w:rPr>
        <w:t>2</w:t>
      </w:r>
      <w:bookmarkEnd w:id="0"/>
      <w:r w:rsidR="00EF4572">
        <w:rPr>
          <w:rFonts w:ascii="Arial Black" w:hAnsi="Arial Black" w:hint="eastAsia"/>
          <w:b/>
          <w:caps/>
          <w:sz w:val="15"/>
        </w:rPr>
        <w:t>1</w:t>
      </w:r>
    </w:p>
    <w:p w14:paraId="579776A7" w14:textId="77777777" w:rsidR="00F74B78" w:rsidRPr="00B536BB" w:rsidRDefault="00F74B78" w:rsidP="00F74B78">
      <w:pPr>
        <w:jc w:val="right"/>
        <w:rPr>
          <w:rFonts w:ascii="Arial Black" w:hAnsi="Arial Black"/>
          <w:b/>
          <w:caps/>
          <w:sz w:val="15"/>
          <w:szCs w:val="15"/>
        </w:rPr>
      </w:pPr>
      <w:r w:rsidRPr="00B536BB">
        <w:rPr>
          <w:rFonts w:eastAsia="SimHei" w:hint="eastAsia"/>
          <w:b/>
          <w:sz w:val="15"/>
          <w:szCs w:val="15"/>
        </w:rPr>
        <w:t>原文</w:t>
      </w:r>
      <w:r w:rsidRPr="00EF4572">
        <w:rPr>
          <w:rFonts w:eastAsia="SimHei" w:hint="eastAsia"/>
          <w:b/>
          <w:sz w:val="15"/>
          <w:szCs w:val="15"/>
        </w:rPr>
        <w:t>：</w:t>
      </w:r>
      <w:bookmarkStart w:id="1" w:name="Original"/>
      <w:r w:rsidRPr="00B536BB">
        <w:rPr>
          <w:rFonts w:eastAsia="SimHei" w:hint="eastAsia"/>
          <w:b/>
          <w:sz w:val="15"/>
          <w:szCs w:val="15"/>
          <w:lang w:val="pt-BR"/>
        </w:rPr>
        <w:t>英</w:t>
      </w:r>
      <w:r w:rsidRPr="00B536BB">
        <w:rPr>
          <w:rFonts w:eastAsia="SimHei" w:hint="eastAsia"/>
          <w:b/>
          <w:sz w:val="15"/>
          <w:szCs w:val="15"/>
        </w:rPr>
        <w:t>文</w:t>
      </w:r>
      <w:bookmarkEnd w:id="1"/>
    </w:p>
    <w:p w14:paraId="68AFD9A1" w14:textId="47691728" w:rsidR="00F74B78" w:rsidRPr="00B536BB" w:rsidRDefault="00F74B78" w:rsidP="00F74B78">
      <w:pPr>
        <w:spacing w:line="1680" w:lineRule="auto"/>
        <w:jc w:val="right"/>
        <w:rPr>
          <w:rFonts w:ascii="SimHei" w:eastAsia="SimHei" w:hAnsi="Arial Black"/>
          <w:b/>
          <w:caps/>
          <w:sz w:val="15"/>
          <w:szCs w:val="15"/>
        </w:rPr>
      </w:pPr>
      <w:r w:rsidRPr="00B536BB">
        <w:rPr>
          <w:rFonts w:ascii="SimHei" w:eastAsia="SimHei" w:hint="eastAsia"/>
          <w:b/>
          <w:sz w:val="15"/>
          <w:szCs w:val="15"/>
        </w:rPr>
        <w:t>日期</w:t>
      </w:r>
      <w:r w:rsidRPr="00EF4572">
        <w:rPr>
          <w:rFonts w:ascii="SimHei" w:eastAsia="SimHei" w:hAnsi="SimSun" w:hint="eastAsia"/>
          <w:b/>
          <w:sz w:val="15"/>
          <w:szCs w:val="15"/>
        </w:rPr>
        <w:t>：</w:t>
      </w:r>
      <w:bookmarkStart w:id="2" w:name="Date"/>
      <w:r w:rsidRPr="00EF4572">
        <w:rPr>
          <w:rFonts w:ascii="Arial Black" w:eastAsia="SimHei" w:hAnsi="Arial Black"/>
          <w:b/>
          <w:sz w:val="15"/>
          <w:szCs w:val="15"/>
        </w:rPr>
        <w:t>20</w:t>
      </w:r>
      <w:r w:rsidRPr="00EF4572">
        <w:rPr>
          <w:rFonts w:ascii="Arial Black" w:eastAsia="SimHei" w:hAnsi="Arial Black" w:hint="eastAsia"/>
          <w:b/>
          <w:sz w:val="15"/>
          <w:szCs w:val="15"/>
        </w:rPr>
        <w:t>2</w:t>
      </w:r>
      <w:r w:rsidR="00EF4572">
        <w:rPr>
          <w:rFonts w:ascii="Arial Black" w:eastAsia="SimHei" w:hAnsi="Arial Black" w:hint="eastAsia"/>
          <w:b/>
          <w:sz w:val="15"/>
          <w:szCs w:val="15"/>
        </w:rPr>
        <w:t>5</w:t>
      </w:r>
      <w:r w:rsidRPr="00B536BB">
        <w:rPr>
          <w:rFonts w:ascii="SimHei" w:eastAsia="SimHei" w:hAnsi="Times New Roman" w:hint="eastAsia"/>
          <w:b/>
          <w:sz w:val="15"/>
          <w:szCs w:val="15"/>
        </w:rPr>
        <w:t>年</w:t>
      </w:r>
      <w:r w:rsidR="00EF4572">
        <w:rPr>
          <w:rFonts w:ascii="Arial Black" w:eastAsia="SimHei" w:hAnsi="Arial Black" w:hint="eastAsia"/>
          <w:b/>
          <w:sz w:val="15"/>
          <w:szCs w:val="15"/>
        </w:rPr>
        <w:t>9</w:t>
      </w:r>
      <w:r w:rsidRPr="00B536BB">
        <w:rPr>
          <w:rFonts w:ascii="SimHei" w:eastAsia="SimHei" w:hAnsi="Times New Roman" w:hint="eastAsia"/>
          <w:b/>
          <w:sz w:val="15"/>
          <w:szCs w:val="15"/>
        </w:rPr>
        <w:t>月</w:t>
      </w:r>
      <w:r w:rsidRPr="00EF4572">
        <w:rPr>
          <w:rFonts w:ascii="Arial Black" w:eastAsia="SimHei" w:hAnsi="Arial Black" w:hint="eastAsia"/>
          <w:b/>
          <w:sz w:val="15"/>
          <w:szCs w:val="15"/>
        </w:rPr>
        <w:t>2</w:t>
      </w:r>
      <w:r w:rsidR="00EF4572">
        <w:rPr>
          <w:rFonts w:ascii="Arial Black" w:eastAsia="SimHei" w:hAnsi="Arial Black" w:hint="eastAsia"/>
          <w:b/>
          <w:sz w:val="15"/>
          <w:szCs w:val="15"/>
        </w:rPr>
        <w:t>5</w:t>
      </w:r>
      <w:r w:rsidRPr="00B536BB">
        <w:rPr>
          <w:rFonts w:ascii="SimHei" w:eastAsia="SimHei" w:hAnsi="Times New Roman" w:hint="eastAsia"/>
          <w:b/>
          <w:sz w:val="15"/>
          <w:szCs w:val="15"/>
        </w:rPr>
        <w:t>日</w:t>
      </w:r>
      <w:bookmarkEnd w:id="2"/>
    </w:p>
    <w:p w14:paraId="3D3CE415" w14:textId="77777777" w:rsidR="00F74B78" w:rsidRPr="00E4042D" w:rsidRDefault="00F74B78" w:rsidP="00F74B78">
      <w:pPr>
        <w:spacing w:after="600"/>
        <w:rPr>
          <w:rFonts w:ascii="SimHei" w:eastAsia="SimHei"/>
          <w:sz w:val="28"/>
          <w:szCs w:val="28"/>
        </w:rPr>
      </w:pPr>
      <w:r w:rsidRPr="00B536BB">
        <w:rPr>
          <w:rFonts w:ascii="SimHei" w:eastAsia="SimHei" w:hint="eastAsia"/>
          <w:sz w:val="28"/>
          <w:szCs w:val="28"/>
        </w:rPr>
        <w:t>产权组织标准委员会（</w:t>
      </w:r>
      <w:r>
        <w:rPr>
          <w:rFonts w:ascii="SimHei" w:eastAsia="SimHei" w:hint="eastAsia"/>
          <w:sz w:val="28"/>
          <w:szCs w:val="28"/>
        </w:rPr>
        <w:t>标准委</w:t>
      </w:r>
      <w:r w:rsidRPr="00B536BB">
        <w:rPr>
          <w:rFonts w:ascii="SimHei" w:eastAsia="SimHei" w:hint="eastAsia"/>
          <w:sz w:val="28"/>
          <w:szCs w:val="28"/>
        </w:rPr>
        <w:t>）</w:t>
      </w:r>
    </w:p>
    <w:p w14:paraId="6406D75D" w14:textId="2E24E902" w:rsidR="00F74B78" w:rsidRPr="00B536BB" w:rsidRDefault="00F74B78" w:rsidP="00F74B78">
      <w:pPr>
        <w:spacing w:after="720"/>
        <w:textAlignment w:val="bottom"/>
        <w:rPr>
          <w:rFonts w:ascii="KaiTi" w:eastAsia="KaiTi" w:hAnsi="KaiTi"/>
          <w:b/>
          <w:sz w:val="24"/>
          <w:szCs w:val="24"/>
        </w:rPr>
      </w:pPr>
      <w:r w:rsidRPr="00B536BB">
        <w:rPr>
          <w:rFonts w:ascii="KaiTi" w:eastAsia="KaiTi" w:hint="eastAsia"/>
          <w:b/>
          <w:sz w:val="24"/>
          <w:szCs w:val="24"/>
        </w:rPr>
        <w:t>第十</w:t>
      </w:r>
      <w:r w:rsidR="00905883">
        <w:rPr>
          <w:rFonts w:ascii="KaiTi" w:eastAsia="KaiTi" w:hint="eastAsia"/>
          <w:b/>
          <w:sz w:val="24"/>
          <w:szCs w:val="24"/>
        </w:rPr>
        <w:t>三</w:t>
      </w:r>
      <w:r w:rsidRPr="00B536BB">
        <w:rPr>
          <w:rFonts w:ascii="KaiTi" w:eastAsia="KaiTi" w:hint="eastAsia"/>
          <w:b/>
          <w:sz w:val="24"/>
          <w:szCs w:val="24"/>
        </w:rPr>
        <w:t>届会议</w:t>
      </w:r>
      <w:r w:rsidRPr="00B536BB">
        <w:rPr>
          <w:rFonts w:ascii="KaiTi" w:eastAsia="KaiTi"/>
          <w:b/>
          <w:sz w:val="24"/>
          <w:szCs w:val="24"/>
        </w:rPr>
        <w:br/>
      </w:r>
      <w:r w:rsidRPr="00B536BB">
        <w:rPr>
          <w:rFonts w:ascii="KaiTi" w:eastAsia="KaiTi" w:hAnsi="KaiTi" w:hint="eastAsia"/>
          <w:sz w:val="24"/>
          <w:szCs w:val="24"/>
        </w:rPr>
        <w:t>202</w:t>
      </w:r>
      <w:r w:rsidR="00905883">
        <w:rPr>
          <w:rFonts w:ascii="KaiTi" w:eastAsia="KaiTi" w:hAnsi="KaiTi" w:hint="eastAsia"/>
          <w:sz w:val="24"/>
          <w:szCs w:val="24"/>
        </w:rPr>
        <w:t>5</w:t>
      </w:r>
      <w:r w:rsidRPr="00B536BB">
        <w:rPr>
          <w:rFonts w:ascii="KaiTi" w:eastAsia="KaiTi" w:hAnsi="KaiTi" w:hint="eastAsia"/>
          <w:b/>
          <w:sz w:val="24"/>
          <w:szCs w:val="24"/>
        </w:rPr>
        <w:t>年</w:t>
      </w:r>
      <w:r w:rsidR="00905883">
        <w:rPr>
          <w:rFonts w:ascii="KaiTi" w:eastAsia="KaiTi" w:hAnsi="KaiTi" w:hint="eastAsia"/>
          <w:sz w:val="24"/>
          <w:szCs w:val="24"/>
        </w:rPr>
        <w:t>11</w:t>
      </w:r>
      <w:r w:rsidRPr="00B536BB">
        <w:rPr>
          <w:rFonts w:ascii="KaiTi" w:eastAsia="KaiTi" w:hAnsi="KaiTi" w:hint="eastAsia"/>
          <w:b/>
          <w:sz w:val="24"/>
          <w:szCs w:val="24"/>
        </w:rPr>
        <w:t>月</w:t>
      </w:r>
      <w:r>
        <w:rPr>
          <w:rFonts w:ascii="KaiTi" w:eastAsia="KaiTi" w:hAnsi="KaiTi" w:hint="eastAsia"/>
          <w:sz w:val="24"/>
          <w:szCs w:val="24"/>
        </w:rPr>
        <w:t>1</w:t>
      </w:r>
      <w:r w:rsidR="00905883">
        <w:rPr>
          <w:rFonts w:ascii="KaiTi" w:eastAsia="KaiTi" w:hAnsi="KaiTi" w:hint="eastAsia"/>
          <w:sz w:val="24"/>
          <w:szCs w:val="24"/>
        </w:rPr>
        <w:t>0</w:t>
      </w:r>
      <w:r w:rsidRPr="00B536BB">
        <w:rPr>
          <w:rFonts w:ascii="KaiTi" w:eastAsia="KaiTi" w:hAnsi="KaiTi" w:hint="eastAsia"/>
          <w:b/>
          <w:sz w:val="24"/>
          <w:szCs w:val="24"/>
        </w:rPr>
        <w:t>日至</w:t>
      </w:r>
      <w:r>
        <w:rPr>
          <w:rFonts w:ascii="KaiTi" w:eastAsia="KaiTi" w:hAnsi="KaiTi" w:hint="eastAsia"/>
          <w:sz w:val="24"/>
          <w:szCs w:val="24"/>
        </w:rPr>
        <w:t>1</w:t>
      </w:r>
      <w:r w:rsidR="00905883">
        <w:rPr>
          <w:rFonts w:ascii="KaiTi" w:eastAsia="KaiTi" w:hAnsi="KaiTi" w:hint="eastAsia"/>
          <w:sz w:val="24"/>
          <w:szCs w:val="24"/>
        </w:rPr>
        <w:t>4</w:t>
      </w:r>
      <w:r w:rsidRPr="00B536BB">
        <w:rPr>
          <w:rFonts w:ascii="KaiTi" w:eastAsia="KaiTi" w:hAnsi="KaiTi" w:hint="eastAsia"/>
          <w:b/>
          <w:sz w:val="24"/>
          <w:szCs w:val="24"/>
        </w:rPr>
        <w:t>日，日内瓦</w:t>
      </w:r>
    </w:p>
    <w:p w14:paraId="3FADF627" w14:textId="4B6C2232" w:rsidR="00A5281D" w:rsidRPr="00B536BB" w:rsidRDefault="00A5281D" w:rsidP="00A5281D">
      <w:pPr>
        <w:spacing w:after="360"/>
        <w:rPr>
          <w:rFonts w:ascii="KaiTi" w:eastAsia="KaiTi" w:hAnsi="KaiTi" w:cs="Times New Roman"/>
          <w:sz w:val="24"/>
          <w:szCs w:val="32"/>
        </w:rPr>
      </w:pPr>
      <w:bookmarkStart w:id="3" w:name="TitleOfDoc"/>
      <w:r w:rsidRPr="00A5281D">
        <w:rPr>
          <w:rFonts w:ascii="KaiTi" w:eastAsia="KaiTi" w:hAnsi="KaiTi" w:cs="Times New Roman" w:hint="eastAsia"/>
          <w:sz w:val="24"/>
          <w:szCs w:val="32"/>
        </w:rPr>
        <w:t>国际局关于根据标准委任务规定向工业产权局提供技术咨询和援助开展能力建设的报告</w:t>
      </w:r>
    </w:p>
    <w:p w14:paraId="08241933" w14:textId="28CDFB0B" w:rsidR="00A5281D" w:rsidRPr="00F74B78" w:rsidRDefault="001F1F8F" w:rsidP="00A5281D">
      <w:pPr>
        <w:spacing w:after="960"/>
        <w:rPr>
          <w:rFonts w:ascii="KaiTi" w:eastAsia="KaiTi" w:hAnsi="STKaiti" w:cs="Times New Roman"/>
          <w:szCs w:val="24"/>
        </w:rPr>
      </w:pPr>
      <w:bookmarkStart w:id="4" w:name="Prepared"/>
      <w:bookmarkEnd w:id="3"/>
      <w:r w:rsidRPr="00F74B78">
        <w:rPr>
          <w:rFonts w:ascii="KaiTi" w:eastAsia="KaiTi" w:hAnsi="STKaiti" w:cs="Times New Roman" w:hint="eastAsia"/>
          <w:szCs w:val="24"/>
        </w:rPr>
        <w:t>秘书处</w:t>
      </w:r>
      <w:r w:rsidR="00A5281D" w:rsidRPr="00F74B78">
        <w:rPr>
          <w:rFonts w:ascii="KaiTi" w:eastAsia="KaiTi" w:hAnsi="STKaiti" w:cs="Times New Roman" w:hint="eastAsia"/>
          <w:szCs w:val="24"/>
        </w:rPr>
        <w:t>编拟的文件</w:t>
      </w:r>
    </w:p>
    <w:bookmarkEnd w:id="4"/>
    <w:p w14:paraId="7C108CA8" w14:textId="04E622E7" w:rsidR="009E2E0C" w:rsidRPr="004409D2" w:rsidRDefault="00387EA1" w:rsidP="004409D2">
      <w:pPr>
        <w:pStyle w:val="Heading2"/>
        <w:spacing w:before="240" w:after="120"/>
      </w:pPr>
      <w:r w:rsidRPr="00F74B78">
        <w:t>导　言</w:t>
      </w:r>
    </w:p>
    <w:p w14:paraId="21F109FC" w14:textId="6F47EE5E" w:rsidR="009E2E0C" w:rsidRPr="00F74B78" w:rsidRDefault="00387EA1" w:rsidP="00AD6A9B">
      <w:pPr>
        <w:pStyle w:val="ONUME"/>
        <w:numPr>
          <w:ilvl w:val="0"/>
          <w:numId w:val="9"/>
        </w:numPr>
        <w:overflowPunct w:val="0"/>
        <w:spacing w:afterLines="50" w:after="120" w:line="340" w:lineRule="atLeast"/>
        <w:ind w:left="0" w:firstLine="0"/>
        <w:jc w:val="both"/>
        <w:rPr>
          <w:rFonts w:ascii="SimSun" w:hAnsi="SimSun"/>
          <w:color w:val="000000" w:themeColor="text1"/>
          <w:szCs w:val="21"/>
        </w:rPr>
      </w:pPr>
      <w:r w:rsidRPr="00F74B78">
        <w:rPr>
          <w:rFonts w:ascii="SimSun" w:hAnsi="SimSun"/>
          <w:szCs w:val="21"/>
        </w:rPr>
        <w:t>本报告旨在执行2011年大会就产权组织标准委员会（</w:t>
      </w:r>
      <w:r w:rsidR="00F74B78">
        <w:rPr>
          <w:rFonts w:ascii="SimSun" w:hAnsi="SimSun"/>
          <w:szCs w:val="21"/>
        </w:rPr>
        <w:t>标准委</w:t>
      </w:r>
      <w:r w:rsidRPr="00F74B78">
        <w:rPr>
          <w:rFonts w:ascii="SimSun" w:hAnsi="SimSun"/>
          <w:szCs w:val="21"/>
        </w:rPr>
        <w:t>）的任务规定作出的决定，定期书面报告202</w:t>
      </w:r>
      <w:r w:rsidR="00905883">
        <w:rPr>
          <w:rFonts w:ascii="SimSun" w:hAnsi="SimSun" w:hint="eastAsia"/>
          <w:szCs w:val="21"/>
        </w:rPr>
        <w:t>4</w:t>
      </w:r>
      <w:r w:rsidRPr="00F74B78">
        <w:rPr>
          <w:rFonts w:ascii="SimSun" w:hAnsi="SimSun"/>
          <w:szCs w:val="21"/>
        </w:rPr>
        <w:t>年开展各项活动的详情。在此期间，产权组织秘书处或国际局“努力为各工业产权局（IPO）的能力建设工作提供了技术咨询和援助，并落实了知识产权标准信息推广项目”（见文件WO/GA/40/19第190段）。</w:t>
      </w:r>
      <w:r w:rsidR="00905883">
        <w:rPr>
          <w:rFonts w:ascii="SimSun" w:hAnsi="SimSun" w:hint="eastAsia"/>
          <w:szCs w:val="21"/>
        </w:rPr>
        <w:t>关于本组织开展的技术</w:t>
      </w:r>
      <w:r w:rsidRPr="00F74B78">
        <w:rPr>
          <w:rFonts w:ascii="SimSun" w:hAnsi="SimSun"/>
          <w:szCs w:val="21"/>
        </w:rPr>
        <w:t>活动的</w:t>
      </w:r>
      <w:r w:rsidR="00905883">
        <w:rPr>
          <w:rFonts w:ascii="SimSun" w:hAnsi="SimSun" w:hint="eastAsia"/>
          <w:szCs w:val="21"/>
        </w:rPr>
        <w:t>更多信息</w:t>
      </w:r>
      <w:r w:rsidRPr="00F74B78">
        <w:rPr>
          <w:rFonts w:ascii="SimSun" w:hAnsi="SimSun"/>
          <w:szCs w:val="21"/>
        </w:rPr>
        <w:t>可查阅技术援助数据库（</w:t>
      </w:r>
      <w:hyperlink r:id="rId11" w:history="1">
        <w:r w:rsidRPr="00F74B78">
          <w:rPr>
            <w:rStyle w:val="Hyperlink"/>
            <w:rFonts w:ascii="SimSun" w:hAnsi="SimSun"/>
            <w:szCs w:val="21"/>
          </w:rPr>
          <w:t>www.wipo.int/tad</w:t>
        </w:r>
      </w:hyperlink>
      <w:r w:rsidRPr="00F74B78">
        <w:rPr>
          <w:rFonts w:ascii="SimSun" w:hAnsi="SimSun"/>
          <w:szCs w:val="21"/>
        </w:rPr>
        <w:t>）。</w:t>
      </w:r>
    </w:p>
    <w:p w14:paraId="3718D340" w14:textId="5E98F725" w:rsidR="009E2E0C" w:rsidRPr="00F74B78" w:rsidRDefault="00387EA1" w:rsidP="00AD6A9B">
      <w:pPr>
        <w:pStyle w:val="ONUME"/>
        <w:numPr>
          <w:ilvl w:val="0"/>
          <w:numId w:val="9"/>
        </w:numPr>
        <w:overflowPunct w:val="0"/>
        <w:spacing w:afterLines="50" w:after="120" w:line="340" w:lineRule="atLeast"/>
        <w:ind w:left="0" w:firstLine="0"/>
        <w:jc w:val="both"/>
        <w:rPr>
          <w:rFonts w:ascii="SimSun" w:hAnsi="SimSun"/>
          <w:szCs w:val="21"/>
        </w:rPr>
      </w:pPr>
      <w:r w:rsidRPr="00F74B78">
        <w:rPr>
          <w:rFonts w:ascii="SimSun" w:hAnsi="SimSun"/>
          <w:szCs w:val="21"/>
        </w:rPr>
        <w:t>由于产权组织标准在WIPO Sequence</w:t>
      </w:r>
      <w:r w:rsidR="005A6204" w:rsidRPr="00F74B78">
        <w:rPr>
          <w:rFonts w:ascii="SimSun" w:hAnsi="SimSun" w:hint="eastAsia"/>
          <w:szCs w:val="21"/>
        </w:rPr>
        <w:t>套件</w:t>
      </w:r>
      <w:r w:rsidRPr="00F74B78">
        <w:rPr>
          <w:rFonts w:ascii="SimSun" w:hAnsi="SimSun"/>
          <w:szCs w:val="21"/>
        </w:rPr>
        <w:t>和知识产权局业务解决方案等产权组织各个</w:t>
      </w:r>
      <w:r w:rsidR="00905883">
        <w:rPr>
          <w:rFonts w:ascii="SimSun" w:hAnsi="SimSun" w:hint="eastAsia"/>
          <w:szCs w:val="21"/>
        </w:rPr>
        <w:t>信息</w:t>
      </w:r>
      <w:r w:rsidRPr="00F74B78">
        <w:rPr>
          <w:rFonts w:ascii="SimSun" w:hAnsi="SimSun"/>
          <w:szCs w:val="21"/>
        </w:rPr>
        <w:t>系统和</w:t>
      </w:r>
      <w:r w:rsidR="005A6204" w:rsidRPr="00F74B78">
        <w:rPr>
          <w:rFonts w:ascii="SimSun" w:hAnsi="SimSun" w:hint="eastAsia"/>
          <w:szCs w:val="21"/>
        </w:rPr>
        <w:t>产权组织软件</w:t>
      </w:r>
      <w:r w:rsidRPr="00F74B78">
        <w:rPr>
          <w:rFonts w:ascii="SimSun" w:hAnsi="SimSun"/>
          <w:szCs w:val="21"/>
        </w:rPr>
        <w:t>中得到</w:t>
      </w:r>
      <w:r w:rsidR="00F00458" w:rsidRPr="00F74B78">
        <w:rPr>
          <w:rFonts w:ascii="SimSun" w:hAnsi="SimSun" w:hint="eastAsia"/>
          <w:szCs w:val="21"/>
        </w:rPr>
        <w:t>执行</w:t>
      </w:r>
      <w:r w:rsidRPr="00F74B78">
        <w:rPr>
          <w:rFonts w:ascii="SimSun" w:hAnsi="SimSun"/>
          <w:szCs w:val="21"/>
        </w:rPr>
        <w:t>，下列活动也不言自明涵盖了相关工业产权标准信息的推广。</w:t>
      </w:r>
    </w:p>
    <w:p w14:paraId="4E6D1BC3" w14:textId="15CB49BF" w:rsidR="009E2E0C" w:rsidRPr="00F74B78" w:rsidRDefault="00387EA1" w:rsidP="004409D2">
      <w:pPr>
        <w:pStyle w:val="Heading2"/>
        <w:spacing w:before="240" w:after="120"/>
        <w:rPr>
          <w:rFonts w:hAnsi="SimSun"/>
        </w:rPr>
      </w:pPr>
      <w:r w:rsidRPr="00F74B78">
        <w:t>关于使用产权组织标准的培训和技术咨询</w:t>
      </w:r>
    </w:p>
    <w:p w14:paraId="50DB03E7" w14:textId="7E2BA48F" w:rsidR="00FA0C32" w:rsidRPr="00F74B78" w:rsidRDefault="00387EA1" w:rsidP="00AD6A9B">
      <w:pPr>
        <w:pStyle w:val="ONUME"/>
        <w:numPr>
          <w:ilvl w:val="0"/>
          <w:numId w:val="9"/>
        </w:numPr>
        <w:overflowPunct w:val="0"/>
        <w:spacing w:afterLines="50" w:after="120" w:line="340" w:lineRule="atLeast"/>
        <w:ind w:left="0" w:firstLine="0"/>
        <w:jc w:val="both"/>
        <w:rPr>
          <w:rFonts w:ascii="SimSun" w:hAnsi="SimSun"/>
          <w:szCs w:val="21"/>
        </w:rPr>
      </w:pPr>
      <w:r w:rsidRPr="00F74B78">
        <w:rPr>
          <w:rFonts w:ascii="SimSun" w:hAnsi="SimSun"/>
          <w:szCs w:val="21"/>
        </w:rPr>
        <w:t>202</w:t>
      </w:r>
      <w:r w:rsidR="00905883">
        <w:rPr>
          <w:rFonts w:ascii="SimSun" w:hAnsi="SimSun" w:hint="eastAsia"/>
          <w:szCs w:val="21"/>
        </w:rPr>
        <w:t>4</w:t>
      </w:r>
      <w:r w:rsidRPr="00F74B78">
        <w:rPr>
          <w:rFonts w:ascii="SimSun" w:hAnsi="SimSun"/>
          <w:szCs w:val="21"/>
        </w:rPr>
        <w:t>年，国际局仍通过电子邮件和在线会议提供了技术咨询，协助工业产权局和用户使用产权组织标准</w:t>
      </w:r>
      <w:r w:rsidR="00B61BCC" w:rsidRPr="00F74B78">
        <w:rPr>
          <w:rFonts w:ascii="SimSun" w:hAnsi="SimSun" w:hint="eastAsia"/>
          <w:szCs w:val="21"/>
        </w:rPr>
        <w:t>，包括实施产权组织标准ST.2</w:t>
      </w:r>
      <w:r w:rsidR="00905883">
        <w:rPr>
          <w:rFonts w:ascii="SimSun" w:hAnsi="SimSun" w:hint="eastAsia"/>
          <w:szCs w:val="21"/>
        </w:rPr>
        <w:t>6</w:t>
      </w:r>
      <w:r w:rsidR="00B61BCC" w:rsidRPr="00F74B78">
        <w:rPr>
          <w:rFonts w:ascii="SimSun" w:hAnsi="SimSun" w:hint="eastAsia"/>
          <w:szCs w:val="21"/>
        </w:rPr>
        <w:t>和ST.</w:t>
      </w:r>
      <w:r w:rsidR="00905883">
        <w:rPr>
          <w:rFonts w:ascii="SimSun" w:hAnsi="SimSun" w:hint="eastAsia"/>
          <w:szCs w:val="21"/>
        </w:rPr>
        <w:t>96</w:t>
      </w:r>
      <w:r w:rsidR="00B61BCC" w:rsidRPr="00F74B78">
        <w:rPr>
          <w:rFonts w:ascii="SimSun" w:hAnsi="SimSun" w:hint="eastAsia"/>
          <w:szCs w:val="21"/>
        </w:rPr>
        <w:t>，以及制作符合产权组织标准ST.37的权威文档。</w:t>
      </w:r>
    </w:p>
    <w:p w14:paraId="7620A632" w14:textId="00EDE568" w:rsidR="00905883" w:rsidRDefault="00905883" w:rsidP="00AD6A9B">
      <w:pPr>
        <w:pStyle w:val="ONUME"/>
        <w:numPr>
          <w:ilvl w:val="0"/>
          <w:numId w:val="9"/>
        </w:numPr>
        <w:overflowPunct w:val="0"/>
        <w:spacing w:afterLines="50" w:after="120" w:line="340" w:lineRule="atLeast"/>
        <w:ind w:left="0" w:firstLine="0"/>
        <w:jc w:val="both"/>
        <w:rPr>
          <w:rFonts w:ascii="SimSun" w:hAnsi="SimSun"/>
          <w:szCs w:val="21"/>
        </w:rPr>
      </w:pPr>
      <w:r w:rsidRPr="00905883">
        <w:rPr>
          <w:rFonts w:ascii="SimSun" w:hAnsi="SimSun" w:hint="eastAsia"/>
          <w:szCs w:val="21"/>
        </w:rPr>
        <w:t>继去年完成</w:t>
      </w:r>
      <w:r w:rsidR="006725B7" w:rsidRPr="006725B7">
        <w:rPr>
          <w:rFonts w:ascii="SimSun" w:hAnsi="SimSun" w:hint="eastAsia"/>
          <w:szCs w:val="21"/>
        </w:rPr>
        <w:t>植物品种序列数据技术公开披露的概念验证</w:t>
      </w:r>
      <w:r w:rsidRPr="00905883">
        <w:rPr>
          <w:rFonts w:ascii="SimSun" w:hAnsi="SimSun" w:hint="eastAsia"/>
          <w:szCs w:val="21"/>
        </w:rPr>
        <w:t>（POC）后，国际局成立了新的工作</w:t>
      </w:r>
      <w:r w:rsidR="006725B7">
        <w:rPr>
          <w:rFonts w:ascii="SimSun" w:hAnsi="SimSun" w:hint="eastAsia"/>
          <w:szCs w:val="21"/>
        </w:rPr>
        <w:t>队</w:t>
      </w:r>
      <w:r w:rsidRPr="00905883">
        <w:rPr>
          <w:rFonts w:ascii="SimSun" w:hAnsi="SimSun" w:hint="eastAsia"/>
          <w:szCs w:val="21"/>
        </w:rPr>
        <w:t>，进一步研究将此类数据纳入PATENTSCOPE的可行性及范围。印度尼西亚国家研究创新局（BRIN）通过</w:t>
      </w:r>
      <w:r w:rsidR="006725B7">
        <w:rPr>
          <w:rFonts w:ascii="SimSun" w:hAnsi="SimSun" w:hint="eastAsia"/>
          <w:szCs w:val="21"/>
        </w:rPr>
        <w:t>WIPO</w:t>
      </w:r>
      <w:r w:rsidRPr="00905883">
        <w:rPr>
          <w:rFonts w:ascii="SimSun" w:hAnsi="SimSun" w:hint="eastAsia"/>
          <w:szCs w:val="21"/>
        </w:rPr>
        <w:t>学院与国际局合作，为常见植物品种提供基因组序列数据。鉴于序列数据需转</w:t>
      </w:r>
      <w:r w:rsidRPr="00905883">
        <w:rPr>
          <w:rFonts w:ascii="SimSun" w:hAnsi="SimSun" w:hint="eastAsia"/>
          <w:szCs w:val="21"/>
        </w:rPr>
        <w:lastRenderedPageBreak/>
        <w:t>换为</w:t>
      </w:r>
      <w:r w:rsidR="006725B7">
        <w:rPr>
          <w:rFonts w:ascii="SimSun" w:hAnsi="SimSun" w:hint="eastAsia"/>
          <w:szCs w:val="21"/>
        </w:rPr>
        <w:t>产权组织</w:t>
      </w:r>
      <w:r w:rsidRPr="00905883">
        <w:rPr>
          <w:rFonts w:ascii="SimSun" w:hAnsi="SimSun" w:hint="eastAsia"/>
          <w:szCs w:val="21"/>
        </w:rPr>
        <w:t>标准ST.26格式，为BRIN提供了关于</w:t>
      </w:r>
      <w:r w:rsidR="006725B7">
        <w:rPr>
          <w:rFonts w:ascii="SimSun" w:hAnsi="SimSun" w:hint="eastAsia"/>
          <w:szCs w:val="21"/>
        </w:rPr>
        <w:t>产权组织</w:t>
      </w:r>
      <w:r w:rsidRPr="00905883">
        <w:rPr>
          <w:rFonts w:ascii="SimSun" w:hAnsi="SimSun" w:hint="eastAsia"/>
          <w:szCs w:val="21"/>
        </w:rPr>
        <w:t>标准ST.26</w:t>
      </w:r>
      <w:r w:rsidR="006725B7">
        <w:rPr>
          <w:rFonts w:ascii="SimSun" w:hAnsi="SimSun" w:hint="eastAsia"/>
          <w:szCs w:val="21"/>
        </w:rPr>
        <w:t>和</w:t>
      </w:r>
      <w:r w:rsidRPr="00905883">
        <w:rPr>
          <w:rFonts w:ascii="SimSun" w:hAnsi="SimSun" w:hint="eastAsia"/>
          <w:szCs w:val="21"/>
        </w:rPr>
        <w:t>WIPO</w:t>
      </w:r>
      <w:r w:rsidR="006725B7">
        <w:rPr>
          <w:rFonts w:ascii="SimSun" w:hAnsi="SimSun" w:hint="eastAsia"/>
          <w:szCs w:val="21"/>
        </w:rPr>
        <w:t xml:space="preserve"> Sequence</w:t>
      </w:r>
      <w:r w:rsidRPr="00905883">
        <w:rPr>
          <w:rFonts w:ascii="SimSun" w:hAnsi="SimSun" w:hint="eastAsia"/>
          <w:szCs w:val="21"/>
        </w:rPr>
        <w:t>的培</w:t>
      </w:r>
      <w:r w:rsidR="00386D24">
        <w:rPr>
          <w:rFonts w:ascii="SimSun" w:hAnsi="SimSun" w:hint="cs"/>
          <w:szCs w:val="21"/>
        </w:rPr>
        <w:t>‍</w:t>
      </w:r>
      <w:r w:rsidRPr="00905883">
        <w:rPr>
          <w:rFonts w:ascii="SimSun" w:hAnsi="SimSun" w:hint="eastAsia"/>
          <w:szCs w:val="21"/>
        </w:rPr>
        <w:t>训。</w:t>
      </w:r>
    </w:p>
    <w:p w14:paraId="540838AE" w14:textId="0993CF93" w:rsidR="00244938" w:rsidRPr="00F74B78" w:rsidRDefault="006A4CC8" w:rsidP="00AD6A9B">
      <w:pPr>
        <w:pStyle w:val="ONUME"/>
        <w:numPr>
          <w:ilvl w:val="0"/>
          <w:numId w:val="9"/>
        </w:numPr>
        <w:overflowPunct w:val="0"/>
        <w:spacing w:afterLines="50" w:after="120" w:line="340" w:lineRule="atLeast"/>
        <w:ind w:left="0" w:firstLine="0"/>
        <w:jc w:val="both"/>
        <w:rPr>
          <w:rFonts w:ascii="SimSun" w:hAnsi="SimSun"/>
          <w:szCs w:val="21"/>
        </w:rPr>
      </w:pPr>
      <w:r w:rsidRPr="00F74B78">
        <w:rPr>
          <w:rFonts w:ascii="SimSun" w:hAnsi="SimSun" w:hint="eastAsia"/>
          <w:szCs w:val="21"/>
        </w:rPr>
        <w:t>根据各工业产权局和用户的反馈意见，国际局启动了一个新的WIPO Sequence套件开发项目，重点是提高XML验证性能。为实现这一目标</w:t>
      </w:r>
      <w:r w:rsidRPr="004344FE">
        <w:rPr>
          <w:rFonts w:ascii="SimSun" w:hAnsi="SimSun" w:hint="eastAsia"/>
          <w:szCs w:val="21"/>
          <w:lang w:val="es-419"/>
        </w:rPr>
        <w:t xml:space="preserve">，WIPO </w:t>
      </w:r>
      <w:r w:rsidRPr="004344FE">
        <w:rPr>
          <w:rFonts w:ascii="SimSun" w:hAnsi="SimSun"/>
          <w:szCs w:val="21"/>
          <w:lang w:val="es-419"/>
        </w:rPr>
        <w:t>Sequence</w:t>
      </w:r>
      <w:r w:rsidRPr="00F74B78">
        <w:rPr>
          <w:rFonts w:ascii="SimSun" w:hAnsi="SimSun" w:hint="eastAsia"/>
          <w:szCs w:val="21"/>
        </w:rPr>
        <w:t>和</w:t>
      </w:r>
      <w:r w:rsidRPr="004344FE">
        <w:rPr>
          <w:rFonts w:ascii="SimSun" w:hAnsi="SimSun" w:hint="eastAsia"/>
          <w:szCs w:val="21"/>
          <w:lang w:val="es-419"/>
        </w:rPr>
        <w:t xml:space="preserve">WIPO </w:t>
      </w:r>
      <w:bookmarkStart w:id="5" w:name="_Hlk174524703"/>
      <w:r w:rsidRPr="004344FE">
        <w:rPr>
          <w:rFonts w:ascii="SimSun" w:hAnsi="SimSun"/>
          <w:szCs w:val="21"/>
          <w:lang w:val="es-419"/>
        </w:rPr>
        <w:t>Sequence</w:t>
      </w:r>
      <w:bookmarkEnd w:id="5"/>
      <w:r w:rsidRPr="004344FE">
        <w:rPr>
          <w:lang w:val="es-419"/>
        </w:rPr>
        <w:t xml:space="preserve"> </w:t>
      </w:r>
      <w:r w:rsidRPr="004344FE">
        <w:rPr>
          <w:rFonts w:ascii="SimSun" w:hAnsi="SimSun"/>
          <w:szCs w:val="21"/>
          <w:lang w:val="es-419"/>
        </w:rPr>
        <w:t>Validator</w:t>
      </w:r>
      <w:r w:rsidRPr="00F74B78">
        <w:rPr>
          <w:rFonts w:ascii="SimSun" w:hAnsi="SimSun" w:hint="eastAsia"/>
          <w:szCs w:val="21"/>
        </w:rPr>
        <w:t>都采用了更新的技术堆栈。对这两个组件的全面改造需要进行广泛测试，以确保实施在功能上等同于2.3.0版。国际局在2024年第三季度推出</w:t>
      </w:r>
      <w:r w:rsidR="00381600">
        <w:rPr>
          <w:rFonts w:ascii="SimSun" w:hAnsi="SimSun" w:hint="eastAsia"/>
          <w:szCs w:val="21"/>
        </w:rPr>
        <w:t>了</w:t>
      </w:r>
      <w:r w:rsidRPr="00F74B78">
        <w:rPr>
          <w:rFonts w:ascii="SimSun" w:hAnsi="SimSun" w:hint="eastAsia"/>
          <w:szCs w:val="21"/>
        </w:rPr>
        <w:t xml:space="preserve">WIPO </w:t>
      </w:r>
      <w:r w:rsidRPr="00F74B78">
        <w:rPr>
          <w:rFonts w:ascii="SimSun" w:hAnsi="SimSun"/>
          <w:szCs w:val="21"/>
        </w:rPr>
        <w:t>Sequence Validator</w:t>
      </w:r>
      <w:r w:rsidRPr="00F74B78">
        <w:rPr>
          <w:rFonts w:ascii="SimSun" w:hAnsi="SimSun" w:hint="eastAsia"/>
          <w:szCs w:val="21"/>
        </w:rPr>
        <w:t>的新版本3.0.0版。</w:t>
      </w:r>
      <w:r w:rsidR="00381600" w:rsidRPr="00381600">
        <w:rPr>
          <w:rFonts w:ascii="SimSun" w:hAnsi="SimSun" w:hint="eastAsia"/>
          <w:szCs w:val="21"/>
        </w:rPr>
        <w:t>鉴于2.3.0版的稳定性，国际局在向用户发布WIPO Sequence时采取了更为谨慎的做法。2024年计划</w:t>
      </w:r>
      <w:r w:rsidR="007B556F">
        <w:rPr>
          <w:rFonts w:ascii="SimSun" w:hAnsi="SimSun" w:hint="eastAsia"/>
          <w:szCs w:val="21"/>
        </w:rPr>
        <w:t>于</w:t>
      </w:r>
      <w:r w:rsidR="007B556F" w:rsidRPr="00381600">
        <w:rPr>
          <w:rFonts w:ascii="SimSun" w:hAnsi="SimSun" w:hint="eastAsia"/>
          <w:szCs w:val="21"/>
        </w:rPr>
        <w:t>2025年第二季度</w:t>
      </w:r>
      <w:r w:rsidR="00381600" w:rsidRPr="00381600">
        <w:rPr>
          <w:rFonts w:ascii="SimSun" w:hAnsi="SimSun" w:hint="eastAsia"/>
          <w:szCs w:val="21"/>
        </w:rPr>
        <w:t>向试点用户</w:t>
      </w:r>
      <w:r w:rsidR="007B556F">
        <w:rPr>
          <w:rFonts w:ascii="SimSun" w:hAnsi="SimSun" w:hint="eastAsia"/>
          <w:szCs w:val="21"/>
        </w:rPr>
        <w:t>组（</w:t>
      </w:r>
      <w:r w:rsidR="00381600" w:rsidRPr="00381600">
        <w:rPr>
          <w:rFonts w:ascii="SimSun" w:hAnsi="SimSun" w:hint="eastAsia"/>
          <w:szCs w:val="21"/>
        </w:rPr>
        <w:t>即WIPO Sequence Insider用户组</w:t>
      </w:r>
      <w:r w:rsidR="007B556F">
        <w:rPr>
          <w:rFonts w:ascii="SimSun" w:hAnsi="SimSun" w:hint="eastAsia"/>
          <w:szCs w:val="21"/>
        </w:rPr>
        <w:t>）</w:t>
      </w:r>
      <w:r w:rsidR="00381600" w:rsidRPr="00381600">
        <w:rPr>
          <w:rFonts w:ascii="SimSun" w:hAnsi="SimSun" w:hint="eastAsia"/>
          <w:szCs w:val="21"/>
        </w:rPr>
        <w:t>发布3.0.0版。</w:t>
      </w:r>
    </w:p>
    <w:p w14:paraId="7533333D" w14:textId="7CAF5096" w:rsidR="00EB3911" w:rsidRPr="00F74B78" w:rsidRDefault="006A4CC8" w:rsidP="00AD6A9B">
      <w:pPr>
        <w:pStyle w:val="ONUME"/>
        <w:numPr>
          <w:ilvl w:val="0"/>
          <w:numId w:val="9"/>
        </w:numPr>
        <w:overflowPunct w:val="0"/>
        <w:spacing w:afterLines="50" w:after="120" w:line="340" w:lineRule="atLeast"/>
        <w:ind w:left="0" w:firstLine="0"/>
        <w:jc w:val="both"/>
        <w:rPr>
          <w:rFonts w:ascii="SimSun" w:hAnsi="SimSun"/>
          <w:szCs w:val="21"/>
        </w:rPr>
      </w:pPr>
      <w:r w:rsidRPr="00F74B78">
        <w:rPr>
          <w:rFonts w:ascii="SimSun" w:hAnsi="SimSun" w:hint="eastAsia"/>
          <w:szCs w:val="21"/>
        </w:rPr>
        <w:t xml:space="preserve">在实施产权组织标准ST.26和WIPO </w:t>
      </w:r>
      <w:r w:rsidRPr="00F74B78">
        <w:rPr>
          <w:rFonts w:ascii="SimSun" w:hAnsi="SimSun"/>
          <w:szCs w:val="21"/>
        </w:rPr>
        <w:t>Sequence</w:t>
      </w:r>
      <w:r w:rsidRPr="00F74B78">
        <w:rPr>
          <w:rFonts w:ascii="SimSun" w:hAnsi="SimSun" w:hint="eastAsia"/>
          <w:szCs w:val="21"/>
        </w:rPr>
        <w:t>的技术援助方面，国际局应邀在两次网络研讨会上介绍了这一议题</w:t>
      </w:r>
      <w:r w:rsidR="00E7252C">
        <w:rPr>
          <w:rFonts w:ascii="SimSun" w:hAnsi="SimSun" w:hint="eastAsia"/>
          <w:szCs w:val="21"/>
        </w:rPr>
        <w:t>，其中一个是作为WIPO学院课程DL-427的组成部分</w:t>
      </w:r>
      <w:r w:rsidRPr="00F74B78">
        <w:rPr>
          <w:rFonts w:ascii="SimSun" w:hAnsi="SimSun" w:hint="eastAsia"/>
          <w:szCs w:val="21"/>
        </w:rPr>
        <w:t>。</w:t>
      </w:r>
    </w:p>
    <w:p w14:paraId="7BE8B692" w14:textId="2732086C" w:rsidR="009E2E0C" w:rsidRDefault="00D178A5" w:rsidP="00AD6A9B">
      <w:pPr>
        <w:pStyle w:val="ONUME"/>
        <w:numPr>
          <w:ilvl w:val="0"/>
          <w:numId w:val="9"/>
        </w:numPr>
        <w:overflowPunct w:val="0"/>
        <w:spacing w:afterLines="50" w:after="120" w:line="340" w:lineRule="atLeast"/>
        <w:ind w:left="0" w:firstLine="0"/>
        <w:jc w:val="both"/>
        <w:rPr>
          <w:rFonts w:ascii="SimSun" w:hAnsi="SimSun"/>
          <w:szCs w:val="21"/>
        </w:rPr>
      </w:pPr>
      <w:r>
        <w:rPr>
          <w:rFonts w:ascii="SimSun" w:hAnsi="SimSun" w:hint="eastAsia"/>
          <w:szCs w:val="21"/>
        </w:rPr>
        <w:t>按照</w:t>
      </w:r>
      <w:r w:rsidR="008172DF">
        <w:rPr>
          <w:rFonts w:ascii="SimSun" w:hAnsi="SimSun" w:hint="eastAsia"/>
          <w:szCs w:val="21"/>
        </w:rPr>
        <w:t>标准委</w:t>
      </w:r>
      <w:r>
        <w:rPr>
          <w:rFonts w:ascii="SimSun" w:hAnsi="SimSun" w:hint="eastAsia"/>
          <w:szCs w:val="21"/>
        </w:rPr>
        <w:t>在</w:t>
      </w:r>
      <w:r w:rsidR="0074499A" w:rsidRPr="0074499A">
        <w:rPr>
          <w:rFonts w:ascii="SimSun" w:hAnsi="SimSun" w:hint="eastAsia"/>
          <w:szCs w:val="21"/>
        </w:rPr>
        <w:t>第八届会议</w:t>
      </w:r>
      <w:r>
        <w:rPr>
          <w:rFonts w:ascii="SimSun" w:hAnsi="SimSun" w:hint="eastAsia"/>
          <w:szCs w:val="21"/>
        </w:rPr>
        <w:t>上提出</w:t>
      </w:r>
      <w:r w:rsidR="0074499A" w:rsidRPr="0074499A">
        <w:rPr>
          <w:rFonts w:ascii="SimSun" w:hAnsi="SimSun" w:hint="eastAsia"/>
          <w:szCs w:val="21"/>
        </w:rPr>
        <w:t>的要求，知识产权应用程序接口（API）目录于2024年7月</w:t>
      </w:r>
      <w:r w:rsidR="008172DF">
        <w:rPr>
          <w:rFonts w:ascii="SimSun" w:hAnsi="SimSun" w:hint="eastAsia"/>
          <w:szCs w:val="21"/>
        </w:rPr>
        <w:t>推出</w:t>
      </w:r>
      <w:r w:rsidR="0074499A" w:rsidRPr="0074499A">
        <w:rPr>
          <w:rFonts w:ascii="SimSun" w:hAnsi="SimSun" w:hint="eastAsia"/>
          <w:szCs w:val="21"/>
        </w:rPr>
        <w:t>。该统一平台汇集了</w:t>
      </w:r>
      <w:r w:rsidR="003B39CE">
        <w:rPr>
          <w:rFonts w:ascii="SimSun" w:hAnsi="SimSun" w:hint="eastAsia"/>
          <w:szCs w:val="21"/>
        </w:rPr>
        <w:t>各</w:t>
      </w:r>
      <w:r w:rsidR="0074499A" w:rsidRPr="0074499A">
        <w:rPr>
          <w:rFonts w:ascii="SimSun" w:hAnsi="SimSun" w:hint="eastAsia"/>
          <w:szCs w:val="21"/>
        </w:rPr>
        <w:t>知识产权机构为其产品与服务提供的API</w:t>
      </w:r>
      <w:r w:rsidR="003B39CE">
        <w:rPr>
          <w:rFonts w:ascii="SimSun" w:hAnsi="SimSun" w:hint="eastAsia"/>
          <w:szCs w:val="21"/>
        </w:rPr>
        <w:t>的全面</w:t>
      </w:r>
      <w:r w:rsidR="0074499A" w:rsidRPr="0074499A">
        <w:rPr>
          <w:rFonts w:ascii="SimSun" w:hAnsi="SimSun" w:hint="eastAsia"/>
          <w:szCs w:val="21"/>
        </w:rPr>
        <w:t>清单。2024年，国际局支持九个知识产权局将总计177个API纳入目录。此外，国际局以六种联合国语文（阿拉伯</w:t>
      </w:r>
      <w:r w:rsidR="003B39CE">
        <w:rPr>
          <w:rFonts w:ascii="SimSun" w:hAnsi="SimSun" w:hint="eastAsia"/>
          <w:szCs w:val="21"/>
        </w:rPr>
        <w:t>文</w:t>
      </w:r>
      <w:r w:rsidR="0074499A" w:rsidRPr="0074499A">
        <w:rPr>
          <w:rFonts w:ascii="SimSun" w:hAnsi="SimSun" w:hint="eastAsia"/>
          <w:szCs w:val="21"/>
        </w:rPr>
        <w:t>、</w:t>
      </w:r>
      <w:r w:rsidR="003B39CE">
        <w:rPr>
          <w:rFonts w:ascii="SimSun" w:hAnsi="SimSun" w:hint="eastAsia"/>
          <w:szCs w:val="21"/>
        </w:rPr>
        <w:t>俄文、</w:t>
      </w:r>
      <w:r w:rsidR="0074499A" w:rsidRPr="0074499A">
        <w:rPr>
          <w:rFonts w:ascii="SimSun" w:hAnsi="SimSun" w:hint="eastAsia"/>
          <w:szCs w:val="21"/>
        </w:rPr>
        <w:t>法</w:t>
      </w:r>
      <w:r w:rsidR="00ED15D7">
        <w:rPr>
          <w:rFonts w:ascii="SimSun" w:hAnsi="SimSun" w:hint="eastAsia"/>
          <w:szCs w:val="21"/>
        </w:rPr>
        <w:t>文</w:t>
      </w:r>
      <w:r w:rsidR="0074499A" w:rsidRPr="0074499A">
        <w:rPr>
          <w:rFonts w:ascii="SimSun" w:hAnsi="SimSun" w:hint="eastAsia"/>
          <w:szCs w:val="21"/>
        </w:rPr>
        <w:t>、西班牙</w:t>
      </w:r>
      <w:r w:rsidR="00ED15D7">
        <w:rPr>
          <w:rFonts w:ascii="SimSun" w:hAnsi="SimSun" w:hint="eastAsia"/>
          <w:szCs w:val="21"/>
        </w:rPr>
        <w:t>文</w:t>
      </w:r>
      <w:r w:rsidR="003B39CE">
        <w:rPr>
          <w:rFonts w:ascii="SimSun" w:hAnsi="SimSun" w:hint="eastAsia"/>
          <w:szCs w:val="21"/>
        </w:rPr>
        <w:t>、英文和中文</w:t>
      </w:r>
      <w:r w:rsidR="0074499A" w:rsidRPr="0074499A">
        <w:rPr>
          <w:rFonts w:ascii="SimSun" w:hAnsi="SimSun" w:hint="eastAsia"/>
          <w:szCs w:val="21"/>
        </w:rPr>
        <w:t>）编制并发布了两份详细指南：API目录用户指南</w:t>
      </w:r>
      <w:r w:rsidR="003B39CE">
        <w:rPr>
          <w:rFonts w:ascii="SimSun" w:hAnsi="SimSun" w:hint="eastAsia"/>
          <w:szCs w:val="21"/>
        </w:rPr>
        <w:t>——</w:t>
      </w:r>
      <w:r w:rsidR="0074499A" w:rsidRPr="0074499A">
        <w:rPr>
          <w:rFonts w:ascii="SimSun" w:hAnsi="SimSun" w:hint="eastAsia"/>
          <w:szCs w:val="21"/>
        </w:rPr>
        <w:t>协助用户浏览和使用</w:t>
      </w:r>
      <w:r w:rsidR="00ED15D7">
        <w:rPr>
          <w:rFonts w:ascii="SimSun" w:hAnsi="SimSun" w:hint="eastAsia"/>
          <w:szCs w:val="21"/>
        </w:rPr>
        <w:t>该</w:t>
      </w:r>
      <w:r w:rsidR="0074499A" w:rsidRPr="0074499A">
        <w:rPr>
          <w:rFonts w:ascii="SimSun" w:hAnsi="SimSun" w:hint="eastAsia"/>
          <w:szCs w:val="21"/>
        </w:rPr>
        <w:t>平台；以及API目录知识产权机构指南</w:t>
      </w:r>
      <w:r w:rsidR="003B39CE">
        <w:rPr>
          <w:rFonts w:ascii="SimSun" w:hAnsi="SimSun" w:hint="eastAsia"/>
          <w:szCs w:val="21"/>
        </w:rPr>
        <w:t>——解释</w:t>
      </w:r>
      <w:r w:rsidR="0074499A" w:rsidRPr="0074499A">
        <w:rPr>
          <w:rFonts w:ascii="SimSun" w:hAnsi="SimSun" w:hint="eastAsia"/>
          <w:szCs w:val="21"/>
        </w:rPr>
        <w:t>知识产权机构如何通过该目录提供其API。为进一步协助知识产权</w:t>
      </w:r>
      <w:r w:rsidR="003B39CE">
        <w:rPr>
          <w:rFonts w:ascii="SimSun" w:hAnsi="SimSun" w:hint="eastAsia"/>
          <w:szCs w:val="21"/>
        </w:rPr>
        <w:t>局</w:t>
      </w:r>
      <w:r w:rsidR="0074499A" w:rsidRPr="0074499A">
        <w:rPr>
          <w:rFonts w:ascii="SimSun" w:hAnsi="SimSun" w:hint="eastAsia"/>
          <w:szCs w:val="21"/>
        </w:rPr>
        <w:t>提交符合最低要求的开放API规范（OAS）文件，国际局还提供了JSON和YAML模板</w:t>
      </w:r>
      <w:r w:rsidR="00387EA1" w:rsidRPr="00F74B78">
        <w:rPr>
          <w:rFonts w:ascii="SimSun" w:hAnsi="SimSun"/>
          <w:szCs w:val="21"/>
        </w:rPr>
        <w:t>。</w:t>
      </w:r>
    </w:p>
    <w:p w14:paraId="5A61DF7A" w14:textId="6CB2FBAA" w:rsidR="004C3AC0" w:rsidRPr="00F74B78" w:rsidRDefault="004C3AC0" w:rsidP="00AD6A9B">
      <w:pPr>
        <w:pStyle w:val="ONUME"/>
        <w:numPr>
          <w:ilvl w:val="0"/>
          <w:numId w:val="9"/>
        </w:numPr>
        <w:overflowPunct w:val="0"/>
        <w:spacing w:afterLines="50" w:after="120" w:line="340" w:lineRule="atLeast"/>
        <w:ind w:left="0" w:firstLine="0"/>
        <w:jc w:val="both"/>
        <w:rPr>
          <w:rFonts w:ascii="SimSun" w:hAnsi="SimSun"/>
          <w:szCs w:val="21"/>
        </w:rPr>
      </w:pPr>
      <w:r w:rsidRPr="004C3AC0">
        <w:rPr>
          <w:rFonts w:ascii="SimSun" w:hAnsi="SimSun" w:hint="eastAsia"/>
          <w:szCs w:val="21"/>
        </w:rPr>
        <w:t>秘书处继续致力于根据需求</w:t>
      </w:r>
      <w:r>
        <w:rPr>
          <w:rFonts w:ascii="SimSun" w:hAnsi="SimSun" w:hint="eastAsia"/>
          <w:szCs w:val="21"/>
        </w:rPr>
        <w:t>和资源可用性就</w:t>
      </w:r>
      <w:r w:rsidRPr="004C3AC0">
        <w:rPr>
          <w:rFonts w:ascii="SimSun" w:hAnsi="SimSun" w:hint="eastAsia"/>
          <w:szCs w:val="21"/>
        </w:rPr>
        <w:t>产权组织标准</w:t>
      </w:r>
      <w:r>
        <w:rPr>
          <w:rFonts w:ascii="SimSun" w:hAnsi="SimSun" w:hint="eastAsia"/>
          <w:szCs w:val="21"/>
        </w:rPr>
        <w:t>提供</w:t>
      </w:r>
      <w:r w:rsidRPr="004C3AC0">
        <w:rPr>
          <w:rFonts w:ascii="SimSun" w:hAnsi="SimSun" w:hint="eastAsia"/>
          <w:szCs w:val="21"/>
        </w:rPr>
        <w:t>技术援助和培训。</w:t>
      </w:r>
    </w:p>
    <w:p w14:paraId="29B105FD" w14:textId="090C4443" w:rsidR="009E2E0C" w:rsidRPr="00F74B78" w:rsidRDefault="00387EA1" w:rsidP="004409D2">
      <w:pPr>
        <w:pStyle w:val="Heading2"/>
        <w:spacing w:before="240" w:after="120"/>
      </w:pPr>
      <w:r w:rsidRPr="00F74B78">
        <w:t>提供技术援助建设知识产权机构使用产权组织标准的基础设施</w:t>
      </w:r>
    </w:p>
    <w:p w14:paraId="073F73A2" w14:textId="7EE4F8E9" w:rsidR="009E2E0C" w:rsidRPr="00F74B78" w:rsidRDefault="0084056C" w:rsidP="00AD6A9B">
      <w:pPr>
        <w:pStyle w:val="ONUME"/>
        <w:numPr>
          <w:ilvl w:val="0"/>
          <w:numId w:val="9"/>
        </w:numPr>
        <w:overflowPunct w:val="0"/>
        <w:spacing w:afterLines="50" w:after="120" w:line="340" w:lineRule="atLeast"/>
        <w:ind w:left="0" w:firstLine="0"/>
        <w:jc w:val="both"/>
        <w:rPr>
          <w:rFonts w:ascii="SimSun" w:hAnsi="SimSun"/>
          <w:szCs w:val="21"/>
          <w:lang w:val="en"/>
        </w:rPr>
      </w:pPr>
      <w:r w:rsidRPr="00F74B78">
        <w:rPr>
          <w:rFonts w:ascii="SimSun" w:hAnsi="SimSun"/>
          <w:szCs w:val="21"/>
          <w:lang w:val="en"/>
        </w:rPr>
        <w:t>产权组织的知识产权局业务解决方案计划旨在增强国家和区域工业产权局的业务系统和技术基础设施，帮助它们向各自的利益攸关方提供更具成本效益且更优质的服务。所提供的援助符合旨在加强各工业产权局和其他机构的机构和技术基础设施的发展议程建议。服务包括技术咨询；业务需求评估；项目范围确定和规划；业务程序分析；不断开发和部署针对工业产权行政管理和优先权文件及检索审查结果交换的定制业务系统解决方案；建立工业产权数据库；帮助进行工业产权记录数字化和准备数据用于在线公布和电子数据交换；面向工业产权机构工作人员的培训和知识转让；以及为产权组织提供的系统提供支持。这些协助酌情考虑了关于工业产权数据和信息的产权组织标准。现场或虚拟培训、指导和区域培训讲习班在活动中占了很大一部分，对实现预期成果至关重要。</w:t>
      </w:r>
    </w:p>
    <w:p w14:paraId="7FA35C67" w14:textId="05680A3E" w:rsidR="00035E70" w:rsidRPr="00F74B78" w:rsidRDefault="0084056C" w:rsidP="00AD6A9B">
      <w:pPr>
        <w:pStyle w:val="ONUME"/>
        <w:numPr>
          <w:ilvl w:val="0"/>
          <w:numId w:val="9"/>
        </w:numPr>
        <w:overflowPunct w:val="0"/>
        <w:spacing w:afterLines="50" w:after="120" w:line="340" w:lineRule="atLeast"/>
        <w:ind w:left="0" w:firstLine="0"/>
        <w:jc w:val="both"/>
        <w:rPr>
          <w:rFonts w:ascii="SimSun" w:hAnsi="SimSun"/>
          <w:color w:val="000000"/>
          <w:szCs w:val="21"/>
          <w:lang w:val="en-GB"/>
        </w:rPr>
      </w:pPr>
      <w:r w:rsidRPr="00F74B78">
        <w:rPr>
          <w:rFonts w:ascii="SimSun" w:hAnsi="SimSun"/>
          <w:szCs w:val="21"/>
          <w:lang w:val="en-GB"/>
        </w:rPr>
        <w:t>到202</w:t>
      </w:r>
      <w:r w:rsidR="007C29DC">
        <w:rPr>
          <w:rFonts w:ascii="SimSun" w:hAnsi="SimSun" w:hint="eastAsia"/>
          <w:szCs w:val="21"/>
          <w:lang w:val="en-GB"/>
        </w:rPr>
        <w:t>4</w:t>
      </w:r>
      <w:r w:rsidRPr="00F74B78">
        <w:rPr>
          <w:rFonts w:ascii="SimSun" w:hAnsi="SimSun"/>
          <w:szCs w:val="21"/>
          <w:lang w:val="en-GB"/>
        </w:rPr>
        <w:t>年底，来自各区域发展中国家的9</w:t>
      </w:r>
      <w:r w:rsidR="004A75E6" w:rsidRPr="00F74B78">
        <w:rPr>
          <w:rFonts w:ascii="SimSun" w:hAnsi="SimSun"/>
          <w:szCs w:val="21"/>
          <w:lang w:val="en-GB"/>
        </w:rPr>
        <w:t>1</w:t>
      </w:r>
      <w:r w:rsidRPr="00F74B78">
        <w:rPr>
          <w:rFonts w:ascii="SimSun" w:hAnsi="SimSun"/>
          <w:szCs w:val="21"/>
          <w:lang w:val="en-GB"/>
        </w:rPr>
        <w:t>个工业产权局积极使用产权组织的知识产权局业务解决方案来进行工业产权行政管理，产权组织标准包括其中。</w:t>
      </w:r>
      <w:r w:rsidR="00260EB1" w:rsidRPr="00F74B78">
        <w:rPr>
          <w:rFonts w:ascii="SimSun" w:hAnsi="SimSun" w:hint="eastAsia"/>
          <w:szCs w:val="21"/>
          <w:lang w:val="en-GB"/>
        </w:rPr>
        <w:t>60</w:t>
      </w:r>
      <w:r w:rsidRPr="00F74B78">
        <w:rPr>
          <w:rFonts w:ascii="SimSun" w:hAnsi="SimSun"/>
          <w:szCs w:val="21"/>
          <w:lang w:val="en-GB"/>
        </w:rPr>
        <w:t>个工业产权局参加了产权组织提供的在线交换平台之一（检索和审查结果集中查询，及数字查询服务）。一个重点是，通过协助各局转向在线申请服务和工业产权信息传播服务，提升各局的服务水平。更多信息可见产权组织的工业产权局技术援助计划网站：</w:t>
      </w:r>
      <w:hyperlink r:id="rId12" w:history="1">
        <w:r w:rsidR="00F74B78" w:rsidRPr="0093329C">
          <w:rPr>
            <w:rStyle w:val="Hyperlink"/>
            <w:rFonts w:ascii="SimSun" w:hAnsi="SimSun"/>
            <w:szCs w:val="21"/>
          </w:rPr>
          <w:t>https://www.wipo.int/global_ip/zh/activities/ip_</w:t>
        </w:r>
        <w:r w:rsidR="00F74B78" w:rsidRPr="0093329C">
          <w:rPr>
            <w:rStyle w:val="Hyperlink"/>
            <w:rFonts w:ascii="Times New Roman" w:hAnsi="Times New Roman" w:cs="Times New Roman"/>
            <w:szCs w:val="21"/>
          </w:rPr>
          <w:t>‌</w:t>
        </w:r>
        <w:r w:rsidR="00F74B78" w:rsidRPr="0093329C">
          <w:rPr>
            <w:rStyle w:val="Hyperlink"/>
            <w:rFonts w:ascii="SimSun" w:hAnsi="SimSun"/>
            <w:szCs w:val="21"/>
          </w:rPr>
          <w:t>office_business_solutions/</w:t>
        </w:r>
      </w:hyperlink>
      <w:r w:rsidRPr="00F74B78">
        <w:rPr>
          <w:rFonts w:ascii="SimSun" w:hAnsi="SimSun"/>
          <w:szCs w:val="21"/>
          <w:lang w:val="en-GB"/>
        </w:rPr>
        <w:t>。</w:t>
      </w:r>
    </w:p>
    <w:p w14:paraId="4D3F43F3" w14:textId="5819C440" w:rsidR="00FA0C32" w:rsidRPr="00F74B78" w:rsidRDefault="005F01A6" w:rsidP="00AD6A9B">
      <w:pPr>
        <w:pStyle w:val="ONUME"/>
        <w:numPr>
          <w:ilvl w:val="0"/>
          <w:numId w:val="9"/>
        </w:numPr>
        <w:overflowPunct w:val="0"/>
        <w:spacing w:afterLines="50" w:after="120" w:line="340" w:lineRule="atLeast"/>
        <w:ind w:left="0" w:firstLine="0"/>
        <w:jc w:val="both"/>
        <w:rPr>
          <w:rFonts w:ascii="SimSun" w:hAnsi="SimSun"/>
          <w:color w:val="000000"/>
          <w:szCs w:val="21"/>
          <w:lang w:val="en-GB"/>
        </w:rPr>
      </w:pPr>
      <w:r w:rsidRPr="00F74B78">
        <w:rPr>
          <w:rFonts w:ascii="SimSun" w:hAnsi="SimSun" w:hint="eastAsia"/>
          <w:szCs w:val="21"/>
          <w:lang w:val="en-GB"/>
        </w:rPr>
        <w:t>在产权组织的全球数据库计划下，国际局继续在日本信托基金计划的支持下，协助成员国为其专利公布创建高质量的全文。在日本202</w:t>
      </w:r>
      <w:r w:rsidR="00AC76F5">
        <w:rPr>
          <w:rFonts w:ascii="SimSun" w:hAnsi="SimSun" w:hint="eastAsia"/>
          <w:szCs w:val="21"/>
          <w:lang w:val="en-GB"/>
        </w:rPr>
        <w:t>4</w:t>
      </w:r>
      <w:r w:rsidRPr="00F74B78">
        <w:rPr>
          <w:rFonts w:ascii="SimSun" w:hAnsi="SimSun" w:hint="eastAsia"/>
          <w:szCs w:val="21"/>
          <w:lang w:val="en-GB"/>
        </w:rPr>
        <w:t>财年，墨西哥专利局的1</w:t>
      </w:r>
      <w:r w:rsidR="00AC76F5">
        <w:rPr>
          <w:rFonts w:ascii="SimSun" w:hAnsi="SimSun" w:hint="eastAsia"/>
          <w:szCs w:val="21"/>
          <w:lang w:val="en-GB"/>
        </w:rPr>
        <w:t>4</w:t>
      </w:r>
      <w:r w:rsidRPr="00F74B78">
        <w:rPr>
          <w:rFonts w:ascii="SimSun" w:hAnsi="SimSun" w:hint="eastAsia"/>
          <w:szCs w:val="21"/>
          <w:lang w:val="en-GB"/>
        </w:rPr>
        <w:t>,</w:t>
      </w:r>
      <w:r w:rsidR="00AC76F5">
        <w:rPr>
          <w:rFonts w:ascii="SimSun" w:hAnsi="SimSun" w:hint="eastAsia"/>
          <w:szCs w:val="21"/>
          <w:lang w:val="en-GB"/>
        </w:rPr>
        <w:t>951</w:t>
      </w:r>
      <w:r w:rsidRPr="00F74B78">
        <w:rPr>
          <w:rFonts w:ascii="SimSun" w:hAnsi="SimSun" w:hint="eastAsia"/>
          <w:szCs w:val="21"/>
          <w:lang w:val="en-GB"/>
        </w:rPr>
        <w:t>份专利文件</w:t>
      </w:r>
      <w:r w:rsidR="00AC76F5">
        <w:rPr>
          <w:rFonts w:ascii="SimSun" w:hAnsi="SimSun" w:hint="eastAsia"/>
          <w:szCs w:val="21"/>
          <w:lang w:val="en-GB"/>
        </w:rPr>
        <w:t>（共计1,117,745页说明书和权利要求书）</w:t>
      </w:r>
      <w:r w:rsidRPr="00F74B78">
        <w:rPr>
          <w:rFonts w:ascii="SimSun" w:hAnsi="SimSun" w:hint="eastAsia"/>
          <w:szCs w:val="21"/>
          <w:lang w:val="en-GB"/>
        </w:rPr>
        <w:t>经过OCR、校对和XML转换后收入了PATENTSCOPE。</w:t>
      </w:r>
    </w:p>
    <w:p w14:paraId="0F1EA9BB" w14:textId="28675C43" w:rsidR="009E2E0C" w:rsidRPr="00F74B78" w:rsidRDefault="0084056C" w:rsidP="004409D2">
      <w:pPr>
        <w:pStyle w:val="Heading2"/>
        <w:spacing w:before="240" w:after="120"/>
      </w:pPr>
      <w:r w:rsidRPr="00F74B78">
        <w:t>开展工业产权官员和审查员利用国际工具的能力建设</w:t>
      </w:r>
    </w:p>
    <w:p w14:paraId="2662265B" w14:textId="053976B0" w:rsidR="00C20DB1" w:rsidRPr="00C82771" w:rsidRDefault="00E05E28" w:rsidP="00AD6A9B">
      <w:pPr>
        <w:pStyle w:val="ONUME"/>
        <w:numPr>
          <w:ilvl w:val="0"/>
          <w:numId w:val="9"/>
        </w:numPr>
        <w:overflowPunct w:val="0"/>
        <w:spacing w:afterLines="50" w:after="120" w:line="340" w:lineRule="atLeast"/>
        <w:ind w:left="0" w:firstLine="0"/>
        <w:jc w:val="both"/>
        <w:rPr>
          <w:rFonts w:ascii="SimSun" w:hAnsi="SimSun"/>
          <w:szCs w:val="21"/>
          <w:lang w:val="en"/>
        </w:rPr>
      </w:pPr>
      <w:r w:rsidRPr="00C82771">
        <w:rPr>
          <w:rFonts w:ascii="SimSun" w:hAnsi="SimSun" w:cs="MS Mincho" w:hint="eastAsia"/>
          <w:szCs w:val="21"/>
          <w:lang w:val="en"/>
        </w:rPr>
        <w:t>根据要求，国际局于2024年6月24日</w:t>
      </w:r>
      <w:r w:rsidR="00B25B02">
        <w:rPr>
          <w:rFonts w:ascii="SimSun" w:hAnsi="SimSun" w:cs="MS Mincho" w:hint="eastAsia"/>
          <w:szCs w:val="21"/>
          <w:lang w:val="en"/>
        </w:rPr>
        <w:t>和</w:t>
      </w:r>
      <w:r w:rsidRPr="00C82771">
        <w:rPr>
          <w:rFonts w:ascii="SimSun" w:hAnsi="SimSun" w:cs="MS Mincho" w:hint="eastAsia"/>
          <w:szCs w:val="21"/>
          <w:lang w:val="en"/>
        </w:rPr>
        <w:t>28日与印度拉吉夫·甘地国家知识产权管理学院（RGNIIPM）和印度专利、外观设计和商标总署，通过在线平台为亚洲地区合作举办了普通专利检索与审查专题培训研讨会，向专利审查员讲解国际专利分类（IPC）的使用方法。</w:t>
      </w:r>
      <w:r w:rsidR="00CF3075" w:rsidRPr="00C82771">
        <w:rPr>
          <w:rFonts w:ascii="SimSun" w:hAnsi="SimSun" w:cs="MS Mincho" w:hint="eastAsia"/>
          <w:szCs w:val="21"/>
          <w:lang w:val="en"/>
        </w:rPr>
        <w:t>在</w:t>
      </w:r>
      <w:r w:rsidR="00C6473F" w:rsidRPr="00C82771">
        <w:rPr>
          <w:rFonts w:ascii="SimSun" w:hAnsi="SimSun" w:cs="MS Mincho" w:hint="eastAsia"/>
          <w:szCs w:val="21"/>
          <w:lang w:val="en"/>
        </w:rPr>
        <w:t>此背景</w:t>
      </w:r>
      <w:r w:rsidR="00CF3075" w:rsidRPr="00C82771">
        <w:rPr>
          <w:rFonts w:ascii="SimSun" w:hAnsi="SimSun" w:cs="MS Mincho" w:hint="eastAsia"/>
          <w:szCs w:val="21"/>
          <w:lang w:val="en"/>
        </w:rPr>
        <w:t>下，</w:t>
      </w:r>
      <w:r w:rsidR="00C6473F" w:rsidRPr="00C82771">
        <w:rPr>
          <w:rFonts w:ascii="SimSun" w:hAnsi="SimSun" w:cs="MS Mincho" w:hint="eastAsia"/>
          <w:szCs w:val="21"/>
          <w:lang w:val="en"/>
        </w:rPr>
        <w:t>对相关产权组织标准的相关性作了解释</w:t>
      </w:r>
      <w:r w:rsidR="00CF3075" w:rsidRPr="00C82771">
        <w:rPr>
          <w:rFonts w:ascii="SimSun" w:hAnsi="SimSun" w:cs="MS Mincho" w:hint="eastAsia"/>
          <w:szCs w:val="21"/>
          <w:lang w:val="en"/>
        </w:rPr>
        <w:t>。</w:t>
      </w:r>
    </w:p>
    <w:p w14:paraId="79F8B9FD" w14:textId="39D8FD64" w:rsidR="009E2E0C" w:rsidRPr="00F74B78" w:rsidRDefault="003209AA" w:rsidP="004409D2">
      <w:pPr>
        <w:pStyle w:val="Heading2"/>
        <w:spacing w:before="240" w:after="120"/>
      </w:pPr>
      <w:r w:rsidRPr="00F74B78">
        <w:rPr>
          <w:rFonts w:hint="eastAsia"/>
        </w:rPr>
        <w:t>加强对产权组织标准的了解</w:t>
      </w:r>
    </w:p>
    <w:p w14:paraId="40F4735F" w14:textId="56AF71EB" w:rsidR="00035E70" w:rsidRPr="00F74B78" w:rsidRDefault="003209AA" w:rsidP="00AD6A9B">
      <w:pPr>
        <w:pStyle w:val="ONUME"/>
        <w:numPr>
          <w:ilvl w:val="0"/>
          <w:numId w:val="9"/>
        </w:numPr>
        <w:overflowPunct w:val="0"/>
        <w:spacing w:afterLines="50" w:after="120" w:line="340" w:lineRule="atLeast"/>
        <w:ind w:left="0" w:firstLine="0"/>
        <w:jc w:val="both"/>
        <w:rPr>
          <w:rFonts w:ascii="SimSun" w:hAnsi="SimSun"/>
          <w:bCs/>
          <w:iCs/>
          <w:szCs w:val="21"/>
        </w:rPr>
      </w:pPr>
      <w:r w:rsidRPr="00F74B78">
        <w:rPr>
          <w:rFonts w:ascii="SimSun" w:hAnsi="SimSun" w:hint="eastAsia"/>
          <w:szCs w:val="21"/>
        </w:rPr>
        <w:t>为提高发展中国家对产权组织标准的认识，便于更多发展中国家亲身参与制定产权组织新标准或修订产权组织标准，根据2011年10月大会的决定，国际局资助了</w:t>
      </w:r>
      <w:r w:rsidR="00277A9A">
        <w:rPr>
          <w:rFonts w:ascii="SimSun" w:hAnsi="SimSun" w:hint="eastAsia"/>
          <w:szCs w:val="21"/>
        </w:rPr>
        <w:t>10</w:t>
      </w:r>
      <w:r w:rsidRPr="00F74B78">
        <w:rPr>
          <w:rFonts w:ascii="SimSun" w:hAnsi="SimSun" w:hint="eastAsia"/>
          <w:szCs w:val="21"/>
        </w:rPr>
        <w:t>个发展中国家或最不发达国家出席标准委第</w:t>
      </w:r>
      <w:r w:rsidR="006364E2" w:rsidRPr="00F74B78">
        <w:rPr>
          <w:rFonts w:ascii="SimSun" w:hAnsi="SimSun" w:hint="eastAsia"/>
          <w:szCs w:val="21"/>
        </w:rPr>
        <w:t>十</w:t>
      </w:r>
      <w:r w:rsidR="00277A9A">
        <w:rPr>
          <w:rFonts w:ascii="SimSun" w:hAnsi="SimSun" w:hint="eastAsia"/>
          <w:szCs w:val="21"/>
        </w:rPr>
        <w:t>二</w:t>
      </w:r>
      <w:r w:rsidRPr="00F74B78">
        <w:rPr>
          <w:rFonts w:ascii="SimSun" w:hAnsi="SimSun" w:hint="eastAsia"/>
          <w:szCs w:val="21"/>
        </w:rPr>
        <w:t>届会议。</w:t>
      </w:r>
    </w:p>
    <w:p w14:paraId="73FCF1CE" w14:textId="772A05A5" w:rsidR="009E2E0C" w:rsidRPr="00F74B78" w:rsidRDefault="003209AA" w:rsidP="004409D2">
      <w:pPr>
        <w:pStyle w:val="Heading2"/>
        <w:spacing w:before="240" w:after="120"/>
      </w:pPr>
      <w:r w:rsidRPr="00F74B78">
        <w:rPr>
          <w:rFonts w:hint="eastAsia"/>
        </w:rPr>
        <w:t>工业产权数据交换</w:t>
      </w:r>
    </w:p>
    <w:p w14:paraId="49D55496" w14:textId="2CB55F75" w:rsidR="00FA0C32" w:rsidRPr="00F74B78" w:rsidRDefault="003209AA" w:rsidP="00FC675B">
      <w:pPr>
        <w:pStyle w:val="ONUME"/>
        <w:numPr>
          <w:ilvl w:val="0"/>
          <w:numId w:val="9"/>
        </w:numPr>
        <w:overflowPunct w:val="0"/>
        <w:spacing w:afterLines="50" w:after="120" w:line="340" w:lineRule="atLeast"/>
        <w:ind w:left="0" w:firstLine="0"/>
        <w:jc w:val="both"/>
        <w:rPr>
          <w:rFonts w:ascii="SimSun" w:hAnsi="SimSun"/>
          <w:szCs w:val="21"/>
        </w:rPr>
      </w:pPr>
      <w:r w:rsidRPr="00F74B78">
        <w:rPr>
          <w:rFonts w:ascii="SimSun" w:hAnsi="SimSun" w:hint="eastAsia"/>
          <w:szCs w:val="21"/>
        </w:rPr>
        <w:t>国际局与许多工业产权局，特别是一些发展中国家集团的工业产权局一道开展工作，促进工业产权数据的交换，以期使这些国家的用户能够更多地获取这些局的工业产权信息。</w:t>
      </w:r>
      <w:r w:rsidR="006364E2" w:rsidRPr="00F74B78">
        <w:rPr>
          <w:rFonts w:ascii="SimSun" w:hAnsi="SimSun" w:hint="eastAsia"/>
          <w:szCs w:val="21"/>
        </w:rPr>
        <w:t>在可能的情况下，</w:t>
      </w:r>
      <w:r w:rsidRPr="00F74B78">
        <w:rPr>
          <w:rFonts w:ascii="SimSun" w:hAnsi="SimSun" w:hint="eastAsia"/>
          <w:szCs w:val="21"/>
        </w:rPr>
        <w:t>工业产权数据的交换根据相关的产权组织标准进行。202</w:t>
      </w:r>
      <w:r w:rsidR="00277A9A">
        <w:rPr>
          <w:rFonts w:ascii="SimSun" w:hAnsi="SimSun" w:hint="eastAsia"/>
          <w:szCs w:val="21"/>
        </w:rPr>
        <w:t>4</w:t>
      </w:r>
      <w:r w:rsidRPr="00F74B78">
        <w:rPr>
          <w:rFonts w:ascii="SimSun" w:hAnsi="SimSun" w:hint="eastAsia"/>
          <w:szCs w:val="21"/>
        </w:rPr>
        <w:t>年，全球品牌数据库收入了下列国家</w:t>
      </w:r>
      <w:r w:rsidR="00277A9A">
        <w:rPr>
          <w:rFonts w:ascii="SimSun" w:hAnsi="SimSun" w:hint="eastAsia"/>
          <w:szCs w:val="21"/>
        </w:rPr>
        <w:t>/区域性组织</w:t>
      </w:r>
      <w:r w:rsidRPr="00F74B78">
        <w:rPr>
          <w:rFonts w:ascii="SimSun" w:hAnsi="SimSun" w:hint="eastAsia"/>
          <w:szCs w:val="21"/>
        </w:rPr>
        <w:t>的商标数据：</w:t>
      </w:r>
      <w:r w:rsidR="00FC675B" w:rsidRPr="00FC675B">
        <w:rPr>
          <w:rFonts w:ascii="SimSun" w:hAnsi="SimSun" w:hint="eastAsia"/>
          <w:szCs w:val="21"/>
        </w:rPr>
        <w:t>圣文森特和格林纳丁斯、卡塔尔、特立尼达和多巴哥、伯利兹、圣多美和普林西比、非洲地区工业产权组织（ARIPO）和非洲知识产权组织（OAPI）；</w:t>
      </w:r>
      <w:r w:rsidR="00FC675B" w:rsidRPr="00F74B78">
        <w:rPr>
          <w:rFonts w:ascii="SimSun" w:hAnsi="SimSun" w:hint="eastAsia"/>
          <w:szCs w:val="21"/>
        </w:rPr>
        <w:t>202</w:t>
      </w:r>
      <w:r w:rsidR="00FC675B">
        <w:rPr>
          <w:rFonts w:ascii="SimSun" w:hAnsi="SimSun" w:hint="eastAsia"/>
          <w:szCs w:val="21"/>
        </w:rPr>
        <w:t>4</w:t>
      </w:r>
      <w:r w:rsidR="00FC675B" w:rsidRPr="00F74B78">
        <w:rPr>
          <w:rFonts w:ascii="SimSun" w:hAnsi="SimSun" w:hint="eastAsia"/>
          <w:szCs w:val="21"/>
        </w:rPr>
        <w:t>年，PATENTSCOPE收入了下列国家的专利数据</w:t>
      </w:r>
      <w:r w:rsidR="00FC675B" w:rsidRPr="00FC675B">
        <w:rPr>
          <w:rFonts w:ascii="SimSun" w:hAnsi="SimSun" w:hint="eastAsia"/>
          <w:szCs w:val="21"/>
        </w:rPr>
        <w:t>：匈牙利、土耳其和海湾阿拉伯国家合作委员会专利</w:t>
      </w:r>
      <w:r w:rsidR="00386D24">
        <w:rPr>
          <w:rFonts w:ascii="SimSun" w:hAnsi="SimSun" w:hint="cs"/>
          <w:szCs w:val="21"/>
        </w:rPr>
        <w:t>‍</w:t>
      </w:r>
      <w:r w:rsidR="00FC675B" w:rsidRPr="00FC675B">
        <w:rPr>
          <w:rFonts w:ascii="SimSun" w:hAnsi="SimSun" w:hint="eastAsia"/>
          <w:szCs w:val="21"/>
        </w:rPr>
        <w:t>局。</w:t>
      </w:r>
    </w:p>
    <w:p w14:paraId="181AD5F0" w14:textId="0509BA9A" w:rsidR="009E2E0C" w:rsidRPr="00F74B78" w:rsidRDefault="003209AA" w:rsidP="00F74B78">
      <w:pPr>
        <w:pStyle w:val="ONUME"/>
        <w:numPr>
          <w:ilvl w:val="0"/>
          <w:numId w:val="9"/>
        </w:numPr>
        <w:overflowPunct w:val="0"/>
        <w:spacing w:afterLines="50" w:after="120" w:line="340" w:lineRule="atLeast"/>
        <w:ind w:left="5534" w:firstLine="0"/>
        <w:jc w:val="both"/>
        <w:rPr>
          <w:rFonts w:ascii="KaiTi" w:eastAsia="KaiTi" w:hAnsi="KaiTi"/>
          <w:iCs/>
          <w:szCs w:val="21"/>
        </w:rPr>
      </w:pPr>
      <w:r w:rsidRPr="00F74B78">
        <w:rPr>
          <w:rFonts w:ascii="KaiTi" w:eastAsia="KaiTi" w:hAnsi="KaiTi" w:hint="eastAsia"/>
          <w:iCs/>
          <w:szCs w:val="21"/>
        </w:rPr>
        <w:t>请标准委注意国际局202</w:t>
      </w:r>
      <w:r w:rsidR="00FC675B">
        <w:rPr>
          <w:rFonts w:ascii="KaiTi" w:eastAsia="KaiTi" w:hAnsi="KaiTi" w:hint="eastAsia"/>
          <w:iCs/>
          <w:szCs w:val="21"/>
        </w:rPr>
        <w:t>4</w:t>
      </w:r>
      <w:r w:rsidRPr="00F74B78">
        <w:rPr>
          <w:rFonts w:ascii="KaiTi" w:eastAsia="KaiTi" w:hAnsi="KaiTi" w:hint="eastAsia"/>
          <w:iCs/>
          <w:szCs w:val="21"/>
        </w:rPr>
        <w:t>年在工业产权标准信息传播方面向工业产权局提供技术咨询和援助开展能力建设的各项活动。按</w:t>
      </w:r>
      <w:r w:rsidRPr="00F74B78">
        <w:rPr>
          <w:rFonts w:ascii="KaiTi" w:eastAsia="KaiTi" w:hAnsi="KaiTi"/>
          <w:iCs/>
          <w:szCs w:val="21"/>
        </w:rPr>
        <w:t>2011</w:t>
      </w:r>
      <w:r w:rsidRPr="00F74B78">
        <w:rPr>
          <w:rFonts w:ascii="KaiTi" w:eastAsia="KaiTi" w:hAnsi="KaiTi" w:hint="eastAsia"/>
          <w:iCs/>
          <w:szCs w:val="21"/>
        </w:rPr>
        <w:t>年</w:t>
      </w:r>
      <w:r w:rsidRPr="00F74B78">
        <w:rPr>
          <w:rFonts w:ascii="KaiTi" w:eastAsia="KaiTi" w:hAnsi="KaiTi"/>
          <w:iCs/>
          <w:szCs w:val="21"/>
        </w:rPr>
        <w:t>10</w:t>
      </w:r>
      <w:r w:rsidRPr="00F74B78">
        <w:rPr>
          <w:rFonts w:ascii="KaiTi" w:eastAsia="KaiTi" w:hAnsi="KaiTi" w:hint="eastAsia"/>
          <w:iCs/>
          <w:szCs w:val="21"/>
        </w:rPr>
        <w:t>月举行的产权组织大会第四十届会议的要求（见文件</w:t>
      </w:r>
      <w:r w:rsidRPr="00F74B78">
        <w:rPr>
          <w:rFonts w:ascii="KaiTi" w:eastAsia="KaiTi" w:hAnsi="KaiTi"/>
          <w:iCs/>
          <w:szCs w:val="21"/>
        </w:rPr>
        <w:t>WO/GA/40/19</w:t>
      </w:r>
      <w:r w:rsidRPr="00F74B78">
        <w:rPr>
          <w:rFonts w:ascii="KaiTi" w:eastAsia="KaiTi" w:hAnsi="KaiTi" w:hint="eastAsia"/>
          <w:iCs/>
          <w:szCs w:val="21"/>
        </w:rPr>
        <w:t>第</w:t>
      </w:r>
      <w:r w:rsidRPr="00F74B78">
        <w:rPr>
          <w:rFonts w:ascii="KaiTi" w:eastAsia="KaiTi" w:hAnsi="KaiTi"/>
          <w:iCs/>
          <w:szCs w:val="21"/>
        </w:rPr>
        <w:t>190</w:t>
      </w:r>
      <w:r w:rsidRPr="00F74B78">
        <w:rPr>
          <w:rFonts w:ascii="KaiTi" w:eastAsia="KaiTi" w:hAnsi="KaiTi" w:hint="eastAsia"/>
          <w:iCs/>
          <w:szCs w:val="21"/>
        </w:rPr>
        <w:t>段），本文件将成为提交给</w:t>
      </w:r>
      <w:r w:rsidRPr="00F74B78">
        <w:rPr>
          <w:rFonts w:ascii="KaiTi" w:eastAsia="KaiTi" w:hAnsi="KaiTi"/>
          <w:iCs/>
          <w:szCs w:val="21"/>
        </w:rPr>
        <w:t>202</w:t>
      </w:r>
      <w:r w:rsidR="00FC675B">
        <w:rPr>
          <w:rFonts w:ascii="KaiTi" w:eastAsia="KaiTi" w:hAnsi="KaiTi" w:hint="eastAsia"/>
          <w:iCs/>
          <w:szCs w:val="21"/>
        </w:rPr>
        <w:t>6</w:t>
      </w:r>
      <w:r w:rsidRPr="00F74B78">
        <w:rPr>
          <w:rFonts w:ascii="KaiTi" w:eastAsia="KaiTi" w:hAnsi="KaiTi" w:hint="eastAsia"/>
          <w:iCs/>
          <w:szCs w:val="21"/>
        </w:rPr>
        <w:t>年产权组织大会的相关报告的基础。</w:t>
      </w:r>
    </w:p>
    <w:p w14:paraId="744E3348" w14:textId="63D456A5" w:rsidR="002326AB" w:rsidRPr="00F74B78" w:rsidRDefault="003209AA" w:rsidP="004C5CC6">
      <w:pPr>
        <w:pStyle w:val="Endofdocument"/>
        <w:spacing w:before="720" w:afterLines="50" w:after="120" w:line="340" w:lineRule="atLeast"/>
        <w:rPr>
          <w:rFonts w:ascii="SimSun" w:hAnsi="SimSun"/>
        </w:rPr>
      </w:pPr>
      <w:r w:rsidRPr="00F74B78">
        <w:rPr>
          <w:rFonts w:ascii="KaiTi" w:eastAsia="KaiTi" w:hAnsi="KaiTi" w:hint="eastAsia"/>
          <w:iCs/>
          <w:szCs w:val="21"/>
        </w:rPr>
        <w:t>[文件完]</w:t>
      </w:r>
    </w:p>
    <w:sectPr w:rsidR="002326AB" w:rsidRPr="00F74B78" w:rsidSect="00AD6A9B">
      <w:headerReference w:type="defaul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23749" w14:textId="77777777" w:rsidR="00BB4A75" w:rsidRDefault="00BB4A75">
      <w:r>
        <w:separator/>
      </w:r>
    </w:p>
  </w:endnote>
  <w:endnote w:type="continuationSeparator" w:id="0">
    <w:p w14:paraId="24AB0AC3" w14:textId="77777777" w:rsidR="00BB4A75" w:rsidRDefault="00BB4A75" w:rsidP="003B38C1">
      <w:r>
        <w:separator/>
      </w:r>
    </w:p>
    <w:p w14:paraId="50C8A624" w14:textId="77777777" w:rsidR="00BB4A75" w:rsidRPr="003B38C1" w:rsidRDefault="00BB4A75" w:rsidP="003B38C1">
      <w:pPr>
        <w:spacing w:after="60"/>
        <w:rPr>
          <w:sz w:val="17"/>
        </w:rPr>
      </w:pPr>
      <w:r>
        <w:rPr>
          <w:sz w:val="17"/>
        </w:rPr>
        <w:t>[Endnote continued from previous page]</w:t>
      </w:r>
    </w:p>
  </w:endnote>
  <w:endnote w:type="continuationNotice" w:id="1">
    <w:p w14:paraId="1344A0B5" w14:textId="77777777" w:rsidR="00BB4A75" w:rsidRPr="003B38C1" w:rsidRDefault="00BB4A7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ACEEE" w14:textId="77777777" w:rsidR="00BB4A75" w:rsidRDefault="00BB4A75">
      <w:r>
        <w:separator/>
      </w:r>
    </w:p>
  </w:footnote>
  <w:footnote w:type="continuationSeparator" w:id="0">
    <w:p w14:paraId="753A3707" w14:textId="77777777" w:rsidR="00BB4A75" w:rsidRDefault="00BB4A75" w:rsidP="008B60B2">
      <w:r>
        <w:separator/>
      </w:r>
    </w:p>
    <w:p w14:paraId="555DEF78" w14:textId="77777777" w:rsidR="00BB4A75" w:rsidRPr="00ED77FB" w:rsidRDefault="00BB4A75" w:rsidP="008B60B2">
      <w:pPr>
        <w:spacing w:after="60"/>
        <w:rPr>
          <w:sz w:val="17"/>
          <w:szCs w:val="17"/>
        </w:rPr>
      </w:pPr>
      <w:r w:rsidRPr="00ED77FB">
        <w:rPr>
          <w:sz w:val="17"/>
          <w:szCs w:val="17"/>
        </w:rPr>
        <w:t>[Footnote continued from previous page]</w:t>
      </w:r>
    </w:p>
  </w:footnote>
  <w:footnote w:type="continuationNotice" w:id="1">
    <w:p w14:paraId="39C68023" w14:textId="77777777" w:rsidR="00BB4A75" w:rsidRPr="00ED77FB" w:rsidRDefault="00BB4A7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A28E0" w14:textId="73CFC1EF" w:rsidR="00D07C78" w:rsidRPr="00F74B78" w:rsidRDefault="009E2E0C" w:rsidP="00477D6B">
    <w:pPr>
      <w:jc w:val="right"/>
      <w:rPr>
        <w:rFonts w:ascii="SimSun" w:hAnsi="SimSun"/>
        <w:caps/>
      </w:rPr>
    </w:pPr>
    <w:bookmarkStart w:id="6" w:name="Code2"/>
    <w:bookmarkEnd w:id="6"/>
    <w:r w:rsidRPr="00F74B78">
      <w:rPr>
        <w:rFonts w:ascii="SimSun" w:hAnsi="SimSun"/>
        <w:caps/>
      </w:rPr>
      <w:t>C</w:t>
    </w:r>
    <w:r w:rsidR="003644D9" w:rsidRPr="00F74B78">
      <w:rPr>
        <w:rFonts w:ascii="SimSun" w:hAnsi="SimSun"/>
        <w:caps/>
      </w:rPr>
      <w:t>WS/</w:t>
    </w:r>
    <w:r w:rsidR="0038392C" w:rsidRPr="00F74B78">
      <w:rPr>
        <w:rFonts w:ascii="SimSun" w:hAnsi="SimSun"/>
        <w:caps/>
      </w:rPr>
      <w:t>1</w:t>
    </w:r>
    <w:r w:rsidR="00AB23A4">
      <w:rPr>
        <w:rFonts w:ascii="SimSun" w:hAnsi="SimSun" w:hint="eastAsia"/>
        <w:caps/>
      </w:rPr>
      <w:t>3</w:t>
    </w:r>
    <w:r w:rsidR="003644D9" w:rsidRPr="00F74B78">
      <w:rPr>
        <w:rFonts w:ascii="SimSun" w:hAnsi="SimSun"/>
        <w:caps/>
      </w:rPr>
      <w:t>/</w:t>
    </w:r>
    <w:r w:rsidR="00854815" w:rsidRPr="00F74B78">
      <w:rPr>
        <w:rFonts w:ascii="SimSun" w:hAnsi="SimSun" w:hint="eastAsia"/>
        <w:caps/>
      </w:rPr>
      <w:t>2</w:t>
    </w:r>
    <w:r w:rsidR="00AB23A4">
      <w:rPr>
        <w:rFonts w:ascii="SimSun" w:hAnsi="SimSun" w:hint="eastAsia"/>
        <w:caps/>
      </w:rPr>
      <w:t>1</w:t>
    </w:r>
  </w:p>
  <w:p w14:paraId="64271CD5" w14:textId="42BA1CBA" w:rsidR="00D07C78" w:rsidRPr="00F74B78" w:rsidRDefault="00AD6A9B" w:rsidP="00AD6A9B">
    <w:pPr>
      <w:spacing w:afterLines="100" w:after="240"/>
      <w:jc w:val="right"/>
      <w:rPr>
        <w:rFonts w:ascii="SimSun" w:hAnsi="SimSun"/>
      </w:rPr>
    </w:pPr>
    <w:r w:rsidRPr="00F74B78">
      <w:rPr>
        <w:rFonts w:ascii="SimSun" w:hAnsi="SimSun" w:hint="eastAsia"/>
      </w:rPr>
      <w:t>第</w:t>
    </w:r>
    <w:r w:rsidR="00D07C78" w:rsidRPr="00F74B78">
      <w:rPr>
        <w:rFonts w:ascii="SimSun" w:hAnsi="SimSun"/>
      </w:rPr>
      <w:fldChar w:fldCharType="begin"/>
    </w:r>
    <w:r w:rsidR="00D07C78" w:rsidRPr="00F74B78">
      <w:rPr>
        <w:rFonts w:ascii="SimSun" w:hAnsi="SimSun"/>
      </w:rPr>
      <w:instrText xml:space="preserve"> PAGE  \* MERGEFORMAT </w:instrText>
    </w:r>
    <w:r w:rsidR="00D07C78" w:rsidRPr="00F74B78">
      <w:rPr>
        <w:rFonts w:ascii="SimSun" w:hAnsi="SimSun"/>
      </w:rPr>
      <w:fldChar w:fldCharType="separate"/>
    </w:r>
    <w:r w:rsidR="00E67632" w:rsidRPr="00F74B78">
      <w:rPr>
        <w:rFonts w:ascii="SimSun" w:hAnsi="SimSun"/>
        <w:noProof/>
      </w:rPr>
      <w:t>2</w:t>
    </w:r>
    <w:r w:rsidR="00D07C78" w:rsidRPr="00F74B78">
      <w:rPr>
        <w:rFonts w:ascii="SimSun" w:hAnsi="SimSun"/>
      </w:rPr>
      <w:fldChar w:fldCharType="end"/>
    </w:r>
    <w:r w:rsidRPr="00F74B78">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1B56495"/>
    <w:multiLevelType w:val="hybridMultilevel"/>
    <w:tmpl w:val="4BEC0EFC"/>
    <w:lvl w:ilvl="0" w:tplc="0409000F">
      <w:start w:val="1"/>
      <w:numFmt w:val="decimal"/>
      <w:lvlText w:val="%1."/>
      <w:lvlJc w:val="left"/>
      <w:pPr>
        <w:ind w:left="570" w:hanging="570"/>
      </w:pPr>
      <w:rPr>
        <w:rFonts w:hint="default"/>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399B1C9C"/>
    <w:multiLevelType w:val="hybridMultilevel"/>
    <w:tmpl w:val="A394007C"/>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D7E2DB3"/>
    <w:multiLevelType w:val="hybridMultilevel"/>
    <w:tmpl w:val="B07297E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962372270">
    <w:abstractNumId w:val="2"/>
  </w:num>
  <w:num w:numId="2" w16cid:durableId="1486706783">
    <w:abstractNumId w:val="6"/>
  </w:num>
  <w:num w:numId="3" w16cid:durableId="1637485562">
    <w:abstractNumId w:val="0"/>
  </w:num>
  <w:num w:numId="4" w16cid:durableId="277026938">
    <w:abstractNumId w:val="7"/>
  </w:num>
  <w:num w:numId="5" w16cid:durableId="347828112">
    <w:abstractNumId w:val="1"/>
  </w:num>
  <w:num w:numId="6" w16cid:durableId="603269569">
    <w:abstractNumId w:val="3"/>
  </w:num>
  <w:num w:numId="7" w16cid:durableId="62142828">
    <w:abstractNumId w:val="5"/>
  </w:num>
  <w:num w:numId="8" w16cid:durableId="1553538912">
    <w:abstractNumId w:val="8"/>
  </w:num>
  <w:num w:numId="9" w16cid:durableId="1762094303">
    <w:abstractNumId w:val="4"/>
  </w:num>
  <w:num w:numId="10" w16cid:durableId="592858169">
    <w:abstractNumId w:val="1"/>
  </w:num>
  <w:num w:numId="11" w16cid:durableId="1028485974">
    <w:abstractNumId w:val="1"/>
  </w:num>
  <w:num w:numId="12" w16cid:durableId="233004775">
    <w:abstractNumId w:val="1"/>
  </w:num>
  <w:num w:numId="13" w16cid:durableId="1564756130">
    <w:abstractNumId w:val="1"/>
  </w:num>
  <w:num w:numId="14" w16cid:durableId="1581870520">
    <w:abstractNumId w:val="1"/>
  </w:num>
  <w:num w:numId="15" w16cid:durableId="330136754">
    <w:abstractNumId w:val="1"/>
  </w:num>
  <w:num w:numId="16" w16cid:durableId="1529417334">
    <w:abstractNumId w:val="1"/>
  </w:num>
  <w:num w:numId="17" w16cid:durableId="818378400">
    <w:abstractNumId w:val="1"/>
  </w:num>
  <w:num w:numId="18" w16cid:durableId="1568802138">
    <w:abstractNumId w:val="1"/>
  </w:num>
  <w:num w:numId="19" w16cid:durableId="676999320">
    <w:abstractNumId w:val="1"/>
  </w:num>
  <w:num w:numId="20" w16cid:durableId="640237271">
    <w:abstractNumId w:val="1"/>
  </w:num>
  <w:num w:numId="21" w16cid:durableId="577904399">
    <w:abstractNumId w:val="1"/>
  </w:num>
  <w:num w:numId="22" w16cid:durableId="853347764">
    <w:abstractNumId w:val="1"/>
  </w:num>
  <w:num w:numId="23" w16cid:durableId="1754013091">
    <w:abstractNumId w:val="1"/>
  </w:num>
  <w:num w:numId="24" w16cid:durableId="1024787630">
    <w:abstractNumId w:val="1"/>
  </w:num>
  <w:num w:numId="25" w16cid:durableId="938637458">
    <w:abstractNumId w:val="1"/>
  </w:num>
  <w:num w:numId="26" w16cid:durableId="1995332636">
    <w:abstractNumId w:val="1"/>
  </w:num>
  <w:num w:numId="27" w16cid:durableId="1010059110">
    <w:abstractNumId w:val="1"/>
  </w:num>
  <w:num w:numId="28" w16cid:durableId="1453476403">
    <w:abstractNumId w:val="1"/>
  </w:num>
  <w:num w:numId="29" w16cid:durableId="2042506906">
    <w:abstractNumId w:val="1"/>
  </w:num>
  <w:num w:numId="30" w16cid:durableId="1406607318">
    <w:abstractNumId w:val="1"/>
  </w:num>
  <w:num w:numId="31" w16cid:durableId="1883054686">
    <w:abstractNumId w:val="1"/>
  </w:num>
  <w:num w:numId="32" w16cid:durableId="1358971257">
    <w:abstractNumId w:val="1"/>
  </w:num>
  <w:num w:numId="33" w16cid:durableId="1791581689">
    <w:abstractNumId w:val="1"/>
  </w:num>
  <w:num w:numId="34" w16cid:durableId="1245411767">
    <w:abstractNumId w:val="1"/>
  </w:num>
  <w:num w:numId="35" w16cid:durableId="1854954140">
    <w:abstractNumId w:val="1"/>
  </w:num>
  <w:num w:numId="36" w16cid:durableId="774977791">
    <w:abstractNumId w:val="1"/>
  </w:num>
  <w:num w:numId="37" w16cid:durableId="965548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E0C"/>
    <w:rsid w:val="00032F40"/>
    <w:rsid w:val="00035E70"/>
    <w:rsid w:val="00043CAA"/>
    <w:rsid w:val="00056816"/>
    <w:rsid w:val="000608C4"/>
    <w:rsid w:val="00075432"/>
    <w:rsid w:val="000968ED"/>
    <w:rsid w:val="000A3D97"/>
    <w:rsid w:val="000B2A50"/>
    <w:rsid w:val="000B7FFC"/>
    <w:rsid w:val="000D578B"/>
    <w:rsid w:val="000E1E9A"/>
    <w:rsid w:val="000F0A41"/>
    <w:rsid w:val="000F0F8C"/>
    <w:rsid w:val="000F244E"/>
    <w:rsid w:val="000F3059"/>
    <w:rsid w:val="000F5E56"/>
    <w:rsid w:val="00113356"/>
    <w:rsid w:val="00120801"/>
    <w:rsid w:val="001261F9"/>
    <w:rsid w:val="0013486D"/>
    <w:rsid w:val="001362EE"/>
    <w:rsid w:val="0013710C"/>
    <w:rsid w:val="001479FD"/>
    <w:rsid w:val="00153B00"/>
    <w:rsid w:val="001647D5"/>
    <w:rsid w:val="0017521B"/>
    <w:rsid w:val="001832A6"/>
    <w:rsid w:val="001A3DDE"/>
    <w:rsid w:val="001B466E"/>
    <w:rsid w:val="001B6C50"/>
    <w:rsid w:val="001C624A"/>
    <w:rsid w:val="001D0D80"/>
    <w:rsid w:val="001D4107"/>
    <w:rsid w:val="001F1CA8"/>
    <w:rsid w:val="001F1F8F"/>
    <w:rsid w:val="00203D24"/>
    <w:rsid w:val="00205EB3"/>
    <w:rsid w:val="0021217E"/>
    <w:rsid w:val="00213A11"/>
    <w:rsid w:val="002326AB"/>
    <w:rsid w:val="002335EB"/>
    <w:rsid w:val="002357D0"/>
    <w:rsid w:val="00243430"/>
    <w:rsid w:val="00244938"/>
    <w:rsid w:val="00260EB1"/>
    <w:rsid w:val="00262FB5"/>
    <w:rsid w:val="002634C4"/>
    <w:rsid w:val="00271CC0"/>
    <w:rsid w:val="00274798"/>
    <w:rsid w:val="00277A9A"/>
    <w:rsid w:val="002928D3"/>
    <w:rsid w:val="00294595"/>
    <w:rsid w:val="002B24A5"/>
    <w:rsid w:val="002B639B"/>
    <w:rsid w:val="002C5DAC"/>
    <w:rsid w:val="002D3C73"/>
    <w:rsid w:val="002F1FE6"/>
    <w:rsid w:val="002F4E68"/>
    <w:rsid w:val="00304ABA"/>
    <w:rsid w:val="00312F7F"/>
    <w:rsid w:val="003209AA"/>
    <w:rsid w:val="00321ADD"/>
    <w:rsid w:val="00340FFB"/>
    <w:rsid w:val="00361450"/>
    <w:rsid w:val="003644D9"/>
    <w:rsid w:val="003673CF"/>
    <w:rsid w:val="00381600"/>
    <w:rsid w:val="0038392C"/>
    <w:rsid w:val="003845C1"/>
    <w:rsid w:val="00386D24"/>
    <w:rsid w:val="00387EA1"/>
    <w:rsid w:val="003A6F89"/>
    <w:rsid w:val="003B38C1"/>
    <w:rsid w:val="003B39CE"/>
    <w:rsid w:val="003B4560"/>
    <w:rsid w:val="003C34E9"/>
    <w:rsid w:val="003D0243"/>
    <w:rsid w:val="003D25B1"/>
    <w:rsid w:val="003E60EC"/>
    <w:rsid w:val="00423E3E"/>
    <w:rsid w:val="00427AF4"/>
    <w:rsid w:val="004344FE"/>
    <w:rsid w:val="004409D2"/>
    <w:rsid w:val="00455BE8"/>
    <w:rsid w:val="00460D79"/>
    <w:rsid w:val="004647DA"/>
    <w:rsid w:val="00474062"/>
    <w:rsid w:val="00474ACF"/>
    <w:rsid w:val="00477D6B"/>
    <w:rsid w:val="004809FB"/>
    <w:rsid w:val="004A4403"/>
    <w:rsid w:val="004A75E6"/>
    <w:rsid w:val="004C3AC0"/>
    <w:rsid w:val="004C5CC6"/>
    <w:rsid w:val="004E0BCA"/>
    <w:rsid w:val="004F6B76"/>
    <w:rsid w:val="005019FF"/>
    <w:rsid w:val="00514BA1"/>
    <w:rsid w:val="0053057A"/>
    <w:rsid w:val="0053454F"/>
    <w:rsid w:val="005442EC"/>
    <w:rsid w:val="00546067"/>
    <w:rsid w:val="00556076"/>
    <w:rsid w:val="00560A29"/>
    <w:rsid w:val="00576968"/>
    <w:rsid w:val="005A1DB6"/>
    <w:rsid w:val="005A546F"/>
    <w:rsid w:val="005A5CCC"/>
    <w:rsid w:val="005A6204"/>
    <w:rsid w:val="005B01EE"/>
    <w:rsid w:val="005B485C"/>
    <w:rsid w:val="005C40FF"/>
    <w:rsid w:val="005C4F21"/>
    <w:rsid w:val="005C6649"/>
    <w:rsid w:val="005F01A6"/>
    <w:rsid w:val="00605827"/>
    <w:rsid w:val="006163CD"/>
    <w:rsid w:val="00624238"/>
    <w:rsid w:val="006364E2"/>
    <w:rsid w:val="00644561"/>
    <w:rsid w:val="00646050"/>
    <w:rsid w:val="006561F6"/>
    <w:rsid w:val="00670A14"/>
    <w:rsid w:val="0067129B"/>
    <w:rsid w:val="006713CA"/>
    <w:rsid w:val="006725B7"/>
    <w:rsid w:val="00673A5C"/>
    <w:rsid w:val="00676C5C"/>
    <w:rsid w:val="006A4CC8"/>
    <w:rsid w:val="006C05CA"/>
    <w:rsid w:val="006D7ABA"/>
    <w:rsid w:val="006E2A3A"/>
    <w:rsid w:val="0070155F"/>
    <w:rsid w:val="00701A6C"/>
    <w:rsid w:val="00715B27"/>
    <w:rsid w:val="00717CE5"/>
    <w:rsid w:val="00720EFD"/>
    <w:rsid w:val="0074499A"/>
    <w:rsid w:val="0075777E"/>
    <w:rsid w:val="00781810"/>
    <w:rsid w:val="00783AF2"/>
    <w:rsid w:val="007854AF"/>
    <w:rsid w:val="00793A7C"/>
    <w:rsid w:val="007A398A"/>
    <w:rsid w:val="007A3DFF"/>
    <w:rsid w:val="007B3E48"/>
    <w:rsid w:val="007B556F"/>
    <w:rsid w:val="007C1285"/>
    <w:rsid w:val="007C29DC"/>
    <w:rsid w:val="007D1613"/>
    <w:rsid w:val="007D65E2"/>
    <w:rsid w:val="007E4C0E"/>
    <w:rsid w:val="008172DF"/>
    <w:rsid w:val="00833EA2"/>
    <w:rsid w:val="0084056C"/>
    <w:rsid w:val="00846CF6"/>
    <w:rsid w:val="0085259E"/>
    <w:rsid w:val="00854815"/>
    <w:rsid w:val="00883D04"/>
    <w:rsid w:val="008A134B"/>
    <w:rsid w:val="008A15AB"/>
    <w:rsid w:val="008A502A"/>
    <w:rsid w:val="008B2CC1"/>
    <w:rsid w:val="008B60B2"/>
    <w:rsid w:val="008D794F"/>
    <w:rsid w:val="008E19EE"/>
    <w:rsid w:val="008F3604"/>
    <w:rsid w:val="008F7185"/>
    <w:rsid w:val="00905883"/>
    <w:rsid w:val="0090731E"/>
    <w:rsid w:val="00913CD5"/>
    <w:rsid w:val="009144CB"/>
    <w:rsid w:val="00916EE2"/>
    <w:rsid w:val="00917D9D"/>
    <w:rsid w:val="009353F8"/>
    <w:rsid w:val="0094644A"/>
    <w:rsid w:val="00960E8C"/>
    <w:rsid w:val="009630F1"/>
    <w:rsid w:val="00966A22"/>
    <w:rsid w:val="0096722F"/>
    <w:rsid w:val="00980843"/>
    <w:rsid w:val="009A0F4B"/>
    <w:rsid w:val="009A5059"/>
    <w:rsid w:val="009A5667"/>
    <w:rsid w:val="009A67CE"/>
    <w:rsid w:val="009A7AE8"/>
    <w:rsid w:val="009C5EC0"/>
    <w:rsid w:val="009D2F05"/>
    <w:rsid w:val="009E2791"/>
    <w:rsid w:val="009E2A28"/>
    <w:rsid w:val="009E2E0C"/>
    <w:rsid w:val="009E3F6F"/>
    <w:rsid w:val="009F10DB"/>
    <w:rsid w:val="009F499F"/>
    <w:rsid w:val="00A03EFD"/>
    <w:rsid w:val="00A0415D"/>
    <w:rsid w:val="00A16EE4"/>
    <w:rsid w:val="00A32F38"/>
    <w:rsid w:val="00A37342"/>
    <w:rsid w:val="00A42DAF"/>
    <w:rsid w:val="00A45BD8"/>
    <w:rsid w:val="00A46249"/>
    <w:rsid w:val="00A47D8F"/>
    <w:rsid w:val="00A5281D"/>
    <w:rsid w:val="00A54458"/>
    <w:rsid w:val="00A67379"/>
    <w:rsid w:val="00A721F8"/>
    <w:rsid w:val="00A736CD"/>
    <w:rsid w:val="00A764CA"/>
    <w:rsid w:val="00A869B7"/>
    <w:rsid w:val="00A90F0A"/>
    <w:rsid w:val="00A92AC6"/>
    <w:rsid w:val="00AB23A4"/>
    <w:rsid w:val="00AB7BA8"/>
    <w:rsid w:val="00AC018D"/>
    <w:rsid w:val="00AC205C"/>
    <w:rsid w:val="00AC6A58"/>
    <w:rsid w:val="00AC76F5"/>
    <w:rsid w:val="00AD23C2"/>
    <w:rsid w:val="00AD5E74"/>
    <w:rsid w:val="00AD6A9B"/>
    <w:rsid w:val="00AF0A6B"/>
    <w:rsid w:val="00B02297"/>
    <w:rsid w:val="00B05A69"/>
    <w:rsid w:val="00B20EA9"/>
    <w:rsid w:val="00B22C3F"/>
    <w:rsid w:val="00B25B02"/>
    <w:rsid w:val="00B355B6"/>
    <w:rsid w:val="00B4060F"/>
    <w:rsid w:val="00B5023B"/>
    <w:rsid w:val="00B61BCC"/>
    <w:rsid w:val="00B64673"/>
    <w:rsid w:val="00B701B4"/>
    <w:rsid w:val="00B71621"/>
    <w:rsid w:val="00B75281"/>
    <w:rsid w:val="00B83E01"/>
    <w:rsid w:val="00B87FB6"/>
    <w:rsid w:val="00B92F1F"/>
    <w:rsid w:val="00B962E9"/>
    <w:rsid w:val="00B9734B"/>
    <w:rsid w:val="00BA30E2"/>
    <w:rsid w:val="00BB130D"/>
    <w:rsid w:val="00BB4A75"/>
    <w:rsid w:val="00BD5107"/>
    <w:rsid w:val="00BE648C"/>
    <w:rsid w:val="00BE6983"/>
    <w:rsid w:val="00BF0839"/>
    <w:rsid w:val="00C11BFE"/>
    <w:rsid w:val="00C20DB1"/>
    <w:rsid w:val="00C251C4"/>
    <w:rsid w:val="00C5068F"/>
    <w:rsid w:val="00C6473F"/>
    <w:rsid w:val="00C725CD"/>
    <w:rsid w:val="00C82771"/>
    <w:rsid w:val="00C86D74"/>
    <w:rsid w:val="00CB55B6"/>
    <w:rsid w:val="00CD04F1"/>
    <w:rsid w:val="00CD27F9"/>
    <w:rsid w:val="00CE06A4"/>
    <w:rsid w:val="00CF3075"/>
    <w:rsid w:val="00CF681A"/>
    <w:rsid w:val="00D05F3B"/>
    <w:rsid w:val="00D07C78"/>
    <w:rsid w:val="00D178A5"/>
    <w:rsid w:val="00D22B32"/>
    <w:rsid w:val="00D2673A"/>
    <w:rsid w:val="00D27283"/>
    <w:rsid w:val="00D45252"/>
    <w:rsid w:val="00D46546"/>
    <w:rsid w:val="00D47049"/>
    <w:rsid w:val="00D50135"/>
    <w:rsid w:val="00D578B3"/>
    <w:rsid w:val="00D70116"/>
    <w:rsid w:val="00D71B4D"/>
    <w:rsid w:val="00D83B71"/>
    <w:rsid w:val="00D87609"/>
    <w:rsid w:val="00D93D55"/>
    <w:rsid w:val="00D945DF"/>
    <w:rsid w:val="00DB3B5D"/>
    <w:rsid w:val="00DC4191"/>
    <w:rsid w:val="00DD7784"/>
    <w:rsid w:val="00DD7B7F"/>
    <w:rsid w:val="00E05E28"/>
    <w:rsid w:val="00E15015"/>
    <w:rsid w:val="00E30B68"/>
    <w:rsid w:val="00E335FE"/>
    <w:rsid w:val="00E33F98"/>
    <w:rsid w:val="00E34CBF"/>
    <w:rsid w:val="00E45755"/>
    <w:rsid w:val="00E51DBD"/>
    <w:rsid w:val="00E55A68"/>
    <w:rsid w:val="00E67632"/>
    <w:rsid w:val="00E7252C"/>
    <w:rsid w:val="00EA7D6E"/>
    <w:rsid w:val="00EB2F76"/>
    <w:rsid w:val="00EB3911"/>
    <w:rsid w:val="00EC1454"/>
    <w:rsid w:val="00EC4E49"/>
    <w:rsid w:val="00ED15D7"/>
    <w:rsid w:val="00ED38B6"/>
    <w:rsid w:val="00ED77FB"/>
    <w:rsid w:val="00ED7BAE"/>
    <w:rsid w:val="00EE45FA"/>
    <w:rsid w:val="00EE61F6"/>
    <w:rsid w:val="00EF3061"/>
    <w:rsid w:val="00EF3F25"/>
    <w:rsid w:val="00EF4572"/>
    <w:rsid w:val="00F00458"/>
    <w:rsid w:val="00F021D3"/>
    <w:rsid w:val="00F043DE"/>
    <w:rsid w:val="00F13982"/>
    <w:rsid w:val="00F34105"/>
    <w:rsid w:val="00F52014"/>
    <w:rsid w:val="00F61738"/>
    <w:rsid w:val="00F66152"/>
    <w:rsid w:val="00F74B78"/>
    <w:rsid w:val="00F81DBC"/>
    <w:rsid w:val="00F9165B"/>
    <w:rsid w:val="00FA0C32"/>
    <w:rsid w:val="00FA3D75"/>
    <w:rsid w:val="00FC482F"/>
    <w:rsid w:val="00FC4E77"/>
    <w:rsid w:val="00FC675B"/>
    <w:rsid w:val="00FE5C51"/>
    <w:rsid w:val="00FF0065"/>
    <w:rsid w:val="00FF1BFD"/>
    <w:rsid w:val="00FF5C71"/>
  </w:rsids>
  <m:mathPr>
    <m:mathFont m:val="Cambria Math"/>
    <m:brkBin m:val="before"/>
    <m:brkBinSub m:val="--"/>
    <m:smallFrac m:val="0"/>
    <m:dispDef/>
    <m:lMargin m:val="0"/>
    <m:rMargin m:val="0"/>
    <m:defJc m:val="centerGroup"/>
    <m:wrapIndent m:val="1440"/>
    <m:intLim m:val="subSup"/>
    <m:naryLim m:val="undOvr"/>
  </m:mathPr>
  <w:themeFontLang w:val="fr-CH"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0B3FAC"/>
  <w15:docId w15:val="{82B982A4-2C49-4545-A43F-6AD746E65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4409D2"/>
    <w:pPr>
      <w:keepNext/>
      <w:spacing w:beforeLines="100" w:before="100" w:afterLines="50" w:after="50" w:line="340" w:lineRule="atLeast"/>
      <w:outlineLvl w:val="1"/>
    </w:pPr>
    <w:rPr>
      <w:rFonts w:ascii="SimSun"/>
      <w:b/>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4409D2"/>
    <w:rPr>
      <w:rFonts w:ascii="SimSun" w:hAnsi="Arial" w:cs="Arial"/>
      <w:b/>
      <w:bCs/>
      <w:iCs/>
      <w:caps/>
      <w:sz w:val="22"/>
      <w:szCs w:val="28"/>
      <w:lang w:val="en-US" w:eastAsia="zh-CN"/>
    </w:rPr>
  </w:style>
  <w:style w:type="character" w:customStyle="1" w:styleId="BodyTextChar">
    <w:name w:val="Body Text Char"/>
    <w:basedOn w:val="DefaultParagraphFont"/>
    <w:link w:val="BodyText"/>
    <w:rsid w:val="009E2E0C"/>
    <w:rPr>
      <w:rFonts w:ascii="Arial" w:eastAsia="SimSun" w:hAnsi="Arial" w:cs="Arial"/>
      <w:sz w:val="22"/>
      <w:lang w:val="en-US" w:eastAsia="zh-CN"/>
    </w:rPr>
  </w:style>
  <w:style w:type="paragraph" w:customStyle="1" w:styleId="Endofdocument">
    <w:name w:val="End of document"/>
    <w:basedOn w:val="Normal"/>
    <w:rsid w:val="009E2E0C"/>
    <w:pPr>
      <w:ind w:left="5534"/>
    </w:pPr>
  </w:style>
  <w:style w:type="character" w:styleId="Hyperlink">
    <w:name w:val="Hyperlink"/>
    <w:rsid w:val="009E2E0C"/>
    <w:rPr>
      <w:color w:val="0000FF"/>
      <w:u w:val="single"/>
    </w:rPr>
  </w:style>
  <w:style w:type="character" w:customStyle="1" w:styleId="ONUMEChar">
    <w:name w:val="ONUM E Char"/>
    <w:basedOn w:val="DefaultParagraphFont"/>
    <w:link w:val="ONUME"/>
    <w:rsid w:val="009E2E0C"/>
    <w:rPr>
      <w:rFonts w:ascii="Arial" w:eastAsia="SimSun" w:hAnsi="Arial" w:cs="Arial"/>
      <w:sz w:val="22"/>
      <w:lang w:val="en-US" w:eastAsia="zh-CN"/>
    </w:rPr>
  </w:style>
  <w:style w:type="paragraph" w:styleId="ListParagraph">
    <w:name w:val="List Paragraph"/>
    <w:basedOn w:val="Normal"/>
    <w:uiPriority w:val="34"/>
    <w:qFormat/>
    <w:rsid w:val="009E2E0C"/>
    <w:pPr>
      <w:ind w:left="720"/>
      <w:contextualSpacing/>
    </w:pPr>
  </w:style>
  <w:style w:type="paragraph" w:styleId="BalloonText">
    <w:name w:val="Balloon Text"/>
    <w:basedOn w:val="Normal"/>
    <w:link w:val="BalloonTextChar"/>
    <w:semiHidden/>
    <w:unhideWhenUsed/>
    <w:rsid w:val="00AC018D"/>
    <w:rPr>
      <w:rFonts w:ascii="Segoe UI" w:hAnsi="Segoe UI" w:cs="Segoe UI"/>
      <w:sz w:val="18"/>
      <w:szCs w:val="18"/>
    </w:rPr>
  </w:style>
  <w:style w:type="character" w:customStyle="1" w:styleId="BalloonTextChar">
    <w:name w:val="Balloon Text Char"/>
    <w:basedOn w:val="DefaultParagraphFont"/>
    <w:link w:val="BalloonText"/>
    <w:semiHidden/>
    <w:rsid w:val="00AC018D"/>
    <w:rPr>
      <w:rFonts w:ascii="Segoe UI" w:eastAsia="SimSun" w:hAnsi="Segoe UI" w:cs="Segoe UI"/>
      <w:sz w:val="18"/>
      <w:szCs w:val="18"/>
      <w:lang w:val="en-US" w:eastAsia="zh-CN"/>
    </w:rPr>
  </w:style>
  <w:style w:type="character" w:styleId="FollowedHyperlink">
    <w:name w:val="FollowedHyperlink"/>
    <w:basedOn w:val="DefaultParagraphFont"/>
    <w:semiHidden/>
    <w:unhideWhenUsed/>
    <w:rsid w:val="007C1285"/>
    <w:rPr>
      <w:color w:val="800080" w:themeColor="followedHyperlink"/>
      <w:u w:val="single"/>
    </w:rPr>
  </w:style>
  <w:style w:type="character" w:styleId="CommentReference">
    <w:name w:val="annotation reference"/>
    <w:basedOn w:val="DefaultParagraphFont"/>
    <w:unhideWhenUsed/>
    <w:rsid w:val="004E0BCA"/>
    <w:rPr>
      <w:sz w:val="16"/>
      <w:szCs w:val="16"/>
    </w:rPr>
  </w:style>
  <w:style w:type="paragraph" w:styleId="CommentSubject">
    <w:name w:val="annotation subject"/>
    <w:basedOn w:val="CommentText"/>
    <w:next w:val="CommentText"/>
    <w:link w:val="CommentSubjectChar"/>
    <w:semiHidden/>
    <w:unhideWhenUsed/>
    <w:rsid w:val="004E0BCA"/>
    <w:rPr>
      <w:b/>
      <w:bCs/>
      <w:sz w:val="20"/>
    </w:rPr>
  </w:style>
  <w:style w:type="character" w:customStyle="1" w:styleId="CommentTextChar">
    <w:name w:val="Comment Text Char"/>
    <w:basedOn w:val="DefaultParagraphFont"/>
    <w:link w:val="CommentText"/>
    <w:semiHidden/>
    <w:rsid w:val="004E0BCA"/>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4E0BCA"/>
    <w:rPr>
      <w:rFonts w:ascii="Arial" w:eastAsia="SimSun" w:hAnsi="Arial" w:cs="Arial"/>
      <w:b/>
      <w:bCs/>
      <w:sz w:val="18"/>
      <w:lang w:val="en-US" w:eastAsia="zh-CN"/>
    </w:rPr>
  </w:style>
  <w:style w:type="paragraph" w:styleId="Revision">
    <w:name w:val="Revision"/>
    <w:hidden/>
    <w:uiPriority w:val="99"/>
    <w:semiHidden/>
    <w:rsid w:val="00D945DF"/>
    <w:rPr>
      <w:rFonts w:ascii="Arial" w:hAnsi="Arial" w:cs="Arial"/>
      <w:sz w:val="22"/>
      <w:lang w:val="en-US" w:eastAsia="zh-CN"/>
    </w:rPr>
  </w:style>
  <w:style w:type="character" w:customStyle="1" w:styleId="UnresolvedMention1">
    <w:name w:val="Unresolved Mention1"/>
    <w:basedOn w:val="DefaultParagraphFont"/>
    <w:uiPriority w:val="99"/>
    <w:semiHidden/>
    <w:unhideWhenUsed/>
    <w:rsid w:val="00D05F3B"/>
    <w:rPr>
      <w:color w:val="605E5C"/>
      <w:shd w:val="clear" w:color="auto" w:fill="E1DFDD"/>
    </w:rPr>
  </w:style>
  <w:style w:type="character" w:customStyle="1" w:styleId="UnresolvedMention2">
    <w:name w:val="Unresolved Mention2"/>
    <w:basedOn w:val="DefaultParagraphFont"/>
    <w:uiPriority w:val="99"/>
    <w:semiHidden/>
    <w:unhideWhenUsed/>
    <w:rsid w:val="00CD27F9"/>
    <w:rPr>
      <w:color w:val="605E5C"/>
      <w:shd w:val="clear" w:color="auto" w:fill="E1DFDD"/>
    </w:rPr>
  </w:style>
  <w:style w:type="character" w:styleId="UnresolvedMention">
    <w:name w:val="Unresolved Mention"/>
    <w:basedOn w:val="DefaultParagraphFont"/>
    <w:uiPriority w:val="99"/>
    <w:semiHidden/>
    <w:unhideWhenUsed/>
    <w:rsid w:val="00387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ipo.int/global_ip/zh/activities/ip_&#8204;office_business_solutio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ipo.int/tad"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A4B2CD3083B1A40B0AA76A4EA725003" ma:contentTypeVersion="8" ma:contentTypeDescription="Create a new document." ma:contentTypeScope="" ma:versionID="4038624aeb954f1637307572c9697c58">
  <xsd:schema xmlns:xsd="http://www.w3.org/2001/XMLSchema" xmlns:xs="http://www.w3.org/2001/XMLSchema" xmlns:p="http://schemas.microsoft.com/office/2006/metadata/properties" xmlns:ns2="45dc5a50-07a2-4cb9-bbf7-a320b1acc4d8" targetNamespace="http://schemas.microsoft.com/office/2006/metadata/properties" ma:root="true" ma:fieldsID="640fe3d44376c3eeaabead61cbc0f099" ns2:_="">
    <xsd:import namespace="45dc5a50-07a2-4cb9-bbf7-a320b1acc4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c5a50-07a2-4cb9-bbf7-a320b1acc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E3AE16-18A7-43D6-B070-877F26DB338C}">
  <ds:schemaRefs>
    <ds:schemaRef ds:uri="http://schemas.microsoft.com/sharepoint/v3/contenttype/forms"/>
  </ds:schemaRefs>
</ds:datastoreItem>
</file>

<file path=customXml/itemProps2.xml><?xml version="1.0" encoding="utf-8"?>
<ds:datastoreItem xmlns:ds="http://schemas.openxmlformats.org/officeDocument/2006/customXml" ds:itemID="{E35A0A79-4F70-4D3F-A199-362376397C92}">
  <ds:schemaRefs>
    <ds:schemaRef ds:uri="http://schemas.openxmlformats.org/officeDocument/2006/bibliography"/>
  </ds:schemaRefs>
</ds:datastoreItem>
</file>

<file path=customXml/itemProps3.xml><?xml version="1.0" encoding="utf-8"?>
<ds:datastoreItem xmlns:ds="http://schemas.openxmlformats.org/officeDocument/2006/customXml" ds:itemID="{CFCBF144-D934-4A1F-AAFC-C95E0F26B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c5a50-07a2-4cb9-bbf7-a320b1acc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3</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CWS/13/21 (Chinese) </vt:lpstr>
    </vt:vector>
  </TitlesOfParts>
  <Company>WIPO</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CWS/13/21 (Chinese) </dc:title>
  <dc:subject>国际局关于根据标准委任务规定向工业产权局提供技术咨询和援助开展能力建设的 报告 </dc:subject>
  <dc:creator>WIPO</dc:creator>
  <cp:keywords>WIPO CWS Thirteenth Session, Report, provision of technical advice and assistance </cp:keywords>
  <dc:description/>
  <cp:lastModifiedBy>EMMETT Claudia</cp:lastModifiedBy>
  <cp:revision>28</cp:revision>
  <cp:lastPrinted>2025-10-02T13:55:00Z</cp:lastPrinted>
  <dcterms:created xsi:type="dcterms:W3CDTF">2025-10-02T07:32:00Z</dcterms:created>
  <dcterms:modified xsi:type="dcterms:W3CDTF">2025-10-28T15:08:00Z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d4f556ea-b1d9-4192-87f1-faa89bf751a4</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2023-10-12T08:06:58Z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f2980a00-05f9-4593-b057-13012619004f</vt:lpwstr>
  </property>
  <property fmtid="{D5CDD505-2E9C-101B-9397-08002B2CF9AE}" pid="14" name="MSIP_Label_20773ee6-353b-4fb9-a59d-0b94c8c67bea_ContentBits">
    <vt:lpwstr>0</vt:lpwstr>
  </property>
</Properties>
</file>