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2471" w14:textId="77777777" w:rsidR="00F74B78" w:rsidRPr="00B536BB" w:rsidRDefault="00F74B78" w:rsidP="00F74B78">
      <w:pPr>
        <w:jc w:val="right"/>
        <w:rPr>
          <w:rFonts w:ascii="Arial Black" w:hAnsi="Arial Black"/>
          <w:caps/>
          <w:sz w:val="15"/>
        </w:rPr>
      </w:pPr>
      <w:r w:rsidRPr="00B536BB">
        <w:rPr>
          <w:rFonts w:cs="Times New Roman"/>
          <w:noProof/>
        </w:rPr>
        <w:drawing>
          <wp:inline distT="0" distB="0" distL="0" distR="0" wp14:anchorId="7580ED8A" wp14:editId="6E25B06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0">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BD7F9CF" w14:textId="47A21D99" w:rsidR="00F74B78" w:rsidRPr="00B536BB" w:rsidRDefault="00F74B78" w:rsidP="00F74B78">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Pr>
          <w:rFonts w:ascii="Arial Black" w:hAnsi="Arial Black" w:hint="eastAsia"/>
          <w:b/>
          <w:caps/>
          <w:sz w:val="15"/>
        </w:rPr>
        <w:t>25</w:t>
      </w:r>
      <w:bookmarkEnd w:id="0"/>
    </w:p>
    <w:p w14:paraId="579776A7" w14:textId="77777777" w:rsidR="00F74B78" w:rsidRPr="00B536BB" w:rsidRDefault="00F74B78" w:rsidP="00F74B78">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68AFD9A1" w14:textId="56A8B8CB" w:rsidR="00F74B78" w:rsidRPr="00B536BB" w:rsidRDefault="00F74B78" w:rsidP="00F74B78">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8</w:t>
      </w:r>
      <w:r w:rsidRPr="00B536BB">
        <w:rPr>
          <w:rFonts w:ascii="SimHei" w:eastAsia="SimHei" w:hAnsi="Times New Roman" w:hint="eastAsia"/>
          <w:b/>
          <w:sz w:val="15"/>
          <w:szCs w:val="15"/>
        </w:rPr>
        <w:t>月</w:t>
      </w:r>
      <w:r>
        <w:rPr>
          <w:rFonts w:ascii="Arial Black" w:eastAsia="SimHei" w:hAnsi="Arial Black" w:hint="eastAsia"/>
          <w:b/>
          <w:sz w:val="15"/>
          <w:szCs w:val="15"/>
          <w:lang w:val="pt-BR"/>
        </w:rPr>
        <w:t>12</w:t>
      </w:r>
      <w:r w:rsidRPr="00B536BB">
        <w:rPr>
          <w:rFonts w:ascii="SimHei" w:eastAsia="SimHei" w:hAnsi="Times New Roman" w:hint="eastAsia"/>
          <w:b/>
          <w:sz w:val="15"/>
          <w:szCs w:val="15"/>
        </w:rPr>
        <w:t>日</w:t>
      </w:r>
      <w:bookmarkEnd w:id="2"/>
    </w:p>
    <w:p w14:paraId="3D3CE415" w14:textId="77777777" w:rsidR="00F74B78" w:rsidRPr="00E4042D" w:rsidRDefault="00F74B78" w:rsidP="00F74B78">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6406D75D" w14:textId="77777777" w:rsidR="00F74B78" w:rsidRPr="00B536BB" w:rsidRDefault="00F74B78" w:rsidP="00F74B78">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3FADF627" w14:textId="4B3D0AEB" w:rsidR="00A5281D" w:rsidRPr="00B536BB" w:rsidRDefault="00A5281D" w:rsidP="00A5281D">
      <w:pPr>
        <w:spacing w:after="360"/>
        <w:rPr>
          <w:rFonts w:ascii="KaiTi" w:eastAsia="KaiTi" w:hAnsi="KaiTi" w:cs="Times New Roman"/>
          <w:sz w:val="24"/>
          <w:szCs w:val="32"/>
        </w:rPr>
      </w:pPr>
      <w:bookmarkStart w:id="3" w:name="TitleOfDoc"/>
      <w:r w:rsidRPr="00A5281D">
        <w:rPr>
          <w:rFonts w:ascii="KaiTi" w:eastAsia="KaiTi" w:hAnsi="KaiTi" w:cs="Times New Roman" w:hint="eastAsia"/>
          <w:sz w:val="24"/>
          <w:szCs w:val="32"/>
        </w:rPr>
        <w:t>国际局关于根据标准委员会任务规定</w:t>
      </w:r>
      <w:r>
        <w:rPr>
          <w:rFonts w:ascii="KaiTi" w:eastAsia="KaiTi" w:hAnsi="KaiTi" w:cs="Times New Roman"/>
          <w:sz w:val="24"/>
          <w:szCs w:val="32"/>
        </w:rPr>
        <w:br/>
      </w:r>
      <w:r w:rsidRPr="00A5281D">
        <w:rPr>
          <w:rFonts w:ascii="KaiTi" w:eastAsia="KaiTi" w:hAnsi="KaiTi" w:cs="Times New Roman" w:hint="eastAsia"/>
          <w:sz w:val="24"/>
          <w:szCs w:val="32"/>
        </w:rPr>
        <w:t>向工业产权局提供技术咨询和援助开展能力建设的报告</w:t>
      </w:r>
    </w:p>
    <w:p w14:paraId="08241933" w14:textId="28CDFB0B" w:rsidR="00A5281D" w:rsidRPr="00F74B78" w:rsidRDefault="001F1F8F" w:rsidP="00A5281D">
      <w:pPr>
        <w:spacing w:after="960"/>
        <w:rPr>
          <w:rFonts w:ascii="KaiTi" w:eastAsia="KaiTi" w:hAnsi="STKaiti" w:cs="Times New Roman"/>
          <w:szCs w:val="24"/>
        </w:rPr>
      </w:pPr>
      <w:bookmarkStart w:id="4" w:name="Prepared"/>
      <w:bookmarkEnd w:id="3"/>
      <w:r w:rsidRPr="00F74B78">
        <w:rPr>
          <w:rFonts w:ascii="KaiTi" w:eastAsia="KaiTi" w:hAnsi="STKaiti" w:cs="Times New Roman" w:hint="eastAsia"/>
          <w:szCs w:val="24"/>
        </w:rPr>
        <w:t>秘书处</w:t>
      </w:r>
      <w:r w:rsidR="00A5281D" w:rsidRPr="00F74B78">
        <w:rPr>
          <w:rFonts w:ascii="KaiTi" w:eastAsia="KaiTi" w:hAnsi="STKaiti" w:cs="Times New Roman" w:hint="eastAsia"/>
          <w:szCs w:val="24"/>
        </w:rPr>
        <w:t>编拟的文件</w:t>
      </w:r>
    </w:p>
    <w:bookmarkEnd w:id="4"/>
    <w:p w14:paraId="7C108CA8" w14:textId="04E622E7" w:rsidR="009E2E0C" w:rsidRPr="00F74B78" w:rsidRDefault="00387EA1" w:rsidP="00AD6A9B">
      <w:pPr>
        <w:pStyle w:val="Heading2"/>
        <w:overflowPunct w:val="0"/>
        <w:spacing w:beforeLines="100" w:afterLines="50" w:after="120" w:line="340" w:lineRule="atLeast"/>
        <w:rPr>
          <w:rFonts w:ascii="SimSun" w:hAnsi="SimSun"/>
          <w:caps w:val="0"/>
        </w:rPr>
      </w:pPr>
      <w:r w:rsidRPr="00F74B78">
        <w:rPr>
          <w:rFonts w:ascii="SimHei" w:eastAsia="SimHei" w:hAnsi="SimHei"/>
          <w:caps w:val="0"/>
        </w:rPr>
        <w:t>导　言</w:t>
      </w:r>
    </w:p>
    <w:p w14:paraId="21F109FC" w14:textId="18FD7E73" w:rsidR="009E2E0C" w:rsidRPr="00F74B78" w:rsidRDefault="00387EA1" w:rsidP="00AD6A9B">
      <w:pPr>
        <w:pStyle w:val="ONUME"/>
        <w:numPr>
          <w:ilvl w:val="0"/>
          <w:numId w:val="9"/>
        </w:numPr>
        <w:overflowPunct w:val="0"/>
        <w:spacing w:afterLines="50" w:after="120" w:line="340" w:lineRule="atLeast"/>
        <w:ind w:left="0" w:firstLine="0"/>
        <w:jc w:val="both"/>
        <w:rPr>
          <w:rFonts w:ascii="SimSun" w:hAnsi="SimSun"/>
          <w:color w:val="000000" w:themeColor="text1"/>
          <w:szCs w:val="21"/>
        </w:rPr>
      </w:pPr>
      <w:r w:rsidRPr="00F74B78">
        <w:rPr>
          <w:rFonts w:ascii="SimSun" w:hAnsi="SimSun"/>
          <w:szCs w:val="21"/>
        </w:rPr>
        <w:t>本报告旨在执行2011年大会就产权组织标准委员会（</w:t>
      </w:r>
      <w:r w:rsidR="00F74B78">
        <w:rPr>
          <w:rFonts w:ascii="SimSun" w:hAnsi="SimSun"/>
          <w:szCs w:val="21"/>
        </w:rPr>
        <w:t>标准委</w:t>
      </w:r>
      <w:r w:rsidRPr="00F74B78">
        <w:rPr>
          <w:rFonts w:ascii="SimSun" w:hAnsi="SimSun"/>
          <w:szCs w:val="21"/>
        </w:rPr>
        <w:t>）的任务规定作出的决定，定期书面报告202</w:t>
      </w:r>
      <w:r w:rsidR="001F1F8F" w:rsidRPr="00F74B78">
        <w:rPr>
          <w:rFonts w:ascii="SimSun" w:hAnsi="SimSun" w:hint="eastAsia"/>
          <w:szCs w:val="21"/>
        </w:rPr>
        <w:t>3</w:t>
      </w:r>
      <w:r w:rsidRPr="00F74B78">
        <w:rPr>
          <w:rFonts w:ascii="SimSun" w:hAnsi="SimSun"/>
          <w:szCs w:val="21"/>
        </w:rPr>
        <w:t>年开展各项活动的详情。在此期间，产权组织秘书处或国际局“努力为各工业产权局（IPO）的能力建设工作提供了技术咨询和援助，并落实了知识产权标准信息推广项目”（见文件WO/GA/40/19第190段）。这些活动的完整列表可查阅技术援助数据库（</w:t>
      </w:r>
      <w:hyperlink r:id="rId11" w:history="1">
        <w:r w:rsidRPr="00F74B78">
          <w:rPr>
            <w:rStyle w:val="Hyperlink"/>
            <w:rFonts w:ascii="SimSun" w:hAnsi="SimSun"/>
            <w:szCs w:val="21"/>
          </w:rPr>
          <w:t>www.wipo.int/tad</w:t>
        </w:r>
      </w:hyperlink>
      <w:r w:rsidRPr="00F74B78">
        <w:rPr>
          <w:rFonts w:ascii="SimSun" w:hAnsi="SimSun"/>
          <w:szCs w:val="21"/>
        </w:rPr>
        <w:t>）。</w:t>
      </w:r>
    </w:p>
    <w:p w14:paraId="3718D340" w14:textId="2B95DA01" w:rsidR="009E2E0C" w:rsidRPr="00F74B78" w:rsidRDefault="00387EA1"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szCs w:val="21"/>
        </w:rPr>
        <w:t>由于产权组织标准在WIPO Sequence</w:t>
      </w:r>
      <w:r w:rsidR="005A6204" w:rsidRPr="00F74B78">
        <w:rPr>
          <w:rFonts w:ascii="SimSun" w:hAnsi="SimSun" w:hint="eastAsia"/>
          <w:szCs w:val="21"/>
        </w:rPr>
        <w:t>套件</w:t>
      </w:r>
      <w:r w:rsidRPr="00F74B78">
        <w:rPr>
          <w:rFonts w:ascii="SimSun" w:hAnsi="SimSun"/>
          <w:szCs w:val="21"/>
        </w:rPr>
        <w:t>和知识产权局业务解决方案等产权组织各个系统和</w:t>
      </w:r>
      <w:r w:rsidR="005A6204" w:rsidRPr="00F74B78">
        <w:rPr>
          <w:rFonts w:ascii="SimSun" w:hAnsi="SimSun" w:hint="eastAsia"/>
          <w:szCs w:val="21"/>
        </w:rPr>
        <w:t>产权组织软件</w:t>
      </w:r>
      <w:r w:rsidRPr="00F74B78">
        <w:rPr>
          <w:rFonts w:ascii="SimSun" w:hAnsi="SimSun"/>
          <w:szCs w:val="21"/>
        </w:rPr>
        <w:t>中得到</w:t>
      </w:r>
      <w:r w:rsidR="00F00458" w:rsidRPr="00F74B78">
        <w:rPr>
          <w:rFonts w:ascii="SimSun" w:hAnsi="SimSun" w:hint="eastAsia"/>
          <w:szCs w:val="21"/>
        </w:rPr>
        <w:t>执行</w:t>
      </w:r>
      <w:r w:rsidRPr="00F74B78">
        <w:rPr>
          <w:rFonts w:ascii="SimSun" w:hAnsi="SimSun"/>
          <w:szCs w:val="21"/>
        </w:rPr>
        <w:t>，下列活动也不言自明涵盖了相关工业产权标准信息的推广。</w:t>
      </w:r>
    </w:p>
    <w:p w14:paraId="4E6D1BC3" w14:textId="15CB49BF" w:rsidR="009E2E0C" w:rsidRPr="00F74B78" w:rsidRDefault="00387EA1" w:rsidP="00F74B78">
      <w:pPr>
        <w:pStyle w:val="Heading2"/>
        <w:overflowPunct w:val="0"/>
        <w:spacing w:beforeLines="100" w:afterLines="50" w:after="120" w:line="340" w:lineRule="atLeast"/>
        <w:rPr>
          <w:rFonts w:ascii="SimSun" w:hAnsi="SimSun"/>
        </w:rPr>
      </w:pPr>
      <w:r w:rsidRPr="00F74B78">
        <w:rPr>
          <w:rFonts w:ascii="SimHei" w:eastAsia="SimHei" w:hAnsi="SimHei"/>
          <w:caps w:val="0"/>
        </w:rPr>
        <w:t>关于使用产权组织标准的培训和技术咨询</w:t>
      </w:r>
    </w:p>
    <w:p w14:paraId="50DB03E7" w14:textId="21955CC9" w:rsidR="00FA0C32" w:rsidRPr="00F74B78" w:rsidRDefault="00387EA1"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szCs w:val="21"/>
        </w:rPr>
        <w:t>202</w:t>
      </w:r>
      <w:r w:rsidR="001F1F8F" w:rsidRPr="00F74B78">
        <w:rPr>
          <w:rFonts w:ascii="SimSun" w:hAnsi="SimSun" w:hint="eastAsia"/>
          <w:szCs w:val="21"/>
        </w:rPr>
        <w:t>3</w:t>
      </w:r>
      <w:r w:rsidRPr="00F74B78">
        <w:rPr>
          <w:rFonts w:ascii="SimSun" w:hAnsi="SimSun"/>
          <w:szCs w:val="21"/>
        </w:rPr>
        <w:t>年，国际局仍通过电子邮件和在线会议提供了技术咨询，协助工业产权局和用户使用产权组织标准</w:t>
      </w:r>
      <w:r w:rsidR="00B61BCC" w:rsidRPr="00F74B78">
        <w:rPr>
          <w:rFonts w:ascii="SimSun" w:hAnsi="SimSun" w:hint="eastAsia"/>
          <w:szCs w:val="21"/>
        </w:rPr>
        <w:t>，包括实施分别与专利、商标和工业品外观设计法律状态事件有关的产权组织标准ST.27、ST.61和ST.87，以及制作符合产权组织标准ST.37的权威文档。</w:t>
      </w:r>
    </w:p>
    <w:p w14:paraId="185076D9" w14:textId="1313DE2E" w:rsidR="0013710C" w:rsidRPr="00F74B78" w:rsidRDefault="00260EB1"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国际局在PATENTSCOPE中启动了植物品种序列数据技术公开披露的概念验证（POC）。印度尼西亚国家研究创新</w:t>
      </w:r>
      <w:r w:rsidR="006A4CC8" w:rsidRPr="00F74B78">
        <w:rPr>
          <w:rFonts w:ascii="SimSun" w:hAnsi="SimSun" w:hint="eastAsia"/>
          <w:szCs w:val="21"/>
        </w:rPr>
        <w:t>署</w:t>
      </w:r>
      <w:r w:rsidRPr="00F74B78">
        <w:rPr>
          <w:rFonts w:ascii="SimSun" w:hAnsi="SimSun" w:hint="eastAsia"/>
          <w:szCs w:val="21"/>
        </w:rPr>
        <w:t>（BRIN）提供了一系列不同热带大豆的测序数据，作为与产权组织合作开</w:t>
      </w:r>
      <w:r w:rsidRPr="00F74B78">
        <w:rPr>
          <w:rFonts w:ascii="SimSun" w:hAnsi="SimSun" w:hint="eastAsia"/>
          <w:szCs w:val="21"/>
        </w:rPr>
        <w:lastRenderedPageBreak/>
        <w:t>展的培训计划的一部分。POC圆满结束，热带大豆20条染色体中的每一条都被翻译成了产权组织标准ST.26格式，并附有相关的技术摘要和实用性声明。</w:t>
      </w:r>
    </w:p>
    <w:p w14:paraId="540838AE" w14:textId="564245FD" w:rsidR="00244938" w:rsidRPr="00F74B78" w:rsidRDefault="006A4CC8"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 xml:space="preserve">根据各工业产权局和用户的反馈意见，国际局启动了一个新的WIPO Sequence套件开发项目，重点是提高XML验证和生成的性能。为实现这一目标，WIPO </w:t>
      </w:r>
      <w:r w:rsidRPr="00F74B78">
        <w:rPr>
          <w:rFonts w:ascii="SimSun" w:hAnsi="SimSun"/>
          <w:szCs w:val="21"/>
        </w:rPr>
        <w:t>Sequence</w:t>
      </w:r>
      <w:r w:rsidRPr="00F74B78">
        <w:rPr>
          <w:rFonts w:ascii="SimSun" w:hAnsi="SimSun" w:hint="eastAsia"/>
          <w:szCs w:val="21"/>
        </w:rPr>
        <w:t xml:space="preserve">和WIPO </w:t>
      </w:r>
      <w:bookmarkStart w:id="5" w:name="_Hlk174524703"/>
      <w:r w:rsidRPr="00F74B78">
        <w:rPr>
          <w:rFonts w:ascii="SimSun" w:hAnsi="SimSun"/>
          <w:szCs w:val="21"/>
        </w:rPr>
        <w:t>Sequence</w:t>
      </w:r>
      <w:bookmarkEnd w:id="5"/>
      <w:r w:rsidRPr="006A4CC8">
        <w:t xml:space="preserve"> </w:t>
      </w:r>
      <w:r w:rsidRPr="00F74B78">
        <w:rPr>
          <w:rFonts w:ascii="SimSun" w:hAnsi="SimSun"/>
          <w:szCs w:val="21"/>
        </w:rPr>
        <w:t>Validator</w:t>
      </w:r>
      <w:r w:rsidRPr="00F74B78">
        <w:rPr>
          <w:rFonts w:ascii="SimSun" w:hAnsi="SimSun" w:hint="eastAsia"/>
          <w:szCs w:val="21"/>
        </w:rPr>
        <w:t xml:space="preserve">都采用了更新的技术堆栈。对这两个组件的全面改造需要进行广泛测试，以确保实施在功能上等同于2.3.0版。国际局希望在2024年第三季度推出WIPO </w:t>
      </w:r>
      <w:r w:rsidRPr="00F74B78">
        <w:rPr>
          <w:rFonts w:ascii="SimSun" w:hAnsi="SimSun"/>
          <w:szCs w:val="21"/>
        </w:rPr>
        <w:t>Sequence Validator</w:t>
      </w:r>
      <w:r w:rsidRPr="00F74B78">
        <w:rPr>
          <w:rFonts w:ascii="SimSun" w:hAnsi="SimSun" w:hint="eastAsia"/>
          <w:szCs w:val="21"/>
        </w:rPr>
        <w:t>的新版本3.0.0版。</w:t>
      </w:r>
    </w:p>
    <w:p w14:paraId="7533333D" w14:textId="24288816" w:rsidR="00EB3911" w:rsidRPr="00F74B78" w:rsidRDefault="006A4CC8"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 xml:space="preserve">在实施产权组织标准ST.26和WIPO </w:t>
      </w:r>
      <w:r w:rsidRPr="00F74B78">
        <w:rPr>
          <w:rFonts w:ascii="SimSun" w:hAnsi="SimSun"/>
          <w:szCs w:val="21"/>
        </w:rPr>
        <w:t>Sequence</w:t>
      </w:r>
      <w:r w:rsidRPr="00F74B78">
        <w:rPr>
          <w:rFonts w:ascii="SimSun" w:hAnsi="SimSun" w:hint="eastAsia"/>
          <w:szCs w:val="21"/>
        </w:rPr>
        <w:t>的技术援助方面，国际局应邀在两次网络研讨会上介绍了这一议题。根据各局的反馈，鉴于现在用户对该标准和桌面工具的基础知识已经更加熟悉，</w:t>
      </w:r>
      <w:r w:rsidR="008F7185" w:rsidRPr="00F74B78">
        <w:rPr>
          <w:rFonts w:ascii="SimSun" w:hAnsi="SimSun" w:hint="eastAsia"/>
          <w:szCs w:val="21"/>
        </w:rPr>
        <w:t>显然</w:t>
      </w:r>
      <w:r w:rsidRPr="00F74B78">
        <w:rPr>
          <w:rFonts w:ascii="SimSun" w:hAnsi="SimSun" w:hint="eastAsia"/>
          <w:szCs w:val="21"/>
        </w:rPr>
        <w:t>国际局</w:t>
      </w:r>
      <w:r w:rsidR="008F7185" w:rsidRPr="00F74B78">
        <w:rPr>
          <w:rFonts w:ascii="SimSun" w:hAnsi="SimSun" w:hint="eastAsia"/>
          <w:szCs w:val="21"/>
        </w:rPr>
        <w:t>需要</w:t>
      </w:r>
      <w:r w:rsidR="00FC4E77" w:rsidRPr="00F74B78">
        <w:rPr>
          <w:rFonts w:ascii="SimSun" w:hAnsi="SimSun" w:hint="eastAsia"/>
          <w:szCs w:val="21"/>
        </w:rPr>
        <w:t>推出</w:t>
      </w:r>
      <w:r w:rsidRPr="00F74B78">
        <w:rPr>
          <w:rFonts w:ascii="SimSun" w:hAnsi="SimSun" w:hint="eastAsia"/>
          <w:szCs w:val="21"/>
        </w:rPr>
        <w:t>更高级别的系列网络研讨会。</w:t>
      </w:r>
    </w:p>
    <w:p w14:paraId="7BE8B692" w14:textId="1FFCFFB3" w:rsidR="009E2E0C" w:rsidRPr="00F74B78" w:rsidRDefault="00387EA1"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szCs w:val="21"/>
        </w:rPr>
        <w:t>秘书处将继续致力于按要求，根据资源可用情况，提供有关产权组织标准的技术援助和培训。</w:t>
      </w:r>
    </w:p>
    <w:p w14:paraId="29B105FD" w14:textId="090C4443" w:rsidR="009E2E0C" w:rsidRPr="00F74B78" w:rsidRDefault="00387EA1" w:rsidP="00AD6A9B">
      <w:pPr>
        <w:pStyle w:val="Heading2"/>
        <w:overflowPunct w:val="0"/>
        <w:spacing w:beforeLines="100" w:afterLines="50" w:after="120" w:line="340" w:lineRule="atLeast"/>
        <w:rPr>
          <w:rFonts w:ascii="SimHei" w:eastAsia="SimHei" w:hAnsi="SimHei"/>
          <w:caps w:val="0"/>
        </w:rPr>
      </w:pPr>
      <w:r w:rsidRPr="00F74B78">
        <w:rPr>
          <w:rFonts w:ascii="SimHei" w:eastAsia="SimHei" w:hAnsi="SimHei"/>
          <w:caps w:val="0"/>
        </w:rPr>
        <w:t>提供技术援助建设知识产权机构使用产权组织标准的基础设施</w:t>
      </w:r>
    </w:p>
    <w:p w14:paraId="073F73A2" w14:textId="7EE4F8E9" w:rsidR="009E2E0C" w:rsidRPr="00F74B78" w:rsidRDefault="0084056C" w:rsidP="00AD6A9B">
      <w:pPr>
        <w:pStyle w:val="ONUME"/>
        <w:numPr>
          <w:ilvl w:val="0"/>
          <w:numId w:val="9"/>
        </w:numPr>
        <w:overflowPunct w:val="0"/>
        <w:spacing w:afterLines="50" w:after="120" w:line="340" w:lineRule="atLeast"/>
        <w:ind w:left="0" w:firstLine="0"/>
        <w:jc w:val="both"/>
        <w:rPr>
          <w:rFonts w:ascii="SimSun" w:hAnsi="SimSun"/>
          <w:szCs w:val="21"/>
          <w:lang w:val="en"/>
        </w:rPr>
      </w:pPr>
      <w:r w:rsidRPr="00F74B78">
        <w:rPr>
          <w:rFonts w:ascii="SimSun" w:hAnsi="SimSun"/>
          <w:szCs w:val="21"/>
          <w:lang w:val="en"/>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7FA35C67" w14:textId="6BC6BD55" w:rsidR="00035E70" w:rsidRPr="00F74B78" w:rsidRDefault="0084056C" w:rsidP="00AD6A9B">
      <w:pPr>
        <w:pStyle w:val="ONUME"/>
        <w:numPr>
          <w:ilvl w:val="0"/>
          <w:numId w:val="9"/>
        </w:numPr>
        <w:overflowPunct w:val="0"/>
        <w:spacing w:afterLines="50" w:after="120" w:line="340" w:lineRule="atLeast"/>
        <w:ind w:left="0" w:firstLine="0"/>
        <w:jc w:val="both"/>
        <w:rPr>
          <w:rFonts w:ascii="SimSun" w:hAnsi="SimSun"/>
          <w:color w:val="000000"/>
          <w:szCs w:val="21"/>
          <w:lang w:val="en-GB"/>
        </w:rPr>
      </w:pPr>
      <w:r w:rsidRPr="00F74B78">
        <w:rPr>
          <w:rFonts w:ascii="SimSun" w:hAnsi="SimSun"/>
          <w:szCs w:val="21"/>
          <w:lang w:val="en-GB"/>
        </w:rPr>
        <w:t>到202</w:t>
      </w:r>
      <w:r w:rsidR="00260EB1" w:rsidRPr="00F74B78">
        <w:rPr>
          <w:rFonts w:ascii="SimSun" w:hAnsi="SimSun" w:hint="eastAsia"/>
          <w:szCs w:val="21"/>
          <w:lang w:val="en-GB"/>
        </w:rPr>
        <w:t>3</w:t>
      </w:r>
      <w:r w:rsidRPr="00F74B78">
        <w:rPr>
          <w:rFonts w:ascii="SimSun" w:hAnsi="SimSun"/>
          <w:szCs w:val="21"/>
          <w:lang w:val="en-GB"/>
        </w:rPr>
        <w:t>年底，来自各区域发展中国家的9</w:t>
      </w:r>
      <w:r w:rsidR="004A75E6" w:rsidRPr="00F74B78">
        <w:rPr>
          <w:rFonts w:ascii="SimSun" w:hAnsi="SimSun"/>
          <w:szCs w:val="21"/>
          <w:lang w:val="en-GB"/>
        </w:rPr>
        <w:t>1</w:t>
      </w:r>
      <w:r w:rsidRPr="00F74B78">
        <w:rPr>
          <w:rFonts w:ascii="SimSun" w:hAnsi="SimSun"/>
          <w:szCs w:val="21"/>
          <w:lang w:val="en-GB"/>
        </w:rPr>
        <w:t>个工业产权局积极使用产权组织的知识产权局业务解决方案来进行工业产权行政管理，产权组织标准包括其中。</w:t>
      </w:r>
      <w:r w:rsidR="00260EB1" w:rsidRPr="00F74B78">
        <w:rPr>
          <w:rFonts w:ascii="SimSun" w:hAnsi="SimSun" w:hint="eastAsia"/>
          <w:szCs w:val="21"/>
          <w:lang w:val="en-GB"/>
        </w:rPr>
        <w:t>60</w:t>
      </w:r>
      <w:r w:rsidRPr="00F74B78">
        <w:rPr>
          <w:rFonts w:ascii="SimSun" w:hAnsi="SimSun"/>
          <w:szCs w:val="21"/>
          <w:lang w:val="en-GB"/>
        </w:rPr>
        <w:t>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hyperlink r:id="rId12" w:history="1">
        <w:r w:rsidR="00F74B78" w:rsidRPr="0093329C">
          <w:rPr>
            <w:rStyle w:val="Hyperlink"/>
            <w:rFonts w:ascii="SimSun" w:hAnsi="SimSun"/>
            <w:szCs w:val="21"/>
          </w:rPr>
          <w:t>https://www.wipo.int/global_ip/zh/activities/ip_‌office_business_solutions/</w:t>
        </w:r>
      </w:hyperlink>
      <w:r w:rsidRPr="00F74B78">
        <w:rPr>
          <w:rFonts w:ascii="SimSun" w:hAnsi="SimSun"/>
          <w:szCs w:val="21"/>
          <w:lang w:val="en-GB"/>
        </w:rPr>
        <w:t>。</w:t>
      </w:r>
    </w:p>
    <w:p w14:paraId="4D3F43F3" w14:textId="6DBD7708" w:rsidR="00FA0C32" w:rsidRPr="00F74B78" w:rsidRDefault="005F01A6" w:rsidP="00AD6A9B">
      <w:pPr>
        <w:pStyle w:val="ONUME"/>
        <w:numPr>
          <w:ilvl w:val="0"/>
          <w:numId w:val="9"/>
        </w:numPr>
        <w:overflowPunct w:val="0"/>
        <w:spacing w:afterLines="50" w:after="120" w:line="340" w:lineRule="atLeast"/>
        <w:ind w:left="0" w:firstLine="0"/>
        <w:jc w:val="both"/>
        <w:rPr>
          <w:rFonts w:ascii="SimSun" w:hAnsi="SimSun"/>
          <w:color w:val="000000"/>
          <w:szCs w:val="21"/>
          <w:lang w:val="en-GB"/>
        </w:rPr>
      </w:pPr>
      <w:r w:rsidRPr="00F74B78">
        <w:rPr>
          <w:rFonts w:ascii="SimSun" w:hAnsi="SimSun" w:hint="eastAsia"/>
          <w:szCs w:val="21"/>
          <w:lang w:val="en-GB"/>
        </w:rPr>
        <w:t>在产权组织的全球数据库计划下，国际局继续在日本信托基金计划的支持下，协助成员国为其专利公布创建高质量的全文。在日本2023财年，菲律宾专利局的1,293份专利文件、阿根廷专利局的22,221份专利文件和墨西哥专利局的10,280份专利文件经过OCR、校对和XML转换后收入了PATENTSCOPE。</w:t>
      </w:r>
    </w:p>
    <w:p w14:paraId="0F1EA9BB" w14:textId="28675C43" w:rsidR="009E2E0C" w:rsidRPr="00F74B78" w:rsidRDefault="0084056C" w:rsidP="00AD6A9B">
      <w:pPr>
        <w:pStyle w:val="Heading2"/>
        <w:overflowPunct w:val="0"/>
        <w:spacing w:beforeLines="100" w:afterLines="50" w:after="120" w:line="340" w:lineRule="atLeast"/>
        <w:rPr>
          <w:rFonts w:ascii="SimHei" w:eastAsia="SimHei" w:hAnsi="SimHei"/>
          <w:caps w:val="0"/>
        </w:rPr>
      </w:pPr>
      <w:r w:rsidRPr="00F74B78">
        <w:rPr>
          <w:rFonts w:ascii="SimHei" w:eastAsia="SimHei" w:hAnsi="SimHei"/>
          <w:caps w:val="0"/>
        </w:rPr>
        <w:t>开展工业产权官员和审查员利用国际工具的能力建设</w:t>
      </w:r>
    </w:p>
    <w:p w14:paraId="2662265B" w14:textId="1F841E30" w:rsidR="00C20DB1" w:rsidRPr="00F74B78" w:rsidRDefault="00C6473F" w:rsidP="00AD6A9B">
      <w:pPr>
        <w:pStyle w:val="ONUME"/>
        <w:numPr>
          <w:ilvl w:val="0"/>
          <w:numId w:val="9"/>
        </w:numPr>
        <w:overflowPunct w:val="0"/>
        <w:spacing w:afterLines="50" w:after="120" w:line="340" w:lineRule="atLeast"/>
        <w:ind w:left="0" w:firstLine="0"/>
        <w:jc w:val="both"/>
        <w:rPr>
          <w:rFonts w:ascii="SimSun" w:hAnsi="SimSun"/>
          <w:szCs w:val="21"/>
          <w:lang w:val="en"/>
        </w:rPr>
      </w:pPr>
      <w:r w:rsidRPr="00F74B78">
        <w:rPr>
          <w:rFonts w:ascii="SimSun" w:hAnsi="SimSun" w:cs="MS Mincho" w:hint="eastAsia"/>
          <w:szCs w:val="21"/>
          <w:lang w:val="en"/>
        </w:rPr>
        <w:t>根据要求，</w:t>
      </w:r>
      <w:r w:rsidR="00CF3075" w:rsidRPr="00F74B78">
        <w:rPr>
          <w:rFonts w:ascii="SimSun" w:hAnsi="SimSun" w:cs="MS Mincho" w:hint="eastAsia"/>
          <w:szCs w:val="21"/>
          <w:lang w:val="en"/>
        </w:rPr>
        <w:t>国际局于2023年7月26日和27日与文莱知识产权局联合通过在线平台，为文莱达鲁萨兰国的专利处理人员和创新支持人员举办了一次关于专利检索的培训研讨会。在</w:t>
      </w:r>
      <w:r w:rsidRPr="00F74B78">
        <w:rPr>
          <w:rFonts w:ascii="SimSun" w:hAnsi="SimSun" w:cs="MS Mincho" w:hint="eastAsia"/>
          <w:szCs w:val="21"/>
          <w:lang w:val="en"/>
        </w:rPr>
        <w:t>此背景</w:t>
      </w:r>
      <w:r w:rsidR="00CF3075" w:rsidRPr="00F74B78">
        <w:rPr>
          <w:rFonts w:ascii="SimSun" w:hAnsi="SimSun" w:cs="MS Mincho" w:hint="eastAsia"/>
          <w:szCs w:val="21"/>
          <w:lang w:val="en"/>
        </w:rPr>
        <w:t>下，</w:t>
      </w:r>
      <w:r w:rsidRPr="00F74B78">
        <w:rPr>
          <w:rFonts w:ascii="SimSun" w:hAnsi="SimSun" w:cs="MS Mincho" w:hint="eastAsia"/>
          <w:szCs w:val="21"/>
          <w:lang w:val="en"/>
        </w:rPr>
        <w:t>对相关产权组织标准的相关性作了解释</w:t>
      </w:r>
      <w:r w:rsidR="00CF3075" w:rsidRPr="00F74B78">
        <w:rPr>
          <w:rFonts w:ascii="SimSun" w:hAnsi="SimSun" w:cs="MS Mincho" w:hint="eastAsia"/>
          <w:szCs w:val="21"/>
          <w:lang w:val="en"/>
        </w:rPr>
        <w:t>。</w:t>
      </w:r>
    </w:p>
    <w:p w14:paraId="17FE1126" w14:textId="41E7CA78" w:rsidR="00C20DB1" w:rsidRPr="00F74B78" w:rsidRDefault="00C6473F" w:rsidP="00AD6A9B">
      <w:pPr>
        <w:pStyle w:val="ONUME"/>
        <w:numPr>
          <w:ilvl w:val="0"/>
          <w:numId w:val="9"/>
        </w:numPr>
        <w:overflowPunct w:val="0"/>
        <w:spacing w:afterLines="50" w:after="120" w:line="340" w:lineRule="atLeast"/>
        <w:ind w:left="0" w:firstLine="0"/>
        <w:jc w:val="both"/>
        <w:rPr>
          <w:rFonts w:ascii="SimSun" w:hAnsi="SimSun"/>
          <w:szCs w:val="21"/>
          <w:lang w:val="en"/>
        </w:rPr>
      </w:pPr>
      <w:r w:rsidRPr="00F74B78">
        <w:rPr>
          <w:rFonts w:ascii="SimSun" w:hAnsi="SimSun" w:cs="MS Mincho" w:hint="eastAsia"/>
          <w:szCs w:val="21"/>
          <w:lang w:val="en"/>
        </w:rPr>
        <w:lastRenderedPageBreak/>
        <w:t>根据要求，国际局于2023年1月9日和10日为文莱达鲁萨兰国主管局的工作人员举办了一次关于商标审查员使用维也纳分类的虚拟培训研讨会。在此背景下，对相关产权组织标准的相关性作了解释。</w:t>
      </w:r>
    </w:p>
    <w:p w14:paraId="79F8B9FD" w14:textId="39D8FD64" w:rsidR="009E2E0C" w:rsidRPr="00F74B78" w:rsidRDefault="003209AA" w:rsidP="00AD6A9B">
      <w:pPr>
        <w:pStyle w:val="Heading2"/>
        <w:overflowPunct w:val="0"/>
        <w:spacing w:beforeLines="100" w:afterLines="50" w:after="120" w:line="340" w:lineRule="atLeast"/>
        <w:rPr>
          <w:rFonts w:ascii="SimHei" w:eastAsia="SimHei" w:hAnsi="SimHei"/>
          <w:caps w:val="0"/>
        </w:rPr>
      </w:pPr>
      <w:r w:rsidRPr="00F74B78">
        <w:rPr>
          <w:rFonts w:ascii="SimHei" w:eastAsia="SimHei" w:hAnsi="SimHei" w:hint="eastAsia"/>
          <w:caps w:val="0"/>
        </w:rPr>
        <w:t>加强对产权组织标准的了解</w:t>
      </w:r>
    </w:p>
    <w:p w14:paraId="40F4735F" w14:textId="6E6154ED" w:rsidR="00035E70" w:rsidRPr="00F74B78" w:rsidRDefault="003209AA" w:rsidP="00AD6A9B">
      <w:pPr>
        <w:pStyle w:val="ONUME"/>
        <w:numPr>
          <w:ilvl w:val="0"/>
          <w:numId w:val="9"/>
        </w:numPr>
        <w:overflowPunct w:val="0"/>
        <w:spacing w:afterLines="50" w:after="120" w:line="340" w:lineRule="atLeast"/>
        <w:ind w:left="0" w:firstLine="0"/>
        <w:jc w:val="both"/>
        <w:rPr>
          <w:rFonts w:ascii="SimSun" w:hAnsi="SimSun"/>
          <w:bCs/>
          <w:iCs/>
          <w:szCs w:val="21"/>
        </w:rPr>
      </w:pPr>
      <w:r w:rsidRPr="00F74B78">
        <w:rPr>
          <w:rFonts w:ascii="SimSun" w:hAnsi="SimSun" w:hint="eastAsia"/>
          <w:szCs w:val="21"/>
        </w:rPr>
        <w:t>为提高发展中国家对产权组织标准的认识，便于更多发展中国家亲身参与制定产权组织新标准或修订产权组织标准，根据2011年10月大会的决定，国际局资助了</w:t>
      </w:r>
      <w:r w:rsidR="00715B27" w:rsidRPr="00F74B78">
        <w:rPr>
          <w:rFonts w:ascii="SimSun" w:hAnsi="SimSun" w:hint="eastAsia"/>
          <w:szCs w:val="21"/>
        </w:rPr>
        <w:t>八</w:t>
      </w:r>
      <w:r w:rsidRPr="00F74B78">
        <w:rPr>
          <w:rFonts w:ascii="SimSun" w:hAnsi="SimSun" w:hint="eastAsia"/>
          <w:szCs w:val="21"/>
        </w:rPr>
        <w:t>个发展中国家或最不发达国家出席标准委员会第</w:t>
      </w:r>
      <w:r w:rsidR="006364E2" w:rsidRPr="00F74B78">
        <w:rPr>
          <w:rFonts w:ascii="SimSun" w:hAnsi="SimSun" w:hint="eastAsia"/>
          <w:szCs w:val="21"/>
        </w:rPr>
        <w:t>十</w:t>
      </w:r>
      <w:r w:rsidR="00715B27" w:rsidRPr="00F74B78">
        <w:rPr>
          <w:rFonts w:ascii="SimSun" w:hAnsi="SimSun" w:hint="eastAsia"/>
          <w:szCs w:val="21"/>
        </w:rPr>
        <w:t>一</w:t>
      </w:r>
      <w:r w:rsidRPr="00F74B78">
        <w:rPr>
          <w:rFonts w:ascii="SimSun" w:hAnsi="SimSun" w:hint="eastAsia"/>
          <w:szCs w:val="21"/>
        </w:rPr>
        <w:t>届会议。</w:t>
      </w:r>
    </w:p>
    <w:p w14:paraId="73FCF1CE" w14:textId="772A05A5" w:rsidR="009E2E0C" w:rsidRPr="00F74B78" w:rsidRDefault="003209AA" w:rsidP="00AD6A9B">
      <w:pPr>
        <w:pStyle w:val="Heading2"/>
        <w:overflowPunct w:val="0"/>
        <w:spacing w:beforeLines="100" w:afterLines="50" w:after="120" w:line="340" w:lineRule="atLeast"/>
        <w:rPr>
          <w:rFonts w:ascii="SimHei" w:eastAsia="SimHei" w:hAnsi="SimHei"/>
          <w:caps w:val="0"/>
        </w:rPr>
      </w:pPr>
      <w:r w:rsidRPr="00F74B78">
        <w:rPr>
          <w:rFonts w:ascii="SimHei" w:eastAsia="SimHei" w:hAnsi="SimHei" w:hint="eastAsia"/>
          <w:caps w:val="0"/>
        </w:rPr>
        <w:t>工业产权数据交换</w:t>
      </w:r>
    </w:p>
    <w:p w14:paraId="49D55496" w14:textId="3CCA59D3" w:rsidR="00FA0C32" w:rsidRPr="00F74B78" w:rsidRDefault="003209AA" w:rsidP="00AD6A9B">
      <w:pPr>
        <w:pStyle w:val="ONUME"/>
        <w:numPr>
          <w:ilvl w:val="0"/>
          <w:numId w:val="9"/>
        </w:numPr>
        <w:overflowPunct w:val="0"/>
        <w:spacing w:afterLines="50" w:after="120" w:line="340" w:lineRule="atLeast"/>
        <w:ind w:left="0" w:firstLine="0"/>
        <w:jc w:val="both"/>
        <w:rPr>
          <w:rFonts w:ascii="SimSun" w:hAnsi="SimSun"/>
          <w:szCs w:val="21"/>
        </w:rPr>
      </w:pPr>
      <w:r w:rsidRPr="00F74B78">
        <w:rPr>
          <w:rFonts w:ascii="SimSun" w:hAnsi="SimSun" w:hint="eastAsia"/>
          <w:szCs w:val="21"/>
        </w:rPr>
        <w:t>国际局与许多工业产权局，特别是一些发展中国家集团的工业产权局一道开展工作，促进工业产权数据的交换，以期使这些国家的用户能够更多地获取这些局的工业产权信息。</w:t>
      </w:r>
      <w:r w:rsidR="006364E2" w:rsidRPr="00F74B78">
        <w:rPr>
          <w:rFonts w:ascii="SimSun" w:hAnsi="SimSun" w:hint="eastAsia"/>
          <w:szCs w:val="21"/>
        </w:rPr>
        <w:t>在可能的情况下，</w:t>
      </w:r>
      <w:r w:rsidRPr="00F74B78">
        <w:rPr>
          <w:rFonts w:ascii="SimSun" w:hAnsi="SimSun" w:hint="eastAsia"/>
          <w:szCs w:val="21"/>
        </w:rPr>
        <w:t>工业产权数据的交换根据相关的产权组织标准进行。202</w:t>
      </w:r>
      <w:r w:rsidR="00715B27" w:rsidRPr="00F74B78">
        <w:rPr>
          <w:rFonts w:ascii="SimSun" w:hAnsi="SimSun" w:hint="eastAsia"/>
          <w:szCs w:val="21"/>
        </w:rPr>
        <w:t>3</w:t>
      </w:r>
      <w:r w:rsidRPr="00F74B78">
        <w:rPr>
          <w:rFonts w:ascii="SimSun" w:hAnsi="SimSun" w:hint="eastAsia"/>
          <w:szCs w:val="21"/>
        </w:rPr>
        <w:t>年，全球品牌数据库收入了下列国家的商标数据（按时间顺序）：</w:t>
      </w:r>
      <w:r w:rsidR="00715B27" w:rsidRPr="00F74B78">
        <w:rPr>
          <w:rFonts w:ascii="SimSun" w:hAnsi="SimSun" w:hint="eastAsia"/>
          <w:szCs w:val="21"/>
        </w:rPr>
        <w:t>联合王国和摩纳哥</w:t>
      </w:r>
      <w:r w:rsidRPr="00F74B78">
        <w:rPr>
          <w:rFonts w:ascii="SimSun" w:hAnsi="SimSun" w:hint="eastAsia"/>
          <w:szCs w:val="21"/>
        </w:rPr>
        <w:t>；202</w:t>
      </w:r>
      <w:r w:rsidR="00715B27" w:rsidRPr="00F74B78">
        <w:rPr>
          <w:rFonts w:ascii="SimSun" w:hAnsi="SimSun" w:hint="eastAsia"/>
          <w:szCs w:val="21"/>
        </w:rPr>
        <w:t>3</w:t>
      </w:r>
      <w:r w:rsidRPr="00F74B78">
        <w:rPr>
          <w:rFonts w:ascii="SimSun" w:hAnsi="SimSun" w:hint="eastAsia"/>
          <w:szCs w:val="21"/>
        </w:rPr>
        <w:t>年，PATENTSCOPE收入了下列国家的专利数据：</w:t>
      </w:r>
      <w:r w:rsidR="00715B27" w:rsidRPr="00F74B78">
        <w:rPr>
          <w:rFonts w:ascii="SimSun" w:hAnsi="SimSun" w:hint="eastAsia"/>
          <w:szCs w:val="21"/>
        </w:rPr>
        <w:t>比利时、挪威和摩纳哥</w:t>
      </w:r>
      <w:r w:rsidRPr="00F74B78">
        <w:rPr>
          <w:rFonts w:ascii="SimSun" w:hAnsi="SimSun" w:hint="eastAsia"/>
          <w:szCs w:val="21"/>
        </w:rPr>
        <w:t>。202</w:t>
      </w:r>
      <w:r w:rsidR="00715B27" w:rsidRPr="00F74B78">
        <w:rPr>
          <w:rFonts w:ascii="SimSun" w:hAnsi="SimSun" w:hint="eastAsia"/>
          <w:szCs w:val="21"/>
        </w:rPr>
        <w:t>3</w:t>
      </w:r>
      <w:r w:rsidRPr="00F74B78">
        <w:rPr>
          <w:rFonts w:ascii="SimSun" w:hAnsi="SimSun" w:hint="eastAsia"/>
          <w:szCs w:val="21"/>
        </w:rPr>
        <w:t>年，产权组织全球外观设计数据库还增加</w:t>
      </w:r>
      <w:r w:rsidR="00715B27" w:rsidRPr="00F74B78">
        <w:rPr>
          <w:rFonts w:ascii="SimSun" w:hAnsi="SimSun" w:hint="eastAsia"/>
          <w:szCs w:val="21"/>
        </w:rPr>
        <w:t>了埃及</w:t>
      </w:r>
      <w:r w:rsidRPr="00F74B78">
        <w:rPr>
          <w:rFonts w:ascii="SimSun" w:hAnsi="SimSun" w:hint="eastAsia"/>
          <w:szCs w:val="21"/>
        </w:rPr>
        <w:t>的工业品外观设计数据。</w:t>
      </w:r>
    </w:p>
    <w:p w14:paraId="181AD5F0" w14:textId="3FBF834D" w:rsidR="009E2E0C" w:rsidRPr="00F74B78" w:rsidRDefault="003209AA" w:rsidP="00F74B78">
      <w:pPr>
        <w:pStyle w:val="ONUME"/>
        <w:numPr>
          <w:ilvl w:val="0"/>
          <w:numId w:val="9"/>
        </w:numPr>
        <w:overflowPunct w:val="0"/>
        <w:spacing w:afterLines="50" w:after="120" w:line="340" w:lineRule="atLeast"/>
        <w:ind w:left="5534" w:firstLine="0"/>
        <w:jc w:val="both"/>
        <w:rPr>
          <w:rFonts w:ascii="KaiTi" w:eastAsia="KaiTi" w:hAnsi="KaiTi"/>
          <w:iCs/>
          <w:szCs w:val="21"/>
        </w:rPr>
      </w:pPr>
      <w:r w:rsidRPr="00F74B78">
        <w:rPr>
          <w:rFonts w:ascii="KaiTi" w:eastAsia="KaiTi" w:hAnsi="KaiTi" w:hint="eastAsia"/>
          <w:iCs/>
          <w:szCs w:val="21"/>
        </w:rPr>
        <w:t>请标准委员会注意国际局202</w:t>
      </w:r>
      <w:r w:rsidR="00715B27" w:rsidRPr="00F74B78">
        <w:rPr>
          <w:rFonts w:ascii="KaiTi" w:eastAsia="KaiTi" w:hAnsi="KaiTi" w:hint="eastAsia"/>
          <w:iCs/>
          <w:szCs w:val="21"/>
        </w:rPr>
        <w:t>3</w:t>
      </w:r>
      <w:r w:rsidRPr="00F74B78">
        <w:rPr>
          <w:rFonts w:ascii="KaiTi" w:eastAsia="KaiTi" w:hAnsi="KaiTi" w:hint="eastAsia"/>
          <w:iCs/>
          <w:szCs w:val="21"/>
        </w:rPr>
        <w:t>年在工业产权标准信息传播方面向工业产权局提供技术咨询和援助开展能力建设的各项活动。按</w:t>
      </w:r>
      <w:r w:rsidRPr="00F74B78">
        <w:rPr>
          <w:rFonts w:ascii="KaiTi" w:eastAsia="KaiTi" w:hAnsi="KaiTi"/>
          <w:iCs/>
          <w:szCs w:val="21"/>
        </w:rPr>
        <w:t>2011</w:t>
      </w:r>
      <w:r w:rsidRPr="00F74B78">
        <w:rPr>
          <w:rFonts w:ascii="KaiTi" w:eastAsia="KaiTi" w:hAnsi="KaiTi" w:hint="eastAsia"/>
          <w:iCs/>
          <w:szCs w:val="21"/>
        </w:rPr>
        <w:t>年</w:t>
      </w:r>
      <w:r w:rsidRPr="00F74B78">
        <w:rPr>
          <w:rFonts w:ascii="KaiTi" w:eastAsia="KaiTi" w:hAnsi="KaiTi"/>
          <w:iCs/>
          <w:szCs w:val="21"/>
        </w:rPr>
        <w:t>10</w:t>
      </w:r>
      <w:r w:rsidRPr="00F74B78">
        <w:rPr>
          <w:rFonts w:ascii="KaiTi" w:eastAsia="KaiTi" w:hAnsi="KaiTi" w:hint="eastAsia"/>
          <w:iCs/>
          <w:szCs w:val="21"/>
        </w:rPr>
        <w:t>月举行的产权组织大会第四十届会议的要求（见文件</w:t>
      </w:r>
      <w:r w:rsidRPr="00F74B78">
        <w:rPr>
          <w:rFonts w:ascii="KaiTi" w:eastAsia="KaiTi" w:hAnsi="KaiTi"/>
          <w:iCs/>
          <w:szCs w:val="21"/>
        </w:rPr>
        <w:t>WO/GA/40/19</w:t>
      </w:r>
      <w:r w:rsidRPr="00F74B78">
        <w:rPr>
          <w:rFonts w:ascii="KaiTi" w:eastAsia="KaiTi" w:hAnsi="KaiTi" w:hint="eastAsia"/>
          <w:iCs/>
          <w:szCs w:val="21"/>
        </w:rPr>
        <w:t>第</w:t>
      </w:r>
      <w:r w:rsidRPr="00F74B78">
        <w:rPr>
          <w:rFonts w:ascii="KaiTi" w:eastAsia="KaiTi" w:hAnsi="KaiTi"/>
          <w:iCs/>
          <w:szCs w:val="21"/>
        </w:rPr>
        <w:t>190</w:t>
      </w:r>
      <w:r w:rsidRPr="00F74B78">
        <w:rPr>
          <w:rFonts w:ascii="KaiTi" w:eastAsia="KaiTi" w:hAnsi="KaiTi" w:hint="eastAsia"/>
          <w:iCs/>
          <w:szCs w:val="21"/>
        </w:rPr>
        <w:t>段），本文件将成为提交给</w:t>
      </w:r>
      <w:r w:rsidRPr="00F74B78">
        <w:rPr>
          <w:rFonts w:ascii="KaiTi" w:eastAsia="KaiTi" w:hAnsi="KaiTi"/>
          <w:iCs/>
          <w:szCs w:val="21"/>
        </w:rPr>
        <w:t>202</w:t>
      </w:r>
      <w:r w:rsidR="00715B27" w:rsidRPr="00F74B78">
        <w:rPr>
          <w:rFonts w:ascii="KaiTi" w:eastAsia="KaiTi" w:hAnsi="KaiTi" w:hint="eastAsia"/>
          <w:iCs/>
          <w:szCs w:val="21"/>
        </w:rPr>
        <w:t>5</w:t>
      </w:r>
      <w:r w:rsidRPr="00F74B78">
        <w:rPr>
          <w:rFonts w:ascii="KaiTi" w:eastAsia="KaiTi" w:hAnsi="KaiTi" w:hint="eastAsia"/>
          <w:iCs/>
          <w:szCs w:val="21"/>
        </w:rPr>
        <w:t>年产权组织大会的相关报告的基础。</w:t>
      </w:r>
    </w:p>
    <w:p w14:paraId="744E3348" w14:textId="63D456A5" w:rsidR="002326AB" w:rsidRPr="00F74B78" w:rsidRDefault="003209AA" w:rsidP="004C5CC6">
      <w:pPr>
        <w:pStyle w:val="Endofdocument"/>
        <w:spacing w:before="720" w:afterLines="50" w:after="120" w:line="340" w:lineRule="atLeast"/>
        <w:rPr>
          <w:rFonts w:ascii="SimSun" w:hAnsi="SimSun"/>
        </w:rPr>
      </w:pPr>
      <w:r w:rsidRPr="00F74B78">
        <w:rPr>
          <w:rFonts w:ascii="KaiTi" w:eastAsia="KaiTi" w:hAnsi="KaiTi" w:hint="eastAsia"/>
          <w:iCs/>
          <w:szCs w:val="21"/>
        </w:rPr>
        <w:t>[文件完]</w:t>
      </w:r>
    </w:p>
    <w:sectPr w:rsidR="002326AB" w:rsidRPr="00F74B78" w:rsidSect="00AD6A9B">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8B990" w14:textId="77777777" w:rsidR="008A15AB" w:rsidRDefault="008A15AB">
      <w:r>
        <w:separator/>
      </w:r>
    </w:p>
  </w:endnote>
  <w:endnote w:type="continuationSeparator" w:id="0">
    <w:p w14:paraId="31A07F5D" w14:textId="77777777" w:rsidR="008A15AB" w:rsidRDefault="008A15AB" w:rsidP="003B38C1">
      <w:r>
        <w:separator/>
      </w:r>
    </w:p>
    <w:p w14:paraId="7542D34C" w14:textId="77777777" w:rsidR="008A15AB" w:rsidRPr="003B38C1" w:rsidRDefault="008A15AB" w:rsidP="003B38C1">
      <w:pPr>
        <w:spacing w:after="60"/>
        <w:rPr>
          <w:sz w:val="17"/>
        </w:rPr>
      </w:pPr>
      <w:r>
        <w:rPr>
          <w:sz w:val="17"/>
        </w:rPr>
        <w:t>[Endnote continued from previous page]</w:t>
      </w:r>
    </w:p>
  </w:endnote>
  <w:endnote w:type="continuationNotice" w:id="1">
    <w:p w14:paraId="627AA774" w14:textId="77777777" w:rsidR="008A15AB" w:rsidRPr="003B38C1" w:rsidRDefault="008A15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F1723" w14:textId="77777777" w:rsidR="008A15AB" w:rsidRDefault="008A15AB">
      <w:r>
        <w:separator/>
      </w:r>
    </w:p>
  </w:footnote>
  <w:footnote w:type="continuationSeparator" w:id="0">
    <w:p w14:paraId="272DE975" w14:textId="77777777" w:rsidR="008A15AB" w:rsidRDefault="008A15AB" w:rsidP="008B60B2">
      <w:r>
        <w:separator/>
      </w:r>
    </w:p>
    <w:p w14:paraId="2761FF41" w14:textId="77777777" w:rsidR="008A15AB" w:rsidRPr="00ED77FB" w:rsidRDefault="008A15AB" w:rsidP="008B60B2">
      <w:pPr>
        <w:spacing w:after="60"/>
        <w:rPr>
          <w:sz w:val="17"/>
          <w:szCs w:val="17"/>
        </w:rPr>
      </w:pPr>
      <w:r w:rsidRPr="00ED77FB">
        <w:rPr>
          <w:sz w:val="17"/>
          <w:szCs w:val="17"/>
        </w:rPr>
        <w:t>[Footnote continued from previous page]</w:t>
      </w:r>
    </w:p>
  </w:footnote>
  <w:footnote w:type="continuationNotice" w:id="1">
    <w:p w14:paraId="4E2B9CC7" w14:textId="77777777" w:rsidR="008A15AB" w:rsidRPr="00ED77FB" w:rsidRDefault="008A15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28E0" w14:textId="3E6DD159" w:rsidR="00D07C78" w:rsidRPr="00F74B78" w:rsidRDefault="009E2E0C" w:rsidP="00477D6B">
    <w:pPr>
      <w:jc w:val="right"/>
      <w:rPr>
        <w:rFonts w:ascii="SimSun" w:hAnsi="SimSun"/>
        <w:caps/>
      </w:rPr>
    </w:pPr>
    <w:bookmarkStart w:id="6" w:name="Code2"/>
    <w:bookmarkEnd w:id="6"/>
    <w:r w:rsidRPr="00F74B78">
      <w:rPr>
        <w:rFonts w:ascii="SimSun" w:hAnsi="SimSun"/>
        <w:caps/>
      </w:rPr>
      <w:t>C</w:t>
    </w:r>
    <w:r w:rsidR="003644D9" w:rsidRPr="00F74B78">
      <w:rPr>
        <w:rFonts w:ascii="SimSun" w:hAnsi="SimSun"/>
        <w:caps/>
      </w:rPr>
      <w:t>WS/</w:t>
    </w:r>
    <w:r w:rsidR="0038392C" w:rsidRPr="00F74B78">
      <w:rPr>
        <w:rFonts w:ascii="SimSun" w:hAnsi="SimSun"/>
        <w:caps/>
      </w:rPr>
      <w:t>1</w:t>
    </w:r>
    <w:r w:rsidR="00854815" w:rsidRPr="00F74B78">
      <w:rPr>
        <w:rFonts w:ascii="SimSun" w:hAnsi="SimSun" w:hint="eastAsia"/>
        <w:caps/>
      </w:rPr>
      <w:t>2</w:t>
    </w:r>
    <w:r w:rsidR="003644D9" w:rsidRPr="00F74B78">
      <w:rPr>
        <w:rFonts w:ascii="SimSun" w:hAnsi="SimSun"/>
        <w:caps/>
      </w:rPr>
      <w:t>/</w:t>
    </w:r>
    <w:r w:rsidR="00854815" w:rsidRPr="00F74B78">
      <w:rPr>
        <w:rFonts w:ascii="SimSun" w:hAnsi="SimSun" w:hint="eastAsia"/>
        <w:caps/>
      </w:rPr>
      <w:t>25</w:t>
    </w:r>
  </w:p>
  <w:p w14:paraId="64271CD5" w14:textId="42BA1CBA" w:rsidR="00D07C78" w:rsidRPr="00F74B78" w:rsidRDefault="00AD6A9B" w:rsidP="00AD6A9B">
    <w:pPr>
      <w:spacing w:afterLines="100" w:after="240"/>
      <w:jc w:val="right"/>
      <w:rPr>
        <w:rFonts w:ascii="SimSun" w:hAnsi="SimSun"/>
      </w:rPr>
    </w:pPr>
    <w:r w:rsidRPr="00F74B78">
      <w:rPr>
        <w:rFonts w:ascii="SimSun" w:hAnsi="SimSun" w:hint="eastAsia"/>
      </w:rPr>
      <w:t>第</w:t>
    </w:r>
    <w:r w:rsidR="00D07C78" w:rsidRPr="00F74B78">
      <w:rPr>
        <w:rFonts w:ascii="SimSun" w:hAnsi="SimSun"/>
      </w:rPr>
      <w:fldChar w:fldCharType="begin"/>
    </w:r>
    <w:r w:rsidR="00D07C78" w:rsidRPr="00F74B78">
      <w:rPr>
        <w:rFonts w:ascii="SimSun" w:hAnsi="SimSun"/>
      </w:rPr>
      <w:instrText xml:space="preserve"> PAGE  \* MERGEFORMAT </w:instrText>
    </w:r>
    <w:r w:rsidR="00D07C78" w:rsidRPr="00F74B78">
      <w:rPr>
        <w:rFonts w:ascii="SimSun" w:hAnsi="SimSun"/>
      </w:rPr>
      <w:fldChar w:fldCharType="separate"/>
    </w:r>
    <w:r w:rsidR="00E67632" w:rsidRPr="00F74B78">
      <w:rPr>
        <w:rFonts w:ascii="SimSun" w:hAnsi="SimSun"/>
        <w:noProof/>
      </w:rPr>
      <w:t>2</w:t>
    </w:r>
    <w:r w:rsidR="00D07C78" w:rsidRPr="00F74B78">
      <w:rPr>
        <w:rFonts w:ascii="SimSun" w:hAnsi="SimSun"/>
      </w:rPr>
      <w:fldChar w:fldCharType="end"/>
    </w:r>
    <w:r w:rsidRPr="00F74B78">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56495"/>
    <w:multiLevelType w:val="hybridMultilevel"/>
    <w:tmpl w:val="4BEC0EFC"/>
    <w:lvl w:ilvl="0" w:tplc="0409000F">
      <w:start w:val="1"/>
      <w:numFmt w:val="decimal"/>
      <w:lvlText w:val="%1."/>
      <w:lvlJc w:val="left"/>
      <w:pPr>
        <w:ind w:left="570" w:hanging="57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7E2DB3"/>
    <w:multiLevelType w:val="hybridMultilevel"/>
    <w:tmpl w:val="B07297E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62372270">
    <w:abstractNumId w:val="2"/>
  </w:num>
  <w:num w:numId="2" w16cid:durableId="1486706783">
    <w:abstractNumId w:val="6"/>
  </w:num>
  <w:num w:numId="3" w16cid:durableId="1637485562">
    <w:abstractNumId w:val="0"/>
  </w:num>
  <w:num w:numId="4" w16cid:durableId="277026938">
    <w:abstractNumId w:val="7"/>
  </w:num>
  <w:num w:numId="5" w16cid:durableId="347828112">
    <w:abstractNumId w:val="1"/>
  </w:num>
  <w:num w:numId="6" w16cid:durableId="603269569">
    <w:abstractNumId w:val="3"/>
  </w:num>
  <w:num w:numId="7" w16cid:durableId="62142828">
    <w:abstractNumId w:val="5"/>
  </w:num>
  <w:num w:numId="8" w16cid:durableId="1553538912">
    <w:abstractNumId w:val="8"/>
  </w:num>
  <w:num w:numId="9" w16cid:durableId="1762094303">
    <w:abstractNumId w:val="4"/>
  </w:num>
  <w:num w:numId="10" w16cid:durableId="592858169">
    <w:abstractNumId w:val="1"/>
  </w:num>
  <w:num w:numId="11" w16cid:durableId="1028485974">
    <w:abstractNumId w:val="1"/>
  </w:num>
  <w:num w:numId="12" w16cid:durableId="233004775">
    <w:abstractNumId w:val="1"/>
  </w:num>
  <w:num w:numId="13" w16cid:durableId="1564756130">
    <w:abstractNumId w:val="1"/>
  </w:num>
  <w:num w:numId="14" w16cid:durableId="1581870520">
    <w:abstractNumId w:val="1"/>
  </w:num>
  <w:num w:numId="15" w16cid:durableId="330136754">
    <w:abstractNumId w:val="1"/>
  </w:num>
  <w:num w:numId="16" w16cid:durableId="1529417334">
    <w:abstractNumId w:val="1"/>
  </w:num>
  <w:num w:numId="17" w16cid:durableId="818378400">
    <w:abstractNumId w:val="1"/>
  </w:num>
  <w:num w:numId="18" w16cid:durableId="1568802138">
    <w:abstractNumId w:val="1"/>
  </w:num>
  <w:num w:numId="19" w16cid:durableId="676999320">
    <w:abstractNumId w:val="1"/>
  </w:num>
  <w:num w:numId="20" w16cid:durableId="640237271">
    <w:abstractNumId w:val="1"/>
  </w:num>
  <w:num w:numId="21" w16cid:durableId="577904399">
    <w:abstractNumId w:val="1"/>
  </w:num>
  <w:num w:numId="22" w16cid:durableId="853347764">
    <w:abstractNumId w:val="1"/>
  </w:num>
  <w:num w:numId="23" w16cid:durableId="1754013091">
    <w:abstractNumId w:val="1"/>
  </w:num>
  <w:num w:numId="24" w16cid:durableId="1024787630">
    <w:abstractNumId w:val="1"/>
  </w:num>
  <w:num w:numId="25" w16cid:durableId="938637458">
    <w:abstractNumId w:val="1"/>
  </w:num>
  <w:num w:numId="26" w16cid:durableId="1995332636">
    <w:abstractNumId w:val="1"/>
  </w:num>
  <w:num w:numId="27" w16cid:durableId="1010059110">
    <w:abstractNumId w:val="1"/>
  </w:num>
  <w:num w:numId="28" w16cid:durableId="1453476403">
    <w:abstractNumId w:val="1"/>
  </w:num>
  <w:num w:numId="29" w16cid:durableId="2042506906">
    <w:abstractNumId w:val="1"/>
  </w:num>
  <w:num w:numId="30" w16cid:durableId="1406607318">
    <w:abstractNumId w:val="1"/>
  </w:num>
  <w:num w:numId="31" w16cid:durableId="1883054686">
    <w:abstractNumId w:val="1"/>
  </w:num>
  <w:num w:numId="32" w16cid:durableId="1358971257">
    <w:abstractNumId w:val="1"/>
  </w:num>
  <w:num w:numId="33" w16cid:durableId="1791581689">
    <w:abstractNumId w:val="1"/>
  </w:num>
  <w:num w:numId="34" w16cid:durableId="1245411767">
    <w:abstractNumId w:val="1"/>
  </w:num>
  <w:num w:numId="35" w16cid:durableId="1854954140">
    <w:abstractNumId w:val="1"/>
  </w:num>
  <w:num w:numId="36" w16cid:durableId="774977791">
    <w:abstractNumId w:val="1"/>
  </w:num>
  <w:num w:numId="37" w16cid:durableId="96554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32F40"/>
    <w:rsid w:val="00035E70"/>
    <w:rsid w:val="00043CAA"/>
    <w:rsid w:val="00056816"/>
    <w:rsid w:val="000608C4"/>
    <w:rsid w:val="00075432"/>
    <w:rsid w:val="000968ED"/>
    <w:rsid w:val="000A3D97"/>
    <w:rsid w:val="000B2A50"/>
    <w:rsid w:val="000B7FFC"/>
    <w:rsid w:val="000D578B"/>
    <w:rsid w:val="000E1E9A"/>
    <w:rsid w:val="000F0A41"/>
    <w:rsid w:val="000F0F8C"/>
    <w:rsid w:val="000F244E"/>
    <w:rsid w:val="000F3059"/>
    <w:rsid w:val="000F5E56"/>
    <w:rsid w:val="00113356"/>
    <w:rsid w:val="00120801"/>
    <w:rsid w:val="001362EE"/>
    <w:rsid w:val="0013710C"/>
    <w:rsid w:val="001479FD"/>
    <w:rsid w:val="001647D5"/>
    <w:rsid w:val="0017521B"/>
    <w:rsid w:val="001832A6"/>
    <w:rsid w:val="001A3DDE"/>
    <w:rsid w:val="001B466E"/>
    <w:rsid w:val="001B6C50"/>
    <w:rsid w:val="001C624A"/>
    <w:rsid w:val="001D0D80"/>
    <w:rsid w:val="001D4107"/>
    <w:rsid w:val="001F1CA8"/>
    <w:rsid w:val="001F1F8F"/>
    <w:rsid w:val="00203D24"/>
    <w:rsid w:val="00205EB3"/>
    <w:rsid w:val="0021217E"/>
    <w:rsid w:val="00213A11"/>
    <w:rsid w:val="002326AB"/>
    <w:rsid w:val="002335EB"/>
    <w:rsid w:val="002357D0"/>
    <w:rsid w:val="00243430"/>
    <w:rsid w:val="00244938"/>
    <w:rsid w:val="00260EB1"/>
    <w:rsid w:val="00262FB5"/>
    <w:rsid w:val="002634C4"/>
    <w:rsid w:val="00271CC0"/>
    <w:rsid w:val="00274798"/>
    <w:rsid w:val="002928D3"/>
    <w:rsid w:val="00294595"/>
    <w:rsid w:val="002B24A5"/>
    <w:rsid w:val="002B639B"/>
    <w:rsid w:val="002C5DAC"/>
    <w:rsid w:val="002D3C73"/>
    <w:rsid w:val="002F1FE6"/>
    <w:rsid w:val="002F4E68"/>
    <w:rsid w:val="00304ABA"/>
    <w:rsid w:val="00312F7F"/>
    <w:rsid w:val="003209AA"/>
    <w:rsid w:val="00321ADD"/>
    <w:rsid w:val="00325C27"/>
    <w:rsid w:val="00340FFB"/>
    <w:rsid w:val="00361450"/>
    <w:rsid w:val="003644D9"/>
    <w:rsid w:val="003673CF"/>
    <w:rsid w:val="0038392C"/>
    <w:rsid w:val="003845C1"/>
    <w:rsid w:val="00387EA1"/>
    <w:rsid w:val="003A6F89"/>
    <w:rsid w:val="003B38C1"/>
    <w:rsid w:val="003B4560"/>
    <w:rsid w:val="003C34E9"/>
    <w:rsid w:val="003D0243"/>
    <w:rsid w:val="003D25B1"/>
    <w:rsid w:val="003E60EC"/>
    <w:rsid w:val="00423E3E"/>
    <w:rsid w:val="00427AF4"/>
    <w:rsid w:val="00455BE8"/>
    <w:rsid w:val="00460D79"/>
    <w:rsid w:val="004647DA"/>
    <w:rsid w:val="00474062"/>
    <w:rsid w:val="00474ACF"/>
    <w:rsid w:val="00477D6B"/>
    <w:rsid w:val="004809FB"/>
    <w:rsid w:val="004A4403"/>
    <w:rsid w:val="004A75E6"/>
    <w:rsid w:val="004C5CC6"/>
    <w:rsid w:val="004E0BCA"/>
    <w:rsid w:val="004F6B76"/>
    <w:rsid w:val="005019FF"/>
    <w:rsid w:val="00514BA1"/>
    <w:rsid w:val="0053057A"/>
    <w:rsid w:val="0053454F"/>
    <w:rsid w:val="00546067"/>
    <w:rsid w:val="00556076"/>
    <w:rsid w:val="00560A29"/>
    <w:rsid w:val="005A1DB6"/>
    <w:rsid w:val="005A546F"/>
    <w:rsid w:val="005A5CCC"/>
    <w:rsid w:val="005A6204"/>
    <w:rsid w:val="005B01EE"/>
    <w:rsid w:val="005B485C"/>
    <w:rsid w:val="005C40FF"/>
    <w:rsid w:val="005C4F21"/>
    <w:rsid w:val="005C6649"/>
    <w:rsid w:val="005F01A6"/>
    <w:rsid w:val="00605827"/>
    <w:rsid w:val="006163CD"/>
    <w:rsid w:val="006364E2"/>
    <w:rsid w:val="00644561"/>
    <w:rsid w:val="00646050"/>
    <w:rsid w:val="006561F6"/>
    <w:rsid w:val="00670A14"/>
    <w:rsid w:val="0067129B"/>
    <w:rsid w:val="006713CA"/>
    <w:rsid w:val="00673A5C"/>
    <w:rsid w:val="00676C5C"/>
    <w:rsid w:val="006A4CC8"/>
    <w:rsid w:val="006C05CA"/>
    <w:rsid w:val="006D7ABA"/>
    <w:rsid w:val="006E2A3A"/>
    <w:rsid w:val="0070155F"/>
    <w:rsid w:val="00701A6C"/>
    <w:rsid w:val="00715B27"/>
    <w:rsid w:val="00717CE5"/>
    <w:rsid w:val="00720EFD"/>
    <w:rsid w:val="0075777E"/>
    <w:rsid w:val="00781810"/>
    <w:rsid w:val="00783AF2"/>
    <w:rsid w:val="007854AF"/>
    <w:rsid w:val="00793A7C"/>
    <w:rsid w:val="007A398A"/>
    <w:rsid w:val="007A3DFF"/>
    <w:rsid w:val="007B3E48"/>
    <w:rsid w:val="007C1285"/>
    <w:rsid w:val="007D1613"/>
    <w:rsid w:val="007D65E2"/>
    <w:rsid w:val="007E4C0E"/>
    <w:rsid w:val="0084056C"/>
    <w:rsid w:val="00846CF6"/>
    <w:rsid w:val="0085259E"/>
    <w:rsid w:val="00854815"/>
    <w:rsid w:val="00883D04"/>
    <w:rsid w:val="008A134B"/>
    <w:rsid w:val="008A15AB"/>
    <w:rsid w:val="008A502A"/>
    <w:rsid w:val="008B2CC1"/>
    <w:rsid w:val="008B60B2"/>
    <w:rsid w:val="008E19EE"/>
    <w:rsid w:val="008F3604"/>
    <w:rsid w:val="008F7185"/>
    <w:rsid w:val="0090731E"/>
    <w:rsid w:val="00913CD5"/>
    <w:rsid w:val="009144CB"/>
    <w:rsid w:val="00916EE2"/>
    <w:rsid w:val="00917D9D"/>
    <w:rsid w:val="009353F8"/>
    <w:rsid w:val="0094644A"/>
    <w:rsid w:val="00960E8C"/>
    <w:rsid w:val="009630F1"/>
    <w:rsid w:val="00966A22"/>
    <w:rsid w:val="0096722F"/>
    <w:rsid w:val="00980843"/>
    <w:rsid w:val="009A0F4B"/>
    <w:rsid w:val="009A5059"/>
    <w:rsid w:val="009A5667"/>
    <w:rsid w:val="009A67CE"/>
    <w:rsid w:val="009A7AE8"/>
    <w:rsid w:val="009C5EC0"/>
    <w:rsid w:val="009D2F05"/>
    <w:rsid w:val="009E2791"/>
    <w:rsid w:val="009E2A28"/>
    <w:rsid w:val="009E2E0C"/>
    <w:rsid w:val="009E3F6F"/>
    <w:rsid w:val="009F10DB"/>
    <w:rsid w:val="009F499F"/>
    <w:rsid w:val="00A03EFD"/>
    <w:rsid w:val="00A0415D"/>
    <w:rsid w:val="00A16EE4"/>
    <w:rsid w:val="00A32F38"/>
    <w:rsid w:val="00A37342"/>
    <w:rsid w:val="00A42DAF"/>
    <w:rsid w:val="00A45BD8"/>
    <w:rsid w:val="00A46249"/>
    <w:rsid w:val="00A47D8F"/>
    <w:rsid w:val="00A5281D"/>
    <w:rsid w:val="00A54458"/>
    <w:rsid w:val="00A67379"/>
    <w:rsid w:val="00A721F8"/>
    <w:rsid w:val="00A764CA"/>
    <w:rsid w:val="00A869B7"/>
    <w:rsid w:val="00A90F0A"/>
    <w:rsid w:val="00A92AC6"/>
    <w:rsid w:val="00AB7BA8"/>
    <w:rsid w:val="00AC018D"/>
    <w:rsid w:val="00AC205C"/>
    <w:rsid w:val="00AC6A58"/>
    <w:rsid w:val="00AD23C2"/>
    <w:rsid w:val="00AD5E74"/>
    <w:rsid w:val="00AD6A9B"/>
    <w:rsid w:val="00AF0A6B"/>
    <w:rsid w:val="00B02297"/>
    <w:rsid w:val="00B05A69"/>
    <w:rsid w:val="00B20EA9"/>
    <w:rsid w:val="00B22C3F"/>
    <w:rsid w:val="00B355B6"/>
    <w:rsid w:val="00B4060F"/>
    <w:rsid w:val="00B5023B"/>
    <w:rsid w:val="00B61BCC"/>
    <w:rsid w:val="00B64673"/>
    <w:rsid w:val="00B701B4"/>
    <w:rsid w:val="00B71621"/>
    <w:rsid w:val="00B75281"/>
    <w:rsid w:val="00B83E01"/>
    <w:rsid w:val="00B87FB6"/>
    <w:rsid w:val="00B92F1F"/>
    <w:rsid w:val="00B962E9"/>
    <w:rsid w:val="00B9734B"/>
    <w:rsid w:val="00BA30E2"/>
    <w:rsid w:val="00BB130D"/>
    <w:rsid w:val="00BE648C"/>
    <w:rsid w:val="00BE6983"/>
    <w:rsid w:val="00BF0839"/>
    <w:rsid w:val="00C11BFE"/>
    <w:rsid w:val="00C20DB1"/>
    <w:rsid w:val="00C251C4"/>
    <w:rsid w:val="00C5068F"/>
    <w:rsid w:val="00C6473F"/>
    <w:rsid w:val="00C725CD"/>
    <w:rsid w:val="00C86D74"/>
    <w:rsid w:val="00CB55B6"/>
    <w:rsid w:val="00CD04F1"/>
    <w:rsid w:val="00CD27F9"/>
    <w:rsid w:val="00CF3075"/>
    <w:rsid w:val="00CF681A"/>
    <w:rsid w:val="00D05F3B"/>
    <w:rsid w:val="00D07C78"/>
    <w:rsid w:val="00D22B32"/>
    <w:rsid w:val="00D2673A"/>
    <w:rsid w:val="00D27283"/>
    <w:rsid w:val="00D45252"/>
    <w:rsid w:val="00D46546"/>
    <w:rsid w:val="00D47049"/>
    <w:rsid w:val="00D50135"/>
    <w:rsid w:val="00D578B3"/>
    <w:rsid w:val="00D70116"/>
    <w:rsid w:val="00D71B4D"/>
    <w:rsid w:val="00D83B71"/>
    <w:rsid w:val="00D87609"/>
    <w:rsid w:val="00D93D55"/>
    <w:rsid w:val="00D945DF"/>
    <w:rsid w:val="00DB3B5D"/>
    <w:rsid w:val="00DC4191"/>
    <w:rsid w:val="00DD7784"/>
    <w:rsid w:val="00DD7B7F"/>
    <w:rsid w:val="00E0759A"/>
    <w:rsid w:val="00E15015"/>
    <w:rsid w:val="00E30B68"/>
    <w:rsid w:val="00E335FE"/>
    <w:rsid w:val="00E33F98"/>
    <w:rsid w:val="00E34CBF"/>
    <w:rsid w:val="00E45755"/>
    <w:rsid w:val="00E51DBD"/>
    <w:rsid w:val="00E55A68"/>
    <w:rsid w:val="00E67632"/>
    <w:rsid w:val="00EA7D6E"/>
    <w:rsid w:val="00EB2F76"/>
    <w:rsid w:val="00EB3911"/>
    <w:rsid w:val="00EC1454"/>
    <w:rsid w:val="00EC4E49"/>
    <w:rsid w:val="00ED38B6"/>
    <w:rsid w:val="00ED77FB"/>
    <w:rsid w:val="00ED7BAE"/>
    <w:rsid w:val="00EE45FA"/>
    <w:rsid w:val="00EE61F6"/>
    <w:rsid w:val="00EF3061"/>
    <w:rsid w:val="00EF3F25"/>
    <w:rsid w:val="00F00458"/>
    <w:rsid w:val="00F021D3"/>
    <w:rsid w:val="00F02254"/>
    <w:rsid w:val="00F043DE"/>
    <w:rsid w:val="00F13982"/>
    <w:rsid w:val="00F34105"/>
    <w:rsid w:val="00F52014"/>
    <w:rsid w:val="00F61738"/>
    <w:rsid w:val="00F66152"/>
    <w:rsid w:val="00F74B78"/>
    <w:rsid w:val="00F81DBC"/>
    <w:rsid w:val="00F9165B"/>
    <w:rsid w:val="00FA0C32"/>
    <w:rsid w:val="00FA3D75"/>
    <w:rsid w:val="00FC482F"/>
    <w:rsid w:val="00FC4E77"/>
    <w:rsid w:val="00FF0065"/>
    <w:rsid w:val="00FF1BFD"/>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 w:type="paragraph" w:styleId="Revision">
    <w:name w:val="Revision"/>
    <w:hidden/>
    <w:uiPriority w:val="99"/>
    <w:semiHidden/>
    <w:rsid w:val="00D945DF"/>
    <w:rPr>
      <w:rFonts w:ascii="Arial" w:hAnsi="Arial" w:cs="Arial"/>
      <w:sz w:val="22"/>
      <w:lang w:val="en-US"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38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global_ip/zh/activities/ip_&#8204;office_business_solu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ta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8" ma:contentTypeDescription="Create a new document." ma:contentTypeScope="" ma:versionID="4038624aeb954f1637307572c9697c58">
  <xsd:schema xmlns:xsd="http://www.w3.org/2001/XMLSchema" xmlns:xs="http://www.w3.org/2001/XMLSchema" xmlns:p="http://schemas.microsoft.com/office/2006/metadata/properties" xmlns:ns2="45dc5a50-07a2-4cb9-bbf7-a320b1acc4d8" targetNamespace="http://schemas.microsoft.com/office/2006/metadata/properties" ma:root="true" ma:fieldsID="640fe3d44376c3eeaabead61cbc0f099" ns2:_="">
    <xsd:import namespace="45dc5a50-07a2-4cb9-bbf7-a320b1acc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c5a50-07a2-4cb9-bbf7-a320b1ac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AE16-18A7-43D6-B070-877F26DB338C}">
  <ds:schemaRefs>
    <ds:schemaRef ds:uri="http://schemas.microsoft.com/sharepoint/v3/contenttype/forms"/>
  </ds:schemaRefs>
</ds:datastoreItem>
</file>

<file path=customXml/itemProps2.xml><?xml version="1.0" encoding="utf-8"?>
<ds:datastoreItem xmlns:ds="http://schemas.openxmlformats.org/officeDocument/2006/customXml" ds:itemID="{CFCBF144-D934-4A1F-AAFC-C95E0F26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c5a50-07a2-4cb9-bbf7-a320b1ac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3314</TotalTime>
  <Pages>3</Pages>
  <Words>2196</Words>
  <Characters>507</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CWS/12/25</vt:lpstr>
    </vt:vector>
  </TitlesOfParts>
  <Company>WIPO</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CWS/12/25</dc:title>
  <dc:subject>国际局关于根据标准委员会任务规定向工业产权局提供技术咨询和援助开展能力建设的报告</dc:subject>
  <dc:creator>WIPO</dc:creator>
  <cp:keywords>产权组织标准委员会（标准委）第十二届会议</cp:keywords>
  <dc:description/>
  <cp:lastModifiedBy>BLANCHET Gaspard</cp:lastModifiedBy>
  <cp:revision>51</cp:revision>
  <cp:lastPrinted>2023-10-13T08:30:00Z</cp:lastPrinted>
  <dcterms:created xsi:type="dcterms:W3CDTF">2023-10-20T06:33:00Z</dcterms:created>
  <dcterms:modified xsi:type="dcterms:W3CDTF">2024-08-19T16:21:00Z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ies>
</file>