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D00BB0">
      <w:pPr>
        <w:pStyle w:val="Heading1-notTOC"/>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0CE7BB77" w14:textId="7D2873DD" w:rsidR="00F857BE" w:rsidRPr="000E176E" w:rsidRDefault="00914F0C" w:rsidP="000E176E">
      <w:pPr>
        <w:pStyle w:val="StandardTitle"/>
      </w:pPr>
      <w:r w:rsidRPr="000E176E">
        <w:rPr>
          <w:lang w:val="en-US"/>
        </w:rPr>
        <w:t>GUIDELINES FOR</w:t>
      </w:r>
      <w:r w:rsidR="00F857BE" w:rsidRPr="000E176E">
        <w:rPr>
          <w:lang w:val="en-US"/>
        </w:rPr>
        <w:t xml:space="preserve"> </w:t>
      </w:r>
      <w:r w:rsidRPr="000E176E">
        <w:rPr>
          <w:lang w:val="en-US"/>
        </w:rPr>
        <w:t xml:space="preserve">THE </w:t>
      </w:r>
      <w:r w:rsidR="00F857BE" w:rsidRPr="000E176E">
        <w:rPr>
          <w:lang w:val="en-US"/>
        </w:rPr>
        <w:t xml:space="preserve">DATA CLEANING </w:t>
      </w:r>
      <w:r w:rsidRPr="000E176E">
        <w:rPr>
          <w:lang w:val="en-US"/>
        </w:rPr>
        <w:t>OF</w:t>
      </w:r>
      <w:r w:rsidR="00F857BE" w:rsidRPr="000E176E">
        <w:rPr>
          <w:lang w:val="en-US"/>
        </w:rPr>
        <w:t xml:space="preserve"> NAMES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254B6F0D" w14:textId="1B763F59" w:rsidR="00836490" w:rsidRPr="00765953" w:rsidRDefault="00914F0C" w:rsidP="00836490">
      <w:pPr>
        <w:spacing w:line="240" w:lineRule="auto"/>
        <w:jc w:val="center"/>
        <w:rPr>
          <w:i/>
          <w:iCs/>
          <w:sz w:val="17"/>
          <w:szCs w:val="17"/>
          <w:lang w:eastAsia="en-US"/>
        </w:rPr>
      </w:pPr>
      <w:r w:rsidRPr="00765953">
        <w:rPr>
          <w:i/>
          <w:iCs/>
          <w:sz w:val="17"/>
          <w:szCs w:val="17"/>
          <w:lang w:eastAsia="en-US"/>
        </w:rPr>
        <w:t xml:space="preserve">Proposal presented for approval </w:t>
      </w:r>
      <w:r w:rsidR="00836490" w:rsidRPr="00765953">
        <w:rPr>
          <w:i/>
          <w:iCs/>
          <w:sz w:val="17"/>
          <w:szCs w:val="17"/>
          <w:lang w:eastAsia="en-US"/>
        </w:rPr>
        <w:t>by the Committee on WIPO Standards</w:t>
      </w:r>
      <w:r w:rsidR="00614FC5" w:rsidRPr="00765953">
        <w:rPr>
          <w:i/>
          <w:iCs/>
          <w:sz w:val="17"/>
          <w:szCs w:val="17"/>
          <w:lang w:eastAsia="en-US"/>
        </w:rPr>
        <w:t xml:space="preserve"> (CWS)</w:t>
      </w:r>
      <w:r w:rsidR="00836490" w:rsidRPr="00765953">
        <w:rPr>
          <w:i/>
          <w:iCs/>
          <w:sz w:val="17"/>
          <w:szCs w:val="17"/>
          <w:lang w:eastAsia="en-US"/>
        </w:rPr>
        <w:t xml:space="preserve"> </w:t>
      </w:r>
    </w:p>
    <w:p w14:paraId="63F6B663" w14:textId="1C5B178C" w:rsidR="00836490" w:rsidRPr="00765953" w:rsidRDefault="00836490" w:rsidP="00836490">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6DA324D5" w14:textId="0961111D" w:rsidR="009E4454" w:rsidRPr="00765953" w:rsidRDefault="009E4454" w:rsidP="00836490">
      <w:pPr>
        <w:spacing w:line="240" w:lineRule="auto"/>
        <w:jc w:val="center"/>
        <w:rPr>
          <w:i/>
          <w:iCs/>
          <w:sz w:val="17"/>
          <w:szCs w:val="17"/>
          <w:lang w:eastAsia="en-US"/>
        </w:rPr>
      </w:pP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rPr>
      </w:sdtEndPr>
      <w:sdtContent>
        <w:p w14:paraId="4DCAD8C7" w14:textId="72034C1C" w:rsidR="00EB4FDF" w:rsidRDefault="00AB125A">
          <w:pPr>
            <w:pStyle w:val="TOC1"/>
            <w:rPr>
              <w:rFonts w:asciiTheme="minorHAnsi" w:eastAsiaTheme="minorEastAsia" w:hAnsiTheme="minorHAnsi" w:cstheme="minorBidi"/>
              <w:noProof/>
              <w:sz w:val="22"/>
              <w:szCs w:val="22"/>
              <w:lang w:eastAsia="en-US"/>
            </w:rPr>
          </w:pPr>
          <w:r w:rsidRPr="000E176E">
            <w:rPr>
              <w:b/>
              <w:bCs/>
              <w:noProof/>
              <w:sz w:val="17"/>
              <w:szCs w:val="17"/>
            </w:rPr>
            <w:fldChar w:fldCharType="begin"/>
          </w:r>
          <w:r w:rsidRPr="000E176E">
            <w:rPr>
              <w:b/>
              <w:bCs/>
              <w:noProof/>
              <w:sz w:val="17"/>
              <w:szCs w:val="17"/>
            </w:rPr>
            <w:instrText xml:space="preserve"> TOC \o "2-4" \h \z \t "Heading 1,1,Title,1" </w:instrText>
          </w:r>
          <w:r w:rsidRPr="000E176E">
            <w:rPr>
              <w:b/>
              <w:bCs/>
              <w:noProof/>
              <w:sz w:val="17"/>
              <w:szCs w:val="17"/>
            </w:rPr>
            <w:fldChar w:fldCharType="separate"/>
          </w:r>
          <w:hyperlink w:anchor="_Toc150155289" w:history="1">
            <w:r w:rsidR="00EB4FDF" w:rsidRPr="006208FE">
              <w:rPr>
                <w:rStyle w:val="Hyperlink"/>
                <w:noProof/>
              </w:rPr>
              <w:t>Introduction</w:t>
            </w:r>
            <w:r w:rsidR="00EB4FDF">
              <w:rPr>
                <w:noProof/>
                <w:webHidden/>
              </w:rPr>
              <w:tab/>
            </w:r>
            <w:r w:rsidR="00EB4FDF">
              <w:rPr>
                <w:noProof/>
                <w:webHidden/>
              </w:rPr>
              <w:fldChar w:fldCharType="begin"/>
            </w:r>
            <w:r w:rsidR="00EB4FDF">
              <w:rPr>
                <w:noProof/>
                <w:webHidden/>
              </w:rPr>
              <w:instrText xml:space="preserve"> PAGEREF _Toc150155289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9EB2E9E" w14:textId="7E3D3BC9" w:rsidR="00EB4FDF" w:rsidRDefault="00CD4E01">
          <w:pPr>
            <w:pStyle w:val="TOC1"/>
            <w:rPr>
              <w:rFonts w:asciiTheme="minorHAnsi" w:eastAsiaTheme="minorEastAsia" w:hAnsiTheme="minorHAnsi" w:cstheme="minorBidi"/>
              <w:noProof/>
              <w:sz w:val="22"/>
              <w:szCs w:val="22"/>
              <w:lang w:eastAsia="en-US"/>
            </w:rPr>
          </w:pPr>
          <w:hyperlink w:anchor="_Toc150155290" w:history="1">
            <w:r w:rsidR="00EB4FDF" w:rsidRPr="006208FE">
              <w:rPr>
                <w:rStyle w:val="Hyperlink"/>
                <w:noProof/>
              </w:rPr>
              <w:t>DEFINITIONS</w:t>
            </w:r>
            <w:r w:rsidR="00EB4FDF">
              <w:rPr>
                <w:noProof/>
                <w:webHidden/>
              </w:rPr>
              <w:tab/>
            </w:r>
            <w:r w:rsidR="00EB4FDF">
              <w:rPr>
                <w:noProof/>
                <w:webHidden/>
              </w:rPr>
              <w:fldChar w:fldCharType="begin"/>
            </w:r>
            <w:r w:rsidR="00EB4FDF">
              <w:rPr>
                <w:noProof/>
                <w:webHidden/>
              </w:rPr>
              <w:instrText xml:space="preserve"> PAGEREF _Toc150155290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4E686BEB" w14:textId="39D2AC79" w:rsidR="00EB4FDF" w:rsidRDefault="00CD4E01">
          <w:pPr>
            <w:pStyle w:val="TOC1"/>
            <w:rPr>
              <w:rFonts w:asciiTheme="minorHAnsi" w:eastAsiaTheme="minorEastAsia" w:hAnsiTheme="minorHAnsi" w:cstheme="minorBidi"/>
              <w:noProof/>
              <w:sz w:val="22"/>
              <w:szCs w:val="22"/>
              <w:lang w:eastAsia="en-US"/>
            </w:rPr>
          </w:pPr>
          <w:hyperlink w:anchor="_Toc150155291" w:history="1">
            <w:r w:rsidR="00EB4FDF" w:rsidRPr="006208FE">
              <w:rPr>
                <w:rStyle w:val="Hyperlink"/>
                <w:noProof/>
              </w:rPr>
              <w:t>INTAKE</w:t>
            </w:r>
            <w:r w:rsidR="00EB4FDF">
              <w:rPr>
                <w:noProof/>
                <w:webHidden/>
              </w:rPr>
              <w:tab/>
            </w:r>
            <w:r w:rsidR="00EB4FDF">
              <w:rPr>
                <w:noProof/>
                <w:webHidden/>
              </w:rPr>
              <w:fldChar w:fldCharType="begin"/>
            </w:r>
            <w:r w:rsidR="00EB4FDF">
              <w:rPr>
                <w:noProof/>
                <w:webHidden/>
              </w:rPr>
              <w:instrText xml:space="preserve"> PAGEREF _Toc150155291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700EE6A" w14:textId="3E7012DA" w:rsidR="00EB4FDF" w:rsidRDefault="00CD4E01">
          <w:pPr>
            <w:pStyle w:val="TOC1"/>
            <w:rPr>
              <w:rFonts w:asciiTheme="minorHAnsi" w:eastAsiaTheme="minorEastAsia" w:hAnsiTheme="minorHAnsi" w:cstheme="minorBidi"/>
              <w:noProof/>
              <w:sz w:val="22"/>
              <w:szCs w:val="22"/>
              <w:lang w:eastAsia="en-US"/>
            </w:rPr>
          </w:pPr>
          <w:hyperlink w:anchor="_Toc150155292" w:history="1">
            <w:r w:rsidR="00EB4FDF" w:rsidRPr="006208FE">
              <w:rPr>
                <w:rStyle w:val="Hyperlink"/>
                <w:noProof/>
              </w:rPr>
              <w:t>TRANSFORMATION OF NAMES</w:t>
            </w:r>
            <w:r w:rsidR="00EB4FDF">
              <w:rPr>
                <w:noProof/>
                <w:webHidden/>
              </w:rPr>
              <w:tab/>
            </w:r>
            <w:r w:rsidR="00EB4FDF">
              <w:rPr>
                <w:noProof/>
                <w:webHidden/>
              </w:rPr>
              <w:fldChar w:fldCharType="begin"/>
            </w:r>
            <w:r w:rsidR="00EB4FDF">
              <w:rPr>
                <w:noProof/>
                <w:webHidden/>
              </w:rPr>
              <w:instrText xml:space="preserve"> PAGEREF _Toc150155292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19C71C65" w14:textId="333AB908" w:rsidR="00EB4FDF" w:rsidRDefault="00CD4E01">
          <w:pPr>
            <w:pStyle w:val="TOC1"/>
            <w:rPr>
              <w:rFonts w:asciiTheme="minorHAnsi" w:eastAsiaTheme="minorEastAsia" w:hAnsiTheme="minorHAnsi" w:cstheme="minorBidi"/>
              <w:noProof/>
              <w:sz w:val="22"/>
              <w:szCs w:val="22"/>
              <w:lang w:eastAsia="en-US"/>
            </w:rPr>
          </w:pPr>
          <w:hyperlink w:anchor="_Toc150155293" w:history="1">
            <w:r w:rsidR="00EB4FDF" w:rsidRPr="006208FE">
              <w:rPr>
                <w:rStyle w:val="Hyperlink"/>
                <w:noProof/>
              </w:rPr>
              <w:t>VALIDATION AND DISAMBIGUATION</w:t>
            </w:r>
            <w:r w:rsidR="00EB4FDF">
              <w:rPr>
                <w:noProof/>
                <w:webHidden/>
              </w:rPr>
              <w:tab/>
            </w:r>
            <w:r w:rsidR="00EB4FDF">
              <w:rPr>
                <w:noProof/>
                <w:webHidden/>
              </w:rPr>
              <w:fldChar w:fldCharType="begin"/>
            </w:r>
            <w:r w:rsidR="00EB4FDF">
              <w:rPr>
                <w:noProof/>
                <w:webHidden/>
              </w:rPr>
              <w:instrText xml:space="preserve"> PAGEREF _Toc150155293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069917E6" w14:textId="280D90BD" w:rsidR="00EB4FDF" w:rsidRDefault="00CD4E01">
          <w:pPr>
            <w:pStyle w:val="TOC1"/>
            <w:rPr>
              <w:rFonts w:asciiTheme="minorHAnsi" w:eastAsiaTheme="minorEastAsia" w:hAnsiTheme="minorHAnsi" w:cstheme="minorBidi"/>
              <w:noProof/>
              <w:sz w:val="22"/>
              <w:szCs w:val="22"/>
              <w:lang w:eastAsia="en-US"/>
            </w:rPr>
          </w:pPr>
          <w:hyperlink w:anchor="_Toc150155294" w:history="1">
            <w:r w:rsidR="00EB4FDF" w:rsidRPr="006208FE">
              <w:rPr>
                <w:rStyle w:val="Hyperlink"/>
                <w:noProof/>
              </w:rPr>
              <w:t>MAINTENANCE</w:t>
            </w:r>
            <w:r w:rsidR="00EB4FDF">
              <w:rPr>
                <w:noProof/>
                <w:webHidden/>
              </w:rPr>
              <w:tab/>
            </w:r>
            <w:r w:rsidR="00EB4FDF">
              <w:rPr>
                <w:noProof/>
                <w:webHidden/>
              </w:rPr>
              <w:fldChar w:fldCharType="begin"/>
            </w:r>
            <w:r w:rsidR="00EB4FDF">
              <w:rPr>
                <w:noProof/>
                <w:webHidden/>
              </w:rPr>
              <w:instrText xml:space="preserve"> PAGEREF _Toc150155294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3A3697CA" w14:textId="37CC88BB" w:rsidR="00EB4FDF" w:rsidRDefault="00CD4E01">
          <w:pPr>
            <w:pStyle w:val="TOC1"/>
            <w:rPr>
              <w:rFonts w:asciiTheme="minorHAnsi" w:eastAsiaTheme="minorEastAsia" w:hAnsiTheme="minorHAnsi" w:cstheme="minorBidi"/>
              <w:noProof/>
              <w:sz w:val="22"/>
              <w:szCs w:val="22"/>
              <w:lang w:eastAsia="en-US"/>
            </w:rPr>
          </w:pPr>
          <w:hyperlink w:anchor="_Toc150155295" w:history="1">
            <w:r w:rsidR="00EB4FDF" w:rsidRPr="006208FE">
              <w:rPr>
                <w:rStyle w:val="Hyperlink"/>
                <w:noProof/>
              </w:rPr>
              <w:t>PUBLICATION AND DATA EXCHANGE</w:t>
            </w:r>
            <w:r w:rsidR="00EB4FDF">
              <w:rPr>
                <w:noProof/>
                <w:webHidden/>
              </w:rPr>
              <w:tab/>
            </w:r>
            <w:r w:rsidR="00EB4FDF">
              <w:rPr>
                <w:noProof/>
                <w:webHidden/>
              </w:rPr>
              <w:fldChar w:fldCharType="begin"/>
            </w:r>
            <w:r w:rsidR="00EB4FDF">
              <w:rPr>
                <w:noProof/>
                <w:webHidden/>
              </w:rPr>
              <w:instrText xml:space="preserve"> PAGEREF _Toc150155295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5B69F3ED" w14:textId="60E86916" w:rsidR="00EB4FDF" w:rsidRDefault="00CD4E01">
          <w:pPr>
            <w:pStyle w:val="TOC1"/>
            <w:rPr>
              <w:rFonts w:asciiTheme="minorHAnsi" w:eastAsiaTheme="minorEastAsia" w:hAnsiTheme="minorHAnsi" w:cstheme="minorBidi"/>
              <w:noProof/>
              <w:sz w:val="22"/>
              <w:szCs w:val="22"/>
              <w:lang w:eastAsia="en-US"/>
            </w:rPr>
          </w:pPr>
          <w:hyperlink w:anchor="_Toc150155296" w:history="1">
            <w:r w:rsidR="00EB4FDF" w:rsidRPr="006208FE">
              <w:rPr>
                <w:rStyle w:val="Hyperlink"/>
                <w:noProof/>
              </w:rPr>
              <w:t>STATISTICAL PURPOSES</w:t>
            </w:r>
            <w:r w:rsidR="00EB4FDF">
              <w:rPr>
                <w:noProof/>
                <w:webHidden/>
              </w:rPr>
              <w:tab/>
            </w:r>
            <w:r w:rsidR="00EB4FDF">
              <w:rPr>
                <w:noProof/>
                <w:webHidden/>
              </w:rPr>
              <w:fldChar w:fldCharType="begin"/>
            </w:r>
            <w:r w:rsidR="00EB4FDF">
              <w:rPr>
                <w:noProof/>
                <w:webHidden/>
              </w:rPr>
              <w:instrText xml:space="preserve"> PAGEREF _Toc150155296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0ABFB93F" w14:textId="5B5314D4" w:rsidR="00EB4FDF" w:rsidRDefault="00CD4E01">
          <w:pPr>
            <w:pStyle w:val="TOC2"/>
            <w:rPr>
              <w:rFonts w:asciiTheme="minorHAnsi" w:eastAsiaTheme="minorEastAsia" w:hAnsiTheme="minorHAnsi" w:cstheme="minorBidi"/>
              <w:noProof/>
              <w:sz w:val="22"/>
              <w:lang w:eastAsia="en-US"/>
            </w:rPr>
          </w:pPr>
          <w:hyperlink w:anchor="_Toc150155297" w:history="1">
            <w:r w:rsidR="00EB4FDF" w:rsidRPr="006208FE">
              <w:rPr>
                <w:rStyle w:val="Hyperlink"/>
                <w:noProof/>
              </w:rPr>
              <w:t>References</w:t>
            </w:r>
            <w:r w:rsidR="00EB4FDF">
              <w:rPr>
                <w:noProof/>
                <w:webHidden/>
              </w:rPr>
              <w:tab/>
            </w:r>
            <w:r w:rsidR="00EB4FDF">
              <w:rPr>
                <w:noProof/>
                <w:webHidden/>
              </w:rPr>
              <w:fldChar w:fldCharType="begin"/>
            </w:r>
            <w:r w:rsidR="00EB4FDF">
              <w:rPr>
                <w:noProof/>
                <w:webHidden/>
              </w:rPr>
              <w:instrText xml:space="preserve"> PAGEREF _Toc150155297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783259CF" w14:textId="75A7814D" w:rsidR="00EB4FDF" w:rsidRDefault="00CD4E01">
          <w:pPr>
            <w:pStyle w:val="TOC1"/>
            <w:rPr>
              <w:rFonts w:asciiTheme="minorHAnsi" w:eastAsiaTheme="minorEastAsia" w:hAnsiTheme="minorHAnsi" w:cstheme="minorBidi"/>
              <w:noProof/>
              <w:sz w:val="22"/>
              <w:szCs w:val="22"/>
              <w:lang w:eastAsia="en-US"/>
            </w:rPr>
          </w:pPr>
          <w:hyperlink w:anchor="_Toc150155298" w:history="1">
            <w:r w:rsidR="00EB4FDF" w:rsidRPr="006208FE">
              <w:rPr>
                <w:rStyle w:val="Hyperlink"/>
                <w:noProof/>
              </w:rPr>
              <w:t>ANNEX</w:t>
            </w:r>
            <w:r w:rsidR="00EB4FDF">
              <w:rPr>
                <w:noProof/>
                <w:webHidden/>
              </w:rPr>
              <w:tab/>
            </w:r>
            <w:r w:rsidR="00EB4FDF">
              <w:rPr>
                <w:noProof/>
                <w:webHidden/>
              </w:rPr>
              <w:fldChar w:fldCharType="begin"/>
            </w:r>
            <w:r w:rsidR="00EB4FDF">
              <w:rPr>
                <w:noProof/>
                <w:webHidden/>
              </w:rPr>
              <w:instrText xml:space="preserve"> PAGEREF _Toc150155298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3EAC55AE" w14:textId="22FBD83F" w:rsidR="00EB4FDF" w:rsidRDefault="00CD4E01">
          <w:pPr>
            <w:pStyle w:val="TOC1"/>
            <w:rPr>
              <w:rFonts w:asciiTheme="minorHAnsi" w:eastAsiaTheme="minorEastAsia" w:hAnsiTheme="minorHAnsi" w:cstheme="minorBidi"/>
              <w:noProof/>
              <w:sz w:val="22"/>
              <w:szCs w:val="22"/>
              <w:lang w:eastAsia="en-US"/>
            </w:rPr>
          </w:pPr>
          <w:hyperlink w:anchor="_Toc150155299" w:history="1">
            <w:r w:rsidR="00EB4FDF" w:rsidRPr="006208FE">
              <w:rPr>
                <w:rStyle w:val="Hyperlink"/>
                <w:noProof/>
              </w:rPr>
              <w:t>Transliteration examples:</w:t>
            </w:r>
            <w:r w:rsidR="00EB4FDF">
              <w:rPr>
                <w:noProof/>
                <w:webHidden/>
              </w:rPr>
              <w:tab/>
            </w:r>
            <w:r w:rsidR="00EB4FDF">
              <w:rPr>
                <w:noProof/>
                <w:webHidden/>
              </w:rPr>
              <w:fldChar w:fldCharType="begin"/>
            </w:r>
            <w:r w:rsidR="00EB4FDF">
              <w:rPr>
                <w:noProof/>
                <w:webHidden/>
              </w:rPr>
              <w:instrText xml:space="preserve"> PAGEREF _Toc150155299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745FDB3C" w14:textId="082CB75F" w:rsidR="00EB4FDF" w:rsidRDefault="00CD4E01">
          <w:pPr>
            <w:pStyle w:val="TOC1"/>
            <w:rPr>
              <w:rFonts w:asciiTheme="minorHAnsi" w:eastAsiaTheme="minorEastAsia" w:hAnsiTheme="minorHAnsi" w:cstheme="minorBidi"/>
              <w:noProof/>
              <w:sz w:val="22"/>
              <w:szCs w:val="22"/>
              <w:lang w:eastAsia="en-US"/>
            </w:rPr>
          </w:pPr>
          <w:hyperlink w:anchor="_Toc150155300" w:history="1">
            <w:r w:rsidR="00EB4FDF" w:rsidRPr="006208FE">
              <w:rPr>
                <w:rStyle w:val="Hyperlink"/>
                <w:noProof/>
              </w:rPr>
              <w:t>Transcription examples:</w:t>
            </w:r>
            <w:r w:rsidR="00EB4FDF">
              <w:rPr>
                <w:noProof/>
                <w:webHidden/>
              </w:rPr>
              <w:tab/>
            </w:r>
            <w:r w:rsidR="00EB4FDF">
              <w:rPr>
                <w:noProof/>
                <w:webHidden/>
              </w:rPr>
              <w:fldChar w:fldCharType="begin"/>
            </w:r>
            <w:r w:rsidR="00EB4FDF">
              <w:rPr>
                <w:noProof/>
                <w:webHidden/>
              </w:rPr>
              <w:instrText xml:space="preserve"> PAGEREF _Toc150155300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C6A83A3" w14:textId="72971FD0" w:rsidR="00EB4FDF" w:rsidRDefault="00CD4E01">
          <w:pPr>
            <w:pStyle w:val="TOC1"/>
            <w:rPr>
              <w:rFonts w:asciiTheme="minorHAnsi" w:eastAsiaTheme="minorEastAsia" w:hAnsiTheme="minorHAnsi" w:cstheme="minorBidi"/>
              <w:noProof/>
              <w:sz w:val="22"/>
              <w:szCs w:val="22"/>
              <w:lang w:eastAsia="en-US"/>
            </w:rPr>
          </w:pPr>
          <w:hyperlink w:anchor="_Toc150155301" w:history="1">
            <w:r w:rsidR="00EB4FDF" w:rsidRPr="006208FE">
              <w:rPr>
                <w:rStyle w:val="Hyperlink"/>
                <w:noProof/>
              </w:rPr>
              <w:t>Translation examples:</w:t>
            </w:r>
            <w:r w:rsidR="00EB4FDF">
              <w:rPr>
                <w:noProof/>
                <w:webHidden/>
              </w:rPr>
              <w:tab/>
            </w:r>
            <w:r w:rsidR="00EB4FDF">
              <w:rPr>
                <w:noProof/>
                <w:webHidden/>
              </w:rPr>
              <w:fldChar w:fldCharType="begin"/>
            </w:r>
            <w:r w:rsidR="00EB4FDF">
              <w:rPr>
                <w:noProof/>
                <w:webHidden/>
              </w:rPr>
              <w:instrText xml:space="preserve"> PAGEREF _Toc150155301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55AE784" w14:textId="3D48BAFD" w:rsidR="00AB125A" w:rsidRPr="000E176E" w:rsidRDefault="00AB125A" w:rsidP="00633B73">
          <w:pPr>
            <w:pStyle w:val="TOC1"/>
            <w:rPr>
              <w:noProof/>
              <w:sz w:val="17"/>
              <w:szCs w:val="17"/>
            </w:rPr>
          </w:pPr>
          <w:r w:rsidRPr="000E176E">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B5392CD" w14:textId="4924FF6A" w:rsidR="007907F5" w:rsidRPr="00765953" w:rsidRDefault="00914F0C" w:rsidP="000E176E">
      <w:pPr>
        <w:pStyle w:val="StandardTitle"/>
      </w:pPr>
      <w:r w:rsidRPr="00765953">
        <w:lastRenderedPageBreak/>
        <w:t>GUIDELINES FOR THE</w:t>
      </w:r>
      <w:r w:rsidR="00BC2BF8" w:rsidRPr="00765953">
        <w:t xml:space="preserve"> DATA CLEANING </w:t>
      </w:r>
      <w:r w:rsidRPr="00765953">
        <w:t xml:space="preserve">OF </w:t>
      </w:r>
      <w:r w:rsidR="00BC2BF8" w:rsidRPr="00765953">
        <w:t>NAMES</w:t>
      </w:r>
    </w:p>
    <w:p w14:paraId="2746DAC4" w14:textId="63094381" w:rsidR="001C4A56" w:rsidRPr="00765953" w:rsidRDefault="00614FC5" w:rsidP="00614FC5">
      <w:pPr>
        <w:tabs>
          <w:tab w:val="center" w:pos="4679"/>
          <w:tab w:val="left" w:pos="7365"/>
        </w:tabs>
        <w:spacing w:line="240" w:lineRule="auto"/>
        <w:rPr>
          <w:i/>
          <w:iCs/>
          <w:sz w:val="17"/>
          <w:szCs w:val="17"/>
          <w:lang w:eastAsia="en-US"/>
        </w:rPr>
      </w:pPr>
      <w:r w:rsidRPr="00765953">
        <w:rPr>
          <w:i/>
          <w:iCs/>
          <w:sz w:val="17"/>
          <w:szCs w:val="17"/>
          <w:lang w:eastAsia="en-US"/>
        </w:rPr>
        <w:tab/>
      </w:r>
      <w:r w:rsidR="00914F0C"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Pr="00765953">
        <w:rPr>
          <w:i/>
          <w:iCs/>
          <w:sz w:val="17"/>
          <w:szCs w:val="17"/>
          <w:lang w:eastAsia="en-US"/>
        </w:rPr>
        <w:t>(CWS)</w:t>
      </w:r>
      <w:r w:rsidRPr="00765953">
        <w:rPr>
          <w:i/>
          <w:iCs/>
          <w:sz w:val="17"/>
          <w:szCs w:val="17"/>
          <w:lang w:eastAsia="en-US"/>
        </w:rPr>
        <w:tab/>
      </w:r>
    </w:p>
    <w:p w14:paraId="644348DF" w14:textId="2BB6631E"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64A9F7B9" w:rsidR="000A37EB" w:rsidRPr="000E176E" w:rsidRDefault="000E176E" w:rsidP="00AB125A">
      <w:pPr>
        <w:pStyle w:val="Heading1"/>
        <w:rPr>
          <w:b/>
          <w:szCs w:val="17"/>
        </w:rPr>
      </w:pPr>
      <w:bookmarkStart w:id="5" w:name="_Toc150155289"/>
      <w:bookmarkEnd w:id="4"/>
      <w:r>
        <w:rPr>
          <w:szCs w:val="17"/>
        </w:rPr>
        <w:t>Introduction</w:t>
      </w:r>
      <w:bookmarkEnd w:id="5"/>
    </w:p>
    <w:p w14:paraId="512C7001" w14:textId="29BB7BBC" w:rsidR="00765953" w:rsidRDefault="009F5462" w:rsidP="00765953">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914F0C" w:rsidRPr="000E176E">
        <w:rPr>
          <w:sz w:val="17"/>
          <w:szCs w:val="17"/>
        </w:rPr>
        <w:t>set of guidelines</w:t>
      </w:r>
      <w:r w:rsidR="00BC2BF8" w:rsidRPr="000E176E">
        <w:rPr>
          <w:sz w:val="17"/>
          <w:szCs w:val="17"/>
        </w:rPr>
        <w:t xml:space="preserve"> covers general considerations for</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It does not address the many complex issues with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of algorithms, where and when transformations are applied, frequency, or merging strategies.  These decisions will 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733033A2" w:rsidR="00C07866" w:rsidRPr="000E176E" w:rsidRDefault="00765953" w:rsidP="000E176E">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327D6">
        <w:rPr>
          <w:sz w:val="17"/>
          <w:szCs w:val="17"/>
        </w:rPr>
        <w:t xml:space="preserve">It should be noted that </w:t>
      </w:r>
      <w:r w:rsidRPr="004D76E1">
        <w:rPr>
          <w:sz w:val="17"/>
          <w:szCs w:val="17"/>
        </w:rPr>
        <w:t xml:space="preserve">WIPO Standard ST.20 provides 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50155290"/>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B4DBC8E"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0CFE5AE2"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free from errors and duplication.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50155291"/>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25DC1FEE"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language(s) </w:t>
      </w:r>
      <w:r w:rsidR="00D92C3C" w:rsidRPr="00765953">
        <w:rPr>
          <w:sz w:val="17"/>
          <w:szCs w:val="17"/>
        </w:rPr>
        <w:t xml:space="preserve">that </w:t>
      </w:r>
      <w:r w:rsidR="00BC2BF8" w:rsidRPr="00765953">
        <w:rPr>
          <w:sz w:val="17"/>
          <w:szCs w:val="17"/>
        </w:rPr>
        <w:t xml:space="preserve">the </w:t>
      </w:r>
      <w:r w:rsidR="007D1BC2" w:rsidRPr="00765953">
        <w:rPr>
          <w:sz w:val="17"/>
          <w:szCs w:val="17"/>
        </w:rPr>
        <w:t xml:space="preserve">language 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5A02C27"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w:t>
      </w:r>
      <w:r w:rsidR="007D1BC2" w:rsidRPr="00765953">
        <w:rPr>
          <w:sz w:val="17"/>
          <w:szCs w:val="17"/>
        </w:rPr>
        <w:t>these guidelines</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50155292"/>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13829AB5"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884AE6" w:rsidRPr="00765953">
        <w:rPr>
          <w:sz w:val="17"/>
          <w:szCs w:val="17"/>
        </w:rPr>
        <w:t>conversion</w:t>
      </w:r>
      <w:r w:rsidR="008D2089" w:rsidRPr="00765953">
        <w:rPr>
          <w:sz w:val="17"/>
          <w:szCs w:val="17"/>
        </w:rPr>
        <w:t xml:space="preserve"> of names, there are three ways referred to in this </w:t>
      </w:r>
      <w:r w:rsidR="00CD5971" w:rsidRPr="00765953">
        <w:rPr>
          <w:sz w:val="17"/>
          <w:szCs w:val="17"/>
        </w:rPr>
        <w:t>set of guidelines</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4AA86BE7"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CD5971" w:rsidRPr="00765953">
        <w:rPr>
          <w:sz w:val="17"/>
          <w:szCs w:val="17"/>
        </w:rPr>
        <w:t>set of guidelines</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50155293"/>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50155294"/>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821CAF1"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clean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50155295"/>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50155296"/>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50155297"/>
      <w:r w:rsidRPr="000E176E">
        <w:rPr>
          <w:sz w:val="17"/>
          <w:szCs w:val="17"/>
        </w:rPr>
        <w:t>References</w:t>
      </w:r>
      <w:bookmarkEnd w:id="14"/>
    </w:p>
    <w:p w14:paraId="6456D4C3" w14:textId="7C705A81"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A82AC4">
        <w:rPr>
          <w:sz w:val="17"/>
          <w:szCs w:val="17"/>
        </w:rPr>
        <w:t>set of guidelines</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CD4E01">
          <w:rPr>
            <w:rStyle w:val="Hyperlink"/>
            <w:color w:val="000000" w:themeColor="text1"/>
            <w:sz w:val="17"/>
            <w:szCs w:val="17"/>
          </w:rPr>
          <w:t>ST.20</w:t>
        </w:r>
      </w:hyperlink>
      <w:r w:rsidR="00A82AC4">
        <w:rPr>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1F8CF5BB"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50155298"/>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22F1AD8F" w14:textId="2B2FA7E7" w:rsidR="001C4A56" w:rsidRPr="00765953" w:rsidRDefault="005D15D2" w:rsidP="009C2300">
      <w:pPr>
        <w:spacing w:line="240" w:lineRule="auto"/>
        <w:jc w:val="center"/>
        <w:rPr>
          <w:i/>
          <w:iCs/>
          <w:sz w:val="17"/>
          <w:szCs w:val="17"/>
          <w:lang w:eastAsia="en-US"/>
        </w:rPr>
      </w:pPr>
      <w:r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00614FC5" w:rsidRPr="00765953">
        <w:rPr>
          <w:i/>
          <w:iCs/>
          <w:sz w:val="17"/>
          <w:szCs w:val="17"/>
          <w:lang w:eastAsia="en-US"/>
        </w:rPr>
        <w:t>(CWS)</w:t>
      </w:r>
    </w:p>
    <w:p w14:paraId="2C9C18C6" w14:textId="4D8FDF11"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5D15D2" w:rsidRPr="00765953">
        <w:rPr>
          <w:i/>
          <w:iCs/>
          <w:sz w:val="17"/>
          <w:szCs w:val="17"/>
          <w:lang w:eastAsia="en-US"/>
        </w:rPr>
        <w:t xml:space="preserve">eleventh </w:t>
      </w:r>
      <w:r w:rsidRPr="00765953">
        <w:rPr>
          <w:i/>
          <w:iCs/>
          <w:sz w:val="17"/>
          <w:szCs w:val="17"/>
          <w:lang w:eastAsia="en-US"/>
        </w:rPr>
        <w:t>session</w:t>
      </w: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However, transcription provides a more practical result, because only standard characters from the target language are required for the conversion.</w:t>
      </w:r>
    </w:p>
    <w:p w14:paraId="7967AF0B" w14:textId="6920B4D8"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With English as the Lingua Franca of the global(ized) economy, it is generally overlooked that transcription is rarely standardized between any pair of languages. </w:t>
      </w:r>
      <w:r w:rsidR="007F45C1" w:rsidRPr="00765953">
        <w:rPr>
          <w:sz w:val="17"/>
          <w:szCs w:val="17"/>
        </w:rPr>
        <w:t xml:space="preserve"> </w:t>
      </w:r>
      <w:r w:rsidRPr="00765953">
        <w:rPr>
          <w:sz w:val="17"/>
          <w:szCs w:val="17"/>
        </w:rPr>
        <w:t>In the best case there are official definitions for [xx] -&gt; [en] leading to the assumption that [xx] -&gt; [en] -&gt; [yy] is equal to [xx] -&gt; [yy], which is usually not correct.</w:t>
      </w:r>
    </w:p>
    <w:p w14:paraId="5C4C798C" w14:textId="307854E5" w:rsidR="008C30D1" w:rsidRPr="00765953" w:rsidRDefault="008C30D1" w:rsidP="000E176E">
      <w:pPr>
        <w:pStyle w:val="Heading1"/>
      </w:pPr>
      <w:bookmarkStart w:id="18" w:name="_Toc150155299"/>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50155300"/>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[ru]: </w:t>
      </w:r>
      <w:r w:rsidRPr="00765953">
        <w:rPr>
          <w:sz w:val="17"/>
          <w:szCs w:val="17"/>
        </w:rPr>
        <w:t>Ш</w:t>
      </w:r>
      <w:r w:rsidRPr="00CD4E01">
        <w:rPr>
          <w:sz w:val="17"/>
          <w:szCs w:val="17"/>
          <w:lang w:val="fr-FR"/>
        </w:rPr>
        <w:t xml:space="preserve"> </w:t>
      </w:r>
      <w:r w:rsidR="00540F9C" w:rsidRPr="00CD4E01">
        <w:rPr>
          <w:sz w:val="17"/>
          <w:szCs w:val="17"/>
          <w:lang w:val="fr-FR"/>
        </w:rPr>
        <w:t>→</w:t>
      </w:r>
      <w:r w:rsidRPr="00CD4E01">
        <w:rPr>
          <w:sz w:val="17"/>
          <w:szCs w:val="17"/>
          <w:lang w:val="fr-FR"/>
        </w:rPr>
        <w:t xml:space="preserve"> [de]: sch</w:t>
      </w:r>
      <w:r w:rsidR="00F1455E" w:rsidRPr="00765953">
        <w:rPr>
          <w:rStyle w:val="FootnoteReference"/>
          <w:sz w:val="17"/>
          <w:szCs w:val="17"/>
        </w:rPr>
        <w:footnoteReference w:id="4"/>
      </w:r>
    </w:p>
    <w:p w14:paraId="0D2A78EF" w14:textId="46B60FCD"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[ru]: </w:t>
      </w:r>
      <w:r w:rsidRPr="00765953">
        <w:rPr>
          <w:sz w:val="17"/>
          <w:szCs w:val="17"/>
        </w:rPr>
        <w:t>Ш</w:t>
      </w:r>
      <w:r w:rsidRPr="00CD4E01">
        <w:rPr>
          <w:sz w:val="17"/>
          <w:szCs w:val="17"/>
          <w:lang w:val="fr-FR"/>
        </w:rPr>
        <w:t xml:space="preserve"> </w:t>
      </w:r>
      <w:r w:rsidR="00540F9C" w:rsidRPr="00CD4E01">
        <w:rPr>
          <w:sz w:val="17"/>
          <w:szCs w:val="17"/>
          <w:lang w:val="fr-FR"/>
        </w:rPr>
        <w:t>→</w:t>
      </w:r>
      <w:r w:rsidRPr="00CD4E01">
        <w:rPr>
          <w:sz w:val="17"/>
          <w:szCs w:val="17"/>
          <w:lang w:val="fr-FR"/>
        </w:rPr>
        <w:t xml:space="preserve"> [en]: sh</w:t>
      </w:r>
    </w:p>
    <w:p w14:paraId="316E0E24" w14:textId="5189133F"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[ko]: </w:t>
      </w:r>
      <w:r w:rsidRPr="00765953">
        <w:rPr>
          <w:rFonts w:eastAsia="Malgun Gothic"/>
          <w:sz w:val="17"/>
          <w:szCs w:val="17"/>
        </w:rPr>
        <w:t>ㅑ</w:t>
      </w:r>
      <w:r w:rsidR="00540F9C" w:rsidRPr="00CD4E01">
        <w:rPr>
          <w:sz w:val="17"/>
          <w:szCs w:val="17"/>
          <w:lang w:val="fr-FR"/>
        </w:rPr>
        <w:t>→</w:t>
      </w:r>
      <w:r w:rsidRPr="00CD4E01">
        <w:rPr>
          <w:sz w:val="17"/>
          <w:szCs w:val="17"/>
          <w:lang w:val="fr-FR"/>
        </w:rPr>
        <w:t xml:space="preserve"> [de]: ja</w:t>
      </w:r>
      <w:r w:rsidR="00F1455E" w:rsidRPr="00765953">
        <w:rPr>
          <w:rStyle w:val="FootnoteReference"/>
          <w:sz w:val="17"/>
          <w:szCs w:val="17"/>
        </w:rPr>
        <w:footnoteReference w:id="5"/>
      </w:r>
      <w:r w:rsidR="00D96F44" w:rsidRPr="00CD4E01">
        <w:rPr>
          <w:sz w:val="17"/>
          <w:szCs w:val="17"/>
          <w:lang w:val="fr-FR"/>
        </w:rPr>
        <w:t xml:space="preserve"> </w:t>
      </w:r>
    </w:p>
    <w:p w14:paraId="66214016" w14:textId="12B447AF"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[ko]: </w:t>
      </w:r>
      <w:r w:rsidRPr="00765953">
        <w:rPr>
          <w:rFonts w:eastAsia="Malgun Gothic"/>
          <w:sz w:val="17"/>
          <w:szCs w:val="17"/>
        </w:rPr>
        <w:t>ㅑ</w:t>
      </w:r>
      <w:r w:rsidR="00540F9C" w:rsidRPr="00CD4E01">
        <w:rPr>
          <w:sz w:val="17"/>
          <w:szCs w:val="17"/>
          <w:lang w:val="fr-FR"/>
        </w:rPr>
        <w:t>→</w:t>
      </w:r>
      <w:r w:rsidRPr="00CD4E01">
        <w:rPr>
          <w:sz w:val="17"/>
          <w:szCs w:val="17"/>
          <w:lang w:val="fr-FR"/>
        </w:rPr>
        <w:t xml:space="preserve"> [en]: ya</w:t>
      </w:r>
    </w:p>
    <w:p w14:paraId="24A470FF" w14:textId="68CD85FB"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[gr] : Ω </w:t>
      </w:r>
      <w:r w:rsidR="00540F9C" w:rsidRPr="00CD4E01">
        <w:rPr>
          <w:sz w:val="17"/>
          <w:szCs w:val="17"/>
          <w:lang w:val="fr-FR"/>
        </w:rPr>
        <w:t>→</w:t>
      </w:r>
      <w:r w:rsidRPr="00CD4E01">
        <w:rPr>
          <w:sz w:val="17"/>
          <w:szCs w:val="17"/>
          <w:lang w:val="fr-FR"/>
        </w:rPr>
        <w:t xml:space="preserve"> latin: O</w:t>
      </w:r>
      <w:r w:rsidR="00F1455E" w:rsidRPr="00765953">
        <w:rPr>
          <w:rStyle w:val="FootnoteReference"/>
          <w:sz w:val="17"/>
          <w:szCs w:val="17"/>
        </w:rPr>
        <w:footnoteReference w:id="6"/>
      </w:r>
    </w:p>
    <w:p w14:paraId="538FBAC8" w14:textId="12AE2E65" w:rsidR="008C30D1" w:rsidRPr="00CD4E01" w:rsidRDefault="008C30D1" w:rsidP="008C30D1">
      <w:pPr>
        <w:pStyle w:val="ListParagraph"/>
        <w:spacing w:after="200" w:line="240" w:lineRule="auto"/>
        <w:ind w:left="0"/>
        <w:contextualSpacing w:val="0"/>
        <w:jc w:val="both"/>
        <w:rPr>
          <w:sz w:val="17"/>
          <w:szCs w:val="17"/>
          <w:lang w:val="fr-FR"/>
        </w:rPr>
      </w:pPr>
      <w:r w:rsidRPr="00CD4E01">
        <w:rPr>
          <w:sz w:val="17"/>
          <w:szCs w:val="17"/>
          <w:lang w:val="fr-FR"/>
        </w:rPr>
        <w:t xml:space="preserve">[da]: Æ </w:t>
      </w:r>
      <w:r w:rsidR="00540F9C" w:rsidRPr="00CD4E01">
        <w:rPr>
          <w:sz w:val="17"/>
          <w:szCs w:val="17"/>
          <w:lang w:val="fr-FR"/>
        </w:rPr>
        <w:t>→</w:t>
      </w:r>
      <w:r w:rsidRPr="00CD4E01">
        <w:rPr>
          <w:sz w:val="17"/>
          <w:szCs w:val="17"/>
          <w:lang w:val="fr-FR"/>
        </w:rPr>
        <w:t xml:space="preserve"> [de]: Ä or AE, [en]: AE</w:t>
      </w:r>
      <w:r w:rsidR="00991EAC" w:rsidRPr="00CD4E01">
        <w:rPr>
          <w:sz w:val="17"/>
          <w:szCs w:val="17"/>
          <w:lang w:val="fr-FR"/>
        </w:rPr>
        <w:t xml:space="preserve"> </w:t>
      </w:r>
      <w:r w:rsidR="00F1455E" w:rsidRPr="00765953">
        <w:rPr>
          <w:rStyle w:val="FootnoteReference"/>
          <w:sz w:val="17"/>
          <w:szCs w:val="17"/>
        </w:rPr>
        <w:footnoteReference w:id="7"/>
      </w:r>
    </w:p>
    <w:p w14:paraId="4BFD63D2" w14:textId="77777777" w:rsidR="008C30D1" w:rsidRPr="00CD4E01" w:rsidRDefault="008C30D1" w:rsidP="008C30D1">
      <w:pPr>
        <w:pStyle w:val="ListParagraph"/>
        <w:spacing w:after="200" w:line="240" w:lineRule="auto"/>
        <w:ind w:left="0"/>
        <w:contextualSpacing w:val="0"/>
        <w:jc w:val="both"/>
        <w:rPr>
          <w:sz w:val="17"/>
          <w:szCs w:val="17"/>
          <w:lang w:val="fr-FR"/>
        </w:rPr>
      </w:pPr>
    </w:p>
    <w:p w14:paraId="52EB4EF9" w14:textId="189986EB" w:rsidR="008C30D1" w:rsidRPr="00765953" w:rsidRDefault="008C30D1" w:rsidP="000E176E">
      <w:pPr>
        <w:pStyle w:val="Heading1"/>
        <w:rPr>
          <w:b/>
        </w:rPr>
      </w:pPr>
      <w:bookmarkStart w:id="21" w:name="_Toc150155301"/>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[de]: Aktiengesellschaft </w:t>
      </w:r>
      <w:r w:rsidR="00540F9C" w:rsidRPr="00765953">
        <w:rPr>
          <w:sz w:val="17"/>
          <w:szCs w:val="17"/>
        </w:rPr>
        <w:t>→</w:t>
      </w:r>
      <w:r w:rsidRPr="00765953">
        <w:rPr>
          <w:sz w:val="17"/>
          <w:szCs w:val="17"/>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05C64EAF"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a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16A88FB5" w14:textId="44209EA9" w:rsidR="00442430" w:rsidRPr="00765953" w:rsidRDefault="00442430" w:rsidP="002D0ADB">
      <w:pPr>
        <w:pStyle w:val="StyleHeading110ptNotAllcapsCenteredBefore0ptAft"/>
        <w:jc w:val="left"/>
        <w:rPr>
          <w:rFonts w:cs="Arial"/>
          <w:szCs w:val="17"/>
        </w:rPr>
      </w:pPr>
    </w:p>
    <w:p w14:paraId="5B9DC2A2" w14:textId="7BF91B41" w:rsidR="00442430" w:rsidRPr="00765953" w:rsidRDefault="00442430" w:rsidP="00CD0962">
      <w:pPr>
        <w:ind w:left="5126"/>
        <w:jc w:val="right"/>
        <w:rPr>
          <w:sz w:val="17"/>
          <w:szCs w:val="17"/>
        </w:rPr>
      </w:pPr>
      <w:r w:rsidRPr="00765953">
        <w:rPr>
          <w:sz w:val="17"/>
          <w:szCs w:val="17"/>
        </w:rPr>
        <w:t xml:space="preserve">[End of Annex and of </w:t>
      </w:r>
      <w:r w:rsidR="002A5D77" w:rsidRPr="00765953">
        <w:rPr>
          <w:sz w:val="17"/>
          <w:szCs w:val="17"/>
        </w:rPr>
        <w:t>guidelines</w:t>
      </w:r>
      <w:r w:rsidRPr="00765953">
        <w:rPr>
          <w:sz w:val="17"/>
          <w:szCs w:val="17"/>
        </w:rPr>
        <w:t>]</w:t>
      </w:r>
    </w:p>
    <w:p w14:paraId="37C55410" w14:textId="64DED507" w:rsidR="00E27864" w:rsidRPr="00765953" w:rsidRDefault="00E27864" w:rsidP="00442430">
      <w:pPr>
        <w:rPr>
          <w:rFonts w:eastAsia="Malgun Gothic"/>
          <w:bCs/>
          <w:sz w:val="17"/>
          <w:szCs w:val="17"/>
          <w:lang w:eastAsia="en-US"/>
        </w:rPr>
      </w:pPr>
    </w:p>
    <w:p w14:paraId="32EC01BA" w14:textId="07F7AB09" w:rsidR="003F0B1E" w:rsidRPr="00765953" w:rsidRDefault="003F0B1E" w:rsidP="00F900DD">
      <w:pPr>
        <w:ind w:left="5126"/>
        <w:rPr>
          <w:sz w:val="17"/>
          <w:szCs w:val="17"/>
        </w:rPr>
      </w:pPr>
    </w:p>
    <w:p w14:paraId="43692AC5" w14:textId="7305D05C" w:rsidR="003F0B1E" w:rsidRPr="00765953" w:rsidRDefault="003F0B1E" w:rsidP="002A5D77">
      <w:pPr>
        <w:ind w:left="5126"/>
        <w:jc w:val="center"/>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A326CA" w:rsidRDefault="00B84677" w:rsidP="00A326CA">
      <w:r>
        <w:t>[Endnote continued from previous page]</w:t>
      </w:r>
    </w:p>
  </w:endnote>
  <w:endnote w:type="continuationNotice" w:id="1">
    <w:p w14:paraId="207553E4" w14:textId="77777777" w:rsidR="00B84677" w:rsidRPr="00A326CA" w:rsidRDefault="00B84677"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AC6F" w14:textId="77777777" w:rsidR="00CD4E01" w:rsidRDefault="00CD4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A326CA" w:rsidRDefault="00B84677" w:rsidP="00A326CA">
      <w:pPr>
        <w:spacing w:after="60"/>
        <w:rPr>
          <w:szCs w:val="17"/>
        </w:rPr>
      </w:pPr>
      <w:r w:rsidRPr="00ED77FB">
        <w:rPr>
          <w:szCs w:val="17"/>
        </w:rPr>
        <w:t>[Footnot</w:t>
      </w:r>
      <w:r>
        <w:rPr>
          <w:szCs w:val="17"/>
        </w:rPr>
        <w:t>e continued from previous page]</w:t>
      </w:r>
    </w:p>
  </w:footnote>
  <w:footnote w:type="continuationNotice" w:id="1">
    <w:p w14:paraId="4F9A031F" w14:textId="77777777" w:rsidR="00B84677" w:rsidRPr="00A326CA" w:rsidRDefault="00B84677"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CD4E01" w:rsidP="00BE355A">
      <w:pPr>
        <w:pStyle w:val="FootnoteText"/>
        <w:rPr>
          <w:sz w:val="16"/>
          <w:szCs w:val="16"/>
        </w:rPr>
      </w:pPr>
      <w:hyperlink r:id="rId1" w:history="1">
        <w:r w:rsidR="009F181F" w:rsidRPr="00CD4E01">
          <w:rPr>
            <w:rStyle w:val="Hyperlink"/>
            <w:color w:val="000000" w:themeColor="text1"/>
            <w:sz w:val="16"/>
            <w:szCs w:val="16"/>
          </w:rPr>
          <w:t>https://www.researchgate.net/figure/Transliteration-examples-in-four-language-pairs-Letter-correspondence-shows-how-the_fig1_220566444</w:t>
        </w:r>
      </w:hyperlink>
      <w:r w:rsidR="009F181F" w:rsidRPr="00CD4E01">
        <w:rPr>
          <w:color w:val="000000" w:themeColor="text1"/>
          <w:sz w:val="16"/>
          <w:szCs w:val="16"/>
        </w:rPr>
        <w:t xml:space="preserve"> </w:t>
      </w:r>
    </w:p>
  </w:footnote>
  <w:footnote w:id="4">
    <w:p w14:paraId="5EDAB472" w14:textId="774F3A22" w:rsidR="00F1455E" w:rsidRPr="00CD4E01" w:rsidRDefault="00F1455E">
      <w:pPr>
        <w:pStyle w:val="FootnoteText"/>
        <w:rPr>
          <w:color w:val="000000" w:themeColor="text1"/>
          <w:sz w:val="16"/>
          <w:szCs w:val="16"/>
        </w:rPr>
      </w:pPr>
      <w:r w:rsidRPr="00CD4E01">
        <w:rPr>
          <w:rStyle w:val="FootnoteReference"/>
          <w:color w:val="000000" w:themeColor="text1"/>
          <w:sz w:val="16"/>
          <w:szCs w:val="16"/>
        </w:rPr>
        <w:footnoteRef/>
      </w:r>
      <w:r w:rsidRPr="00CD4E01">
        <w:rPr>
          <w:color w:val="000000" w:themeColor="text1"/>
          <w:sz w:val="16"/>
          <w:szCs w:val="16"/>
        </w:rPr>
        <w:t xml:space="preserve"> </w:t>
      </w:r>
      <w:hyperlink r:id="rId2" w:anchor="Russisch" w:history="1">
        <w:r w:rsidR="009F181F" w:rsidRPr="00CD4E01">
          <w:rPr>
            <w:rStyle w:val="Hyperlink"/>
            <w:color w:val="000000" w:themeColor="text1"/>
            <w:sz w:val="16"/>
            <w:szCs w:val="16"/>
          </w:rPr>
          <w:t>https://de.wikipedia.org/wiki/Kyrillisches_Alphabet#Russisch</w:t>
        </w:r>
      </w:hyperlink>
      <w:r w:rsidR="009F181F" w:rsidRPr="00CD4E01">
        <w:rPr>
          <w:color w:val="000000" w:themeColor="text1"/>
          <w:sz w:val="16"/>
          <w:szCs w:val="16"/>
        </w:rPr>
        <w:t xml:space="preserve"> </w:t>
      </w:r>
    </w:p>
  </w:footnote>
  <w:footnote w:id="5">
    <w:p w14:paraId="00CB73E4" w14:textId="0EE15711" w:rsidR="00F1455E" w:rsidRPr="00CD4E01" w:rsidRDefault="00F1455E">
      <w:pPr>
        <w:pStyle w:val="FootnoteText"/>
        <w:rPr>
          <w:color w:val="000000" w:themeColor="text1"/>
          <w:sz w:val="16"/>
          <w:szCs w:val="16"/>
        </w:rPr>
      </w:pPr>
      <w:r w:rsidRPr="00CD4E01">
        <w:rPr>
          <w:rStyle w:val="FootnoteReference"/>
          <w:color w:val="000000" w:themeColor="text1"/>
          <w:sz w:val="16"/>
          <w:szCs w:val="16"/>
        </w:rPr>
        <w:footnoteRef/>
      </w:r>
      <w:r w:rsidRPr="00CD4E01">
        <w:rPr>
          <w:color w:val="000000" w:themeColor="text1"/>
          <w:sz w:val="16"/>
          <w:szCs w:val="16"/>
        </w:rPr>
        <w:t xml:space="preserve"> </w:t>
      </w:r>
      <w:hyperlink r:id="rId3" w:history="1">
        <w:r w:rsidR="009F181F" w:rsidRPr="00CD4E01">
          <w:rPr>
            <w:rStyle w:val="Hyperlink"/>
            <w:color w:val="000000" w:themeColor="text1"/>
            <w:sz w:val="16"/>
            <w:szCs w:val="16"/>
          </w:rPr>
          <w:t>https://de.wikipedia.org/wiki/Koreanisches_Alphabet</w:t>
        </w:r>
      </w:hyperlink>
      <w:r w:rsidR="009F181F" w:rsidRPr="00CD4E01">
        <w:rPr>
          <w:color w:val="000000" w:themeColor="text1"/>
          <w:sz w:val="16"/>
          <w:szCs w:val="16"/>
        </w:rPr>
        <w:t xml:space="preserve"> </w:t>
      </w:r>
    </w:p>
  </w:footnote>
  <w:footnote w:id="6">
    <w:p w14:paraId="66B0BFB2" w14:textId="28ADA4C8" w:rsidR="00F1455E" w:rsidRPr="00CD4E01" w:rsidRDefault="00F1455E">
      <w:pPr>
        <w:pStyle w:val="FootnoteText"/>
        <w:rPr>
          <w:color w:val="000000" w:themeColor="text1"/>
        </w:rPr>
      </w:pPr>
      <w:r w:rsidRPr="00CD4E01">
        <w:rPr>
          <w:rStyle w:val="FootnoteReference"/>
          <w:color w:val="000000" w:themeColor="text1"/>
          <w:sz w:val="16"/>
          <w:szCs w:val="16"/>
        </w:rPr>
        <w:footnoteRef/>
      </w:r>
      <w:r w:rsidRPr="00CD4E01">
        <w:rPr>
          <w:color w:val="000000" w:themeColor="text1"/>
          <w:sz w:val="16"/>
          <w:szCs w:val="16"/>
        </w:rPr>
        <w:t xml:space="preserve"> </w:t>
      </w:r>
      <w:r w:rsidR="00C02829" w:rsidRPr="00CD4E01">
        <w:rPr>
          <w:color w:val="000000" w:themeColor="text1"/>
          <w:sz w:val="16"/>
          <w:szCs w:val="16"/>
        </w:rPr>
        <w:t xml:space="preserve"> </w:t>
      </w:r>
      <w:hyperlink r:id="rId4" w:history="1">
        <w:r w:rsidR="00540F9C" w:rsidRPr="00CD4E01">
          <w:rPr>
            <w:rStyle w:val="Hyperlink"/>
            <w:color w:val="000000" w:themeColor="text1"/>
            <w:sz w:val="16"/>
            <w:szCs w:val="16"/>
          </w:rPr>
          <w:t>https://en.wikipedia.org/wiki/Romanization_of_Greek</w:t>
        </w:r>
      </w:hyperlink>
      <w:r w:rsidR="00540F9C" w:rsidRPr="00CD4E01">
        <w:rPr>
          <w:color w:val="000000" w:themeColor="text1"/>
          <w:sz w:val="16"/>
          <w:szCs w:val="16"/>
        </w:rPr>
        <w:t xml:space="preserve"> </w:t>
      </w:r>
    </w:p>
  </w:footnote>
  <w:footnote w:id="7">
    <w:p w14:paraId="5EE62A48" w14:textId="4FA65173" w:rsidR="00F1455E" w:rsidRPr="00264545" w:rsidRDefault="00F1455E">
      <w:pPr>
        <w:pStyle w:val="FootnoteText"/>
        <w:rPr>
          <w:sz w:val="16"/>
          <w:szCs w:val="16"/>
        </w:rPr>
      </w:pPr>
      <w:r w:rsidRPr="00CD4E01">
        <w:rPr>
          <w:rStyle w:val="FootnoteReference"/>
          <w:color w:val="000000" w:themeColor="text1"/>
          <w:sz w:val="16"/>
          <w:szCs w:val="16"/>
        </w:rPr>
        <w:footnoteRef/>
      </w:r>
      <w:r w:rsidRPr="00CD4E01">
        <w:rPr>
          <w:color w:val="000000" w:themeColor="text1"/>
          <w:sz w:val="16"/>
          <w:szCs w:val="16"/>
        </w:rPr>
        <w:t xml:space="preserve"> </w:t>
      </w:r>
      <w:hyperlink r:id="rId5" w:history="1">
        <w:r w:rsidR="00540F9C" w:rsidRPr="00CD4E01">
          <w:rPr>
            <w:rStyle w:val="Hyperlink"/>
            <w:color w:val="000000" w:themeColor="text1"/>
            <w:sz w:val="16"/>
            <w:szCs w:val="16"/>
          </w:rPr>
          <w:t>https://en.wikipedia.org/wiki/Dania_transcription</w:t>
        </w:r>
      </w:hyperlink>
      <w:r w:rsidR="00540F9C" w:rsidRPr="00CD4E01">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331302"/>
      <w:docPartObj>
        <w:docPartGallery w:val="Page Numbers (Top of Page)"/>
        <w:docPartUnique/>
      </w:docPartObj>
    </w:sdtPr>
    <w:sdtEndPr>
      <w:rPr>
        <w:noProof/>
      </w:rPr>
    </w:sdtEndPr>
    <w:sdtContent>
      <w:p w14:paraId="441C509E" w14:textId="37F297FC" w:rsidR="00CD4E01" w:rsidRDefault="00CD4E01">
        <w:pPr>
          <w:pStyle w:val="Header"/>
          <w:jc w:val="right"/>
        </w:pPr>
        <w:r w:rsidRPr="00CD4E01">
          <w:t>附件第</w:t>
        </w:r>
        <w:r w:rsidRPr="00CD4E01">
          <w:t xml:space="preserve"> </w:t>
        </w:r>
        <w:r>
          <w:fldChar w:fldCharType="begin"/>
        </w:r>
        <w:r>
          <w:instrText xml:space="preserve"> PAGE   \* MERGEFORMAT </w:instrText>
        </w:r>
        <w:r>
          <w:fldChar w:fldCharType="separate"/>
        </w:r>
        <w:r>
          <w:rPr>
            <w:noProof/>
          </w:rPr>
          <w:t>2</w:t>
        </w:r>
        <w:r>
          <w:rPr>
            <w:noProof/>
          </w:rPr>
          <w:fldChar w:fldCharType="end"/>
        </w:r>
        <w:r w:rsidRPr="00CD4E01">
          <w:rPr>
            <w:noProof/>
          </w:rPr>
          <w:t>页</w:t>
        </w:r>
      </w:p>
    </w:sdtContent>
  </w:sdt>
  <w:p w14:paraId="10E57B59" w14:textId="1FDEDEF6" w:rsidR="002A5D77" w:rsidRPr="002A5D77" w:rsidRDefault="002A5D77" w:rsidP="00CD4E01">
    <w:pPr>
      <w:pStyle w:val="Header"/>
      <w:spacing w:line="240" w:lineRule="auto"/>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1336" w14:textId="77777777" w:rsidR="00CD4E01" w:rsidRPr="00CD4E01" w:rsidRDefault="00C07866" w:rsidP="00CD4E01">
    <w:pPr>
      <w:pStyle w:val="Header"/>
      <w:spacing w:line="240" w:lineRule="auto"/>
      <w:jc w:val="right"/>
      <w:rPr>
        <w:sz w:val="22"/>
        <w:szCs w:val="22"/>
      </w:rPr>
    </w:pPr>
    <w:r w:rsidRPr="000E176E">
      <w:rPr>
        <w:sz w:val="22"/>
        <w:szCs w:val="22"/>
      </w:rPr>
      <w:t>CWS/11/23</w:t>
    </w:r>
    <w:r w:rsidRPr="000E176E">
      <w:rPr>
        <w:sz w:val="22"/>
        <w:szCs w:val="22"/>
      </w:rPr>
      <w:br/>
    </w:r>
  </w:p>
  <w:p w14:paraId="571B9DE5" w14:textId="27CACF2B" w:rsidR="00BC2BF8" w:rsidRPr="000E176E" w:rsidRDefault="00CD4E01" w:rsidP="00CD4E01">
    <w:pPr>
      <w:pStyle w:val="Header"/>
      <w:spacing w:line="240" w:lineRule="auto"/>
      <w:jc w:val="right"/>
      <w:rPr>
        <w:sz w:val="22"/>
        <w:szCs w:val="22"/>
      </w:rPr>
    </w:pPr>
    <w:r w:rsidRPr="00CD4E01">
      <w:rPr>
        <w:sz w:val="22"/>
        <w:szCs w:val="22"/>
      </w:rPr>
      <w:t xml:space="preserve"> </w:t>
    </w:r>
    <w:r w:rsidRPr="00CD4E01">
      <w:rPr>
        <w:sz w:val="22"/>
        <w:szCs w:val="22"/>
      </w:rPr>
      <w:t>附</w:t>
    </w:r>
    <w:r w:rsidRPr="00CD4E01">
      <w:rPr>
        <w:sz w:val="22"/>
        <w:szCs w:val="22"/>
      </w:rPr>
      <w:t xml:space="preserve"> </w:t>
    </w:r>
    <w:r w:rsidRPr="00CD4E01">
      <w:rPr>
        <w:sz w:val="22"/>
        <w:szCs w:val="22"/>
      </w:rPr>
      <w:t>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2A5D77">
    <w:pPr>
      <w:pStyle w:val="Header"/>
      <w:jc w:val="right"/>
      <w:rPr>
        <w:sz w:val="22"/>
        <w:szCs w:val="22"/>
      </w:rPr>
    </w:pPr>
    <w:r w:rsidRPr="002A5D77">
      <w:rPr>
        <w:sz w:val="22"/>
        <w:szCs w:val="22"/>
      </w:rPr>
      <w:t>CWS/11/23</w:t>
    </w:r>
  </w:p>
  <w:p w14:paraId="42F4573A" w14:textId="0A386F92" w:rsidR="002A5D77" w:rsidRPr="002A5D77" w:rsidRDefault="00232C3D" w:rsidP="002A5D77">
    <w:pPr>
      <w:pStyle w:val="Header"/>
      <w:jc w:val="right"/>
      <w:rPr>
        <w:sz w:val="22"/>
        <w:szCs w:val="22"/>
      </w:rPr>
    </w:pPr>
    <w:r>
      <w:rPr>
        <w:sz w:val="22"/>
        <w:szCs w:val="22"/>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19"/>
  </w:num>
  <w:num w:numId="2" w16cid:durableId="119343227">
    <w:abstractNumId w:val="0"/>
  </w:num>
  <w:num w:numId="3" w16cid:durableId="46075305">
    <w:abstractNumId w:val="4"/>
  </w:num>
  <w:num w:numId="4" w16cid:durableId="1344818809">
    <w:abstractNumId w:val="35"/>
  </w:num>
  <w:num w:numId="5" w16cid:durableId="339699218">
    <w:abstractNumId w:val="5"/>
  </w:num>
  <w:num w:numId="6" w16cid:durableId="450436034">
    <w:abstractNumId w:val="34"/>
  </w:num>
  <w:num w:numId="7" w16cid:durableId="794718010">
    <w:abstractNumId w:val="36"/>
  </w:num>
  <w:num w:numId="8" w16cid:durableId="2120829703">
    <w:abstractNumId w:val="18"/>
  </w:num>
  <w:num w:numId="9" w16cid:durableId="2032487789">
    <w:abstractNumId w:val="12"/>
  </w:num>
  <w:num w:numId="10" w16cid:durableId="1346712250">
    <w:abstractNumId w:val="28"/>
  </w:num>
  <w:num w:numId="11" w16cid:durableId="1578978479">
    <w:abstractNumId w:val="25"/>
  </w:num>
  <w:num w:numId="12" w16cid:durableId="2129808728">
    <w:abstractNumId w:val="23"/>
  </w:num>
  <w:num w:numId="13" w16cid:durableId="770013207">
    <w:abstractNumId w:val="33"/>
  </w:num>
  <w:num w:numId="14" w16cid:durableId="143744825">
    <w:abstractNumId w:val="38"/>
  </w:num>
  <w:num w:numId="15" w16cid:durableId="1387602488">
    <w:abstractNumId w:val="2"/>
  </w:num>
  <w:num w:numId="16" w16cid:durableId="1536847718">
    <w:abstractNumId w:val="31"/>
  </w:num>
  <w:num w:numId="17" w16cid:durableId="281109196">
    <w:abstractNumId w:val="10"/>
  </w:num>
  <w:num w:numId="18" w16cid:durableId="130945870">
    <w:abstractNumId w:val="20"/>
  </w:num>
  <w:num w:numId="19" w16cid:durableId="1729113855">
    <w:abstractNumId w:val="16"/>
  </w:num>
  <w:num w:numId="20" w16cid:durableId="409544882">
    <w:abstractNumId w:val="3"/>
  </w:num>
  <w:num w:numId="21" w16cid:durableId="913977624">
    <w:abstractNumId w:val="15"/>
  </w:num>
  <w:num w:numId="22" w16cid:durableId="1359626581">
    <w:abstractNumId w:val="32"/>
  </w:num>
  <w:num w:numId="23" w16cid:durableId="681855184">
    <w:abstractNumId w:val="8"/>
  </w:num>
  <w:num w:numId="24" w16cid:durableId="773135066">
    <w:abstractNumId w:val="17"/>
  </w:num>
  <w:num w:numId="25" w16cid:durableId="1435395918">
    <w:abstractNumId w:val="30"/>
  </w:num>
  <w:num w:numId="26" w16cid:durableId="1405714308">
    <w:abstractNumId w:val="22"/>
  </w:num>
  <w:num w:numId="27" w16cid:durableId="1237319891">
    <w:abstractNumId w:val="29"/>
  </w:num>
  <w:num w:numId="28" w16cid:durableId="1267887148">
    <w:abstractNumId w:val="37"/>
  </w:num>
  <w:num w:numId="29" w16cid:durableId="73942206">
    <w:abstractNumId w:val="11"/>
  </w:num>
  <w:num w:numId="30" w16cid:durableId="1637488195">
    <w:abstractNumId w:val="40"/>
  </w:num>
  <w:num w:numId="31" w16cid:durableId="1321428346">
    <w:abstractNumId w:val="6"/>
  </w:num>
  <w:num w:numId="32" w16cid:durableId="1921597315">
    <w:abstractNumId w:val="9"/>
  </w:num>
  <w:num w:numId="33" w16cid:durableId="46927145">
    <w:abstractNumId w:val="14"/>
  </w:num>
  <w:num w:numId="34" w16cid:durableId="303773583">
    <w:abstractNumId w:val="27"/>
  </w:num>
  <w:num w:numId="35" w16cid:durableId="304622821">
    <w:abstractNumId w:val="24"/>
  </w:num>
  <w:num w:numId="36" w16cid:durableId="1666740701">
    <w:abstractNumId w:val="21"/>
  </w:num>
  <w:num w:numId="37" w16cid:durableId="1233927965">
    <w:abstractNumId w:val="13"/>
  </w:num>
  <w:num w:numId="38" w16cid:durableId="1176918467">
    <w:abstractNumId w:val="26"/>
  </w:num>
  <w:num w:numId="39" w16cid:durableId="480732174">
    <w:abstractNumId w:val="7"/>
  </w:num>
  <w:num w:numId="40" w16cid:durableId="1167554090">
    <w:abstractNumId w:val="39"/>
  </w:num>
  <w:num w:numId="41" w16cid:durableId="15670342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9C"/>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4E01"/>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n/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3.xml><?xml version="1.0" encoding="utf-8"?>
<ds:datastoreItem xmlns:ds="http://schemas.openxmlformats.org/officeDocument/2006/customXml" ds:itemID="{98DE0A48-530F-4EAD-89C9-EB9FDAF38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2016</Words>
  <Characters>12197</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2</cp:revision>
  <cp:lastPrinted>2023-11-06T08:27:00Z</cp:lastPrinted>
  <dcterms:created xsi:type="dcterms:W3CDTF">2023-11-21T08:21:00Z</dcterms:created>
  <dcterms:modified xsi:type="dcterms:W3CDTF">2023-11-21T08:21:00Z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