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3E86C" w14:textId="3E7E5707" w:rsidR="008B2CC1" w:rsidRPr="008B2CC1" w:rsidRDefault="006C4442" w:rsidP="00F11D94">
      <w:pPr>
        <w:spacing w:after="120"/>
        <w:jc w:val="right"/>
      </w:pPr>
      <w:bookmarkStart w:id="0" w:name="_GoBack"/>
      <w:bookmarkEnd w:id="0"/>
      <w:r w:rsidRPr="0042194C">
        <w:rPr>
          <w:noProof/>
          <w:lang w:eastAsia="en-US"/>
        </w:rPr>
        <w:drawing>
          <wp:inline distT="0" distB="0" distL="0" distR="0" wp14:anchorId="616D23C7" wp14:editId="33027078">
            <wp:extent cx="3246120" cy="1630680"/>
            <wp:effectExtent l="0" t="0" r="0" b="7620"/>
            <wp:docPr id="5" name="Picture 5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7E8586C" wp14:editId="0FDD82E2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B5BF00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B38404A" w14:textId="6240B8E7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</w:t>
      </w:r>
      <w:r w:rsidR="00F65686">
        <w:rPr>
          <w:rFonts w:ascii="Arial Black" w:hAnsi="Arial Black"/>
          <w:caps/>
          <w:sz w:val="15"/>
          <w:szCs w:val="15"/>
        </w:rPr>
        <w:t>1</w:t>
      </w:r>
      <w:bookmarkStart w:id="1" w:name="Code"/>
      <w:bookmarkEnd w:id="1"/>
      <w:r w:rsidR="008A4139">
        <w:rPr>
          <w:rFonts w:ascii="Arial Black" w:hAnsi="Arial Black"/>
          <w:caps/>
          <w:sz w:val="15"/>
          <w:szCs w:val="15"/>
        </w:rPr>
        <w:t>/9</w:t>
      </w:r>
    </w:p>
    <w:p w14:paraId="7807348A" w14:textId="31B715ED" w:rsidR="00CE65D4" w:rsidRPr="00CE65D4" w:rsidRDefault="006C4442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47779448" w14:textId="324874A7" w:rsidR="008B2CC1" w:rsidRPr="006C4442" w:rsidRDefault="006C4442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3" w:name="Date"/>
      <w:r w:rsidR="00EB05A1" w:rsidRPr="00EB05A1">
        <w:rPr>
          <w:rFonts w:ascii="Arial Black" w:hAnsi="Arial Black"/>
          <w:caps/>
          <w:sz w:val="15"/>
          <w:szCs w:val="15"/>
        </w:rPr>
        <w:t>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октября</w:t>
      </w:r>
      <w:r w:rsidR="00216BFF">
        <w:rPr>
          <w:rFonts w:ascii="Arial Black" w:hAnsi="Arial Black"/>
          <w:caps/>
          <w:sz w:val="15"/>
          <w:szCs w:val="15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3"/>
    <w:p w14:paraId="51807BA0" w14:textId="251CA059" w:rsidR="008B2CC1" w:rsidRPr="000817DB" w:rsidRDefault="002A0220" w:rsidP="00CE65D4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0817DB" w:rsidRPr="000817DB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0817DB" w:rsidRPr="000817DB">
        <w:rPr>
          <w:b/>
          <w:sz w:val="28"/>
          <w:szCs w:val="28"/>
        </w:rPr>
        <w:t>)</w:t>
      </w:r>
    </w:p>
    <w:p w14:paraId="4913916D" w14:textId="42056A03" w:rsidR="008B2CC1" w:rsidRPr="000817DB" w:rsidRDefault="002A0220" w:rsidP="008B2CC1">
      <w:pPr>
        <w:rPr>
          <w:b/>
          <w:sz w:val="28"/>
          <w:szCs w:val="24"/>
        </w:rPr>
      </w:pPr>
      <w:r>
        <w:rPr>
          <w:b/>
          <w:sz w:val="24"/>
          <w:lang w:val="ru-RU"/>
        </w:rPr>
        <w:t>Одиннадцатая сессия</w:t>
      </w:r>
    </w:p>
    <w:p w14:paraId="0EBED672" w14:textId="3747F41D" w:rsidR="008B2CC1" w:rsidRPr="002A0220" w:rsidRDefault="002A0220" w:rsidP="00CE65D4">
      <w:pPr>
        <w:spacing w:after="720"/>
        <w:rPr>
          <w:sz w:val="24"/>
          <w:lang w:val="ru-RU"/>
        </w:rPr>
      </w:pPr>
      <w:r>
        <w:rPr>
          <w:b/>
          <w:sz w:val="24"/>
          <w:lang w:val="ru-RU"/>
        </w:rPr>
        <w:t>Женева</w:t>
      </w:r>
      <w:r w:rsidR="000817DB" w:rsidRPr="000817DB">
        <w:rPr>
          <w:b/>
          <w:sz w:val="24"/>
        </w:rPr>
        <w:t xml:space="preserve">, </w:t>
      </w:r>
      <w:r w:rsidR="00237381">
        <w:rPr>
          <w:b/>
          <w:sz w:val="24"/>
        </w:rPr>
        <w:t>4</w:t>
      </w:r>
      <w:r>
        <w:rPr>
          <w:b/>
          <w:sz w:val="24"/>
          <w:lang w:val="ru-RU"/>
        </w:rPr>
        <w:t>–</w:t>
      </w:r>
      <w:r w:rsidR="00237381">
        <w:rPr>
          <w:b/>
          <w:sz w:val="24"/>
        </w:rPr>
        <w:t>8</w:t>
      </w:r>
      <w:r>
        <w:rPr>
          <w:b/>
          <w:sz w:val="24"/>
          <w:lang w:val="ru-RU"/>
        </w:rPr>
        <w:t xml:space="preserve"> декабря</w:t>
      </w:r>
      <w:r w:rsidR="000817DB" w:rsidRPr="000817DB">
        <w:rPr>
          <w:b/>
          <w:sz w:val="24"/>
        </w:rPr>
        <w:t xml:space="preserve"> 202</w:t>
      </w:r>
      <w:r w:rsidR="00F65686">
        <w:rPr>
          <w:b/>
          <w:sz w:val="24"/>
        </w:rPr>
        <w:t>3</w:t>
      </w:r>
      <w:r>
        <w:rPr>
          <w:b/>
          <w:sz w:val="24"/>
          <w:lang w:val="ru-RU"/>
        </w:rPr>
        <w:t xml:space="preserve"> года</w:t>
      </w:r>
    </w:p>
    <w:p w14:paraId="4A3590B5" w14:textId="390E9391" w:rsidR="008B2CC1" w:rsidRPr="009F3BF9" w:rsidRDefault="003D1E9A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  <w:lang w:val="ru-RU"/>
        </w:rPr>
        <w:t xml:space="preserve">предложение о пересмотре стандарта </w:t>
      </w:r>
      <w:r w:rsidR="00A67EF3">
        <w:rPr>
          <w:caps/>
          <w:sz w:val="24"/>
        </w:rPr>
        <w:t>ST.61</w:t>
      </w:r>
    </w:p>
    <w:p w14:paraId="03FD3990" w14:textId="6773E357" w:rsidR="008B2CC1" w:rsidRPr="004D39C4" w:rsidRDefault="003D1E9A" w:rsidP="00CE65D4">
      <w:pPr>
        <w:spacing w:after="960"/>
        <w:rPr>
          <w:i/>
        </w:rPr>
      </w:pPr>
      <w:bookmarkStart w:id="5" w:name="Prepared"/>
      <w:bookmarkEnd w:id="4"/>
      <w:r>
        <w:rPr>
          <w:i/>
          <w:lang w:val="ru-RU"/>
        </w:rPr>
        <w:t>Документ подготовлен Международным бюро</w:t>
      </w:r>
    </w:p>
    <w:bookmarkEnd w:id="5"/>
    <w:p w14:paraId="28B8C8BF" w14:textId="30CC7FE5" w:rsidR="00A67EF3" w:rsidRDefault="00391C3C" w:rsidP="00A67EF3">
      <w:pPr>
        <w:pStyle w:val="Heading2"/>
      </w:pPr>
      <w:r>
        <w:rPr>
          <w:lang w:val="ru-RU"/>
        </w:rPr>
        <w:t>СПРАВОЧНАЯ ИНФОРМАЦИЯ</w:t>
      </w:r>
    </w:p>
    <w:p w14:paraId="53FA1709" w14:textId="04A8BB9B" w:rsidR="00F6297A" w:rsidRDefault="00A67EF3" w:rsidP="00F6297A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40316">
        <w:rPr>
          <w:lang w:val="ru-RU"/>
        </w:rPr>
        <w:t xml:space="preserve">Стандарт ВОИС </w:t>
      </w:r>
      <w:r w:rsidR="00240316">
        <w:t>ST.61</w:t>
      </w:r>
      <w:r w:rsidR="00240316">
        <w:rPr>
          <w:lang w:val="ru-RU"/>
        </w:rPr>
        <w:t xml:space="preserve"> был принят на восьмой сессии Комитета по стандартам ВОИС</w:t>
      </w:r>
      <w:r>
        <w:t xml:space="preserve"> (</w:t>
      </w:r>
      <w:r w:rsidR="00240316">
        <w:rPr>
          <w:lang w:val="ru-RU"/>
        </w:rPr>
        <w:t>КСВ</w:t>
      </w:r>
      <w:r>
        <w:t>)</w:t>
      </w:r>
      <w:r w:rsidR="00216BFF">
        <w:t xml:space="preserve"> (</w:t>
      </w:r>
      <w:r w:rsidR="00240316">
        <w:rPr>
          <w:lang w:val="ru-RU"/>
        </w:rPr>
        <w:t>см. пункт</w:t>
      </w:r>
      <w:r w:rsidR="00216BFF">
        <w:t xml:space="preserve"> 28 </w:t>
      </w:r>
      <w:r w:rsidR="00240316">
        <w:rPr>
          <w:lang w:val="ru-RU"/>
        </w:rPr>
        <w:t>документа</w:t>
      </w:r>
      <w:r w:rsidR="00216BFF">
        <w:t xml:space="preserve"> CWS/8/24)</w:t>
      </w:r>
      <w:r>
        <w:t xml:space="preserve">.  </w:t>
      </w:r>
      <w:r w:rsidR="0095051D">
        <w:rPr>
          <w:lang w:val="ru-RU"/>
        </w:rPr>
        <w:t>В этом стандарте пр</w:t>
      </w:r>
      <w:r w:rsidR="00A16E34">
        <w:rPr>
          <w:lang w:val="ru-RU"/>
        </w:rPr>
        <w:t>едставлена</w:t>
      </w:r>
      <w:r w:rsidR="0095051D">
        <w:rPr>
          <w:lang w:val="ru-RU"/>
        </w:rPr>
        <w:t xml:space="preserve"> стандартизированная модель, которая позволяет описать правовой статус заявки на товарный знак в </w:t>
      </w:r>
      <w:r w:rsidR="00A16E34">
        <w:rPr>
          <w:lang w:val="ru-RU"/>
        </w:rPr>
        <w:t>ходе</w:t>
      </w:r>
      <w:r w:rsidR="0095051D">
        <w:rPr>
          <w:lang w:val="ru-RU"/>
        </w:rPr>
        <w:t xml:space="preserve"> проведения делопроизводства</w:t>
      </w:r>
      <w:r w:rsidR="00A16E34">
        <w:rPr>
          <w:lang w:val="ru-RU"/>
        </w:rPr>
        <w:t xml:space="preserve"> по ней</w:t>
      </w:r>
      <w:r w:rsidR="0095051D">
        <w:rPr>
          <w:lang w:val="ru-RU"/>
        </w:rPr>
        <w:t xml:space="preserve"> в рамках регистрационной системы, </w:t>
      </w:r>
      <w:r w:rsidR="00174664">
        <w:rPr>
          <w:lang w:val="ru-RU"/>
        </w:rPr>
        <w:t xml:space="preserve">а также </w:t>
      </w:r>
      <w:r w:rsidR="0095051D">
        <w:rPr>
          <w:lang w:val="ru-RU"/>
        </w:rPr>
        <w:t>правовой статус зарегистрированного товарного знака</w:t>
      </w:r>
      <w:r w:rsidR="00F6297A">
        <w:t>.</w:t>
      </w:r>
    </w:p>
    <w:p w14:paraId="3C529155" w14:textId="0F5E2E40" w:rsidR="00A67EF3" w:rsidRDefault="00F6297A" w:rsidP="00A67EF3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37518F">
        <w:rPr>
          <w:lang w:val="ru-RU"/>
        </w:rPr>
        <w:t xml:space="preserve">На этой же сессии ведомствам интеллектуальной собственности </w:t>
      </w:r>
      <w:r w:rsidR="0006713A">
        <w:t>(</w:t>
      </w:r>
      <w:r w:rsidR="0037518F">
        <w:rPr>
          <w:lang w:val="ru-RU"/>
        </w:rPr>
        <w:t>ВИС</w:t>
      </w:r>
      <w:r w:rsidR="0006713A">
        <w:t xml:space="preserve">) </w:t>
      </w:r>
      <w:r w:rsidR="0037518F">
        <w:rPr>
          <w:lang w:val="ru-RU"/>
        </w:rPr>
        <w:t>было предложено представить сопоставительные таблицы</w:t>
      </w:r>
      <w:r w:rsidR="003D52FD">
        <w:rPr>
          <w:lang w:val="ru-RU"/>
        </w:rPr>
        <w:t>, указывающие, как соотносятся принятые у них события правового статуса</w:t>
      </w:r>
      <w:r w:rsidR="0006763C">
        <w:rPr>
          <w:lang w:val="ru-RU"/>
        </w:rPr>
        <w:t xml:space="preserve"> с событиями</w:t>
      </w:r>
      <w:r w:rsidR="003D52FD">
        <w:rPr>
          <w:lang w:val="ru-RU"/>
        </w:rPr>
        <w:t xml:space="preserve">, </w:t>
      </w:r>
      <w:r w:rsidR="0006763C">
        <w:rPr>
          <w:lang w:val="ru-RU"/>
        </w:rPr>
        <w:t>определенными в стандарте ВОИС</w:t>
      </w:r>
      <w:r>
        <w:t xml:space="preserve"> ST.61</w:t>
      </w:r>
      <w:r w:rsidR="0006763C">
        <w:rPr>
          <w:lang w:val="ru-RU"/>
        </w:rPr>
        <w:t>, вместе с планом дальнейшего внедрения</w:t>
      </w:r>
      <w:r w:rsidR="00216BFF">
        <w:t xml:space="preserve"> (</w:t>
      </w:r>
      <w:r w:rsidR="0006763C">
        <w:rPr>
          <w:lang w:val="ru-RU"/>
        </w:rPr>
        <w:t>см. пункт </w:t>
      </w:r>
      <w:r w:rsidR="00216BFF">
        <w:t xml:space="preserve">30 </w:t>
      </w:r>
      <w:r w:rsidR="0006763C">
        <w:rPr>
          <w:lang w:val="ru-RU"/>
        </w:rPr>
        <w:t>документа </w:t>
      </w:r>
      <w:r w:rsidR="00216BFF">
        <w:t>CWS/8/24)</w:t>
      </w:r>
      <w:r>
        <w:t xml:space="preserve">.  </w:t>
      </w:r>
      <w:r w:rsidR="00997993">
        <w:rPr>
          <w:lang w:val="ru-RU"/>
        </w:rPr>
        <w:t>Представленные сопоставительные таблицы опубликованы в части </w:t>
      </w:r>
      <w:r>
        <w:t>7</w:t>
      </w:r>
      <w:r w:rsidR="00216BFF">
        <w:t>.13.3</w:t>
      </w:r>
      <w:r>
        <w:t xml:space="preserve"> </w:t>
      </w:r>
      <w:r w:rsidR="00997993">
        <w:rPr>
          <w:lang w:val="ru-RU"/>
        </w:rPr>
        <w:t xml:space="preserve">Справочника ВОИС на веб-сайте </w:t>
      </w:r>
      <w:r w:rsidR="005E5461">
        <w:rPr>
          <w:lang w:val="ru-RU"/>
        </w:rPr>
        <w:t xml:space="preserve">Организации </w:t>
      </w:r>
      <w:r w:rsidR="00997993">
        <w:rPr>
          <w:lang w:val="ru-RU"/>
        </w:rPr>
        <w:t>по адресу</w:t>
      </w:r>
      <w:r w:rsidR="00216BFF">
        <w:t xml:space="preserve"> </w:t>
      </w:r>
      <w:hyperlink r:id="rId9" w:history="1">
        <w:r w:rsidR="00216BFF" w:rsidRPr="008C57C1">
          <w:rPr>
            <w:rStyle w:val="Hyperlink"/>
            <w:color w:val="000000" w:themeColor="text1"/>
          </w:rPr>
          <w:t>https://www.wipo.int/standards/en/part_07.html</w:t>
        </w:r>
      </w:hyperlink>
      <w:r>
        <w:t>.</w:t>
      </w:r>
    </w:p>
    <w:p w14:paraId="469E3448" w14:textId="77777777" w:rsidR="00A67EF3" w:rsidRDefault="00A67EF3" w:rsidP="00A67EF3"/>
    <w:p w14:paraId="3E489628" w14:textId="6BF74ED2" w:rsidR="00A67EF3" w:rsidRDefault="00216BFF" w:rsidP="00C3025C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A2AEC">
        <w:rPr>
          <w:lang w:val="ru-RU"/>
        </w:rPr>
        <w:t>Модернизация стандарта ВОИС</w:t>
      </w:r>
      <w:r>
        <w:t xml:space="preserve"> ST.61 </w:t>
      </w:r>
      <w:r w:rsidR="00DA2AEC">
        <w:rPr>
          <w:lang w:val="ru-RU"/>
        </w:rPr>
        <w:t>проводится в рамках задачи № </w:t>
      </w:r>
      <w:r>
        <w:t>47</w:t>
      </w:r>
      <w:r w:rsidR="0006713A">
        <w:t>,</w:t>
      </w:r>
      <w:r w:rsidR="00DA2AEC">
        <w:rPr>
          <w:lang w:val="ru-RU"/>
        </w:rPr>
        <w:t xml:space="preserve"> сформулированной следующим образом</w:t>
      </w:r>
      <w:r>
        <w:t>:</w:t>
      </w:r>
    </w:p>
    <w:p w14:paraId="01B55ADF" w14:textId="36A7C970" w:rsidR="00216BFF" w:rsidRPr="00DA2AEC" w:rsidRDefault="00216BFF" w:rsidP="00A67EF3">
      <w:pPr>
        <w:rPr>
          <w:lang w:val="ru-RU"/>
        </w:rPr>
      </w:pPr>
      <w:r>
        <w:tab/>
      </w:r>
      <w:r w:rsidR="00DA2AEC">
        <w:rPr>
          <w:lang w:val="ru-RU"/>
        </w:rPr>
        <w:t>«</w:t>
      </w:r>
      <w:r w:rsidR="00987556" w:rsidRPr="00987556">
        <w:rPr>
          <w:i/>
          <w:lang w:val="ru-RU"/>
        </w:rPr>
        <w:t>Подготовить предложения по пересмотру и обновлению стандартов ВОИС ST.27, ST.87 и ST.61; подготовить дополнительные материалы в целях содействия использованию этих стандартов сообществом ИС; и оказать помощь Целевой группе по XML для ПС в разработке компонентов для данных событий, касающихся правового статуса</w:t>
      </w:r>
      <w:r w:rsidR="00DA2AEC">
        <w:rPr>
          <w:i/>
          <w:lang w:val="ru-RU"/>
        </w:rPr>
        <w:t>»</w:t>
      </w:r>
      <w:r w:rsidR="00987556">
        <w:rPr>
          <w:i/>
          <w:lang w:val="ru-RU"/>
        </w:rPr>
        <w:t>.</w:t>
      </w:r>
    </w:p>
    <w:p w14:paraId="256BC46D" w14:textId="77777777" w:rsidR="00C3025C" w:rsidRDefault="00C3025C" w:rsidP="00A67EF3"/>
    <w:p w14:paraId="71C820AC" w14:textId="186D888F" w:rsidR="00B82D95" w:rsidRDefault="00C3025C" w:rsidP="00A67EF3">
      <w:r w:rsidRPr="00AB2CFC">
        <w:fldChar w:fldCharType="begin"/>
      </w:r>
      <w:r w:rsidRPr="00AB2CFC">
        <w:instrText xml:space="preserve"> AUTONUM  </w:instrText>
      </w:r>
      <w:r w:rsidRPr="00AB2CFC">
        <w:fldChar w:fldCharType="end"/>
      </w:r>
      <w:r w:rsidRPr="00AB2CFC">
        <w:tab/>
      </w:r>
      <w:r w:rsidR="00C47FA8">
        <w:rPr>
          <w:lang w:val="ru-RU"/>
        </w:rPr>
        <w:t xml:space="preserve">Одним из приоритетов Целевой группы по правовому статусу с момента завершения последней сессии КСВ являлось взаимодействие с Целевой группой по </w:t>
      </w:r>
      <w:r w:rsidR="005A5C84" w:rsidRPr="00AB2CFC">
        <w:t>XML</w:t>
      </w:r>
      <w:r w:rsidR="00C47FA8">
        <w:rPr>
          <w:lang w:val="ru-RU"/>
        </w:rPr>
        <w:t xml:space="preserve"> для ПС, нацеленное на разработку компонентов расширяемого языка разметки </w:t>
      </w:r>
      <w:r w:rsidR="00EF3AB1" w:rsidRPr="00AB2CFC">
        <w:t>(</w:t>
      </w:r>
      <w:r w:rsidR="005A5C84" w:rsidRPr="00AB2CFC">
        <w:t>XML</w:t>
      </w:r>
      <w:r w:rsidR="00C47FA8">
        <w:rPr>
          <w:lang w:val="ru-RU"/>
        </w:rPr>
        <w:t>-компонентов</w:t>
      </w:r>
      <w:r w:rsidR="00EF3AB1" w:rsidRPr="00AB2CFC">
        <w:t>)</w:t>
      </w:r>
      <w:r w:rsidR="00C47FA8">
        <w:rPr>
          <w:lang w:val="ru-RU"/>
        </w:rPr>
        <w:t xml:space="preserve"> для </w:t>
      </w:r>
      <w:r w:rsidR="00356038">
        <w:rPr>
          <w:lang w:val="ru-RU"/>
        </w:rPr>
        <w:t xml:space="preserve">указания </w:t>
      </w:r>
      <w:r w:rsidR="0091362D">
        <w:rPr>
          <w:lang w:val="ru-RU"/>
        </w:rPr>
        <w:t>правового статуса товарного знака на основе стандарта ВОИС</w:t>
      </w:r>
      <w:r w:rsidR="005A5C84" w:rsidRPr="00AB2CFC">
        <w:t xml:space="preserve"> ST.61</w:t>
      </w:r>
      <w:r w:rsidR="008A4139">
        <w:t xml:space="preserve">. </w:t>
      </w:r>
      <w:r w:rsidR="00EF3AB1" w:rsidRPr="00AB2CFC">
        <w:t xml:space="preserve"> </w:t>
      </w:r>
      <w:r w:rsidR="00356038">
        <w:rPr>
          <w:lang w:val="ru-RU"/>
        </w:rPr>
        <w:t>В частности, эта работа заключалась в проведении обзора содержания приложения</w:t>
      </w:r>
      <w:r w:rsidR="00AA78A5">
        <w:rPr>
          <w:lang w:val="ru-RU"/>
        </w:rPr>
        <w:t xml:space="preserve"> </w:t>
      </w:r>
      <w:r w:rsidR="00EF3AB1" w:rsidRPr="00AB2CFC">
        <w:t>II</w:t>
      </w:r>
      <w:r w:rsidR="009F58F1">
        <w:rPr>
          <w:lang w:val="ru-RU"/>
        </w:rPr>
        <w:t xml:space="preserve"> к</w:t>
      </w:r>
      <w:r w:rsidR="009F58F1" w:rsidRPr="009F58F1">
        <w:t xml:space="preserve"> </w:t>
      </w:r>
      <w:r w:rsidR="009F58F1" w:rsidRPr="00AB2CFC">
        <w:t>ST.61</w:t>
      </w:r>
      <w:r w:rsidR="000D602E">
        <w:rPr>
          <w:lang w:val="ru-RU"/>
        </w:rPr>
        <w:t>,</w:t>
      </w:r>
      <w:r w:rsidR="000C6938">
        <w:rPr>
          <w:lang w:val="ru-RU"/>
        </w:rPr>
        <w:t xml:space="preserve"> </w:t>
      </w:r>
      <w:r w:rsidR="000D602E">
        <w:rPr>
          <w:lang w:val="ru-RU"/>
        </w:rPr>
        <w:t xml:space="preserve">посвященного </w:t>
      </w:r>
      <w:r w:rsidR="00356038">
        <w:rPr>
          <w:lang w:val="ru-RU"/>
        </w:rPr>
        <w:t>дополнительны</w:t>
      </w:r>
      <w:r w:rsidR="000D602E">
        <w:rPr>
          <w:lang w:val="ru-RU"/>
        </w:rPr>
        <w:t>м</w:t>
      </w:r>
      <w:r w:rsidR="00356038">
        <w:rPr>
          <w:lang w:val="ru-RU"/>
        </w:rPr>
        <w:t xml:space="preserve"> данны</w:t>
      </w:r>
      <w:r w:rsidR="000D602E">
        <w:rPr>
          <w:lang w:val="ru-RU"/>
        </w:rPr>
        <w:t>м</w:t>
      </w:r>
      <w:r w:rsidR="00356038">
        <w:rPr>
          <w:lang w:val="ru-RU"/>
        </w:rPr>
        <w:t>, которые могут быть внесены для каждой отдельной категории стандарта</w:t>
      </w:r>
      <w:r w:rsidR="00AB2CFC" w:rsidRPr="00AB2CFC">
        <w:t xml:space="preserve"> ST.61</w:t>
      </w:r>
      <w:r w:rsidR="005A5C84" w:rsidRPr="00AB2CFC">
        <w:t>.</w:t>
      </w:r>
    </w:p>
    <w:p w14:paraId="08D458D4" w14:textId="77777777" w:rsidR="00B926DA" w:rsidRDefault="00B926DA" w:rsidP="00A67EF3"/>
    <w:p w14:paraId="7462069F" w14:textId="76BF3940" w:rsidR="00C3025C" w:rsidRDefault="00B82D95" w:rsidP="00A67EF3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1573D7">
        <w:rPr>
          <w:lang w:val="ru-RU"/>
        </w:rPr>
        <w:t>Экспертам, назначенным ведомствами обеих целевых групп, было предложено назвать потенциально отсутствующие элементы для каждой категории событий</w:t>
      </w:r>
      <w:r w:rsidR="00AB2CFC" w:rsidRPr="00AB2CFC">
        <w:t xml:space="preserve">.  </w:t>
      </w:r>
      <w:r w:rsidR="00597B02">
        <w:rPr>
          <w:lang w:val="ru-RU"/>
        </w:rPr>
        <w:t xml:space="preserve">Для анализа </w:t>
      </w:r>
      <w:r w:rsidR="00155C61">
        <w:rPr>
          <w:lang w:val="ru-RU"/>
        </w:rPr>
        <w:t>соо</w:t>
      </w:r>
      <w:r w:rsidR="001207F8">
        <w:rPr>
          <w:lang w:val="ru-RU"/>
        </w:rPr>
        <w:t>б</w:t>
      </w:r>
      <w:r w:rsidR="00155C61">
        <w:rPr>
          <w:lang w:val="ru-RU"/>
        </w:rPr>
        <w:t>ражений</w:t>
      </w:r>
      <w:r w:rsidR="00597B02">
        <w:rPr>
          <w:lang w:val="ru-RU"/>
        </w:rPr>
        <w:t>, полученных от двух целевых групп, и подготовки предложения о пересмотре приложения </w:t>
      </w:r>
      <w:r w:rsidR="00597B02">
        <w:t xml:space="preserve">II </w:t>
      </w:r>
      <w:r w:rsidR="00597B02">
        <w:rPr>
          <w:lang w:val="ru-RU"/>
        </w:rPr>
        <w:t xml:space="preserve">стандарта ВОИС </w:t>
      </w:r>
      <w:r w:rsidR="00597B02">
        <w:t>ST</w:t>
      </w:r>
      <w:r w:rsidR="00597B02">
        <w:rPr>
          <w:lang w:val="ru-RU"/>
        </w:rPr>
        <w:t>.61 в августе 2023 года было проведено дистанционное заседание с</w:t>
      </w:r>
      <w:r w:rsidR="005C50D2">
        <w:rPr>
          <w:lang w:val="ru-RU"/>
        </w:rPr>
        <w:t xml:space="preserve"> участием таких </w:t>
      </w:r>
      <w:r w:rsidR="00597B02">
        <w:rPr>
          <w:lang w:val="ru-RU"/>
        </w:rPr>
        <w:t>экспертов</w:t>
      </w:r>
      <w:r w:rsidR="00AB2CFC" w:rsidRPr="00AB2CFC">
        <w:t>.</w:t>
      </w:r>
    </w:p>
    <w:p w14:paraId="6FA4FDB1" w14:textId="7DD82505" w:rsidR="00C3025C" w:rsidRDefault="00DA0B93" w:rsidP="00C3025C">
      <w:pPr>
        <w:pStyle w:val="Heading2"/>
      </w:pPr>
      <w:r>
        <w:rPr>
          <w:lang w:val="ru-RU"/>
        </w:rPr>
        <w:t xml:space="preserve">предлагаемые изменения к стандарту воис </w:t>
      </w:r>
      <w:r w:rsidR="005857F0">
        <w:t>ST.61</w:t>
      </w:r>
    </w:p>
    <w:p w14:paraId="27A559ED" w14:textId="220C58AA" w:rsidR="001D7E0A" w:rsidRDefault="005857F0" w:rsidP="001D7E0A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BC3A52">
        <w:rPr>
          <w:lang w:val="ru-RU"/>
        </w:rPr>
        <w:t>В рамках выполнения задачи № </w:t>
      </w:r>
      <w:r w:rsidR="001D7E0A">
        <w:t>47</w:t>
      </w:r>
      <w:r w:rsidR="00BC3A52">
        <w:rPr>
          <w:lang w:val="ru-RU"/>
        </w:rPr>
        <w:t xml:space="preserve"> Целевая группа по правовому статусу предлагает пересмотреть приложение </w:t>
      </w:r>
      <w:r w:rsidR="00BC3A52">
        <w:t>II</w:t>
      </w:r>
      <w:r w:rsidR="00BC3A52">
        <w:rPr>
          <w:lang w:val="ru-RU"/>
        </w:rPr>
        <w:t xml:space="preserve"> к стандарту ВОИС </w:t>
      </w:r>
      <w:r w:rsidR="001D7E0A">
        <w:t xml:space="preserve">ST.61.  </w:t>
      </w:r>
      <w:r w:rsidR="00FE49C8">
        <w:rPr>
          <w:lang w:val="ru-RU"/>
        </w:rPr>
        <w:t xml:space="preserve">Предлагаемые изменения к приложению </w:t>
      </w:r>
      <w:r w:rsidR="00A75A4F">
        <w:t>II</w:t>
      </w:r>
      <w:r w:rsidR="00AF5624">
        <w:t xml:space="preserve"> </w:t>
      </w:r>
      <w:r w:rsidR="00FE49C8">
        <w:rPr>
          <w:lang w:val="ru-RU"/>
        </w:rPr>
        <w:t xml:space="preserve">к </w:t>
      </w:r>
      <w:r w:rsidR="00AF5624">
        <w:t>ST.61</w:t>
      </w:r>
      <w:r w:rsidR="00A75A4F">
        <w:t xml:space="preserve"> </w:t>
      </w:r>
      <w:r w:rsidR="00FE49C8">
        <w:rPr>
          <w:lang w:val="ru-RU"/>
        </w:rPr>
        <w:t>представлены в приложении к настоящему документу</w:t>
      </w:r>
      <w:r w:rsidR="008C57C1">
        <w:t xml:space="preserve">. </w:t>
      </w:r>
      <w:r w:rsidR="00FE49C8">
        <w:rPr>
          <w:lang w:val="ru-RU"/>
        </w:rPr>
        <w:t xml:space="preserve"> </w:t>
      </w:r>
      <w:r w:rsidR="00A07985">
        <w:rPr>
          <w:lang w:val="ru-RU"/>
        </w:rPr>
        <w:t xml:space="preserve">В нем приводится только приложение </w:t>
      </w:r>
      <w:r w:rsidR="00AF5624">
        <w:t xml:space="preserve">II </w:t>
      </w:r>
      <w:r w:rsidR="00A07985">
        <w:rPr>
          <w:lang w:val="ru-RU"/>
        </w:rPr>
        <w:t>к стандарту</w:t>
      </w:r>
      <w:r w:rsidR="00AF5624">
        <w:t xml:space="preserve"> ST.61</w:t>
      </w:r>
      <w:r w:rsidR="00A07985">
        <w:rPr>
          <w:lang w:val="ru-RU"/>
        </w:rPr>
        <w:t>: сам стандарт и другие приложения в прилагаемом тексте отсутствуют</w:t>
      </w:r>
      <w:r w:rsidR="00AF5624">
        <w:t xml:space="preserve">.  </w:t>
      </w:r>
      <w:r w:rsidR="00FF0F95">
        <w:rPr>
          <w:lang w:val="ru-RU"/>
        </w:rPr>
        <w:t xml:space="preserve">Изменения </w:t>
      </w:r>
      <w:r w:rsidR="00851799">
        <w:rPr>
          <w:lang w:val="ru-RU"/>
        </w:rPr>
        <w:t xml:space="preserve">выделены </w:t>
      </w:r>
      <w:r w:rsidR="00FF0F95">
        <w:rPr>
          <w:lang w:val="ru-RU"/>
        </w:rPr>
        <w:t>желтым цветом и указаны в режиме правки, при этом перечеркнутый текст предлагается опустить, а подчеркнутый текст – добавить</w:t>
      </w:r>
      <w:r w:rsidR="001D7E0A">
        <w:t>.</w:t>
      </w:r>
    </w:p>
    <w:p w14:paraId="0D779EDC" w14:textId="3ED37F1E" w:rsidR="005857F0" w:rsidRDefault="001D7E0A" w:rsidP="005857F0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56956">
        <w:rPr>
          <w:lang w:val="ru-RU"/>
        </w:rPr>
        <w:t>Предлагаемые изменения к приложению </w:t>
      </w:r>
      <w:r>
        <w:t>II</w:t>
      </w:r>
      <w:r w:rsidR="00056956">
        <w:rPr>
          <w:lang w:val="ru-RU"/>
        </w:rPr>
        <w:t xml:space="preserve"> стандарта ВОИС</w:t>
      </w:r>
      <w:r>
        <w:t xml:space="preserve"> ST.</w:t>
      </w:r>
      <w:r w:rsidR="0006713A">
        <w:t>61</w:t>
      </w:r>
      <w:r>
        <w:t xml:space="preserve"> </w:t>
      </w:r>
      <w:r w:rsidR="00056956">
        <w:rPr>
          <w:lang w:val="ru-RU"/>
        </w:rPr>
        <w:t>можно резюмировать следующим образом</w:t>
      </w:r>
      <w:r>
        <w:t>:</w:t>
      </w:r>
    </w:p>
    <w:p w14:paraId="41161585" w14:textId="77777777" w:rsidR="001D7E0A" w:rsidRDefault="001D7E0A" w:rsidP="00A75A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5522"/>
      </w:tblGrid>
      <w:tr w:rsidR="00237901" w14:paraId="00A6D245" w14:textId="77777777" w:rsidTr="00A75A4F">
        <w:tc>
          <w:tcPr>
            <w:tcW w:w="1555" w:type="dxa"/>
            <w:shd w:val="pct10" w:color="auto" w:fill="auto"/>
          </w:tcPr>
          <w:p w14:paraId="0744609E" w14:textId="5F3A668F" w:rsidR="00A75A4F" w:rsidRDefault="00A45EBF" w:rsidP="00B82D95">
            <w:pPr>
              <w:jc w:val="center"/>
            </w:pPr>
            <w:r>
              <w:rPr>
                <w:lang w:val="ru-RU"/>
              </w:rPr>
              <w:t>Категория</w:t>
            </w:r>
          </w:p>
        </w:tc>
        <w:tc>
          <w:tcPr>
            <w:tcW w:w="2268" w:type="dxa"/>
            <w:shd w:val="pct10" w:color="auto" w:fill="auto"/>
          </w:tcPr>
          <w:p w14:paraId="653B43F2" w14:textId="707A384B" w:rsidR="00A75A4F" w:rsidRDefault="00A45EBF" w:rsidP="00B82D95">
            <w:pPr>
              <w:jc w:val="center"/>
            </w:pPr>
            <w:r>
              <w:rPr>
                <w:lang w:val="ru-RU"/>
              </w:rPr>
              <w:t>Событие</w:t>
            </w:r>
          </w:p>
        </w:tc>
        <w:tc>
          <w:tcPr>
            <w:tcW w:w="5522" w:type="dxa"/>
            <w:shd w:val="pct10" w:color="auto" w:fill="auto"/>
          </w:tcPr>
          <w:p w14:paraId="2DAA7DBF" w14:textId="35BE5BD7" w:rsidR="00A75A4F" w:rsidRDefault="00A45EBF" w:rsidP="00B82D95">
            <w:pPr>
              <w:jc w:val="center"/>
            </w:pPr>
            <w:r>
              <w:rPr>
                <w:lang w:val="ru-RU"/>
              </w:rPr>
              <w:t>Предлагаемое добавление</w:t>
            </w:r>
          </w:p>
        </w:tc>
      </w:tr>
      <w:tr w:rsidR="00A75A4F" w14:paraId="658E3FC7" w14:textId="77777777" w:rsidTr="00A75A4F">
        <w:tc>
          <w:tcPr>
            <w:tcW w:w="1555" w:type="dxa"/>
          </w:tcPr>
          <w:p w14:paraId="1ADD584B" w14:textId="77777777" w:rsidR="00A75A4F" w:rsidRDefault="00A75A4F" w:rsidP="00B82D95">
            <w:pPr>
              <w:spacing w:after="240"/>
              <w:jc w:val="center"/>
            </w:pPr>
            <w:r>
              <w:t>A</w:t>
            </w:r>
          </w:p>
        </w:tc>
        <w:tc>
          <w:tcPr>
            <w:tcW w:w="2268" w:type="dxa"/>
          </w:tcPr>
          <w:p w14:paraId="3890E3B4" w14:textId="71E1E8FB" w:rsidR="00A75A4F" w:rsidRDefault="00A45EBF" w:rsidP="00661D4D">
            <w:pPr>
              <w:spacing w:after="240"/>
            </w:pPr>
            <w:r>
              <w:rPr>
                <w:lang w:val="ru-RU"/>
              </w:rPr>
              <w:t>Подача заявки</w:t>
            </w:r>
          </w:p>
        </w:tc>
        <w:tc>
          <w:tcPr>
            <w:tcW w:w="5522" w:type="dxa"/>
          </w:tcPr>
          <w:p w14:paraId="297C470C" w14:textId="19F734EE" w:rsidR="00A75A4F" w:rsidRDefault="00727E00" w:rsidP="00661D4D">
            <w:pPr>
              <w:pStyle w:val="ListParagraph"/>
              <w:numPr>
                <w:ilvl w:val="0"/>
                <w:numId w:val="9"/>
              </w:numPr>
              <w:spacing w:after="240"/>
            </w:pPr>
            <w:r>
              <w:rPr>
                <w:lang w:val="ru-RU"/>
              </w:rPr>
              <w:t>Р</w:t>
            </w:r>
            <w:r w:rsidR="00FB3177">
              <w:rPr>
                <w:lang w:val="ru-RU"/>
              </w:rPr>
              <w:t>азновидность товарного знака</w:t>
            </w:r>
            <w:r w:rsidR="00A75A4F">
              <w:t xml:space="preserve"> (</w:t>
            </w:r>
            <w:r w:rsidR="00FB3177">
              <w:rPr>
                <w:lang w:val="ru-RU"/>
              </w:rPr>
              <w:t>например, коллективный знак</w:t>
            </w:r>
            <w:r w:rsidR="00A75A4F">
              <w:t>)</w:t>
            </w:r>
          </w:p>
          <w:p w14:paraId="1FBE60A4" w14:textId="5E1E66FA" w:rsidR="00A75A4F" w:rsidRDefault="00727E00" w:rsidP="00661D4D">
            <w:pPr>
              <w:pStyle w:val="ListParagraph"/>
              <w:numPr>
                <w:ilvl w:val="0"/>
                <w:numId w:val="9"/>
              </w:numPr>
              <w:spacing w:after="240"/>
            </w:pPr>
            <w:r>
              <w:rPr>
                <w:lang w:val="ru-RU"/>
              </w:rPr>
              <w:t>В</w:t>
            </w:r>
            <w:r w:rsidR="00515303">
              <w:rPr>
                <w:lang w:val="ru-RU"/>
              </w:rPr>
              <w:t>ид</w:t>
            </w:r>
            <w:r w:rsidR="00FB3177">
              <w:rPr>
                <w:lang w:val="ru-RU"/>
              </w:rPr>
              <w:t xml:space="preserve"> товарного знака</w:t>
            </w:r>
            <w:r w:rsidR="00A75A4F">
              <w:t xml:space="preserve"> (</w:t>
            </w:r>
            <w:r w:rsidR="00FB3177">
              <w:rPr>
                <w:lang w:val="ru-RU"/>
              </w:rPr>
              <w:t>например, изобразительный знак</w:t>
            </w:r>
            <w:r w:rsidR="00A75A4F">
              <w:t>)</w:t>
            </w:r>
          </w:p>
        </w:tc>
      </w:tr>
      <w:tr w:rsidR="00A75A4F" w14:paraId="7F2E72E4" w14:textId="77777777" w:rsidTr="00A75A4F">
        <w:tc>
          <w:tcPr>
            <w:tcW w:w="1555" w:type="dxa"/>
          </w:tcPr>
          <w:p w14:paraId="1D31AB15" w14:textId="77777777" w:rsidR="00A75A4F" w:rsidRDefault="00A75A4F" w:rsidP="00B82D95">
            <w:pPr>
              <w:spacing w:after="240"/>
              <w:jc w:val="center"/>
            </w:pPr>
            <w:r>
              <w:t>B</w:t>
            </w:r>
          </w:p>
        </w:tc>
        <w:tc>
          <w:tcPr>
            <w:tcW w:w="2268" w:type="dxa"/>
          </w:tcPr>
          <w:p w14:paraId="157D0CCA" w14:textId="59D203E0" w:rsidR="00A75A4F" w:rsidRPr="002E5668" w:rsidRDefault="00A45EBF" w:rsidP="00661D4D">
            <w:pPr>
              <w:spacing w:after="240"/>
              <w:rPr>
                <w:lang w:val="ru-RU"/>
              </w:rPr>
            </w:pPr>
            <w:r w:rsidRPr="002E5668">
              <w:rPr>
                <w:lang w:val="ru-RU"/>
              </w:rPr>
              <w:t>Прекращение делопроизводства по заявке</w:t>
            </w:r>
          </w:p>
        </w:tc>
        <w:tc>
          <w:tcPr>
            <w:tcW w:w="5522" w:type="dxa"/>
          </w:tcPr>
          <w:p w14:paraId="796051C9" w14:textId="68A106B9" w:rsidR="00A75A4F" w:rsidRDefault="00727E00" w:rsidP="00661D4D">
            <w:pPr>
              <w:pStyle w:val="ListParagraph"/>
              <w:numPr>
                <w:ilvl w:val="0"/>
                <w:numId w:val="10"/>
              </w:numPr>
              <w:spacing w:after="240"/>
            </w:pPr>
            <w:r>
              <w:rPr>
                <w:lang w:val="ru-RU"/>
              </w:rPr>
              <w:t>И</w:t>
            </w:r>
            <w:r w:rsidR="00AF503A">
              <w:rPr>
                <w:lang w:val="ru-RU"/>
              </w:rPr>
              <w:t>нформация</w:t>
            </w:r>
            <w:r>
              <w:rPr>
                <w:lang w:val="ru-RU"/>
              </w:rPr>
              <w:t xml:space="preserve"> о судебных действиях</w:t>
            </w:r>
          </w:p>
        </w:tc>
      </w:tr>
      <w:tr w:rsidR="00A75A4F" w14:paraId="5C96179B" w14:textId="77777777" w:rsidTr="00A75A4F">
        <w:tc>
          <w:tcPr>
            <w:tcW w:w="1555" w:type="dxa"/>
          </w:tcPr>
          <w:p w14:paraId="33FAA42B" w14:textId="77777777" w:rsidR="00A75A4F" w:rsidRDefault="00A75A4F" w:rsidP="00B82D95">
            <w:pPr>
              <w:spacing w:after="240"/>
              <w:jc w:val="center"/>
            </w:pPr>
            <w:r>
              <w:t>C</w:t>
            </w:r>
          </w:p>
        </w:tc>
        <w:tc>
          <w:tcPr>
            <w:tcW w:w="2268" w:type="dxa"/>
          </w:tcPr>
          <w:p w14:paraId="3178CB88" w14:textId="46364B7B" w:rsidR="00A75A4F" w:rsidRDefault="00042895" w:rsidP="00661D4D">
            <w:pPr>
              <w:spacing w:after="240"/>
            </w:pPr>
            <w:r>
              <w:rPr>
                <w:lang w:val="ru-RU"/>
              </w:rPr>
              <w:t>Восстановление заявки</w:t>
            </w:r>
          </w:p>
        </w:tc>
        <w:tc>
          <w:tcPr>
            <w:tcW w:w="5522" w:type="dxa"/>
          </w:tcPr>
          <w:p w14:paraId="0224E5F2" w14:textId="474B8633" w:rsidR="00A75A4F" w:rsidRDefault="00AF503A" w:rsidP="00661D4D">
            <w:pPr>
              <w:pStyle w:val="ListParagraph"/>
              <w:numPr>
                <w:ilvl w:val="0"/>
                <w:numId w:val="10"/>
              </w:numPr>
              <w:spacing w:after="240"/>
            </w:pPr>
            <w:r>
              <w:rPr>
                <w:lang w:val="ru-RU"/>
              </w:rPr>
              <w:t>Причина восстановления</w:t>
            </w:r>
          </w:p>
        </w:tc>
      </w:tr>
      <w:tr w:rsidR="00A75A4F" w14:paraId="1242C797" w14:textId="77777777" w:rsidTr="00A75A4F">
        <w:tc>
          <w:tcPr>
            <w:tcW w:w="1555" w:type="dxa"/>
          </w:tcPr>
          <w:p w14:paraId="051472FA" w14:textId="77777777" w:rsidR="00A75A4F" w:rsidRDefault="00A75A4F" w:rsidP="00B82D95">
            <w:pPr>
              <w:spacing w:after="240"/>
              <w:jc w:val="center"/>
            </w:pPr>
            <w:r>
              <w:t>D</w:t>
            </w:r>
          </w:p>
        </w:tc>
        <w:tc>
          <w:tcPr>
            <w:tcW w:w="2268" w:type="dxa"/>
          </w:tcPr>
          <w:p w14:paraId="7C8B86E1" w14:textId="0ADDE256" w:rsidR="00A75A4F" w:rsidRDefault="00744390" w:rsidP="00661D4D">
            <w:pPr>
              <w:spacing w:after="240"/>
            </w:pPr>
            <w:r>
              <w:rPr>
                <w:lang w:val="ru-RU"/>
              </w:rPr>
              <w:t>Поиск и экспертиза</w:t>
            </w:r>
          </w:p>
        </w:tc>
        <w:tc>
          <w:tcPr>
            <w:tcW w:w="5522" w:type="dxa"/>
          </w:tcPr>
          <w:p w14:paraId="0FC2706F" w14:textId="051725E2" w:rsidR="00A75A4F" w:rsidRDefault="00727E00" w:rsidP="00661D4D">
            <w:pPr>
              <w:pStyle w:val="ListParagraph"/>
              <w:numPr>
                <w:ilvl w:val="0"/>
                <w:numId w:val="10"/>
              </w:numPr>
              <w:spacing w:after="240"/>
            </w:pPr>
            <w:r>
              <w:rPr>
                <w:lang w:val="ru-RU"/>
              </w:rPr>
              <w:t>В</w:t>
            </w:r>
            <w:r w:rsidR="00901C07">
              <w:rPr>
                <w:lang w:val="ru-RU"/>
              </w:rPr>
              <w:t>ид экспертизы</w:t>
            </w:r>
            <w:r w:rsidR="0085479C">
              <w:t xml:space="preserve"> (</w:t>
            </w:r>
            <w:r w:rsidR="00901C07">
              <w:rPr>
                <w:lang w:val="ru-RU"/>
              </w:rPr>
              <w:t>например, экспертиза по существу</w:t>
            </w:r>
            <w:r w:rsidR="0085479C">
              <w:t>)</w:t>
            </w:r>
          </w:p>
          <w:p w14:paraId="31600E31" w14:textId="1422242D" w:rsidR="0085479C" w:rsidRDefault="00727E00" w:rsidP="00661D4D">
            <w:pPr>
              <w:pStyle w:val="ListParagraph"/>
              <w:numPr>
                <w:ilvl w:val="0"/>
                <w:numId w:val="10"/>
              </w:numPr>
              <w:spacing w:after="240"/>
            </w:pPr>
            <w:r>
              <w:rPr>
                <w:lang w:val="ru-RU"/>
              </w:rPr>
              <w:t>Д</w:t>
            </w:r>
            <w:r w:rsidR="00901C07">
              <w:rPr>
                <w:lang w:val="ru-RU"/>
              </w:rPr>
              <w:t>анные решения экспертизы</w:t>
            </w:r>
          </w:p>
          <w:p w14:paraId="4D0D4CA9" w14:textId="32D7E7AA" w:rsidR="0085479C" w:rsidRDefault="00727E00" w:rsidP="00661D4D">
            <w:pPr>
              <w:pStyle w:val="ListParagraph"/>
              <w:numPr>
                <w:ilvl w:val="0"/>
                <w:numId w:val="10"/>
              </w:numPr>
              <w:spacing w:after="240"/>
            </w:pPr>
            <w:r>
              <w:rPr>
                <w:lang w:val="ru-RU"/>
              </w:rPr>
              <w:t>Д</w:t>
            </w:r>
            <w:r w:rsidR="00901C07">
              <w:rPr>
                <w:lang w:val="ru-RU"/>
              </w:rPr>
              <w:t>анные отчета о поиске</w:t>
            </w:r>
          </w:p>
        </w:tc>
      </w:tr>
      <w:tr w:rsidR="00A75A4F" w14:paraId="003CEBB6" w14:textId="77777777" w:rsidTr="00A75A4F">
        <w:tc>
          <w:tcPr>
            <w:tcW w:w="1555" w:type="dxa"/>
          </w:tcPr>
          <w:p w14:paraId="26EF9751" w14:textId="77777777" w:rsidR="00A75A4F" w:rsidRDefault="0085479C" w:rsidP="00B82D95">
            <w:pPr>
              <w:spacing w:after="240"/>
              <w:jc w:val="center"/>
            </w:pPr>
            <w:r>
              <w:t>F</w:t>
            </w:r>
          </w:p>
        </w:tc>
        <w:tc>
          <w:tcPr>
            <w:tcW w:w="2268" w:type="dxa"/>
          </w:tcPr>
          <w:p w14:paraId="508CBF63" w14:textId="3CD4D936" w:rsidR="00A75A4F" w:rsidRDefault="00237901" w:rsidP="00661D4D">
            <w:pPr>
              <w:spacing w:after="240"/>
            </w:pPr>
            <w:r>
              <w:rPr>
                <w:lang w:val="ru-RU"/>
              </w:rPr>
              <w:t>Регистрация товарного знака</w:t>
            </w:r>
          </w:p>
        </w:tc>
        <w:tc>
          <w:tcPr>
            <w:tcW w:w="5522" w:type="dxa"/>
          </w:tcPr>
          <w:p w14:paraId="42972550" w14:textId="4E2736A8" w:rsidR="0085479C" w:rsidRDefault="00727E00" w:rsidP="00661D4D">
            <w:pPr>
              <w:pStyle w:val="ListParagraph"/>
              <w:numPr>
                <w:ilvl w:val="0"/>
                <w:numId w:val="11"/>
              </w:numPr>
              <w:spacing w:after="240"/>
            </w:pPr>
            <w:r>
              <w:rPr>
                <w:lang w:val="ru-RU"/>
              </w:rPr>
              <w:t>Р</w:t>
            </w:r>
            <w:r w:rsidR="00B82AF0">
              <w:rPr>
                <w:lang w:val="ru-RU"/>
              </w:rPr>
              <w:t>азновидность товарного знака</w:t>
            </w:r>
            <w:r w:rsidR="0085479C">
              <w:t xml:space="preserve"> (</w:t>
            </w:r>
            <w:r w:rsidR="00B82AF0">
              <w:rPr>
                <w:lang w:val="ru-RU"/>
              </w:rPr>
              <w:t>например, коллективный знак</w:t>
            </w:r>
            <w:r w:rsidR="0085479C">
              <w:t>)</w:t>
            </w:r>
          </w:p>
          <w:p w14:paraId="1AF6919D" w14:textId="36AC4F22" w:rsidR="0085479C" w:rsidRDefault="00727E00" w:rsidP="00B82AF0">
            <w:pPr>
              <w:pStyle w:val="ListParagraph"/>
              <w:numPr>
                <w:ilvl w:val="0"/>
                <w:numId w:val="11"/>
              </w:numPr>
              <w:spacing w:after="240"/>
            </w:pPr>
            <w:r>
              <w:rPr>
                <w:lang w:val="ru-RU"/>
              </w:rPr>
              <w:t>В</w:t>
            </w:r>
            <w:r w:rsidR="00B82AF0">
              <w:rPr>
                <w:lang w:val="ru-RU"/>
              </w:rPr>
              <w:t>ид товарного знака</w:t>
            </w:r>
            <w:r w:rsidR="0085479C">
              <w:t xml:space="preserve"> (</w:t>
            </w:r>
            <w:r w:rsidR="00B82AF0">
              <w:rPr>
                <w:lang w:val="ru-RU"/>
              </w:rPr>
              <w:t>например, изобразительный знак</w:t>
            </w:r>
            <w:r w:rsidR="0085479C">
              <w:t>)</w:t>
            </w:r>
          </w:p>
        </w:tc>
      </w:tr>
      <w:tr w:rsidR="00A75A4F" w14:paraId="426A097B" w14:textId="77777777" w:rsidTr="00A75A4F">
        <w:tc>
          <w:tcPr>
            <w:tcW w:w="1555" w:type="dxa"/>
          </w:tcPr>
          <w:p w14:paraId="3C2B5705" w14:textId="77777777" w:rsidR="00A75A4F" w:rsidRDefault="0085479C" w:rsidP="00B82D95">
            <w:pPr>
              <w:spacing w:after="240"/>
              <w:jc w:val="center"/>
            </w:pPr>
            <w:r>
              <w:t>H</w:t>
            </w:r>
          </w:p>
        </w:tc>
        <w:tc>
          <w:tcPr>
            <w:tcW w:w="2268" w:type="dxa"/>
          </w:tcPr>
          <w:p w14:paraId="65B6339B" w14:textId="271E4E49" w:rsidR="00A75A4F" w:rsidRDefault="00237901" w:rsidP="00661D4D">
            <w:pPr>
              <w:spacing w:after="240"/>
            </w:pPr>
            <w:r>
              <w:rPr>
                <w:lang w:val="ru-RU"/>
              </w:rPr>
              <w:t>Прекращение действия права ПС</w:t>
            </w:r>
          </w:p>
        </w:tc>
        <w:tc>
          <w:tcPr>
            <w:tcW w:w="5522" w:type="dxa"/>
          </w:tcPr>
          <w:p w14:paraId="19E6B2E7" w14:textId="1E69DFB9" w:rsidR="00A75A4F" w:rsidRDefault="00727E00" w:rsidP="00661D4D">
            <w:pPr>
              <w:pStyle w:val="ListParagraph"/>
              <w:numPr>
                <w:ilvl w:val="0"/>
                <w:numId w:val="12"/>
              </w:numPr>
              <w:spacing w:after="240"/>
            </w:pPr>
            <w:r>
              <w:rPr>
                <w:lang w:val="ru-RU"/>
              </w:rPr>
              <w:t>Информация о судебных действиях</w:t>
            </w:r>
          </w:p>
        </w:tc>
      </w:tr>
      <w:tr w:rsidR="00A75A4F" w14:paraId="72413865" w14:textId="77777777" w:rsidTr="00A75A4F">
        <w:tc>
          <w:tcPr>
            <w:tcW w:w="1555" w:type="dxa"/>
          </w:tcPr>
          <w:p w14:paraId="78FA8B0C" w14:textId="77777777" w:rsidR="00A75A4F" w:rsidRDefault="009E0A8F" w:rsidP="00B82D95">
            <w:pPr>
              <w:spacing w:after="240"/>
              <w:jc w:val="center"/>
            </w:pPr>
            <w:r>
              <w:lastRenderedPageBreak/>
              <w:t>L</w:t>
            </w:r>
          </w:p>
        </w:tc>
        <w:tc>
          <w:tcPr>
            <w:tcW w:w="2268" w:type="dxa"/>
          </w:tcPr>
          <w:p w14:paraId="3EB5439F" w14:textId="464AA5D9" w:rsidR="00A75A4F" w:rsidRDefault="00237901" w:rsidP="00661D4D">
            <w:pPr>
              <w:spacing w:after="240"/>
            </w:pPr>
            <w:r>
              <w:rPr>
                <w:lang w:val="ru-RU"/>
              </w:rPr>
              <w:t>Запрос о пересмотре права ПС</w:t>
            </w:r>
          </w:p>
        </w:tc>
        <w:tc>
          <w:tcPr>
            <w:tcW w:w="5522" w:type="dxa"/>
          </w:tcPr>
          <w:p w14:paraId="4AEFF2C4" w14:textId="402D111D" w:rsidR="00A75A4F" w:rsidRDefault="009B2A56" w:rsidP="00661D4D">
            <w:pPr>
              <w:pStyle w:val="ListParagraph"/>
              <w:numPr>
                <w:ilvl w:val="0"/>
                <w:numId w:val="12"/>
              </w:numPr>
              <w:spacing w:after="240"/>
            </w:pPr>
            <w:r>
              <w:rPr>
                <w:lang w:val="ru-RU"/>
              </w:rPr>
              <w:t>Причина запроса о пересмотре права</w:t>
            </w:r>
          </w:p>
        </w:tc>
      </w:tr>
      <w:tr w:rsidR="00A75A4F" w14:paraId="5AD185BB" w14:textId="77777777" w:rsidTr="00A75A4F">
        <w:tc>
          <w:tcPr>
            <w:tcW w:w="1555" w:type="dxa"/>
          </w:tcPr>
          <w:p w14:paraId="4B1D69CF" w14:textId="77777777" w:rsidR="00A75A4F" w:rsidRDefault="009E0A8F" w:rsidP="00B82D95">
            <w:pPr>
              <w:spacing w:after="240"/>
              <w:jc w:val="center"/>
            </w:pPr>
            <w:r>
              <w:t>R</w:t>
            </w:r>
          </w:p>
        </w:tc>
        <w:tc>
          <w:tcPr>
            <w:tcW w:w="2268" w:type="dxa"/>
          </w:tcPr>
          <w:p w14:paraId="4271126D" w14:textId="6E95D98E" w:rsidR="00A75A4F" w:rsidRDefault="00F20FB7" w:rsidP="00661D4D">
            <w:pPr>
              <w:spacing w:after="240"/>
            </w:pPr>
            <w:r>
              <w:rPr>
                <w:lang w:val="ru-RU"/>
              </w:rPr>
              <w:t>Изменение данных о сторонах</w:t>
            </w:r>
          </w:p>
        </w:tc>
        <w:tc>
          <w:tcPr>
            <w:tcW w:w="5522" w:type="dxa"/>
          </w:tcPr>
          <w:p w14:paraId="06DCAC7A" w14:textId="2C46E915" w:rsidR="00A75A4F" w:rsidRDefault="007A2611" w:rsidP="00661D4D">
            <w:pPr>
              <w:pStyle w:val="ListParagraph"/>
              <w:numPr>
                <w:ilvl w:val="0"/>
                <w:numId w:val="12"/>
              </w:numPr>
              <w:spacing w:after="240"/>
            </w:pPr>
            <w:r>
              <w:rPr>
                <w:lang w:val="ru-RU"/>
              </w:rPr>
              <w:t>Переданные товары</w:t>
            </w:r>
            <w:r w:rsidR="009E0A8F">
              <w:t>/</w:t>
            </w:r>
            <w:r>
              <w:rPr>
                <w:lang w:val="ru-RU"/>
              </w:rPr>
              <w:t>услуги</w:t>
            </w:r>
          </w:p>
        </w:tc>
      </w:tr>
    </w:tbl>
    <w:p w14:paraId="330446BA" w14:textId="77777777" w:rsidR="00A75A4F" w:rsidRDefault="00A75A4F" w:rsidP="00A75A4F"/>
    <w:p w14:paraId="5CE6AAE0" w14:textId="65F0932B" w:rsidR="001D7E0A" w:rsidRDefault="00100F04" w:rsidP="001121D5">
      <w:pPr>
        <w:pStyle w:val="ListParagraph"/>
        <w:numPr>
          <w:ilvl w:val="0"/>
          <w:numId w:val="13"/>
        </w:numPr>
        <w:tabs>
          <w:tab w:val="left" w:pos="5580"/>
        </w:tabs>
        <w:spacing w:before="93" w:after="220"/>
        <w:ind w:left="5573" w:firstLine="7"/>
        <w:rPr>
          <w:i/>
        </w:rPr>
      </w:pPr>
      <w:r>
        <w:rPr>
          <w:i/>
          <w:lang w:val="ru-RU"/>
        </w:rPr>
        <w:t>КСВ предлагается</w:t>
      </w:r>
      <w:r w:rsidR="001D7E0A" w:rsidRPr="001121D5">
        <w:rPr>
          <w:i/>
        </w:rPr>
        <w:t>:</w:t>
      </w:r>
    </w:p>
    <w:p w14:paraId="133EEA20" w14:textId="77777777" w:rsidR="00100F04" w:rsidRPr="001121D5" w:rsidRDefault="00100F04" w:rsidP="00100F04">
      <w:pPr>
        <w:pStyle w:val="ListParagraph"/>
        <w:tabs>
          <w:tab w:val="left" w:pos="5580"/>
        </w:tabs>
        <w:spacing w:before="93" w:after="220"/>
        <w:ind w:left="5580"/>
        <w:rPr>
          <w:i/>
        </w:rPr>
      </w:pPr>
    </w:p>
    <w:p w14:paraId="75AFF7C4" w14:textId="0975DC3A" w:rsidR="00A75A4F" w:rsidRPr="001121D5" w:rsidRDefault="005C294A" w:rsidP="001121D5">
      <w:pPr>
        <w:pStyle w:val="ListParagraph"/>
        <w:widowControl w:val="0"/>
        <w:numPr>
          <w:ilvl w:val="0"/>
          <w:numId w:val="8"/>
        </w:numPr>
        <w:tabs>
          <w:tab w:val="left" w:pos="6785"/>
          <w:tab w:val="left" w:pos="6786"/>
        </w:tabs>
        <w:autoSpaceDE w:val="0"/>
        <w:autoSpaceDN w:val="0"/>
        <w:ind w:left="5518" w:right="276" w:firstLine="700"/>
        <w:contextualSpacing w:val="0"/>
        <w:rPr>
          <w:i/>
          <w:szCs w:val="22"/>
          <w:lang w:val="ru-RU"/>
        </w:rPr>
      </w:pPr>
      <w:r>
        <w:rPr>
          <w:i/>
          <w:szCs w:val="22"/>
          <w:lang w:val="ru-RU"/>
        </w:rPr>
        <w:t>принять к сведению информацию, изложенную в настоящем документе и приложении к нему</w:t>
      </w:r>
      <w:r w:rsidR="001D7E0A" w:rsidRPr="001121D5">
        <w:rPr>
          <w:i/>
          <w:szCs w:val="22"/>
          <w:lang w:val="ru-RU"/>
        </w:rPr>
        <w:t>;</w:t>
      </w:r>
      <w:r w:rsidR="00A75A4F" w:rsidRPr="001121D5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</w:t>
      </w:r>
      <w:r w:rsidR="00265C6D">
        <w:rPr>
          <w:i/>
          <w:szCs w:val="22"/>
          <w:lang w:val="ru-RU"/>
        </w:rPr>
        <w:t xml:space="preserve"> </w:t>
      </w:r>
      <w:r w:rsidR="001121D5">
        <w:rPr>
          <w:i/>
          <w:szCs w:val="22"/>
          <w:lang w:val="ru-RU"/>
        </w:rPr>
        <w:br/>
      </w:r>
    </w:p>
    <w:p w14:paraId="7AC102BA" w14:textId="695BA49B" w:rsidR="001D7E0A" w:rsidRPr="001121D5" w:rsidRDefault="00D271BD" w:rsidP="001121D5">
      <w:pPr>
        <w:pStyle w:val="ListParagraph"/>
        <w:widowControl w:val="0"/>
        <w:numPr>
          <w:ilvl w:val="0"/>
          <w:numId w:val="8"/>
        </w:numPr>
        <w:tabs>
          <w:tab w:val="left" w:pos="6785"/>
          <w:tab w:val="left" w:pos="6786"/>
        </w:tabs>
        <w:autoSpaceDE w:val="0"/>
        <w:autoSpaceDN w:val="0"/>
        <w:ind w:left="5518" w:right="276" w:firstLine="700"/>
        <w:contextualSpacing w:val="0"/>
        <w:rPr>
          <w:i/>
          <w:szCs w:val="22"/>
          <w:lang w:val="ru-RU"/>
        </w:rPr>
      </w:pPr>
      <w:r>
        <w:rPr>
          <w:i/>
          <w:szCs w:val="22"/>
          <w:lang w:val="ru-RU"/>
        </w:rPr>
        <w:t xml:space="preserve">рассмотреть и утвердить предлагаемые изменения к стандарту ВОИС </w:t>
      </w:r>
      <w:r w:rsidR="001D7E0A" w:rsidRPr="001121D5">
        <w:rPr>
          <w:i/>
          <w:szCs w:val="22"/>
          <w:lang w:val="ru-RU"/>
        </w:rPr>
        <w:t>S</w:t>
      </w:r>
      <w:r w:rsidR="00A75A4F" w:rsidRPr="001121D5">
        <w:rPr>
          <w:i/>
          <w:szCs w:val="22"/>
          <w:lang w:val="ru-RU"/>
        </w:rPr>
        <w:t xml:space="preserve">T.61, </w:t>
      </w:r>
      <w:r>
        <w:rPr>
          <w:i/>
          <w:szCs w:val="22"/>
          <w:lang w:val="ru-RU"/>
        </w:rPr>
        <w:t xml:space="preserve">изложенные в пунктах </w:t>
      </w:r>
      <w:r w:rsidR="00A42FB8" w:rsidRPr="001121D5">
        <w:rPr>
          <w:i/>
          <w:szCs w:val="22"/>
          <w:lang w:val="ru-RU"/>
        </w:rPr>
        <w:t>6</w:t>
      </w:r>
      <w:r>
        <w:rPr>
          <w:i/>
          <w:szCs w:val="22"/>
          <w:lang w:val="ru-RU"/>
        </w:rPr>
        <w:t> и </w:t>
      </w:r>
      <w:r w:rsidR="00B82D95" w:rsidRPr="001121D5">
        <w:rPr>
          <w:i/>
          <w:szCs w:val="22"/>
          <w:lang w:val="ru-RU"/>
        </w:rPr>
        <w:t>7</w:t>
      </w:r>
      <w:r>
        <w:rPr>
          <w:i/>
          <w:szCs w:val="22"/>
          <w:lang w:val="ru-RU"/>
        </w:rPr>
        <w:t>, выше, и показанные в приложении к настоящему документу</w:t>
      </w:r>
      <w:r w:rsidR="001D7E0A" w:rsidRPr="001121D5">
        <w:rPr>
          <w:i/>
          <w:szCs w:val="22"/>
          <w:lang w:val="ru-RU"/>
        </w:rPr>
        <w:t>.</w:t>
      </w:r>
    </w:p>
    <w:p w14:paraId="59928265" w14:textId="03C74103" w:rsidR="001D7E0A" w:rsidRPr="001121D5" w:rsidRDefault="001D7E0A" w:rsidP="001121D5">
      <w:pPr>
        <w:pStyle w:val="BodyText"/>
        <w:rPr>
          <w:i/>
          <w:szCs w:val="22"/>
        </w:rPr>
      </w:pPr>
    </w:p>
    <w:p w14:paraId="0E15C764" w14:textId="77777777" w:rsidR="001121D5" w:rsidRPr="001121D5" w:rsidRDefault="001121D5" w:rsidP="001121D5">
      <w:pPr>
        <w:pStyle w:val="BodyText"/>
        <w:rPr>
          <w:i/>
          <w:szCs w:val="22"/>
        </w:rPr>
      </w:pPr>
    </w:p>
    <w:p w14:paraId="64A13B06" w14:textId="2A9CE7A1" w:rsidR="001D7E0A" w:rsidRPr="001D7E0A" w:rsidRDefault="001D7E0A" w:rsidP="001D7E0A">
      <w:pPr>
        <w:jc w:val="right"/>
      </w:pPr>
      <w:r w:rsidRPr="001D7E0A">
        <w:t>[</w:t>
      </w:r>
      <w:r w:rsidR="006E1986">
        <w:rPr>
          <w:lang w:val="ru-RU"/>
        </w:rPr>
        <w:t>Приложение следует</w:t>
      </w:r>
      <w:r w:rsidRPr="001D7E0A">
        <w:t>]</w:t>
      </w:r>
    </w:p>
    <w:sectPr w:rsidR="001D7E0A" w:rsidRPr="001D7E0A" w:rsidSect="00F656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118B3" w14:textId="77777777" w:rsidR="00D24D13" w:rsidRDefault="00D24D13">
      <w:r>
        <w:separator/>
      </w:r>
    </w:p>
  </w:endnote>
  <w:endnote w:type="continuationSeparator" w:id="0">
    <w:p w14:paraId="754591BF" w14:textId="77777777" w:rsidR="00D24D13" w:rsidRDefault="00D24D13" w:rsidP="003B38C1">
      <w:r>
        <w:separator/>
      </w:r>
    </w:p>
    <w:p w14:paraId="08F53C69" w14:textId="77777777" w:rsidR="00D24D13" w:rsidRPr="003B38C1" w:rsidRDefault="00D24D1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43BB1ED" w14:textId="77777777" w:rsidR="00D24D13" w:rsidRPr="003B38C1" w:rsidRDefault="00D24D1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573C9" w14:textId="77777777" w:rsidR="001B5092" w:rsidRDefault="001B50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910C1" w14:textId="6D2E5882" w:rsidR="00237381" w:rsidRDefault="002373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E2F58" w14:textId="648160F7" w:rsidR="00237381" w:rsidRDefault="0023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1983D" w14:textId="77777777" w:rsidR="00D24D13" w:rsidRDefault="00D24D13">
      <w:r>
        <w:separator/>
      </w:r>
    </w:p>
  </w:footnote>
  <w:footnote w:type="continuationSeparator" w:id="0">
    <w:p w14:paraId="4DD6BC4A" w14:textId="77777777" w:rsidR="00D24D13" w:rsidRDefault="00D24D13" w:rsidP="008B60B2">
      <w:r>
        <w:separator/>
      </w:r>
    </w:p>
    <w:p w14:paraId="42023E98" w14:textId="77777777" w:rsidR="00D24D13" w:rsidRPr="00ED77FB" w:rsidRDefault="00D24D1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0522666" w14:textId="77777777" w:rsidR="00D24D13" w:rsidRPr="00ED77FB" w:rsidRDefault="00D24D1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E675E" w14:textId="77777777" w:rsidR="001B5092" w:rsidRDefault="001B50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CC6ED" w14:textId="4532136A" w:rsidR="00EC4E49" w:rsidRDefault="00F65686" w:rsidP="00477D6B">
    <w:pPr>
      <w:jc w:val="right"/>
    </w:pPr>
    <w:bookmarkStart w:id="6" w:name="Code2"/>
    <w:bookmarkEnd w:id="6"/>
    <w:r>
      <w:t>C</w:t>
    </w:r>
    <w:r w:rsidR="00C3025C">
      <w:t>WS/11</w:t>
    </w:r>
    <w:r>
      <w:t>/</w:t>
    </w:r>
    <w:r w:rsidR="008A4139">
      <w:t>9</w:t>
    </w:r>
  </w:p>
  <w:p w14:paraId="66C82B44" w14:textId="0048762E" w:rsidR="00EC4E49" w:rsidRDefault="00872DE8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1B5092">
      <w:rPr>
        <w:noProof/>
      </w:rPr>
      <w:t>2</w:t>
    </w:r>
    <w:r w:rsidR="00EC4E49">
      <w:fldChar w:fldCharType="end"/>
    </w:r>
  </w:p>
  <w:p w14:paraId="714C03FB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CA0E3" w14:textId="77777777" w:rsidR="001B5092" w:rsidRDefault="001B50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567985"/>
    <w:multiLevelType w:val="hybridMultilevel"/>
    <w:tmpl w:val="0FEE6670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4D36C9"/>
    <w:multiLevelType w:val="hybridMultilevel"/>
    <w:tmpl w:val="E44AA230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9D71C09"/>
    <w:multiLevelType w:val="hybridMultilevel"/>
    <w:tmpl w:val="436614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DB2931"/>
    <w:multiLevelType w:val="hybridMultilevel"/>
    <w:tmpl w:val="D092FBA2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F52C1"/>
    <w:multiLevelType w:val="hybridMultilevel"/>
    <w:tmpl w:val="9D6243EE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240E1"/>
    <w:multiLevelType w:val="hybridMultilevel"/>
    <w:tmpl w:val="436614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11257"/>
    <w:multiLevelType w:val="hybridMultilevel"/>
    <w:tmpl w:val="4A62DFDE"/>
    <w:lvl w:ilvl="0" w:tplc="BFE65F60">
      <w:start w:val="8"/>
      <w:numFmt w:val="decimal"/>
      <w:lvlText w:val="%1."/>
      <w:lvlJc w:val="left"/>
      <w:pPr>
        <w:ind w:left="6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ind w:left="1206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2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F3"/>
    <w:rsid w:val="000004D4"/>
    <w:rsid w:val="0001647B"/>
    <w:rsid w:val="00042895"/>
    <w:rsid w:val="00043CAA"/>
    <w:rsid w:val="00056956"/>
    <w:rsid w:val="0006713A"/>
    <w:rsid w:val="0006763C"/>
    <w:rsid w:val="00075432"/>
    <w:rsid w:val="000817DB"/>
    <w:rsid w:val="00092172"/>
    <w:rsid w:val="000968ED"/>
    <w:rsid w:val="000C6938"/>
    <w:rsid w:val="000D4431"/>
    <w:rsid w:val="000D51BE"/>
    <w:rsid w:val="000D602E"/>
    <w:rsid w:val="000F5E56"/>
    <w:rsid w:val="00100F04"/>
    <w:rsid w:val="001024FE"/>
    <w:rsid w:val="001121D5"/>
    <w:rsid w:val="001207F8"/>
    <w:rsid w:val="00122D8F"/>
    <w:rsid w:val="001362EE"/>
    <w:rsid w:val="00136ED8"/>
    <w:rsid w:val="00142868"/>
    <w:rsid w:val="00155C61"/>
    <w:rsid w:val="001573D7"/>
    <w:rsid w:val="00174664"/>
    <w:rsid w:val="001760E5"/>
    <w:rsid w:val="001832A6"/>
    <w:rsid w:val="001B5092"/>
    <w:rsid w:val="001C6808"/>
    <w:rsid w:val="001D3B9E"/>
    <w:rsid w:val="001D7E0A"/>
    <w:rsid w:val="002052DB"/>
    <w:rsid w:val="002121FA"/>
    <w:rsid w:val="00216BFF"/>
    <w:rsid w:val="00237381"/>
    <w:rsid w:val="00237901"/>
    <w:rsid w:val="00240316"/>
    <w:rsid w:val="002634C4"/>
    <w:rsid w:val="00265C6D"/>
    <w:rsid w:val="002928D3"/>
    <w:rsid w:val="002A0220"/>
    <w:rsid w:val="002E5668"/>
    <w:rsid w:val="002F1FE6"/>
    <w:rsid w:val="002F4E68"/>
    <w:rsid w:val="003004E4"/>
    <w:rsid w:val="00312F7F"/>
    <w:rsid w:val="003228B7"/>
    <w:rsid w:val="003508A3"/>
    <w:rsid w:val="00356038"/>
    <w:rsid w:val="003673CF"/>
    <w:rsid w:val="00372B2D"/>
    <w:rsid w:val="0037518F"/>
    <w:rsid w:val="003845C1"/>
    <w:rsid w:val="00391C3C"/>
    <w:rsid w:val="003A6F89"/>
    <w:rsid w:val="003B38C1"/>
    <w:rsid w:val="003D1E9A"/>
    <w:rsid w:val="003D352A"/>
    <w:rsid w:val="003D3652"/>
    <w:rsid w:val="003D52FD"/>
    <w:rsid w:val="00403D0F"/>
    <w:rsid w:val="00423E3E"/>
    <w:rsid w:val="00427AF4"/>
    <w:rsid w:val="004400E2"/>
    <w:rsid w:val="00461632"/>
    <w:rsid w:val="004647DA"/>
    <w:rsid w:val="00474062"/>
    <w:rsid w:val="00477D6B"/>
    <w:rsid w:val="004D39C4"/>
    <w:rsid w:val="00515303"/>
    <w:rsid w:val="0053057A"/>
    <w:rsid w:val="00560A29"/>
    <w:rsid w:val="005637F9"/>
    <w:rsid w:val="005857F0"/>
    <w:rsid w:val="00594D27"/>
    <w:rsid w:val="00597B02"/>
    <w:rsid w:val="005A5C84"/>
    <w:rsid w:val="005C294A"/>
    <w:rsid w:val="005C50D2"/>
    <w:rsid w:val="005E5461"/>
    <w:rsid w:val="005E64D8"/>
    <w:rsid w:val="00601760"/>
    <w:rsid w:val="00605827"/>
    <w:rsid w:val="0061106C"/>
    <w:rsid w:val="00646050"/>
    <w:rsid w:val="00661D4D"/>
    <w:rsid w:val="006713CA"/>
    <w:rsid w:val="00673408"/>
    <w:rsid w:val="00676C5C"/>
    <w:rsid w:val="00695558"/>
    <w:rsid w:val="006B713B"/>
    <w:rsid w:val="006C4442"/>
    <w:rsid w:val="006D5E0F"/>
    <w:rsid w:val="006E1986"/>
    <w:rsid w:val="00704599"/>
    <w:rsid w:val="007058FB"/>
    <w:rsid w:val="00727E00"/>
    <w:rsid w:val="00744390"/>
    <w:rsid w:val="007A2611"/>
    <w:rsid w:val="007B6A58"/>
    <w:rsid w:val="007D1613"/>
    <w:rsid w:val="007D584F"/>
    <w:rsid w:val="00805153"/>
    <w:rsid w:val="00812D01"/>
    <w:rsid w:val="00851799"/>
    <w:rsid w:val="0085479C"/>
    <w:rsid w:val="00872DE8"/>
    <w:rsid w:val="00873EE5"/>
    <w:rsid w:val="008A4139"/>
    <w:rsid w:val="008B2CC1"/>
    <w:rsid w:val="008B4B5E"/>
    <w:rsid w:val="008B60B2"/>
    <w:rsid w:val="008C57C1"/>
    <w:rsid w:val="00901C07"/>
    <w:rsid w:val="0090731E"/>
    <w:rsid w:val="0091362D"/>
    <w:rsid w:val="00916EE2"/>
    <w:rsid w:val="0095051D"/>
    <w:rsid w:val="00966A22"/>
    <w:rsid w:val="0096722F"/>
    <w:rsid w:val="00980843"/>
    <w:rsid w:val="00987556"/>
    <w:rsid w:val="00997993"/>
    <w:rsid w:val="009B2A56"/>
    <w:rsid w:val="009E0A8F"/>
    <w:rsid w:val="009E2791"/>
    <w:rsid w:val="009E3F6F"/>
    <w:rsid w:val="009F3BF9"/>
    <w:rsid w:val="009F499F"/>
    <w:rsid w:val="009F58F1"/>
    <w:rsid w:val="00A07985"/>
    <w:rsid w:val="00A16E34"/>
    <w:rsid w:val="00A42DAF"/>
    <w:rsid w:val="00A42FB8"/>
    <w:rsid w:val="00A45BD8"/>
    <w:rsid w:val="00A45EBF"/>
    <w:rsid w:val="00A6558C"/>
    <w:rsid w:val="00A67EF3"/>
    <w:rsid w:val="00A72B0E"/>
    <w:rsid w:val="00A75A4F"/>
    <w:rsid w:val="00A778BF"/>
    <w:rsid w:val="00A85B8E"/>
    <w:rsid w:val="00AA78A5"/>
    <w:rsid w:val="00AB2CFC"/>
    <w:rsid w:val="00AC205C"/>
    <w:rsid w:val="00AF503A"/>
    <w:rsid w:val="00AF5624"/>
    <w:rsid w:val="00AF5C73"/>
    <w:rsid w:val="00B05A69"/>
    <w:rsid w:val="00B40598"/>
    <w:rsid w:val="00B50B99"/>
    <w:rsid w:val="00B559A4"/>
    <w:rsid w:val="00B62CD9"/>
    <w:rsid w:val="00B82AF0"/>
    <w:rsid w:val="00B82D95"/>
    <w:rsid w:val="00B926DA"/>
    <w:rsid w:val="00B9734B"/>
    <w:rsid w:val="00BC1161"/>
    <w:rsid w:val="00BC3A52"/>
    <w:rsid w:val="00BC524C"/>
    <w:rsid w:val="00C11BFE"/>
    <w:rsid w:val="00C3025C"/>
    <w:rsid w:val="00C47FA8"/>
    <w:rsid w:val="00C94629"/>
    <w:rsid w:val="00CE65D4"/>
    <w:rsid w:val="00D02330"/>
    <w:rsid w:val="00D24D13"/>
    <w:rsid w:val="00D271BD"/>
    <w:rsid w:val="00D45252"/>
    <w:rsid w:val="00D71B4D"/>
    <w:rsid w:val="00D93D55"/>
    <w:rsid w:val="00DA0B93"/>
    <w:rsid w:val="00DA2AEC"/>
    <w:rsid w:val="00E161A2"/>
    <w:rsid w:val="00E17D4A"/>
    <w:rsid w:val="00E335FE"/>
    <w:rsid w:val="00E5021F"/>
    <w:rsid w:val="00E671A6"/>
    <w:rsid w:val="00EB05A1"/>
    <w:rsid w:val="00EC4E49"/>
    <w:rsid w:val="00ED384F"/>
    <w:rsid w:val="00ED77FB"/>
    <w:rsid w:val="00EF3AB1"/>
    <w:rsid w:val="00F021A6"/>
    <w:rsid w:val="00F11D94"/>
    <w:rsid w:val="00F20FB7"/>
    <w:rsid w:val="00F6297A"/>
    <w:rsid w:val="00F65686"/>
    <w:rsid w:val="00F66152"/>
    <w:rsid w:val="00FB3177"/>
    <w:rsid w:val="00FE49C8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704FA5"/>
  <w15:docId w15:val="{3C1EDA4E-AAE6-419E-947E-5844BCA9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nhideWhenUsed/>
    <w:rsid w:val="00216B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1D7E0A"/>
    <w:pPr>
      <w:ind w:left="720"/>
      <w:contextualSpacing/>
    </w:pPr>
  </w:style>
  <w:style w:type="table" w:styleId="TableGrid">
    <w:name w:val="Table Grid"/>
    <w:basedOn w:val="TableNormal"/>
    <w:rsid w:val="00A75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713A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EF3AB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3AB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3AB1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F3AB1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8C57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57C1"/>
    <w:rPr>
      <w:rFonts w:ascii="Segoe UI" w:eastAsia="SimSun" w:hAnsi="Segoe UI" w:cs="Segoe UI"/>
      <w:sz w:val="18"/>
      <w:szCs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3D52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standards/en/part_07.html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is\Downloads\E_template%20(1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56D9-92AF-432F-A815-DA020D49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E_template (1).dotm</Template>
  <TotalTime>1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</vt:lpstr>
    </vt:vector>
  </TitlesOfParts>
  <Company>WIPO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</dc:title>
  <dc:subject>11th Session Committee on WIPO Standards</dc:subject>
  <dc:creator>WIPO</dc:creator>
  <cp:keywords>CWS/11</cp:keywords>
  <cp:lastModifiedBy>SEILER Joséphine</cp:lastModifiedBy>
  <cp:revision>4</cp:revision>
  <cp:lastPrinted>2023-10-09T11:06:00Z</cp:lastPrinted>
  <dcterms:created xsi:type="dcterms:W3CDTF">2023-10-09T08:30:00Z</dcterms:created>
  <dcterms:modified xsi:type="dcterms:W3CDTF">2023-10-11T12:44:00Z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2023-10-11T12:44:40Z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d2a4e1e9-2b92-48d3-99ac-1d6d51777311</vt:lpwstr>
  </property>
  <property fmtid="{D5CDD505-2E9C-101B-9397-08002B2CF9AE}" pid="14" name="MSIP_Label_20773ee6-353b-4fb9-a59d-0b94c8c67bea_ContentBits">
    <vt:lpwstr>0</vt:lpwstr>
  </property>
</Properties>
</file>