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03990" w14:textId="77777777" w:rsidR="00ED2AA4" w:rsidRPr="0040540C" w:rsidRDefault="00ED2AA4" w:rsidP="00ED2AA4">
      <w:pPr>
        <w:pBdr>
          <w:bottom w:val="single" w:sz="4" w:space="10" w:color="auto"/>
        </w:pBdr>
        <w:spacing w:after="120"/>
        <w:jc w:val="right"/>
      </w:pPr>
      <w:bookmarkStart w:id="0" w:name="_GoBack"/>
      <w:bookmarkEnd w:id="0"/>
      <w:r>
        <w:rPr>
          <w:noProof/>
          <w:lang w:val="en-US" w:eastAsia="en-US"/>
        </w:rPr>
        <w:drawing>
          <wp:inline distT="0" distB="0" distL="0" distR="0" wp14:anchorId="7BC4072E" wp14:editId="2A546E1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42D06FA" w14:textId="77777777" w:rsidR="00ED2AA4" w:rsidRDefault="00ED2AA4" w:rsidP="00ED2AA4">
      <w:pPr>
        <w:jc w:val="right"/>
        <w:rPr>
          <w:rFonts w:ascii="Arial Black" w:hAnsi="Arial Black"/>
          <w:caps/>
          <w:sz w:val="15"/>
        </w:rPr>
      </w:pPr>
      <w:r>
        <w:rPr>
          <w:rFonts w:ascii="Arial Black" w:hAnsi="Arial Black"/>
          <w:caps/>
          <w:sz w:val="15"/>
        </w:rPr>
        <w:t>CWS/9/</w:t>
      </w:r>
      <w:bookmarkStart w:id="1" w:name="Code"/>
      <w:bookmarkEnd w:id="1"/>
      <w:r>
        <w:rPr>
          <w:rFonts w:ascii="Arial Black" w:hAnsi="Arial Black"/>
          <w:caps/>
          <w:sz w:val="15"/>
        </w:rPr>
        <w:t>19</w:t>
      </w:r>
    </w:p>
    <w:p w14:paraId="7E719176" w14:textId="47E08419" w:rsidR="00ED2AA4" w:rsidRPr="0040540C" w:rsidRDefault="00ED2AA4" w:rsidP="00ED2AA4">
      <w:pPr>
        <w:jc w:val="right"/>
      </w:pPr>
      <w:r w:rsidRPr="0090731E">
        <w:rPr>
          <w:rFonts w:ascii="Arial Black" w:hAnsi="Arial Black"/>
          <w:caps/>
          <w:sz w:val="15"/>
        </w:rPr>
        <w:t>ORIGINAL</w:t>
      </w:r>
      <w:r>
        <w:rPr>
          <w:rFonts w:ascii="Arial Black" w:hAnsi="Arial Black"/>
          <w:caps/>
          <w:sz w:val="15"/>
        </w:rPr>
        <w:t xml:space="preserve"> : </w:t>
      </w:r>
      <w:bookmarkStart w:id="2" w:name="Original"/>
      <w:r>
        <w:rPr>
          <w:rFonts w:ascii="Arial Black" w:hAnsi="Arial Black"/>
          <w:caps/>
          <w:sz w:val="15"/>
        </w:rPr>
        <w:t>anglais</w:t>
      </w:r>
    </w:p>
    <w:bookmarkEnd w:id="2"/>
    <w:p w14:paraId="65E66AC1" w14:textId="1D91E2B6" w:rsidR="00ED2AA4" w:rsidRPr="0040540C" w:rsidRDefault="00ED2AA4" w:rsidP="00ED2AA4">
      <w:pPr>
        <w:spacing w:after="1200"/>
        <w:jc w:val="right"/>
      </w:pPr>
      <w:r w:rsidRPr="0090731E">
        <w:rPr>
          <w:rFonts w:ascii="Arial Black" w:hAnsi="Arial Black"/>
          <w:caps/>
          <w:sz w:val="15"/>
        </w:rPr>
        <w:t>DATE</w:t>
      </w:r>
      <w:r>
        <w:rPr>
          <w:rFonts w:ascii="Arial Black" w:hAnsi="Arial Black"/>
          <w:caps/>
          <w:sz w:val="15"/>
        </w:rPr>
        <w:t xml:space="preserve"> : </w:t>
      </w:r>
      <w:bookmarkStart w:id="3" w:name="Date"/>
      <w:r>
        <w:rPr>
          <w:rFonts w:ascii="Arial Black" w:hAnsi="Arial Black"/>
          <w:caps/>
          <w:sz w:val="15"/>
        </w:rPr>
        <w:t>5 octobre 2021</w:t>
      </w:r>
    </w:p>
    <w:bookmarkEnd w:id="3"/>
    <w:p w14:paraId="539A56F0" w14:textId="54EDC1D3" w:rsidR="00ED2AA4" w:rsidRPr="00594AA1" w:rsidRDefault="00ED2AA4" w:rsidP="00ED2AA4">
      <w:pPr>
        <w:pStyle w:val="Title"/>
        <w:rPr>
          <w:caps w:val="0"/>
        </w:rPr>
      </w:pPr>
      <w:r w:rsidRPr="00594AA1">
        <w:rPr>
          <w:caps w:val="0"/>
        </w:rPr>
        <w:t>Comité des normes de l</w:t>
      </w:r>
      <w:r>
        <w:rPr>
          <w:caps w:val="0"/>
        </w:rPr>
        <w:t>’</w:t>
      </w:r>
      <w:r w:rsidRPr="00594AA1">
        <w:rPr>
          <w:caps w:val="0"/>
        </w:rPr>
        <w:t>OMPI (CWS)</w:t>
      </w:r>
    </w:p>
    <w:p w14:paraId="63061372" w14:textId="66FF9DC1" w:rsidR="00ED2AA4" w:rsidRPr="00037E41" w:rsidRDefault="00ED2AA4" w:rsidP="00ED2AA4">
      <w:pPr>
        <w:outlineLvl w:val="1"/>
        <w:rPr>
          <w:b/>
          <w:sz w:val="28"/>
          <w:szCs w:val="28"/>
        </w:rPr>
      </w:pPr>
      <w:r w:rsidRPr="002C6A10">
        <w:rPr>
          <w:b/>
          <w:sz w:val="24"/>
        </w:rPr>
        <w:t>Neuv</w:t>
      </w:r>
      <w:r>
        <w:rPr>
          <w:b/>
          <w:sz w:val="24"/>
        </w:rPr>
        <w:t>ième session</w:t>
      </w:r>
    </w:p>
    <w:p w14:paraId="7B24E995" w14:textId="75DF7E41" w:rsidR="00ED2AA4" w:rsidRPr="003845C1" w:rsidRDefault="00ED2AA4" w:rsidP="00ED2AA4">
      <w:pPr>
        <w:spacing w:after="1200"/>
        <w:outlineLvl w:val="1"/>
        <w:rPr>
          <w:b/>
          <w:sz w:val="24"/>
          <w:szCs w:val="24"/>
        </w:rPr>
      </w:pPr>
      <w:r w:rsidRPr="004527EA">
        <w:rPr>
          <w:b/>
          <w:sz w:val="24"/>
          <w:szCs w:val="24"/>
        </w:rPr>
        <w:t>Genève,</w:t>
      </w:r>
      <w:r>
        <w:rPr>
          <w:b/>
          <w:sz w:val="24"/>
          <w:szCs w:val="24"/>
        </w:rPr>
        <w:t xml:space="preserve"> 1</w:t>
      </w:r>
      <w:r w:rsidRPr="00ED2AA4">
        <w:rPr>
          <w:b/>
          <w:sz w:val="24"/>
          <w:szCs w:val="24"/>
          <w:vertAlign w:val="superscript"/>
        </w:rPr>
        <w:t>er</w:t>
      </w:r>
      <w:r>
        <w:rPr>
          <w:b/>
          <w:sz w:val="24"/>
          <w:szCs w:val="24"/>
        </w:rPr>
        <w:t> </w:t>
      </w:r>
      <w:r w:rsidRPr="004527EA">
        <w:rPr>
          <w:b/>
          <w:sz w:val="24"/>
          <w:szCs w:val="24"/>
        </w:rPr>
        <w:t>– 5</w:t>
      </w:r>
      <w:r>
        <w:rPr>
          <w:b/>
          <w:sz w:val="24"/>
          <w:szCs w:val="24"/>
        </w:rPr>
        <w:t> </w:t>
      </w:r>
      <w:r w:rsidRPr="004527EA">
        <w:rPr>
          <w:b/>
          <w:sz w:val="24"/>
          <w:szCs w:val="24"/>
        </w:rPr>
        <w:t>novembre</w:t>
      </w:r>
      <w:r>
        <w:rPr>
          <w:b/>
          <w:sz w:val="24"/>
          <w:szCs w:val="24"/>
        </w:rPr>
        <w:t> </w:t>
      </w:r>
      <w:r w:rsidRPr="004527EA">
        <w:rPr>
          <w:b/>
          <w:sz w:val="24"/>
          <w:szCs w:val="24"/>
        </w:rPr>
        <w:t>202</w:t>
      </w:r>
      <w:r>
        <w:rPr>
          <w:b/>
          <w:sz w:val="24"/>
          <w:szCs w:val="24"/>
        </w:rPr>
        <w:t>1</w:t>
      </w:r>
    </w:p>
    <w:p w14:paraId="5221EBEB" w14:textId="35D51245" w:rsidR="00ED2AA4" w:rsidRPr="003845C1" w:rsidRDefault="00ED2AA4" w:rsidP="00ED2AA4">
      <w:pPr>
        <w:spacing w:after="360"/>
        <w:rPr>
          <w:caps/>
          <w:sz w:val="24"/>
        </w:rPr>
      </w:pPr>
      <w:bookmarkStart w:id="4" w:name="TitleOfDoc"/>
      <w:r>
        <w:rPr>
          <w:caps/>
          <w:sz w:val="24"/>
        </w:rPr>
        <w:t>Mise à jour du manuel de l’OMPI sur l’information et la documentation en matière de propriété industrielle</w:t>
      </w:r>
    </w:p>
    <w:p w14:paraId="7A647AB2" w14:textId="77777777" w:rsidR="00ED2AA4" w:rsidRPr="008B2CC1" w:rsidRDefault="00ED2AA4" w:rsidP="00ED2AA4">
      <w:pPr>
        <w:spacing w:after="1040"/>
        <w:rPr>
          <w:i/>
        </w:rPr>
      </w:pPr>
      <w:bookmarkStart w:id="5" w:name="Prepared"/>
      <w:bookmarkEnd w:id="4"/>
      <w:bookmarkEnd w:id="5"/>
      <w:r>
        <w:rPr>
          <w:i/>
        </w:rPr>
        <w:t>Document établi par le Bureau international</w:t>
      </w:r>
    </w:p>
    <w:p w14:paraId="4F2E9E44" w14:textId="0503D60C" w:rsidR="00600CFE" w:rsidRDefault="00D42D35" w:rsidP="00D42D35">
      <w:pPr>
        <w:pStyle w:val="Heading2"/>
        <w:rPr>
          <w:rFonts w:eastAsia="Malgun Gothic"/>
          <w:szCs w:val="22"/>
        </w:rPr>
      </w:pPr>
      <w:r>
        <w:t>Rappel</w:t>
      </w:r>
    </w:p>
    <w:p w14:paraId="4A7A64EE" w14:textId="24F526B2" w:rsidR="00305685" w:rsidRDefault="00600CFE" w:rsidP="00C53C0D">
      <w:pPr>
        <w:pStyle w:val="ONUMFS"/>
      </w:pPr>
      <w:r>
        <w:fldChar w:fldCharType="begin"/>
      </w:r>
      <w:r>
        <w:instrText xml:space="preserve"> AUTONUM  </w:instrText>
      </w:r>
      <w:r>
        <w:fldChar w:fldCharType="end"/>
      </w:r>
      <w:r>
        <w:tab/>
        <w:t>À sa huit</w:t>
      </w:r>
      <w:r w:rsidR="00ED2AA4">
        <w:t>ième session</w:t>
      </w:r>
      <w:r>
        <w:t xml:space="preserve"> tenue en 2020, le Comité des normes de l</w:t>
      </w:r>
      <w:r w:rsidR="00ED2AA4">
        <w:t>’</w:t>
      </w:r>
      <w:r>
        <w:t>OMPI (CWS) a pris note de l</w:t>
      </w:r>
      <w:r w:rsidR="00ED2AA4">
        <w:t>’</w:t>
      </w:r>
      <w:r>
        <w:t>ajout de nouveaux éléments de schéma pour les indications géographiques et les données relatives aux œuvres orphelines protégées par le droit d</w:t>
      </w:r>
      <w:r w:rsidR="00ED2AA4">
        <w:t>’</w:t>
      </w:r>
      <w:r>
        <w:t xml:space="preserve">auteur </w:t>
      </w:r>
      <w:r w:rsidR="00D24367">
        <w:t xml:space="preserve">à </w:t>
      </w:r>
      <w:r>
        <w:t>la version 4.0 de la norme ST.96 de l</w:t>
      </w:r>
      <w:r w:rsidR="00ED2AA4">
        <w:t>’</w:t>
      </w:r>
      <w:r>
        <w:t>O</w:t>
      </w:r>
      <w:r w:rsidR="00ED18E9">
        <w:t>MPI.  Le</w:t>
      </w:r>
      <w:r>
        <w:t> CWS a également adopté la norme ST.90 de l</w:t>
      </w:r>
      <w:r w:rsidR="00ED2AA4">
        <w:t>’</w:t>
      </w:r>
      <w:r>
        <w:t>OMPI sous le nom “Recommandations relatives au traitement et à la communication des données de propriété intellectuelle aux API Web (interfaces de programmation d</w:t>
      </w:r>
      <w:r w:rsidR="00ED2AA4">
        <w:t>’</w:t>
      </w:r>
      <w:r>
        <w:t>application)”.  (Voir les paragraphes 86 et 14 à 19 du document CWS/8/24.)</w:t>
      </w:r>
    </w:p>
    <w:p w14:paraId="547ECA36" w14:textId="4EB81807" w:rsidR="00600CFE" w:rsidRDefault="005638A7" w:rsidP="00600CFE">
      <w:pPr>
        <w:pStyle w:val="ONUMFS"/>
      </w:pPr>
      <w:r>
        <w:fldChar w:fldCharType="begin"/>
      </w:r>
      <w:r>
        <w:instrText xml:space="preserve"> AUTONUM  </w:instrText>
      </w:r>
      <w:r>
        <w:fldChar w:fldCharType="end"/>
      </w:r>
      <w:r>
        <w:tab/>
        <w:t>Comme en témoignent ces exemples, les travaux du CWS concernent de plus en plus la propriété intellectuelle, et pas seulement la propriété industriel</w:t>
      </w:r>
      <w:r w:rsidR="00ED18E9">
        <w:t>le.  Le</w:t>
      </w:r>
      <w:r>
        <w:t>s schémas destinés aux œuvres orphelines protégées par le droit d</w:t>
      </w:r>
      <w:r w:rsidR="00ED2AA4">
        <w:t>’</w:t>
      </w:r>
      <w:r>
        <w:t>auteur ont été examinés par le CWS pendant de nombreuses années avant d</w:t>
      </w:r>
      <w:r w:rsidR="00ED2AA4">
        <w:t>’</w:t>
      </w:r>
      <w:r>
        <w:t>être finalement ajoutés à la norme ST.96.  La norme ST.90 sur les API Web a été rédigée d</w:t>
      </w:r>
      <w:r w:rsidR="00ED2AA4">
        <w:t>’</w:t>
      </w:r>
      <w:r>
        <w:t>une manière générale</w:t>
      </w:r>
      <w:r w:rsidR="00330C05">
        <w:t>,</w:t>
      </w:r>
      <w:r>
        <w:t xml:space="preserve"> afin de couvrir tous les types de propriété intellectuelle pertinen</w:t>
      </w:r>
      <w:r w:rsidR="00ED18E9">
        <w:t>ts.  Da</w:t>
      </w:r>
      <w:r>
        <w:t>ns ces circonstances, les réponses des API Web pourraient comprendre des données relatives au droit d</w:t>
      </w:r>
      <w:r w:rsidR="00ED2AA4">
        <w:t>’</w:t>
      </w:r>
      <w:r>
        <w:t>auteur telles que des données relatives aux œuvres orphelines au format de la norme ST.96.  De la même manière, des travaux menés dans d</w:t>
      </w:r>
      <w:r w:rsidR="00ED2AA4">
        <w:t>’</w:t>
      </w:r>
      <w:r>
        <w:t>autres domaines, tels que la chaîne de blocs, peuvent impliquer des données relevant du droit d</w:t>
      </w:r>
      <w:r w:rsidR="00ED2AA4">
        <w:t>’</w:t>
      </w:r>
      <w:r>
        <w:t>auteur.</w:t>
      </w:r>
    </w:p>
    <w:p w14:paraId="1F206BF6" w14:textId="2D63EE50" w:rsidR="00B97F26" w:rsidRDefault="00FC6627" w:rsidP="00600CFE">
      <w:pPr>
        <w:pStyle w:val="ONUMFS"/>
      </w:pPr>
      <w:r>
        <w:fldChar w:fldCharType="begin"/>
      </w:r>
      <w:r>
        <w:instrText xml:space="preserve"> AUTONUM  </w:instrText>
      </w:r>
      <w:r>
        <w:fldChar w:fldCharType="end"/>
      </w:r>
      <w:r>
        <w:tab/>
        <w:t xml:space="preserve">La terminologie du </w:t>
      </w:r>
      <w:hyperlink r:id="rId9" w:history="1">
        <w:r>
          <w:rPr>
            <w:rStyle w:val="Hyperlink"/>
            <w:i/>
          </w:rPr>
          <w:t>Manuel de l</w:t>
        </w:r>
        <w:r w:rsidR="00ED2AA4">
          <w:rPr>
            <w:rStyle w:val="Hyperlink"/>
            <w:i/>
          </w:rPr>
          <w:t>’</w:t>
        </w:r>
        <w:r>
          <w:rPr>
            <w:rStyle w:val="Hyperlink"/>
            <w:i/>
          </w:rPr>
          <w:t>OMPI sur l</w:t>
        </w:r>
        <w:r w:rsidR="00ED2AA4">
          <w:rPr>
            <w:rStyle w:val="Hyperlink"/>
            <w:i/>
          </w:rPr>
          <w:t>’</w:t>
        </w:r>
        <w:r>
          <w:rPr>
            <w:rStyle w:val="Hyperlink"/>
            <w:i/>
          </w:rPr>
          <w:t>information et la documentation en matière de propriété industrielle</w:t>
        </w:r>
      </w:hyperlink>
      <w:r>
        <w:t xml:space="preserve"> ne reflète pas cette réali</w:t>
      </w:r>
      <w:r w:rsidR="00ED18E9">
        <w:t>té.  Le</w:t>
      </w:r>
      <w:r>
        <w:t xml:space="preserve"> titre lui</w:t>
      </w:r>
      <w:r w:rsidR="00D42D35">
        <w:noBreakHyphen/>
      </w:r>
      <w:r>
        <w:t>même indique qu</w:t>
      </w:r>
      <w:r w:rsidR="00ED2AA4">
        <w:t>’</w:t>
      </w:r>
      <w:r>
        <w:t xml:space="preserve">il couvre la </w:t>
      </w:r>
      <w:r>
        <w:lastRenderedPageBreak/>
        <w:t>propriété industrielle, et non la propriété intellectuel</w:t>
      </w:r>
      <w:r w:rsidR="00ED18E9">
        <w:t>le.  De</w:t>
      </w:r>
      <w:r>
        <w:t xml:space="preserve"> la même manière, les titres des parties du Manuel de l</w:t>
      </w:r>
      <w:r w:rsidR="00ED2AA4">
        <w:t>’</w:t>
      </w:r>
      <w:r>
        <w:t>OMPI, tels que les titres de la partie 6, “Accès à l</w:t>
      </w:r>
      <w:r w:rsidR="00ED2AA4">
        <w:t>’</w:t>
      </w:r>
      <w:r>
        <w:t>information et à la documentation en matière de propriété industrielle”, et de la partie 7, “Exemples et pratiques en usage dans les offices de propriété industrielle”, ne reflètent pas le fait que les contenus comprennent déjà ou p</w:t>
      </w:r>
      <w:r w:rsidR="00D42D35">
        <w:t>uissen</w:t>
      </w:r>
      <w:r>
        <w:t>t prochainement contenir des recommandations ou des données qui couvrent la propriété intellectuelle, et non pas uniquement la propriété industriel</w:t>
      </w:r>
      <w:r w:rsidR="00ED18E9">
        <w:t>le.  La</w:t>
      </w:r>
      <w:r>
        <w:t xml:space="preserve"> partie 6, par exemple, contient la partie 6.1, “Contenu minimum recommandé pour les sites Web des offices de </w:t>
      </w:r>
      <w:r>
        <w:rPr>
          <w:u w:val="single"/>
        </w:rPr>
        <w:t>propriété intellectuelle</w:t>
      </w:r>
      <w:r>
        <w:t>”.  La partie 7 pourrait bientôt inclure les résultats d</w:t>
      </w:r>
      <w:r w:rsidR="00ED2AA4">
        <w:t>’</w:t>
      </w:r>
      <w:r>
        <w:t>une enquête menée auprès des offices de propriété intellectuelle, puisque les Équipes d</w:t>
      </w:r>
      <w:r w:rsidR="00ED2AA4">
        <w:t>’</w:t>
      </w:r>
      <w:r>
        <w:t>experts continuent d</w:t>
      </w:r>
      <w:r w:rsidR="00ED2AA4">
        <w:t>’</w:t>
      </w:r>
      <w:r>
        <w:t>élaborer des normes de l</w:t>
      </w:r>
      <w:r w:rsidR="00ED2AA4">
        <w:t>’</w:t>
      </w:r>
      <w:r>
        <w:t>OMPI visant à incorporer tout type de données de propriété intellectuelle avec des technologies telles que</w:t>
      </w:r>
      <w:r w:rsidR="00ED2AA4">
        <w:t xml:space="preserve"> les API</w:t>
      </w:r>
      <w:r>
        <w:t> Web, XML, JSON et la chaîne de blocs.</w:t>
      </w:r>
    </w:p>
    <w:p w14:paraId="0D0FB6FD" w14:textId="42991740" w:rsidR="00075F44" w:rsidRDefault="00D42D35" w:rsidP="00D42D35">
      <w:pPr>
        <w:pStyle w:val="Heading2"/>
        <w:rPr>
          <w:rFonts w:eastAsia="Malgun Gothic"/>
          <w:szCs w:val="22"/>
        </w:rPr>
      </w:pPr>
      <w:r>
        <w:t>Propositions de mise à jour</w:t>
      </w:r>
    </w:p>
    <w:p w14:paraId="2EEBB731" w14:textId="4B97AA90" w:rsidR="0038062B" w:rsidRDefault="0038062B" w:rsidP="00600CFE">
      <w:pPr>
        <w:pStyle w:val="ONUMFS"/>
      </w:pPr>
      <w:r>
        <w:fldChar w:fldCharType="begin"/>
      </w:r>
      <w:r>
        <w:instrText xml:space="preserve"> AUTONUM  </w:instrText>
      </w:r>
      <w:r>
        <w:fldChar w:fldCharType="end"/>
      </w:r>
      <w:r>
        <w:tab/>
        <w:t>Afin de refléter la couverture actuelle du contenu du Manuel de l</w:t>
      </w:r>
      <w:r w:rsidR="00ED2AA4">
        <w:t>’</w:t>
      </w:r>
      <w:r>
        <w:t>OMPI et les travaux à venir du CWS, le Bureau international propose de mettre à jour le texte du Manuel de l</w:t>
      </w:r>
      <w:r w:rsidR="00ED2AA4">
        <w:t>’</w:t>
      </w:r>
      <w:r>
        <w:t>OMPI de la manière suivante</w:t>
      </w:r>
      <w:r w:rsidR="00ED2AA4">
        <w:t> :</w:t>
      </w:r>
    </w:p>
    <w:p w14:paraId="23DF9DE2" w14:textId="06039F76" w:rsidR="0038062B" w:rsidRPr="0038062B" w:rsidRDefault="0038062B" w:rsidP="00D72E92">
      <w:pPr>
        <w:pStyle w:val="ONUMFS"/>
        <w:numPr>
          <w:ilvl w:val="0"/>
          <w:numId w:val="7"/>
        </w:numPr>
        <w:ind w:left="1134" w:hanging="567"/>
      </w:pPr>
      <w:r>
        <w:t>Titre du Manuel</w:t>
      </w:r>
      <w:r w:rsidR="00ED2AA4">
        <w:t> :</w:t>
      </w:r>
      <w:r>
        <w:t xml:space="preserve"> </w:t>
      </w:r>
      <w:r>
        <w:rPr>
          <w:i/>
        </w:rPr>
        <w:t>Manuel de l</w:t>
      </w:r>
      <w:r w:rsidR="00ED2AA4">
        <w:rPr>
          <w:i/>
        </w:rPr>
        <w:t>’</w:t>
      </w:r>
      <w:r>
        <w:rPr>
          <w:i/>
        </w:rPr>
        <w:t>OMPI sur l</w:t>
      </w:r>
      <w:r w:rsidR="00ED2AA4">
        <w:rPr>
          <w:i/>
        </w:rPr>
        <w:t>’</w:t>
      </w:r>
      <w:r>
        <w:rPr>
          <w:i/>
        </w:rPr>
        <w:t xml:space="preserve">information et la documentation en matière de propriété </w:t>
      </w:r>
      <w:r>
        <w:rPr>
          <w:i/>
          <w:u w:val="single"/>
        </w:rPr>
        <w:t>intellectuelle</w:t>
      </w:r>
      <w:r>
        <w:rPr>
          <w:i/>
        </w:rPr>
        <w:t xml:space="preserve"> </w:t>
      </w:r>
      <w:r>
        <w:rPr>
          <w:i/>
          <w:strike/>
        </w:rPr>
        <w:t>industrielle</w:t>
      </w:r>
      <w:r>
        <w:t>;</w:t>
      </w:r>
    </w:p>
    <w:p w14:paraId="54B89ABA" w14:textId="7FDE9C22" w:rsidR="0038062B" w:rsidRDefault="009E0871" w:rsidP="00D72E92">
      <w:pPr>
        <w:pStyle w:val="ONUMFS"/>
        <w:numPr>
          <w:ilvl w:val="0"/>
          <w:numId w:val="7"/>
        </w:numPr>
        <w:ind w:left="1134" w:hanging="567"/>
      </w:pPr>
      <w:r>
        <w:t>Titre de la partie 6</w:t>
      </w:r>
      <w:r w:rsidR="00ED2AA4">
        <w:t> :</w:t>
      </w:r>
      <w:r>
        <w:t xml:space="preserve"> “Accès à l</w:t>
      </w:r>
      <w:r w:rsidR="00ED2AA4">
        <w:t>’</w:t>
      </w:r>
      <w:r>
        <w:t xml:space="preserve">information et à la documentation en matière de propriété </w:t>
      </w:r>
      <w:r>
        <w:rPr>
          <w:u w:val="single"/>
        </w:rPr>
        <w:t>intellectuelle</w:t>
      </w:r>
      <w:r>
        <w:t xml:space="preserve"> </w:t>
      </w:r>
      <w:r>
        <w:rPr>
          <w:strike/>
        </w:rPr>
        <w:t>industrielle</w:t>
      </w:r>
      <w:r>
        <w:t>”;</w:t>
      </w:r>
    </w:p>
    <w:p w14:paraId="4914B12E" w14:textId="0452F016" w:rsidR="00847472" w:rsidRDefault="009E0871" w:rsidP="00D72E92">
      <w:pPr>
        <w:pStyle w:val="ONUMFS"/>
        <w:numPr>
          <w:ilvl w:val="0"/>
          <w:numId w:val="7"/>
        </w:numPr>
        <w:ind w:left="1134" w:hanging="567"/>
      </w:pPr>
      <w:r>
        <w:t>Titre de la partie 7</w:t>
      </w:r>
      <w:r w:rsidR="00ED2AA4">
        <w:t> :</w:t>
      </w:r>
      <w:r>
        <w:t xml:space="preserve"> “Exemples et pratiques en usage dans les offices de propriété </w:t>
      </w:r>
      <w:r>
        <w:rPr>
          <w:u w:val="single"/>
        </w:rPr>
        <w:t>intellectuelle</w:t>
      </w:r>
      <w:r>
        <w:t xml:space="preserve"> </w:t>
      </w:r>
      <w:r>
        <w:rPr>
          <w:strike/>
        </w:rPr>
        <w:t>industrielle</w:t>
      </w:r>
      <w:r>
        <w:t>”;</w:t>
      </w:r>
    </w:p>
    <w:p w14:paraId="39DE02DC" w14:textId="14D83F00" w:rsidR="00ED7F2F" w:rsidRDefault="00ED7F2F" w:rsidP="00D72E92">
      <w:pPr>
        <w:pStyle w:val="ONUMFS"/>
        <w:numPr>
          <w:ilvl w:val="0"/>
          <w:numId w:val="7"/>
        </w:numPr>
        <w:ind w:left="1134" w:hanging="567"/>
      </w:pPr>
      <w:r>
        <w:t>Les termes “propriété industrielle”, dans le texte de la partie 7, seront remplacés par “propriété intellectuelle”</w:t>
      </w:r>
      <w:r w:rsidR="00B576ED">
        <w:t>,</w:t>
      </w:r>
      <w:r>
        <w:t xml:space="preserve"> </w:t>
      </w:r>
      <w:r w:rsidR="00B576ED">
        <w:t>le cas échéa</w:t>
      </w:r>
      <w:r w:rsidR="00ED18E9">
        <w:t>nt.  Le</w:t>
      </w:r>
      <w:r>
        <w:t>s “offices de propriété industrielle” seront, par exemple, changés en “offices de propriété intellectuelle” dans le paragraphe d</w:t>
      </w:r>
      <w:r w:rsidR="00ED2AA4">
        <w:t>’</w:t>
      </w:r>
      <w:r>
        <w:t>introducti</w:t>
      </w:r>
      <w:r w:rsidR="00ED18E9">
        <w:t>on.  Ce</w:t>
      </w:r>
      <w:r>
        <w:t>pendant, le titre de la section 7.10 “Codes utilisés par les offices de propriété industrielle” demeurera inchangé, car il implique une enquête particulière de 2009 qui comprend uniquement des données de propriété industrielle;</w:t>
      </w:r>
    </w:p>
    <w:p w14:paraId="152080E6" w14:textId="3EC80740" w:rsidR="00ED7F2F" w:rsidRDefault="009E0871" w:rsidP="00D72E92">
      <w:pPr>
        <w:pStyle w:val="ONUMFS"/>
        <w:numPr>
          <w:ilvl w:val="0"/>
          <w:numId w:val="7"/>
        </w:numPr>
        <w:ind w:left="1134" w:hanging="567"/>
      </w:pPr>
      <w:r>
        <w:t>Titre de la partie 8</w:t>
      </w:r>
      <w:r w:rsidR="00ED2AA4">
        <w:t> :</w:t>
      </w:r>
      <w:r>
        <w:t xml:space="preserve"> “Termes, abréviations et sigles relatifs à l</w:t>
      </w:r>
      <w:r w:rsidR="00ED2AA4">
        <w:t>’</w:t>
      </w:r>
      <w:r>
        <w:t xml:space="preserve">information et à la documentation en matière de propriété </w:t>
      </w:r>
      <w:r>
        <w:rPr>
          <w:u w:val="single"/>
        </w:rPr>
        <w:t>intellectuelle</w:t>
      </w:r>
      <w:r>
        <w:t xml:space="preserve"> </w:t>
      </w:r>
      <w:r>
        <w:rPr>
          <w:strike/>
        </w:rPr>
        <w:t>industrielle</w:t>
      </w:r>
      <w:proofErr w:type="gramStart"/>
      <w:r>
        <w:t xml:space="preserve">”; </w:t>
      </w:r>
      <w:r w:rsidR="00152B8A">
        <w:t xml:space="preserve"> </w:t>
      </w:r>
      <w:r>
        <w:t>et</w:t>
      </w:r>
      <w:proofErr w:type="gramEnd"/>
    </w:p>
    <w:p w14:paraId="0C737371" w14:textId="7274936A" w:rsidR="00ED2AA4" w:rsidRDefault="00A627BE" w:rsidP="00D72E92">
      <w:pPr>
        <w:pStyle w:val="ONUMFS"/>
        <w:numPr>
          <w:ilvl w:val="0"/>
          <w:numId w:val="7"/>
        </w:numPr>
        <w:ind w:left="1134" w:hanging="567"/>
      </w:pPr>
      <w:r>
        <w:t>Remplacement du terme “propriété industrielle” utilisé à d</w:t>
      </w:r>
      <w:r w:rsidR="00ED2AA4">
        <w:t>’</w:t>
      </w:r>
      <w:r>
        <w:t>autres endroits du Manuel de l</w:t>
      </w:r>
      <w:r w:rsidR="00ED2AA4">
        <w:t>’</w:t>
      </w:r>
      <w:r>
        <w:t>OMPI par “propriété intellectuelle”, si nécessaire.</w:t>
      </w:r>
    </w:p>
    <w:p w14:paraId="132C45D6" w14:textId="1A7347F2" w:rsidR="00ED7F2F" w:rsidRDefault="00ED7F2F" w:rsidP="00ED7F2F">
      <w:pPr>
        <w:pStyle w:val="ONUMFS"/>
      </w:pPr>
      <w:r>
        <w:fldChar w:fldCharType="begin"/>
      </w:r>
      <w:r>
        <w:instrText xml:space="preserve"> AUTONUM  </w:instrText>
      </w:r>
      <w:r>
        <w:fldChar w:fldCharType="end"/>
      </w:r>
      <w:r>
        <w:tab/>
        <w:t>Les autres parties du Manuel n</w:t>
      </w:r>
      <w:r w:rsidR="00ED2AA4">
        <w:t>’</w:t>
      </w:r>
      <w:r>
        <w:t>ont pas besoin d</w:t>
      </w:r>
      <w:r w:rsidR="00ED2AA4">
        <w:t>’</w:t>
      </w:r>
      <w:r>
        <w:t>être mises à jour pour les raisons suivantes</w:t>
      </w:r>
      <w:r w:rsidR="00ED2AA4">
        <w:t> :</w:t>
      </w:r>
    </w:p>
    <w:p w14:paraId="247FE102" w14:textId="6D57F346" w:rsidR="00847472" w:rsidRDefault="00847472" w:rsidP="00D72E92">
      <w:pPr>
        <w:pStyle w:val="ONUMFS"/>
        <w:numPr>
          <w:ilvl w:val="0"/>
          <w:numId w:val="7"/>
        </w:numPr>
        <w:ind w:left="1134" w:hanging="567"/>
      </w:pPr>
      <w:r>
        <w:t>Le texte des parties 1 (À propos du Manuel de l</w:t>
      </w:r>
      <w:r w:rsidR="00ED2AA4">
        <w:t>’</w:t>
      </w:r>
      <w:r>
        <w:t>OMPI) et 3 (Normes de l</w:t>
      </w:r>
      <w:r w:rsidR="00ED2AA4">
        <w:t>’</w:t>
      </w:r>
      <w:r>
        <w:t xml:space="preserve">OMPI) a déjà été mis à jour </w:t>
      </w:r>
      <w:r w:rsidR="00283FC9">
        <w:t xml:space="preserve">aux fins </w:t>
      </w:r>
      <w:r>
        <w:t xml:space="preserve">de remplacer “propriété industrielle” par “propriété intellectuelle” là où cela était nécessaire </w:t>
      </w:r>
      <w:r w:rsidR="00283FC9">
        <w:t xml:space="preserve">en vue </w:t>
      </w:r>
      <w:r>
        <w:t>de refléter fidèlement les conten</w:t>
      </w:r>
      <w:r w:rsidR="00ED18E9">
        <w:t>us.  Le</w:t>
      </w:r>
      <w:r>
        <w:t>s titres des parties n</w:t>
      </w:r>
      <w:r w:rsidR="00ED2AA4">
        <w:t>’</w:t>
      </w:r>
      <w:r>
        <w:t>ont pas besoin d</w:t>
      </w:r>
      <w:r w:rsidR="00ED2AA4">
        <w:t>’</w:t>
      </w:r>
      <w:r>
        <w:t xml:space="preserve">être mis à </w:t>
      </w:r>
      <w:proofErr w:type="gramStart"/>
      <w:r>
        <w:t>jour;  et</w:t>
      </w:r>
      <w:proofErr w:type="gramEnd"/>
    </w:p>
    <w:p w14:paraId="58E7E164" w14:textId="38A16DD0" w:rsidR="00ED7F2F" w:rsidRDefault="009E0871" w:rsidP="00D72E92">
      <w:pPr>
        <w:pStyle w:val="ONUMFS"/>
        <w:numPr>
          <w:ilvl w:val="0"/>
          <w:numId w:val="7"/>
        </w:numPr>
        <w:ind w:left="1134" w:hanging="567"/>
      </w:pPr>
      <w:r>
        <w:t>Les parties 2 (Coopération internationale), 4 (Documentation minimale du PCT) et 5 (Classifications internationales) n</w:t>
      </w:r>
      <w:r w:rsidR="00ED2AA4">
        <w:t>’</w:t>
      </w:r>
      <w:r>
        <w:t>ont pas besoin d</w:t>
      </w:r>
      <w:r w:rsidR="00ED2AA4">
        <w:t>’</w:t>
      </w:r>
      <w:r>
        <w:t>être modifiées parce qu</w:t>
      </w:r>
      <w:r w:rsidR="00ED2AA4">
        <w:t>’</w:t>
      </w:r>
      <w:r>
        <w:t>elles n</w:t>
      </w:r>
      <w:r w:rsidR="00ED2AA4">
        <w:t>’</w:t>
      </w:r>
      <w:r>
        <w:t>impliquent pas de données relatives au droit d</w:t>
      </w:r>
      <w:r w:rsidR="00ED2AA4">
        <w:t>’</w:t>
      </w:r>
      <w:r>
        <w:t>auteur ou ne font pas spécifiquement mention de la propriété industrielle.</w:t>
      </w:r>
    </w:p>
    <w:p w14:paraId="52BEA719" w14:textId="041430BE" w:rsidR="00D96263" w:rsidRDefault="006D51A8" w:rsidP="00600CFE">
      <w:pPr>
        <w:pStyle w:val="ONUMFS"/>
      </w:pPr>
      <w:r>
        <w:lastRenderedPageBreak/>
        <w:fldChar w:fldCharType="begin"/>
      </w:r>
      <w:r>
        <w:instrText xml:space="preserve"> AUTONUM  </w:instrText>
      </w:r>
      <w:r>
        <w:fldChar w:fldCharType="end"/>
      </w:r>
      <w:r>
        <w:tab/>
        <w:t>Les propositions de modification de la terminologie ne visent en aucune manière à élargir la portée des travaux du </w:t>
      </w:r>
      <w:r w:rsidR="00ED18E9">
        <w:t>CWS.  El</w:t>
      </w:r>
      <w:r>
        <w:t>les sont plutôt destinées à simplement refléter les domaines dans lesquels le CWS travaille déjà ou qu</w:t>
      </w:r>
      <w:r w:rsidR="00ED2AA4">
        <w:t>’</w:t>
      </w:r>
      <w:r>
        <w:t>il explore en vue de futurs travaux.</w:t>
      </w:r>
    </w:p>
    <w:p w14:paraId="2DECCA24" w14:textId="036E2CE9" w:rsidR="00ED2AA4" w:rsidRDefault="00600CFE" w:rsidP="00600CFE">
      <w:pPr>
        <w:pStyle w:val="ONUMFS"/>
        <w:spacing w:after="120"/>
        <w:ind w:left="5530"/>
        <w:rPr>
          <w:i/>
        </w:rPr>
      </w:pPr>
      <w:r>
        <w:rPr>
          <w:i/>
        </w:rPr>
        <w:fldChar w:fldCharType="begin"/>
      </w:r>
      <w:r>
        <w:rPr>
          <w:i/>
        </w:rPr>
        <w:instrText xml:space="preserve"> AUTONUM  </w:instrText>
      </w:r>
      <w:r>
        <w:rPr>
          <w:i/>
        </w:rPr>
        <w:fldChar w:fldCharType="end"/>
      </w:r>
      <w:r>
        <w:tab/>
      </w:r>
      <w:r>
        <w:rPr>
          <w:i/>
          <w:iCs/>
        </w:rPr>
        <w:t>Le CWS est invité à</w:t>
      </w:r>
      <w:r w:rsidR="00ED2AA4">
        <w:t> :</w:t>
      </w:r>
    </w:p>
    <w:p w14:paraId="3CBDA149" w14:textId="47789164" w:rsidR="00ED2AA4" w:rsidRDefault="00600CFE" w:rsidP="00D42D35">
      <w:pPr>
        <w:pStyle w:val="BodyText"/>
        <w:tabs>
          <w:tab w:val="left" w:pos="6237"/>
          <w:tab w:val="left" w:pos="6804"/>
        </w:tabs>
        <w:ind w:left="6237"/>
        <w:rPr>
          <w:i/>
        </w:rPr>
      </w:pPr>
      <w:r>
        <w:rPr>
          <w:i/>
        </w:rPr>
        <w:t>a)</w:t>
      </w:r>
      <w:r>
        <w:rPr>
          <w:i/>
        </w:rPr>
        <w:tab/>
        <w:t>prendre note du contenu du présent document;</w:t>
      </w:r>
    </w:p>
    <w:p w14:paraId="149C0974" w14:textId="4CB21DB0" w:rsidR="00600CFE" w:rsidRDefault="00600CFE" w:rsidP="00D42D35">
      <w:pPr>
        <w:pStyle w:val="BodyText"/>
        <w:tabs>
          <w:tab w:val="left" w:pos="6237"/>
          <w:tab w:val="left" w:pos="6804"/>
        </w:tabs>
        <w:ind w:left="6237"/>
        <w:rPr>
          <w:i/>
        </w:rPr>
      </w:pPr>
      <w:r>
        <w:rPr>
          <w:i/>
        </w:rPr>
        <w:t>b)</w:t>
      </w:r>
      <w:r>
        <w:rPr>
          <w:i/>
        </w:rPr>
        <w:tab/>
        <w:t>approuver les modifications de la terminologie du Manuel de l</w:t>
      </w:r>
      <w:r w:rsidR="00ED2AA4">
        <w:rPr>
          <w:i/>
        </w:rPr>
        <w:t>’</w:t>
      </w:r>
      <w:r>
        <w:rPr>
          <w:i/>
        </w:rPr>
        <w:t>OMPI décrites au paragraphe 4 ci</w:t>
      </w:r>
      <w:r w:rsidR="00D42D35">
        <w:rPr>
          <w:i/>
        </w:rPr>
        <w:noBreakHyphen/>
      </w:r>
      <w:proofErr w:type="gramStart"/>
      <w:r>
        <w:rPr>
          <w:i/>
        </w:rPr>
        <w:t>dessus;  et</w:t>
      </w:r>
      <w:proofErr w:type="gramEnd"/>
    </w:p>
    <w:p w14:paraId="412369D4" w14:textId="760506F3" w:rsidR="00600CFE" w:rsidRPr="006A730D" w:rsidRDefault="00D42D35" w:rsidP="00D42D35">
      <w:pPr>
        <w:pStyle w:val="BodyText"/>
        <w:tabs>
          <w:tab w:val="left" w:pos="6237"/>
          <w:tab w:val="left" w:pos="6804"/>
        </w:tabs>
        <w:ind w:left="6237"/>
        <w:rPr>
          <w:i/>
        </w:rPr>
      </w:pPr>
      <w:r>
        <w:rPr>
          <w:i/>
        </w:rPr>
        <w:t>c)</w:t>
      </w:r>
      <w:r>
        <w:rPr>
          <w:i/>
        </w:rPr>
        <w:tab/>
      </w:r>
      <w:r w:rsidR="00A23667">
        <w:rPr>
          <w:i/>
        </w:rPr>
        <w:t xml:space="preserve">demander </w:t>
      </w:r>
      <w:r w:rsidR="00E75399">
        <w:rPr>
          <w:i/>
        </w:rPr>
        <w:t xml:space="preserve">au </w:t>
      </w:r>
      <w:r w:rsidR="00600CFE">
        <w:rPr>
          <w:i/>
        </w:rPr>
        <w:t>Secrétariat de mettre à jour le Manuel de l</w:t>
      </w:r>
      <w:r w:rsidR="00ED2AA4">
        <w:rPr>
          <w:i/>
        </w:rPr>
        <w:t>’</w:t>
      </w:r>
      <w:r w:rsidR="00600CFE">
        <w:rPr>
          <w:i/>
        </w:rPr>
        <w:t>OMPI conformément aux accords de la neuv</w:t>
      </w:r>
      <w:r w:rsidR="00ED2AA4">
        <w:rPr>
          <w:i/>
        </w:rPr>
        <w:t>ième session</w:t>
      </w:r>
      <w:r w:rsidR="00600CFE">
        <w:rPr>
          <w:i/>
        </w:rPr>
        <w:t>.</w:t>
      </w:r>
    </w:p>
    <w:p w14:paraId="383550BC" w14:textId="77777777" w:rsidR="00600CFE" w:rsidRPr="00084955" w:rsidRDefault="00600CFE" w:rsidP="00D42D35">
      <w:pPr>
        <w:pStyle w:val="Endofdocument"/>
        <w:spacing w:before="720"/>
        <w:ind w:left="5530"/>
      </w:pPr>
      <w:r>
        <w:rPr>
          <w:sz w:val="22"/>
        </w:rPr>
        <w:t>[Fin du document]</w:t>
      </w:r>
    </w:p>
    <w:sectPr w:rsidR="00600CFE" w:rsidRPr="00084955" w:rsidSect="00600CF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73F32" w14:textId="77777777" w:rsidR="0043512D" w:rsidRDefault="0043512D">
      <w:r>
        <w:separator/>
      </w:r>
    </w:p>
  </w:endnote>
  <w:endnote w:type="continuationSeparator" w:id="0">
    <w:p w14:paraId="22F61E64" w14:textId="77777777" w:rsidR="0043512D" w:rsidRDefault="0043512D" w:rsidP="003B38C1">
      <w:r>
        <w:separator/>
      </w:r>
    </w:p>
    <w:p w14:paraId="56F89474" w14:textId="77777777" w:rsidR="0043512D" w:rsidRPr="00B54F73" w:rsidRDefault="0043512D" w:rsidP="003B38C1">
      <w:pPr>
        <w:spacing w:after="60"/>
        <w:rPr>
          <w:sz w:val="17"/>
          <w:lang w:val="en-US"/>
        </w:rPr>
      </w:pPr>
      <w:r w:rsidRPr="00B54F73">
        <w:rPr>
          <w:sz w:val="17"/>
          <w:lang w:val="en-US"/>
        </w:rPr>
        <w:t>[Endnote continued from previous page]</w:t>
      </w:r>
    </w:p>
  </w:endnote>
  <w:endnote w:type="continuationNotice" w:id="1">
    <w:p w14:paraId="2F59CF96" w14:textId="77777777" w:rsidR="0043512D" w:rsidRPr="00B54F73" w:rsidRDefault="0043512D" w:rsidP="003B38C1">
      <w:pPr>
        <w:spacing w:before="60"/>
        <w:jc w:val="right"/>
        <w:rPr>
          <w:sz w:val="17"/>
          <w:szCs w:val="17"/>
          <w:lang w:val="en-US"/>
        </w:rPr>
      </w:pPr>
      <w:r w:rsidRPr="00B54F7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A12A" w14:textId="77777777" w:rsidR="00ED18E9" w:rsidRDefault="00ED1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1B27" w14:textId="77777777" w:rsidR="00ED18E9" w:rsidRDefault="00ED1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E716" w14:textId="77777777" w:rsidR="00ED18E9" w:rsidRDefault="00ED1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760C5" w14:textId="77777777" w:rsidR="0043512D" w:rsidRDefault="0043512D">
      <w:r>
        <w:separator/>
      </w:r>
    </w:p>
  </w:footnote>
  <w:footnote w:type="continuationSeparator" w:id="0">
    <w:p w14:paraId="34ECEB28" w14:textId="77777777" w:rsidR="0043512D" w:rsidRDefault="0043512D" w:rsidP="008B60B2">
      <w:r>
        <w:separator/>
      </w:r>
    </w:p>
    <w:p w14:paraId="00063713" w14:textId="77777777" w:rsidR="0043512D" w:rsidRPr="00B54F73" w:rsidRDefault="0043512D" w:rsidP="008B60B2">
      <w:pPr>
        <w:spacing w:after="60"/>
        <w:rPr>
          <w:sz w:val="17"/>
          <w:szCs w:val="17"/>
          <w:lang w:val="en-US"/>
        </w:rPr>
      </w:pPr>
      <w:r w:rsidRPr="00B54F73">
        <w:rPr>
          <w:sz w:val="17"/>
          <w:szCs w:val="17"/>
          <w:lang w:val="en-US"/>
        </w:rPr>
        <w:t>[Footnote continued from previous page]</w:t>
      </w:r>
    </w:p>
  </w:footnote>
  <w:footnote w:type="continuationNotice" w:id="1">
    <w:p w14:paraId="635E81E7" w14:textId="77777777" w:rsidR="0043512D" w:rsidRPr="00B54F73" w:rsidRDefault="0043512D" w:rsidP="008B60B2">
      <w:pPr>
        <w:spacing w:before="60"/>
        <w:jc w:val="right"/>
        <w:rPr>
          <w:sz w:val="17"/>
          <w:szCs w:val="17"/>
          <w:lang w:val="en-US"/>
        </w:rPr>
      </w:pPr>
      <w:r w:rsidRPr="00B54F7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35A" w14:textId="77777777" w:rsidR="00ED18E9" w:rsidRDefault="00ED1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D593D" w14:textId="77777777" w:rsidR="00D07C78" w:rsidRPr="002326AB" w:rsidRDefault="00600CFE" w:rsidP="00477D6B">
    <w:pPr>
      <w:jc w:val="right"/>
      <w:rPr>
        <w:caps/>
      </w:rPr>
    </w:pPr>
    <w:bookmarkStart w:id="6" w:name="Code2"/>
    <w:bookmarkEnd w:id="6"/>
    <w:r>
      <w:rPr>
        <w:caps/>
      </w:rPr>
      <w:t>CWS/9/19</w:t>
    </w:r>
  </w:p>
  <w:p w14:paraId="78553866" w14:textId="28A20BC0" w:rsidR="00D07C78" w:rsidRDefault="00D07C78" w:rsidP="00D42D35">
    <w:pPr>
      <w:spacing w:after="480"/>
      <w:jc w:val="right"/>
    </w:pPr>
    <w:r>
      <w:t>page</w:t>
    </w:r>
    <w:r w:rsidR="00ED18E9">
      <w:t> </w:t>
    </w:r>
    <w:r>
      <w:fldChar w:fldCharType="begin"/>
    </w:r>
    <w:r>
      <w:instrText xml:space="preserve"> PAGE  \* MERGEFORMAT </w:instrText>
    </w:r>
    <w:r>
      <w:fldChar w:fldCharType="separate"/>
    </w:r>
    <w:r w:rsidR="00673DAF">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C4EF" w14:textId="77777777" w:rsidR="00ED18E9" w:rsidRDefault="00ED1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F5630"/>
    <w:multiLevelType w:val="hybridMultilevel"/>
    <w:tmpl w:val="E454E534"/>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FE"/>
    <w:rsid w:val="0001132E"/>
    <w:rsid w:val="00034147"/>
    <w:rsid w:val="00043CAA"/>
    <w:rsid w:val="00056816"/>
    <w:rsid w:val="00075432"/>
    <w:rsid w:val="00075F44"/>
    <w:rsid w:val="000968ED"/>
    <w:rsid w:val="000A3D97"/>
    <w:rsid w:val="000F5E56"/>
    <w:rsid w:val="001362EE"/>
    <w:rsid w:val="00152B8A"/>
    <w:rsid w:val="001647D5"/>
    <w:rsid w:val="0016734B"/>
    <w:rsid w:val="001832A6"/>
    <w:rsid w:val="001D4107"/>
    <w:rsid w:val="001E5DCA"/>
    <w:rsid w:val="00203D24"/>
    <w:rsid w:val="0021217E"/>
    <w:rsid w:val="002326AB"/>
    <w:rsid w:val="00243430"/>
    <w:rsid w:val="002634C4"/>
    <w:rsid w:val="00283FC9"/>
    <w:rsid w:val="002928D3"/>
    <w:rsid w:val="002F1FE6"/>
    <w:rsid w:val="002F4485"/>
    <w:rsid w:val="002F4E68"/>
    <w:rsid w:val="00305685"/>
    <w:rsid w:val="00312F7F"/>
    <w:rsid w:val="00330C05"/>
    <w:rsid w:val="00361450"/>
    <w:rsid w:val="003673CF"/>
    <w:rsid w:val="003729E4"/>
    <w:rsid w:val="0038062B"/>
    <w:rsid w:val="003845C1"/>
    <w:rsid w:val="003A6F89"/>
    <w:rsid w:val="003B38C1"/>
    <w:rsid w:val="003B41B2"/>
    <w:rsid w:val="003C34E9"/>
    <w:rsid w:val="003E298E"/>
    <w:rsid w:val="00401963"/>
    <w:rsid w:val="00423E3E"/>
    <w:rsid w:val="004252C3"/>
    <w:rsid w:val="00427AF4"/>
    <w:rsid w:val="0043512D"/>
    <w:rsid w:val="004647DA"/>
    <w:rsid w:val="00473586"/>
    <w:rsid w:val="00474062"/>
    <w:rsid w:val="00477D6B"/>
    <w:rsid w:val="004E18DF"/>
    <w:rsid w:val="005019FF"/>
    <w:rsid w:val="00502DAB"/>
    <w:rsid w:val="0053057A"/>
    <w:rsid w:val="00556076"/>
    <w:rsid w:val="00560A29"/>
    <w:rsid w:val="005638A7"/>
    <w:rsid w:val="005C6649"/>
    <w:rsid w:val="00600CFE"/>
    <w:rsid w:val="00605827"/>
    <w:rsid w:val="00646050"/>
    <w:rsid w:val="006713CA"/>
    <w:rsid w:val="00673DAF"/>
    <w:rsid w:val="00676C5C"/>
    <w:rsid w:val="006D4043"/>
    <w:rsid w:val="006D51A8"/>
    <w:rsid w:val="006F1BD9"/>
    <w:rsid w:val="006F5ABA"/>
    <w:rsid w:val="00720EFD"/>
    <w:rsid w:val="007854AF"/>
    <w:rsid w:val="00793A7C"/>
    <w:rsid w:val="007A398A"/>
    <w:rsid w:val="007D1613"/>
    <w:rsid w:val="007E4C0E"/>
    <w:rsid w:val="00846CF6"/>
    <w:rsid w:val="00847472"/>
    <w:rsid w:val="00861242"/>
    <w:rsid w:val="008A134B"/>
    <w:rsid w:val="008B2CC1"/>
    <w:rsid w:val="008B60B2"/>
    <w:rsid w:val="0090731E"/>
    <w:rsid w:val="00916EE2"/>
    <w:rsid w:val="00966A22"/>
    <w:rsid w:val="0096722F"/>
    <w:rsid w:val="00980843"/>
    <w:rsid w:val="009E0871"/>
    <w:rsid w:val="009E2791"/>
    <w:rsid w:val="009E3F6F"/>
    <w:rsid w:val="009F499F"/>
    <w:rsid w:val="00A23667"/>
    <w:rsid w:val="00A37342"/>
    <w:rsid w:val="00A42DAF"/>
    <w:rsid w:val="00A45BD8"/>
    <w:rsid w:val="00A627BE"/>
    <w:rsid w:val="00A869B7"/>
    <w:rsid w:val="00A90F0A"/>
    <w:rsid w:val="00A975FA"/>
    <w:rsid w:val="00AC205C"/>
    <w:rsid w:val="00AF0A6B"/>
    <w:rsid w:val="00B05A69"/>
    <w:rsid w:val="00B15189"/>
    <w:rsid w:val="00B355B6"/>
    <w:rsid w:val="00B54F73"/>
    <w:rsid w:val="00B576ED"/>
    <w:rsid w:val="00B75281"/>
    <w:rsid w:val="00B92F1F"/>
    <w:rsid w:val="00B9734B"/>
    <w:rsid w:val="00B97F26"/>
    <w:rsid w:val="00BA30E2"/>
    <w:rsid w:val="00C11BFE"/>
    <w:rsid w:val="00C379A4"/>
    <w:rsid w:val="00C5068F"/>
    <w:rsid w:val="00C86D74"/>
    <w:rsid w:val="00CB2AF7"/>
    <w:rsid w:val="00CD04F1"/>
    <w:rsid w:val="00CF681A"/>
    <w:rsid w:val="00D07C78"/>
    <w:rsid w:val="00D24367"/>
    <w:rsid w:val="00D42D35"/>
    <w:rsid w:val="00D45252"/>
    <w:rsid w:val="00D71B4D"/>
    <w:rsid w:val="00D72E92"/>
    <w:rsid w:val="00D84C77"/>
    <w:rsid w:val="00D93D55"/>
    <w:rsid w:val="00D96263"/>
    <w:rsid w:val="00DB17C6"/>
    <w:rsid w:val="00DB44B7"/>
    <w:rsid w:val="00DD7B7F"/>
    <w:rsid w:val="00E15015"/>
    <w:rsid w:val="00E335FE"/>
    <w:rsid w:val="00E400DE"/>
    <w:rsid w:val="00E45755"/>
    <w:rsid w:val="00E55A68"/>
    <w:rsid w:val="00E75399"/>
    <w:rsid w:val="00EA7D6E"/>
    <w:rsid w:val="00EB2F76"/>
    <w:rsid w:val="00EC4E49"/>
    <w:rsid w:val="00ED18E9"/>
    <w:rsid w:val="00ED2AA4"/>
    <w:rsid w:val="00ED77FB"/>
    <w:rsid w:val="00ED7F2F"/>
    <w:rsid w:val="00EE45FA"/>
    <w:rsid w:val="00F043DE"/>
    <w:rsid w:val="00F141D6"/>
    <w:rsid w:val="00F66152"/>
    <w:rsid w:val="00F9165B"/>
    <w:rsid w:val="00FC482F"/>
    <w:rsid w:val="00FC662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BED3FC"/>
  <w15:docId w15:val="{C8B80AFD-1FBD-4BFA-9E6A-067605E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75F44"/>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75F44"/>
    <w:rPr>
      <w:rFonts w:ascii="Arial" w:eastAsia="SimSun" w:hAnsi="Arial" w:cs="Arial"/>
      <w:bCs/>
      <w:iCs/>
      <w:caps/>
      <w:sz w:val="22"/>
      <w:szCs w:val="28"/>
      <w:lang w:val="fr-FR" w:eastAsia="zh-CN"/>
    </w:rPr>
  </w:style>
  <w:style w:type="paragraph" w:customStyle="1" w:styleId="Endofdocument">
    <w:name w:val="End of document"/>
    <w:basedOn w:val="Normal"/>
    <w:rsid w:val="00600CFE"/>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600CFE"/>
    <w:rPr>
      <w:rFonts w:ascii="Arial" w:eastAsia="SimSun" w:hAnsi="Arial" w:cs="Arial"/>
      <w:sz w:val="22"/>
      <w:lang w:val="fr-FR" w:eastAsia="zh-CN"/>
    </w:rPr>
  </w:style>
  <w:style w:type="paragraph" w:styleId="BalloonText">
    <w:name w:val="Balloon Text"/>
    <w:basedOn w:val="Normal"/>
    <w:link w:val="BalloonTextChar"/>
    <w:semiHidden/>
    <w:unhideWhenUsed/>
    <w:rsid w:val="006F5ABA"/>
    <w:rPr>
      <w:rFonts w:ascii="Segoe UI" w:hAnsi="Segoe UI" w:cs="Segoe UI"/>
      <w:sz w:val="18"/>
      <w:szCs w:val="18"/>
    </w:rPr>
  </w:style>
  <w:style w:type="character" w:customStyle="1" w:styleId="BalloonTextChar">
    <w:name w:val="Balloon Text Char"/>
    <w:basedOn w:val="DefaultParagraphFont"/>
    <w:link w:val="BalloonText"/>
    <w:semiHidden/>
    <w:rsid w:val="006F5ABA"/>
    <w:rPr>
      <w:rFonts w:ascii="Segoe UI" w:eastAsia="SimSun" w:hAnsi="Segoe UI" w:cs="Segoe UI"/>
      <w:sz w:val="18"/>
      <w:szCs w:val="18"/>
      <w:lang w:val="fr-FR" w:eastAsia="zh-CN"/>
    </w:rPr>
  </w:style>
  <w:style w:type="character" w:styleId="Hyperlink">
    <w:name w:val="Hyperlink"/>
    <w:basedOn w:val="DefaultParagraphFont"/>
    <w:unhideWhenUsed/>
    <w:rsid w:val="004E18DF"/>
    <w:rPr>
      <w:color w:val="0000FF" w:themeColor="hyperlink"/>
      <w:u w:val="single"/>
    </w:rPr>
  </w:style>
  <w:style w:type="character" w:styleId="FollowedHyperlink">
    <w:name w:val="FollowedHyperlink"/>
    <w:basedOn w:val="DefaultParagraphFont"/>
    <w:semiHidden/>
    <w:unhideWhenUsed/>
    <w:rsid w:val="00330C05"/>
    <w:rPr>
      <w:color w:val="800080" w:themeColor="followedHyperlink"/>
      <w:u w:val="single"/>
    </w:rPr>
  </w:style>
  <w:style w:type="paragraph" w:styleId="Title">
    <w:name w:val="Title"/>
    <w:basedOn w:val="Heading1"/>
    <w:next w:val="Normal"/>
    <w:link w:val="TitleChar"/>
    <w:qFormat/>
    <w:rsid w:val="00ED2AA4"/>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ED2AA4"/>
    <w:rPr>
      <w:rFonts w:ascii="Arial" w:eastAsiaTheme="majorEastAsia" w:hAnsi="Arial" w:cstheme="majorBidi"/>
      <w:b/>
      <w:bCs/>
      <w:caps/>
      <w:spacing w:val="-10"/>
      <w:kern w:val="28"/>
      <w:sz w:val="28"/>
      <w:szCs w:val="5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2149">
      <w:bodyDiv w:val="1"/>
      <w:marLeft w:val="0"/>
      <w:marRight w:val="0"/>
      <w:marTop w:val="0"/>
      <w:marBottom w:val="0"/>
      <w:divBdr>
        <w:top w:val="none" w:sz="0" w:space="0" w:color="auto"/>
        <w:left w:val="none" w:sz="0" w:space="0" w:color="auto"/>
        <w:bottom w:val="none" w:sz="0" w:space="0" w:color="auto"/>
        <w:right w:val="none" w:sz="0" w:space="0" w:color="auto"/>
      </w:divBdr>
    </w:div>
    <w:div w:id="715467411">
      <w:bodyDiv w:val="1"/>
      <w:marLeft w:val="0"/>
      <w:marRight w:val="0"/>
      <w:marTop w:val="0"/>
      <w:marBottom w:val="0"/>
      <w:divBdr>
        <w:top w:val="none" w:sz="0" w:space="0" w:color="auto"/>
        <w:left w:val="none" w:sz="0" w:space="0" w:color="auto"/>
        <w:bottom w:val="none" w:sz="0" w:space="0" w:color="auto"/>
        <w:right w:val="none" w:sz="0" w:space="0" w:color="auto"/>
      </w:divBdr>
    </w:div>
    <w:div w:id="952631824">
      <w:bodyDiv w:val="1"/>
      <w:marLeft w:val="0"/>
      <w:marRight w:val="0"/>
      <w:marTop w:val="0"/>
      <w:marBottom w:val="0"/>
      <w:divBdr>
        <w:top w:val="none" w:sz="0" w:space="0" w:color="auto"/>
        <w:left w:val="none" w:sz="0" w:space="0" w:color="auto"/>
        <w:bottom w:val="none" w:sz="0" w:space="0" w:color="auto"/>
        <w:right w:val="none" w:sz="0" w:space="0" w:color="auto"/>
      </w:divBdr>
    </w:div>
    <w:div w:id="1036809720">
      <w:bodyDiv w:val="1"/>
      <w:marLeft w:val="0"/>
      <w:marRight w:val="0"/>
      <w:marTop w:val="0"/>
      <w:marBottom w:val="0"/>
      <w:divBdr>
        <w:top w:val="none" w:sz="0" w:space="0" w:color="auto"/>
        <w:left w:val="none" w:sz="0" w:space="0" w:color="auto"/>
        <w:bottom w:val="none" w:sz="0" w:space="0" w:color="auto"/>
        <w:right w:val="none" w:sz="0" w:space="0" w:color="auto"/>
      </w:divBdr>
    </w:div>
    <w:div w:id="1196191663">
      <w:bodyDiv w:val="1"/>
      <w:marLeft w:val="0"/>
      <w:marRight w:val="0"/>
      <w:marTop w:val="0"/>
      <w:marBottom w:val="0"/>
      <w:divBdr>
        <w:top w:val="none" w:sz="0" w:space="0" w:color="auto"/>
        <w:left w:val="none" w:sz="0" w:space="0" w:color="auto"/>
        <w:bottom w:val="none" w:sz="0" w:space="0" w:color="auto"/>
        <w:right w:val="none" w:sz="0" w:space="0" w:color="auto"/>
      </w:divBdr>
    </w:div>
    <w:div w:id="1263565486">
      <w:bodyDiv w:val="1"/>
      <w:marLeft w:val="0"/>
      <w:marRight w:val="0"/>
      <w:marTop w:val="0"/>
      <w:marBottom w:val="0"/>
      <w:divBdr>
        <w:top w:val="none" w:sz="0" w:space="0" w:color="auto"/>
        <w:left w:val="none" w:sz="0" w:space="0" w:color="auto"/>
        <w:bottom w:val="none" w:sz="0" w:space="0" w:color="auto"/>
        <w:right w:val="none" w:sz="0" w:space="0" w:color="auto"/>
      </w:divBdr>
    </w:div>
    <w:div w:id="1271818241">
      <w:bodyDiv w:val="1"/>
      <w:marLeft w:val="0"/>
      <w:marRight w:val="0"/>
      <w:marTop w:val="0"/>
      <w:marBottom w:val="0"/>
      <w:divBdr>
        <w:top w:val="none" w:sz="0" w:space="0" w:color="auto"/>
        <w:left w:val="none" w:sz="0" w:space="0" w:color="auto"/>
        <w:bottom w:val="none" w:sz="0" w:space="0" w:color="auto"/>
        <w:right w:val="none" w:sz="0" w:space="0" w:color="auto"/>
      </w:divBdr>
    </w:div>
    <w:div w:id="1278295201">
      <w:bodyDiv w:val="1"/>
      <w:marLeft w:val="0"/>
      <w:marRight w:val="0"/>
      <w:marTop w:val="0"/>
      <w:marBottom w:val="0"/>
      <w:divBdr>
        <w:top w:val="none" w:sz="0" w:space="0" w:color="auto"/>
        <w:left w:val="none" w:sz="0" w:space="0" w:color="auto"/>
        <w:bottom w:val="none" w:sz="0" w:space="0" w:color="auto"/>
        <w:right w:val="none" w:sz="0" w:space="0" w:color="auto"/>
      </w:divBdr>
    </w:div>
    <w:div w:id="1341077766">
      <w:bodyDiv w:val="1"/>
      <w:marLeft w:val="0"/>
      <w:marRight w:val="0"/>
      <w:marTop w:val="0"/>
      <w:marBottom w:val="0"/>
      <w:divBdr>
        <w:top w:val="none" w:sz="0" w:space="0" w:color="auto"/>
        <w:left w:val="none" w:sz="0" w:space="0" w:color="auto"/>
        <w:bottom w:val="none" w:sz="0" w:space="0" w:color="auto"/>
        <w:right w:val="none" w:sz="0" w:space="0" w:color="auto"/>
      </w:divBdr>
    </w:div>
    <w:div w:id="1476142101">
      <w:bodyDiv w:val="1"/>
      <w:marLeft w:val="0"/>
      <w:marRight w:val="0"/>
      <w:marTop w:val="0"/>
      <w:marBottom w:val="0"/>
      <w:divBdr>
        <w:top w:val="none" w:sz="0" w:space="0" w:color="auto"/>
        <w:left w:val="none" w:sz="0" w:space="0" w:color="auto"/>
        <w:bottom w:val="none" w:sz="0" w:space="0" w:color="auto"/>
        <w:right w:val="none" w:sz="0" w:space="0" w:color="auto"/>
      </w:divBdr>
    </w:div>
    <w:div w:id="1933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fr/handbook.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AAA35-7894-482F-852C-86B1D865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888</Words>
  <Characters>4715</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CWS/9/19</vt:lpstr>
    </vt:vector>
  </TitlesOfParts>
  <Company>WIPO</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CWS/9/19</dc:title>
  <dc:subject>Update of the WIPO Handbook on IP Information and Documentation</dc:subject>
  <dc:creator>WIPO</dc:creator>
  <cp:keywords>FOR OFFICIAL USE ONLY</cp:keywords>
  <cp:lastModifiedBy>BERNARD Nadège</cp:lastModifiedBy>
  <cp:revision>15</cp:revision>
  <cp:lastPrinted>2021-10-05T10:07:00Z</cp:lastPrinted>
  <dcterms:created xsi:type="dcterms:W3CDTF">2021-10-07T13:37:00Z</dcterms:created>
  <dcterms:modified xsi:type="dcterms:W3CDTF">2021-10-08T08:03:00Z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df10f97e-2e13-4370-a6f2-626aec183865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