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59E8C" w14:textId="77777777" w:rsidR="009F7591" w:rsidRPr="0040540C" w:rsidRDefault="009F7591" w:rsidP="009F7591">
      <w:pPr>
        <w:pBdr>
          <w:bottom w:val="single" w:sz="4" w:space="10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2FD18EC" wp14:editId="52B1E59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0499B" w14:textId="6637256F" w:rsidR="009F7591" w:rsidRDefault="009F7591" w:rsidP="009F7591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CWS/9/</w:t>
      </w:r>
      <w:bookmarkStart w:id="0" w:name="Code"/>
      <w:bookmarkEnd w:id="0"/>
      <w:r>
        <w:rPr>
          <w:rFonts w:ascii="Arial Black" w:hAnsi="Arial Black"/>
          <w:caps/>
          <w:sz w:val="15"/>
        </w:rPr>
        <w:t>10</w:t>
      </w:r>
      <w:r w:rsidR="00DD2E9E">
        <w:rPr>
          <w:rFonts w:ascii="Arial Black" w:hAnsi="Arial Black"/>
          <w:caps/>
          <w:sz w:val="15"/>
        </w:rPr>
        <w:t> REV.</w:t>
      </w:r>
    </w:p>
    <w:p w14:paraId="3DD4BCF7" w14:textId="5C795D31" w:rsidR="009F7591" w:rsidRPr="0040540C" w:rsidRDefault="009F7591" w:rsidP="009F7591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 : </w:t>
      </w:r>
      <w:bookmarkStart w:id="1" w:name="Original"/>
      <w:r>
        <w:rPr>
          <w:rFonts w:ascii="Arial Black" w:hAnsi="Arial Black"/>
          <w:caps/>
          <w:sz w:val="15"/>
        </w:rPr>
        <w:t>anglais</w:t>
      </w:r>
    </w:p>
    <w:bookmarkEnd w:id="1"/>
    <w:p w14:paraId="25621ABC" w14:textId="09D68A31" w:rsidR="009F7591" w:rsidRPr="0040540C" w:rsidRDefault="009F7591" w:rsidP="009F7591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 : </w:t>
      </w:r>
      <w:bookmarkStart w:id="2" w:name="Date"/>
      <w:r>
        <w:rPr>
          <w:rFonts w:ascii="Arial Black" w:hAnsi="Arial Black"/>
          <w:caps/>
          <w:sz w:val="15"/>
        </w:rPr>
        <w:t>10 septembre 2021</w:t>
      </w:r>
    </w:p>
    <w:bookmarkEnd w:id="2"/>
    <w:p w14:paraId="3FA87151" w14:textId="656C5631" w:rsidR="009F7591" w:rsidRPr="00594AA1" w:rsidRDefault="009F7591" w:rsidP="009F7591">
      <w:pPr>
        <w:pStyle w:val="Title"/>
        <w:rPr>
          <w:caps w:val="0"/>
        </w:rPr>
      </w:pPr>
      <w:r w:rsidRPr="00594AA1">
        <w:rPr>
          <w:caps w:val="0"/>
        </w:rPr>
        <w:t>Comité des normes de l</w:t>
      </w:r>
      <w:r>
        <w:rPr>
          <w:caps w:val="0"/>
        </w:rPr>
        <w:t>’</w:t>
      </w:r>
      <w:r w:rsidRPr="00594AA1">
        <w:rPr>
          <w:caps w:val="0"/>
        </w:rPr>
        <w:t>OMPI (CWS)</w:t>
      </w:r>
    </w:p>
    <w:p w14:paraId="3C101428" w14:textId="64E49217" w:rsidR="009F7591" w:rsidRPr="00037E41" w:rsidRDefault="009F7591" w:rsidP="009F7591">
      <w:pPr>
        <w:outlineLvl w:val="1"/>
        <w:rPr>
          <w:b/>
          <w:sz w:val="28"/>
          <w:szCs w:val="28"/>
        </w:rPr>
      </w:pPr>
      <w:r w:rsidRPr="002C6A10">
        <w:rPr>
          <w:b/>
          <w:sz w:val="24"/>
        </w:rPr>
        <w:t>Neuv</w:t>
      </w:r>
      <w:r>
        <w:rPr>
          <w:b/>
          <w:sz w:val="24"/>
        </w:rPr>
        <w:t>ième session</w:t>
      </w:r>
    </w:p>
    <w:p w14:paraId="4FE2134E" w14:textId="2DF84F30" w:rsidR="009F7591" w:rsidRPr="003845C1" w:rsidRDefault="009F7591" w:rsidP="009F7591">
      <w:pPr>
        <w:spacing w:after="1200"/>
        <w:outlineLvl w:val="1"/>
        <w:rPr>
          <w:b/>
          <w:sz w:val="24"/>
          <w:szCs w:val="24"/>
        </w:rPr>
      </w:pPr>
      <w:r w:rsidRPr="004527EA">
        <w:rPr>
          <w:b/>
          <w:sz w:val="24"/>
          <w:szCs w:val="24"/>
        </w:rPr>
        <w:t>Genève, 1</w:t>
      </w:r>
      <w:r w:rsidRPr="002C6A10">
        <w:rPr>
          <w:b/>
          <w:sz w:val="24"/>
          <w:szCs w:val="24"/>
          <w:vertAlign w:val="superscript"/>
        </w:rPr>
        <w:t>er</w:t>
      </w:r>
      <w:r w:rsidR="001D6850">
        <w:rPr>
          <w:b/>
          <w:sz w:val="24"/>
          <w:szCs w:val="24"/>
          <w:vertAlign w:val="superscript"/>
        </w:rPr>
        <w:t xml:space="preserve"> </w:t>
      </w:r>
      <w:r w:rsidRPr="004527EA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4527EA">
        <w:rPr>
          <w:b/>
          <w:sz w:val="24"/>
          <w:szCs w:val="24"/>
        </w:rPr>
        <w:t>novembre</w:t>
      </w:r>
      <w:r>
        <w:rPr>
          <w:b/>
          <w:sz w:val="24"/>
          <w:szCs w:val="24"/>
        </w:rPr>
        <w:t> </w:t>
      </w:r>
      <w:r w:rsidRPr="004527EA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1</w:t>
      </w:r>
    </w:p>
    <w:p w14:paraId="2F0B69D5" w14:textId="109DC8F1" w:rsidR="009F7591" w:rsidRPr="003845C1" w:rsidRDefault="009F7591" w:rsidP="009F7591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Rapport sur le plan de mise en œuvre de la norme</w:t>
      </w:r>
      <w:r w:rsidR="00EA7179">
        <w:rPr>
          <w:caps/>
          <w:sz w:val="24"/>
        </w:rPr>
        <w:t> </w:t>
      </w:r>
      <w:r>
        <w:rPr>
          <w:caps/>
          <w:sz w:val="24"/>
        </w:rPr>
        <w:t>ST.61 de l’OMPI</w:t>
      </w:r>
    </w:p>
    <w:p w14:paraId="63E7E9B1" w14:textId="691E58C9" w:rsidR="009F7591" w:rsidRPr="008B2CC1" w:rsidRDefault="009F7591" w:rsidP="009F7591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</w:t>
      </w:r>
      <w:r w:rsidR="001D6850">
        <w:rPr>
          <w:i/>
        </w:rPr>
        <w:t>e</w:t>
      </w:r>
      <w:r>
        <w:rPr>
          <w:i/>
        </w:rPr>
        <w:t xml:space="preserve"> Bureau international</w:t>
      </w:r>
    </w:p>
    <w:p w14:paraId="0AE684F2" w14:textId="77777777" w:rsidR="00D5511C" w:rsidRDefault="00D5511C" w:rsidP="00573908">
      <w:pPr>
        <w:pStyle w:val="Heading2"/>
        <w:spacing w:before="0" w:after="220"/>
        <w:rPr>
          <w:rFonts w:eastAsia="Malgun Gothic"/>
          <w:caps w:val="0"/>
          <w:szCs w:val="22"/>
        </w:rPr>
      </w:pPr>
      <w:r>
        <w:rPr>
          <w:caps w:val="0"/>
        </w:rPr>
        <w:t>RAPPEL</w:t>
      </w:r>
    </w:p>
    <w:p w14:paraId="4886FF3F" w14:textId="732C8FFC" w:rsidR="00D5511C" w:rsidRDefault="00D5511C" w:rsidP="00D5511C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À sa huit</w:t>
      </w:r>
      <w:r w:rsidR="009F7591">
        <w:t>ième session</w:t>
      </w:r>
      <w:r>
        <w:t>, tenue en 2020, le Comité des normes de l</w:t>
      </w:r>
      <w:r w:rsidR="009F7591">
        <w:t>’</w:t>
      </w:r>
      <w:r>
        <w:t>OMPI (CWS) a adopté la norme ST.61 “Recommandation concernant l</w:t>
      </w:r>
      <w:r w:rsidR="009F7591">
        <w:t>’</w:t>
      </w:r>
      <w:r>
        <w:t>échange de données relatives à la situation juridique des marques”.  Le CWS a prié le Secrétariat de diffuser une circulaire invitant les offices de propriété intellectuelle à évaluer leurs pratiques opérationnelles et leurs systèmes informatiques en ce qui concerne la norme ST.61 de l</w:t>
      </w:r>
      <w:r w:rsidR="009F7591">
        <w:t>’</w:t>
      </w:r>
      <w:r>
        <w:t xml:space="preserve">OMPI et de soumettre un plan de mise en œuvre et une table de correspondance pour leur office. </w:t>
      </w:r>
      <w:r w:rsidR="00EA7179">
        <w:t xml:space="preserve"> </w:t>
      </w:r>
      <w:r>
        <w:t>(Voir les paragraphes 27 à 30 du document CWS/8/24.)</w:t>
      </w:r>
    </w:p>
    <w:p w14:paraId="7DFAEABA" w14:textId="77777777" w:rsidR="001F0CF0" w:rsidRPr="00611FD6" w:rsidRDefault="001F0CF0" w:rsidP="00573908">
      <w:pPr>
        <w:pStyle w:val="Heading2"/>
        <w:spacing w:after="220"/>
      </w:pPr>
      <w:r>
        <w:t>Rapport</w:t>
      </w:r>
    </w:p>
    <w:p w14:paraId="1E0BCF6B" w14:textId="31190753" w:rsidR="001F0CF0" w:rsidRDefault="001F0CF0" w:rsidP="001F0CF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En juillet 2021, le Secrétariat a diffusé la circulaire C.CWS.152 invitant les offices de propriété intellectuelle à partager leur plan de mise en œuvre et leur table de correspondance provisoires pour la norme ST.61.  </w:t>
      </w:r>
      <w:r w:rsidR="00DD2E9E">
        <w:t>Quatorze </w:t>
      </w:r>
      <w:r>
        <w:t xml:space="preserve">offices de propriété intellectuelle ont répondu à la circulaire et </w:t>
      </w:r>
      <w:r w:rsidR="00EA7179">
        <w:t>11 </w:t>
      </w:r>
      <w:r>
        <w:t>ont communiqué leur table de correspondan</w:t>
      </w:r>
      <w:r w:rsidR="001D6850">
        <w:t>ce.  Le</w:t>
      </w:r>
      <w:r>
        <w:t>s tables de correspondance sont reproduites en annexe du présent document pour examen par le CWS.</w:t>
      </w:r>
    </w:p>
    <w:p w14:paraId="7A3467DC" w14:textId="43C55FFE" w:rsidR="001343C2" w:rsidRDefault="001343C2" w:rsidP="001F0CF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Parmi les offices de propriété intellectuelle ayant répondu, trois</w:t>
      </w:r>
      <w:r w:rsidR="00EA7179">
        <w:t> </w:t>
      </w:r>
      <w:r>
        <w:t>envisagent d</w:t>
      </w:r>
      <w:r w:rsidR="009F7591">
        <w:t>’</w:t>
      </w:r>
      <w:r>
        <w:t xml:space="preserve">entamer la mise en œuvre de la norme ST.61 en 2022 ou 2023.  </w:t>
      </w:r>
      <w:r w:rsidR="00DD2E9E">
        <w:t>Six</w:t>
      </w:r>
      <w:r>
        <w:t> offices de propriété intellectuelle ont indiqué qu</w:t>
      </w:r>
      <w:r w:rsidR="009F7591">
        <w:t>’</w:t>
      </w:r>
      <w:r>
        <w:t>ils ne savaient pas, pour l</w:t>
      </w:r>
      <w:r w:rsidR="009F7591">
        <w:t>’</w:t>
      </w:r>
      <w:r>
        <w:t>heure, quand la mise en œuvre pourrait début</w:t>
      </w:r>
      <w:r w:rsidR="001D6850">
        <w:t>er.  Le</w:t>
      </w:r>
      <w:r>
        <w:t>s cinq autres offices n</w:t>
      </w:r>
      <w:r w:rsidR="009F7591">
        <w:t>’</w:t>
      </w:r>
      <w:r>
        <w:t>ont communiqué aucune information quant à leur calendrier de mise en œuvre.</w:t>
      </w:r>
    </w:p>
    <w:p w14:paraId="6E0629A0" w14:textId="7F21E547" w:rsidR="009F7591" w:rsidRDefault="00D5511C" w:rsidP="00573908">
      <w:pPr>
        <w:pStyle w:val="ListParagraph"/>
        <w:keepNext/>
        <w:keepLines/>
        <w:widowControl w:val="0"/>
        <w:tabs>
          <w:tab w:val="left" w:pos="6244"/>
          <w:tab w:val="left" w:pos="6245"/>
        </w:tabs>
        <w:autoSpaceDE w:val="0"/>
        <w:autoSpaceDN w:val="0"/>
        <w:spacing w:after="220"/>
        <w:ind w:left="5630" w:right="490"/>
        <w:rPr>
          <w:i/>
        </w:rPr>
      </w:pPr>
      <w:r>
        <w:rPr>
          <w:rFonts w:eastAsia="Arial"/>
          <w:i/>
        </w:rPr>
        <w:lastRenderedPageBreak/>
        <w:fldChar w:fldCharType="begin"/>
      </w:r>
      <w:r>
        <w:rPr>
          <w:rFonts w:eastAsia="Arial"/>
          <w:i/>
        </w:rPr>
        <w:instrText xml:space="preserve"> AUTONUM  </w:instrText>
      </w:r>
      <w:r>
        <w:rPr>
          <w:rFonts w:eastAsia="Arial"/>
          <w:i/>
        </w:rPr>
        <w:fldChar w:fldCharType="end"/>
      </w:r>
      <w:r>
        <w:tab/>
      </w:r>
      <w:r>
        <w:rPr>
          <w:i/>
          <w:iCs/>
        </w:rPr>
        <w:t>Le CWS est invité à</w:t>
      </w:r>
      <w:r w:rsidR="009F7591">
        <w:t> :</w:t>
      </w:r>
    </w:p>
    <w:p w14:paraId="6623E7D7" w14:textId="3A8699E5" w:rsidR="00D5511C" w:rsidRPr="003F0D86" w:rsidRDefault="00D5511C" w:rsidP="00573908">
      <w:pPr>
        <w:pStyle w:val="ListParagraph"/>
        <w:keepLines/>
        <w:widowControl w:val="0"/>
        <w:tabs>
          <w:tab w:val="left" w:pos="6244"/>
          <w:tab w:val="left" w:pos="6245"/>
        </w:tabs>
        <w:autoSpaceDE w:val="0"/>
        <w:autoSpaceDN w:val="0"/>
        <w:ind w:left="5630" w:right="490"/>
        <w:rPr>
          <w:rFonts w:eastAsia="Arial"/>
          <w:i/>
          <w:szCs w:val="22"/>
        </w:rPr>
      </w:pPr>
      <w:r>
        <w:rPr>
          <w:i/>
        </w:rPr>
        <w:tab/>
        <w:t>a)</w:t>
      </w:r>
      <w:r>
        <w:rPr>
          <w:i/>
        </w:rPr>
        <w:tab/>
        <w:t>prendre note du contenu du présent document et des tables de correspondance visées au paragraphe 2 ci</w:t>
      </w:r>
      <w:r w:rsidR="009F7591">
        <w:rPr>
          <w:i/>
        </w:rPr>
        <w:t>-</w:t>
      </w:r>
      <w:r>
        <w:rPr>
          <w:i/>
        </w:rPr>
        <w:t xml:space="preserve">dessus et reproduites en annexe de ce </w:t>
      </w:r>
      <w:proofErr w:type="gramStart"/>
      <w:r>
        <w:rPr>
          <w:i/>
        </w:rPr>
        <w:t xml:space="preserve">document; </w:t>
      </w:r>
      <w:r w:rsidR="00EA7179">
        <w:rPr>
          <w:i/>
        </w:rPr>
        <w:t xml:space="preserve"> </w:t>
      </w:r>
      <w:r>
        <w:rPr>
          <w:i/>
        </w:rPr>
        <w:t>et</w:t>
      </w:r>
      <w:proofErr w:type="gramEnd"/>
    </w:p>
    <w:p w14:paraId="0A81FE72" w14:textId="6D581C89" w:rsidR="00D5511C" w:rsidRPr="003F0D86" w:rsidRDefault="00D5511C" w:rsidP="00D5511C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before="122"/>
        <w:ind w:left="5630"/>
        <w:rPr>
          <w:rFonts w:eastAsia="Arial"/>
          <w:i/>
          <w:szCs w:val="22"/>
        </w:rPr>
      </w:pPr>
      <w:r>
        <w:rPr>
          <w:i/>
        </w:rPr>
        <w:tab/>
        <w:t>b)</w:t>
      </w:r>
      <w:r>
        <w:rPr>
          <w:i/>
        </w:rPr>
        <w:tab/>
        <w:t>approuver la publication des tables de correspondance de la norme ST.61 de l</w:t>
      </w:r>
      <w:r w:rsidR="009F7591">
        <w:rPr>
          <w:i/>
        </w:rPr>
        <w:t>’</w:t>
      </w:r>
      <w:r>
        <w:rPr>
          <w:i/>
        </w:rPr>
        <w:t>OMPI reçues, reproduites en annexe du présent document, dans la Partie 7.13 du Manuel de l</w:t>
      </w:r>
      <w:r w:rsidR="009F7591">
        <w:rPr>
          <w:i/>
        </w:rPr>
        <w:t>’</w:t>
      </w:r>
      <w:r>
        <w:rPr>
          <w:i/>
        </w:rPr>
        <w:t>OMPI sur l</w:t>
      </w:r>
      <w:r w:rsidR="009F7591">
        <w:rPr>
          <w:i/>
        </w:rPr>
        <w:t>’</w:t>
      </w:r>
      <w:r>
        <w:rPr>
          <w:i/>
        </w:rPr>
        <w:t>information et la documentation en matière de propriété industrielle.</w:t>
      </w:r>
    </w:p>
    <w:p w14:paraId="7A8E8D88" w14:textId="3BB4443C" w:rsidR="009F7591" w:rsidRPr="00573908" w:rsidRDefault="00D5511C" w:rsidP="00573908">
      <w:pPr>
        <w:pStyle w:val="Endofdocument"/>
      </w:pPr>
      <w:r w:rsidRPr="00573908">
        <w:t>[L</w:t>
      </w:r>
      <w:r w:rsidR="009F7591" w:rsidRPr="00573908">
        <w:t>’</w:t>
      </w:r>
      <w:r w:rsidRPr="00573908">
        <w:t>annexe suit]</w:t>
      </w:r>
    </w:p>
    <w:p w14:paraId="11B21582" w14:textId="7D77DE0D" w:rsidR="004B7D43" w:rsidRDefault="004B7D43" w:rsidP="00573908">
      <w:pPr>
        <w:pStyle w:val="Endofdocument"/>
        <w:sectPr w:rsidR="004B7D43" w:rsidSect="006961AE">
          <w:headerReference w:type="default" r:id="rId9"/>
          <w:endnotePr>
            <w:numFmt w:val="decimal"/>
          </w:endnotePr>
          <w:pgSz w:w="11907" w:h="16840" w:code="9"/>
          <w:pgMar w:top="562" w:right="1138" w:bottom="720" w:left="1411" w:header="504" w:footer="144" w:gutter="0"/>
          <w:cols w:space="720"/>
          <w:titlePg/>
          <w:docGrid w:linePitch="299"/>
        </w:sectPr>
      </w:pPr>
    </w:p>
    <w:p w14:paraId="59B0BFE3" w14:textId="77777777" w:rsidR="004B7D43" w:rsidRDefault="004B7D43" w:rsidP="00573908">
      <w:pPr>
        <w:pStyle w:val="Heading2"/>
        <w:spacing w:after="220"/>
      </w:pPr>
      <w:r>
        <w:lastRenderedPageBreak/>
        <w:t>ANNEXE</w:t>
      </w:r>
    </w:p>
    <w:p w14:paraId="5DE41094" w14:textId="29BCD463" w:rsidR="004B7D43" w:rsidRPr="00AA5AFC" w:rsidRDefault="004B7D43" w:rsidP="004B7D43">
      <w:pPr>
        <w:rPr>
          <w:rStyle w:val="Hyperlink"/>
        </w:rPr>
      </w:pPr>
      <w:r>
        <w:t>Version synthétique des tables de correspondance des offices de propriété intellectuelle pour la norme ST.61</w:t>
      </w:r>
      <w:r w:rsidR="009F7591">
        <w:t> :</w:t>
      </w:r>
      <w:r>
        <w:t xml:space="preserve"> </w:t>
      </w:r>
      <w:r w:rsidR="00AA5AFC">
        <w:fldChar w:fldCharType="begin"/>
      </w:r>
      <w:r w:rsidR="00AA5AFC">
        <w:instrText xml:space="preserve"> HYPERLINK "https://www.wipo.int/edocs/mdocs/cws/en/cws_9/cws_9_10-annex1.xlsx" </w:instrText>
      </w:r>
      <w:r w:rsidR="00AA5AFC">
        <w:fldChar w:fldCharType="separate"/>
      </w:r>
      <w:r>
        <w:rPr>
          <w:rStyle w:val="Hyperlink"/>
        </w:rPr>
        <w:t>cws_9_10</w:t>
      </w:r>
      <w:r w:rsidR="009F7591">
        <w:rPr>
          <w:rStyle w:val="Hyperlink"/>
        </w:rPr>
        <w:t>-</w:t>
      </w:r>
      <w:r>
        <w:rPr>
          <w:rStyle w:val="Hyperlink"/>
        </w:rPr>
        <w:t>annex1.xlsx</w:t>
      </w:r>
    </w:p>
    <w:p w14:paraId="16B89886" w14:textId="2D34BD72" w:rsidR="009F7591" w:rsidRPr="00573908" w:rsidRDefault="00AA5AFC" w:rsidP="00573908">
      <w:pPr>
        <w:pStyle w:val="Endofdocument"/>
      </w:pPr>
      <w:r>
        <w:rPr>
          <w:rFonts w:eastAsia="SimSun" w:cs="Arial"/>
        </w:rPr>
        <w:fldChar w:fldCharType="end"/>
      </w:r>
      <w:bookmarkStart w:id="6" w:name="_GoBack"/>
      <w:bookmarkEnd w:id="6"/>
      <w:r w:rsidR="004B7D43" w:rsidRPr="00573908">
        <w:t>[Fin de l</w:t>
      </w:r>
      <w:r w:rsidR="009F7591" w:rsidRPr="00573908">
        <w:t>’</w:t>
      </w:r>
      <w:r w:rsidR="004B7D43" w:rsidRPr="00573908">
        <w:t>annexe et du document]</w:t>
      </w:r>
    </w:p>
    <w:sectPr w:rsidR="009F7591" w:rsidRPr="00573908" w:rsidSect="006961AE">
      <w:headerReference w:type="first" r:id="rId10"/>
      <w:endnotePr>
        <w:numFmt w:val="decimal"/>
      </w:endnotePr>
      <w:pgSz w:w="11907" w:h="16840" w:code="9"/>
      <w:pgMar w:top="562" w:right="1138" w:bottom="720" w:left="1411" w:header="504" w:footer="1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9EACC" w14:textId="77777777" w:rsidR="003814C2" w:rsidRDefault="003814C2">
      <w:r>
        <w:separator/>
      </w:r>
    </w:p>
  </w:endnote>
  <w:endnote w:type="continuationSeparator" w:id="0">
    <w:p w14:paraId="551F8618" w14:textId="77777777" w:rsidR="003814C2" w:rsidRDefault="003814C2" w:rsidP="003B38C1">
      <w:r>
        <w:separator/>
      </w:r>
    </w:p>
    <w:p w14:paraId="35681937" w14:textId="77777777" w:rsidR="003814C2" w:rsidRPr="003C6D3D" w:rsidRDefault="003814C2" w:rsidP="003B38C1">
      <w:pPr>
        <w:spacing w:after="60"/>
        <w:rPr>
          <w:sz w:val="17"/>
          <w:lang w:val="en-US"/>
        </w:rPr>
      </w:pPr>
      <w:r w:rsidRPr="003C6D3D">
        <w:rPr>
          <w:sz w:val="17"/>
          <w:lang w:val="en-US"/>
        </w:rPr>
        <w:t>[Endnote continued from previous page]</w:t>
      </w:r>
    </w:p>
  </w:endnote>
  <w:endnote w:type="continuationNotice" w:id="1">
    <w:p w14:paraId="035C26DF" w14:textId="77777777" w:rsidR="003814C2" w:rsidRPr="003C6D3D" w:rsidRDefault="003814C2" w:rsidP="003B38C1">
      <w:pPr>
        <w:spacing w:before="60"/>
        <w:jc w:val="right"/>
        <w:rPr>
          <w:sz w:val="17"/>
          <w:szCs w:val="17"/>
          <w:lang w:val="en-US"/>
        </w:rPr>
      </w:pPr>
      <w:r w:rsidRPr="003C6D3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660F1" w14:textId="77777777" w:rsidR="003814C2" w:rsidRDefault="003814C2">
      <w:r>
        <w:separator/>
      </w:r>
    </w:p>
  </w:footnote>
  <w:footnote w:type="continuationSeparator" w:id="0">
    <w:p w14:paraId="71073BD3" w14:textId="77777777" w:rsidR="003814C2" w:rsidRDefault="003814C2" w:rsidP="008B60B2">
      <w:r>
        <w:separator/>
      </w:r>
    </w:p>
    <w:p w14:paraId="3D8F065D" w14:textId="77777777" w:rsidR="003814C2" w:rsidRPr="003C6D3D" w:rsidRDefault="003814C2" w:rsidP="008B60B2">
      <w:pPr>
        <w:spacing w:after="60"/>
        <w:rPr>
          <w:sz w:val="17"/>
          <w:szCs w:val="17"/>
          <w:lang w:val="en-US"/>
        </w:rPr>
      </w:pPr>
      <w:r w:rsidRPr="003C6D3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2479FA0" w14:textId="77777777" w:rsidR="003814C2" w:rsidRPr="003C6D3D" w:rsidRDefault="003814C2" w:rsidP="008B60B2">
      <w:pPr>
        <w:spacing w:before="60"/>
        <w:jc w:val="right"/>
        <w:rPr>
          <w:sz w:val="17"/>
          <w:szCs w:val="17"/>
          <w:lang w:val="en-US"/>
        </w:rPr>
      </w:pPr>
      <w:r w:rsidRPr="003C6D3D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EB5D7" w14:textId="0F1758F2" w:rsidR="00D07C78" w:rsidRPr="002326AB" w:rsidRDefault="00D5511C" w:rsidP="00477D6B">
    <w:pPr>
      <w:jc w:val="right"/>
      <w:rPr>
        <w:caps/>
      </w:rPr>
    </w:pPr>
    <w:bookmarkStart w:id="5" w:name="Code2"/>
    <w:bookmarkEnd w:id="5"/>
    <w:r>
      <w:rPr>
        <w:caps/>
      </w:rPr>
      <w:t>CWS/9/10</w:t>
    </w:r>
    <w:r w:rsidR="00DD2E9E">
      <w:rPr>
        <w:caps/>
      </w:rPr>
      <w:t> </w:t>
    </w:r>
    <w:proofErr w:type="spellStart"/>
    <w:r w:rsidR="00DD2E9E" w:rsidRPr="00DD2E9E">
      <w:t>Rev</w:t>
    </w:r>
    <w:proofErr w:type="spellEnd"/>
    <w:r w:rsidR="00DD2E9E" w:rsidRPr="00DD2E9E">
      <w:t>.</w:t>
    </w:r>
  </w:p>
  <w:p w14:paraId="04D2D426" w14:textId="58038C67" w:rsidR="00D07C78" w:rsidRDefault="00D07C78" w:rsidP="00573908">
    <w:pPr>
      <w:spacing w:after="480"/>
      <w:jc w:val="right"/>
    </w:pPr>
    <w:r>
      <w:t>page</w:t>
    </w:r>
    <w:r w:rsidR="001D685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D2E9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F7D5C" w14:textId="748D78E3" w:rsidR="004B7D43" w:rsidRPr="002326AB" w:rsidRDefault="004B7D43" w:rsidP="004B7D43">
    <w:pPr>
      <w:jc w:val="right"/>
      <w:rPr>
        <w:caps/>
      </w:rPr>
    </w:pPr>
    <w:r>
      <w:rPr>
        <w:caps/>
      </w:rPr>
      <w:t>CWS/9/10</w:t>
    </w:r>
    <w:r w:rsidR="00DD2E9E">
      <w:rPr>
        <w:caps/>
      </w:rPr>
      <w:t> </w:t>
    </w:r>
    <w:proofErr w:type="spellStart"/>
    <w:r w:rsidR="00DD2E9E" w:rsidRPr="00DD2E9E">
      <w:t>Rev</w:t>
    </w:r>
    <w:proofErr w:type="spellEnd"/>
    <w:r w:rsidR="00DD2E9E" w:rsidRPr="00DD2E9E">
      <w:t>.</w:t>
    </w:r>
  </w:p>
  <w:p w14:paraId="41E8F7BB" w14:textId="3F619753" w:rsidR="004B7D43" w:rsidRDefault="004B7D43" w:rsidP="004B7D43">
    <w:pPr>
      <w:jc w:val="right"/>
    </w:pPr>
    <w:r>
      <w:t>ANNEXE</w:t>
    </w:r>
  </w:p>
  <w:p w14:paraId="21749B73" w14:textId="77777777" w:rsidR="004B7D43" w:rsidRDefault="004B7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1C"/>
    <w:rsid w:val="000231A7"/>
    <w:rsid w:val="00043CAA"/>
    <w:rsid w:val="00047BAF"/>
    <w:rsid w:val="00056816"/>
    <w:rsid w:val="00061165"/>
    <w:rsid w:val="00075432"/>
    <w:rsid w:val="000968ED"/>
    <w:rsid w:val="000A3D97"/>
    <w:rsid w:val="000D47A8"/>
    <w:rsid w:val="000E6E74"/>
    <w:rsid w:val="000F2764"/>
    <w:rsid w:val="000F5E56"/>
    <w:rsid w:val="001343C2"/>
    <w:rsid w:val="001362EE"/>
    <w:rsid w:val="001647D5"/>
    <w:rsid w:val="001832A6"/>
    <w:rsid w:val="001A3C78"/>
    <w:rsid w:val="001A6557"/>
    <w:rsid w:val="001D4107"/>
    <w:rsid w:val="001D6850"/>
    <w:rsid w:val="001F0CF0"/>
    <w:rsid w:val="00203D24"/>
    <w:rsid w:val="0021217E"/>
    <w:rsid w:val="00230AF1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739AC"/>
    <w:rsid w:val="0037584F"/>
    <w:rsid w:val="003814C2"/>
    <w:rsid w:val="003845C1"/>
    <w:rsid w:val="003A6F89"/>
    <w:rsid w:val="003B38C1"/>
    <w:rsid w:val="003C34E9"/>
    <w:rsid w:val="003C4CCB"/>
    <w:rsid w:val="003C6D3D"/>
    <w:rsid w:val="00423E3E"/>
    <w:rsid w:val="00427AF4"/>
    <w:rsid w:val="004647DA"/>
    <w:rsid w:val="00474062"/>
    <w:rsid w:val="00477D6B"/>
    <w:rsid w:val="004B7D43"/>
    <w:rsid w:val="005019FF"/>
    <w:rsid w:val="0053057A"/>
    <w:rsid w:val="005307DC"/>
    <w:rsid w:val="00556076"/>
    <w:rsid w:val="00560A29"/>
    <w:rsid w:val="00560FD0"/>
    <w:rsid w:val="00573908"/>
    <w:rsid w:val="005C6649"/>
    <w:rsid w:val="005D61FB"/>
    <w:rsid w:val="00605827"/>
    <w:rsid w:val="0061022C"/>
    <w:rsid w:val="00611FD6"/>
    <w:rsid w:val="00646050"/>
    <w:rsid w:val="006713CA"/>
    <w:rsid w:val="00676C5C"/>
    <w:rsid w:val="006961AE"/>
    <w:rsid w:val="006E39B7"/>
    <w:rsid w:val="006E7C32"/>
    <w:rsid w:val="00705299"/>
    <w:rsid w:val="00720EFD"/>
    <w:rsid w:val="00725CA0"/>
    <w:rsid w:val="00741EF0"/>
    <w:rsid w:val="0074717D"/>
    <w:rsid w:val="00766789"/>
    <w:rsid w:val="00767965"/>
    <w:rsid w:val="007854AF"/>
    <w:rsid w:val="00793A7C"/>
    <w:rsid w:val="007A398A"/>
    <w:rsid w:val="007D1613"/>
    <w:rsid w:val="007E4C0E"/>
    <w:rsid w:val="007F2A63"/>
    <w:rsid w:val="00842B3C"/>
    <w:rsid w:val="00846CF6"/>
    <w:rsid w:val="00881B9F"/>
    <w:rsid w:val="008A134B"/>
    <w:rsid w:val="008B2CC1"/>
    <w:rsid w:val="008B60B2"/>
    <w:rsid w:val="008D182F"/>
    <w:rsid w:val="0090731E"/>
    <w:rsid w:val="00916EE2"/>
    <w:rsid w:val="009656C7"/>
    <w:rsid w:val="00966A22"/>
    <w:rsid w:val="0096722F"/>
    <w:rsid w:val="00980843"/>
    <w:rsid w:val="009E2791"/>
    <w:rsid w:val="009E3F6F"/>
    <w:rsid w:val="009F499F"/>
    <w:rsid w:val="009F7591"/>
    <w:rsid w:val="00A37342"/>
    <w:rsid w:val="00A42DAF"/>
    <w:rsid w:val="00A45050"/>
    <w:rsid w:val="00A45BD8"/>
    <w:rsid w:val="00A605AE"/>
    <w:rsid w:val="00A869B7"/>
    <w:rsid w:val="00A90F0A"/>
    <w:rsid w:val="00AA5AFC"/>
    <w:rsid w:val="00AC205C"/>
    <w:rsid w:val="00AF0A6B"/>
    <w:rsid w:val="00B05A69"/>
    <w:rsid w:val="00B355B6"/>
    <w:rsid w:val="00B75281"/>
    <w:rsid w:val="00B92F1F"/>
    <w:rsid w:val="00B9734B"/>
    <w:rsid w:val="00BA30E2"/>
    <w:rsid w:val="00BA5621"/>
    <w:rsid w:val="00BA6067"/>
    <w:rsid w:val="00C00901"/>
    <w:rsid w:val="00C11BFE"/>
    <w:rsid w:val="00C5068F"/>
    <w:rsid w:val="00C82514"/>
    <w:rsid w:val="00C86D74"/>
    <w:rsid w:val="00CD04F1"/>
    <w:rsid w:val="00CD370E"/>
    <w:rsid w:val="00CF681A"/>
    <w:rsid w:val="00D07C78"/>
    <w:rsid w:val="00D45252"/>
    <w:rsid w:val="00D46D0B"/>
    <w:rsid w:val="00D5511C"/>
    <w:rsid w:val="00D71B4D"/>
    <w:rsid w:val="00D93D55"/>
    <w:rsid w:val="00DD2E9E"/>
    <w:rsid w:val="00DD7B7F"/>
    <w:rsid w:val="00E127EC"/>
    <w:rsid w:val="00E15015"/>
    <w:rsid w:val="00E212CA"/>
    <w:rsid w:val="00E250DB"/>
    <w:rsid w:val="00E335FE"/>
    <w:rsid w:val="00E45755"/>
    <w:rsid w:val="00E55A68"/>
    <w:rsid w:val="00EA0763"/>
    <w:rsid w:val="00EA7179"/>
    <w:rsid w:val="00EA7D6E"/>
    <w:rsid w:val="00EB2F76"/>
    <w:rsid w:val="00EC4E49"/>
    <w:rsid w:val="00ED6798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0D4445A"/>
  <w15:docId w15:val="{0F179DDF-E96B-49DE-B034-37708ADF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5511C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paragraph" w:customStyle="1" w:styleId="Endofdocument">
    <w:name w:val="End of document"/>
    <w:basedOn w:val="Normal"/>
    <w:rsid w:val="00573908"/>
    <w:pPr>
      <w:spacing w:before="720" w:line="260" w:lineRule="atLeast"/>
      <w:ind w:left="5530"/>
    </w:pPr>
    <w:rPr>
      <w:rFonts w:eastAsia="Times New Roman" w:cs="Times New Roman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D5511C"/>
    <w:pPr>
      <w:ind w:left="567"/>
    </w:pPr>
  </w:style>
  <w:style w:type="character" w:styleId="CommentReference">
    <w:name w:val="annotation reference"/>
    <w:basedOn w:val="DefaultParagraphFont"/>
    <w:semiHidden/>
    <w:unhideWhenUsed/>
    <w:rsid w:val="005D61F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61F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61FB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D61FB"/>
    <w:rPr>
      <w:rFonts w:ascii="Arial" w:eastAsia="SimSun" w:hAnsi="Arial" w:cs="Arial"/>
      <w:b/>
      <w:bCs/>
      <w:sz w:val="18"/>
      <w:lang w:val="fr-FR" w:eastAsia="zh-CN"/>
    </w:rPr>
  </w:style>
  <w:style w:type="paragraph" w:styleId="BalloonText">
    <w:name w:val="Balloon Text"/>
    <w:basedOn w:val="Normal"/>
    <w:link w:val="BalloonTextChar"/>
    <w:semiHidden/>
    <w:unhideWhenUsed/>
    <w:rsid w:val="005D61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61FB"/>
    <w:rPr>
      <w:rFonts w:ascii="Segoe UI" w:eastAsia="SimSun" w:hAnsi="Segoe UI" w:cs="Segoe UI"/>
      <w:sz w:val="18"/>
      <w:szCs w:val="18"/>
      <w:lang w:val="fr-FR" w:eastAsia="zh-CN"/>
    </w:rPr>
  </w:style>
  <w:style w:type="character" w:styleId="Hyperlink">
    <w:name w:val="Hyperlink"/>
    <w:basedOn w:val="DefaultParagraphFont"/>
    <w:unhideWhenUsed/>
    <w:rsid w:val="00E212CA"/>
    <w:rPr>
      <w:color w:val="0000FF" w:themeColor="hyperlink"/>
      <w:u w:val="single"/>
    </w:rPr>
  </w:style>
  <w:style w:type="paragraph" w:styleId="Title">
    <w:name w:val="Title"/>
    <w:basedOn w:val="Heading1"/>
    <w:next w:val="Normal"/>
    <w:link w:val="TitleChar"/>
    <w:qFormat/>
    <w:rsid w:val="009F7591"/>
    <w:pPr>
      <w:spacing w:before="0" w:after="480"/>
    </w:pPr>
    <w:rPr>
      <w:rFonts w:eastAsiaTheme="majorEastAsia" w:cstheme="majorBidi"/>
      <w:spacing w:val="-10"/>
      <w:kern w:val="28"/>
      <w:sz w:val="28"/>
      <w:szCs w:val="56"/>
      <w:lang w:val="fr-CH"/>
    </w:rPr>
  </w:style>
  <w:style w:type="character" w:customStyle="1" w:styleId="TitleChar">
    <w:name w:val="Title Char"/>
    <w:basedOn w:val="DefaultParagraphFont"/>
    <w:link w:val="Title"/>
    <w:rsid w:val="009F7591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val="fr-CH" w:eastAsia="zh-CN"/>
    </w:rPr>
  </w:style>
  <w:style w:type="character" w:styleId="FollowedHyperlink">
    <w:name w:val="FollowedHyperlink"/>
    <w:basedOn w:val="DefaultParagraphFont"/>
    <w:semiHidden/>
    <w:unhideWhenUsed/>
    <w:rsid w:val="005739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557C-AFA9-4C87-8A5F-E8C8CB26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364</Words>
  <Characters>1901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CWS/9/10</vt:lpstr>
    </vt:vector>
  </TitlesOfParts>
  <Company>WIPO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CWS/9/10</dc:title>
  <dc:subject>Report on the implementation plans of WIPO Standard ST.61</dc:subject>
  <dc:creator>WIPO</dc:creator>
  <cp:keywords>FOR OFFICIAL USE ONLY</cp:keywords>
  <cp:lastModifiedBy>BERNARD Nadège</cp:lastModifiedBy>
  <cp:revision>9</cp:revision>
  <cp:lastPrinted>2021-09-10T07:04:00Z</cp:lastPrinted>
  <dcterms:created xsi:type="dcterms:W3CDTF">2021-09-15T12:16:00Z</dcterms:created>
  <dcterms:modified xsi:type="dcterms:W3CDTF">2021-10-07T08:45:00Z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155ad013-da6d-4839-87df-943ede3cb503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