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6F97B" w14:textId="6C9A8403" w:rsidR="008B2CC1" w:rsidRPr="00EC4DA5" w:rsidRDefault="00EC4DA5" w:rsidP="00EC4DA5">
      <w:pPr>
        <w:pStyle w:val="Heading1"/>
        <w:rPr>
          <w:lang w:val="fr-FR"/>
        </w:rPr>
      </w:pPr>
      <w:r w:rsidRPr="00EC4DA5">
        <w:rPr>
          <w:lang w:val="fr-FR"/>
        </w:rPr>
        <w:t>Ordre du jour</w:t>
      </w:r>
    </w:p>
    <w:p w14:paraId="7EC765DD" w14:textId="77777777" w:rsidR="00EC4DA5" w:rsidRPr="00EC4DA5" w:rsidRDefault="00EC4DA5" w:rsidP="00EC4DA5">
      <w:pPr>
        <w:rPr>
          <w:lang w:val="fr-FR"/>
        </w:rPr>
      </w:pPr>
    </w:p>
    <w:p w14:paraId="0BCDC70B" w14:textId="2BCB7ABC" w:rsidR="008B2CC1" w:rsidRPr="00EC4DA5" w:rsidRDefault="00650F84" w:rsidP="00EC4DA5">
      <w:pPr>
        <w:rPr>
          <w:i/>
          <w:lang w:val="fr-FR"/>
        </w:rPr>
      </w:pPr>
      <w:bookmarkStart w:id="0" w:name="Prepared"/>
      <w:bookmarkEnd w:id="0"/>
      <w:r w:rsidRPr="00EC4DA5">
        <w:rPr>
          <w:i/>
          <w:lang w:val="fr-FR"/>
        </w:rPr>
        <w:t xml:space="preserve">Document </w:t>
      </w:r>
      <w:r w:rsidR="00EC4DA5" w:rsidRPr="00EC4DA5">
        <w:rPr>
          <w:i/>
          <w:lang w:val="fr-FR"/>
        </w:rPr>
        <w:t>établi par le Secrétariat</w:t>
      </w:r>
    </w:p>
    <w:p w14:paraId="3830566A" w14:textId="316FEB5D" w:rsidR="00EC4DA5" w:rsidRPr="00EC4DA5" w:rsidRDefault="00EC4DA5" w:rsidP="00EC4DA5">
      <w:pPr>
        <w:rPr>
          <w:i/>
          <w:lang w:val="fr-FR"/>
        </w:rPr>
      </w:pPr>
    </w:p>
    <w:p w14:paraId="2DA513DF" w14:textId="77777777" w:rsidR="00EC4DA5" w:rsidRPr="00EC4DA5" w:rsidRDefault="00EC4DA5" w:rsidP="00EC4DA5">
      <w:pPr>
        <w:rPr>
          <w:i/>
          <w:lang w:val="fr-FR"/>
        </w:rPr>
      </w:pPr>
    </w:p>
    <w:p w14:paraId="07B00909" w14:textId="77777777" w:rsidR="00EC4DA5" w:rsidRPr="00EC4DA5" w:rsidRDefault="00EC4DA5" w:rsidP="00EC4DA5">
      <w:pPr>
        <w:pStyle w:val="ONUMFS"/>
        <w:rPr>
          <w:lang w:val="fr-FR"/>
        </w:rPr>
      </w:pPr>
      <w:r w:rsidRPr="00EC4DA5">
        <w:rPr>
          <w:lang w:val="fr-FR"/>
        </w:rPr>
        <w:t>Ouverture de la septième session</w:t>
      </w:r>
    </w:p>
    <w:p w14:paraId="0757532C" w14:textId="77777777" w:rsidR="00EC4DA5" w:rsidRPr="00EC4DA5" w:rsidRDefault="00EC4DA5" w:rsidP="00EC4DA5">
      <w:pPr>
        <w:pStyle w:val="ONUMFS"/>
        <w:rPr>
          <w:lang w:val="fr-FR"/>
        </w:rPr>
      </w:pPr>
      <w:r w:rsidRPr="00EC4DA5">
        <w:rPr>
          <w:lang w:val="fr-FR"/>
        </w:rPr>
        <w:t>Élection d’un président et de deux vice-présidents</w:t>
      </w:r>
    </w:p>
    <w:p w14:paraId="3C1E7B9A" w14:textId="77777777" w:rsidR="00EC4DA5" w:rsidRPr="00EC4DA5" w:rsidRDefault="00EC4DA5" w:rsidP="00EC4DA5">
      <w:pPr>
        <w:pStyle w:val="ONUMFS"/>
        <w:numPr>
          <w:ilvl w:val="0"/>
          <w:numId w:val="3"/>
        </w:numPr>
        <w:ind w:left="567" w:hanging="567"/>
        <w:rPr>
          <w:lang w:val="fr-FR"/>
        </w:rPr>
      </w:pPr>
      <w:r w:rsidRPr="00EC4DA5">
        <w:rPr>
          <w:lang w:val="fr-FR"/>
        </w:rPr>
        <w:t>Adoption de l’ordre du jour</w:t>
      </w:r>
      <w:r w:rsidRPr="00EC4DA5">
        <w:rPr>
          <w:lang w:val="fr-FR"/>
        </w:rPr>
        <w:br/>
      </w:r>
      <w:r w:rsidRPr="00EC4DA5">
        <w:rPr>
          <w:lang w:val="fr-FR"/>
        </w:rPr>
        <w:tab/>
        <w:t>Voir le présent document.</w:t>
      </w:r>
    </w:p>
    <w:p w14:paraId="78789AC2" w14:textId="77777777" w:rsidR="00EC4DA5" w:rsidRPr="00EC4DA5" w:rsidRDefault="00EC4DA5" w:rsidP="00EC4DA5">
      <w:pPr>
        <w:pStyle w:val="ONUMFS"/>
        <w:numPr>
          <w:ilvl w:val="0"/>
          <w:numId w:val="3"/>
        </w:numPr>
        <w:ind w:left="567" w:hanging="567"/>
        <w:rPr>
          <w:lang w:val="fr-FR"/>
        </w:rPr>
      </w:pPr>
      <w:r w:rsidRPr="00EC4DA5">
        <w:rPr>
          <w:lang w:val="fr-FR"/>
        </w:rPr>
        <w:t>Révision de la norme ST.3 de l’OMPI</w:t>
      </w:r>
      <w:r w:rsidRPr="00EC4DA5">
        <w:rPr>
          <w:lang w:val="fr-FR"/>
        </w:rPr>
        <w:br/>
      </w:r>
      <w:r w:rsidRPr="00EC4DA5">
        <w:rPr>
          <w:lang w:val="fr-FR"/>
        </w:rPr>
        <w:tab/>
        <w:t>Voir les documents CWS/7/2 </w:t>
      </w:r>
      <w:proofErr w:type="spellStart"/>
      <w:r w:rsidRPr="00EC4DA5">
        <w:rPr>
          <w:lang w:val="fr-FR"/>
        </w:rPr>
        <w:t>Rev</w:t>
      </w:r>
      <w:proofErr w:type="spellEnd"/>
      <w:r w:rsidRPr="00EC4DA5">
        <w:rPr>
          <w:lang w:val="fr-FR"/>
        </w:rPr>
        <w:t xml:space="preserve">. </w:t>
      </w:r>
      <w:proofErr w:type="gramStart"/>
      <w:r w:rsidRPr="00EC4DA5">
        <w:rPr>
          <w:lang w:val="fr-FR"/>
        </w:rPr>
        <w:t>et</w:t>
      </w:r>
      <w:proofErr w:type="gramEnd"/>
      <w:r w:rsidRPr="00EC4DA5">
        <w:rPr>
          <w:lang w:val="fr-FR"/>
        </w:rPr>
        <w:t xml:space="preserve"> CWS/7/2 </w:t>
      </w:r>
      <w:proofErr w:type="spellStart"/>
      <w:r w:rsidRPr="00EC4DA5">
        <w:rPr>
          <w:lang w:val="fr-FR"/>
        </w:rPr>
        <w:t>Add</w:t>
      </w:r>
      <w:proofErr w:type="spellEnd"/>
      <w:r w:rsidRPr="00EC4DA5">
        <w:rPr>
          <w:lang w:val="fr-FR"/>
        </w:rPr>
        <w:t>.</w:t>
      </w:r>
    </w:p>
    <w:p w14:paraId="45D6002F" w14:textId="77777777" w:rsidR="00EC4DA5" w:rsidRPr="00EC4DA5" w:rsidRDefault="00EC4DA5" w:rsidP="00EC4DA5">
      <w:pPr>
        <w:pStyle w:val="ONUMFS"/>
        <w:numPr>
          <w:ilvl w:val="0"/>
          <w:numId w:val="3"/>
        </w:numPr>
        <w:ind w:left="567" w:hanging="567"/>
        <w:rPr>
          <w:lang w:val="fr-FR"/>
        </w:rPr>
      </w:pPr>
      <w:r w:rsidRPr="00EC4DA5">
        <w:rPr>
          <w:lang w:val="fr-FR"/>
        </w:rPr>
        <w:t>Rapport de l’Équipe d’experts chargée des normes relatives aux technologies de l’information et de la communication sur la tâche n° 58</w:t>
      </w:r>
    </w:p>
    <w:p w14:paraId="3DD1E0B8"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Équipe d’experts chargée de la norme XML4IP</w:t>
      </w:r>
    </w:p>
    <w:p w14:paraId="37A6BDEC"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Rapport sur les tâches n</w:t>
      </w:r>
      <w:r w:rsidRPr="00EC4DA5">
        <w:rPr>
          <w:vertAlign w:val="superscript"/>
          <w:lang w:val="fr-FR"/>
        </w:rPr>
        <w:t>os</w:t>
      </w:r>
      <w:r w:rsidRPr="00EC4DA5">
        <w:rPr>
          <w:lang w:val="fr-FR"/>
        </w:rPr>
        <w:t> 41, 53, 56 et 63</w:t>
      </w:r>
      <w:r w:rsidRPr="00EC4DA5">
        <w:rPr>
          <w:lang w:val="fr-FR"/>
        </w:rPr>
        <w:br/>
      </w:r>
      <w:r w:rsidRPr="00EC4DA5">
        <w:rPr>
          <w:lang w:val="fr-FR"/>
        </w:rPr>
        <w:tab/>
        <w:t>Voir le document CWS/7/3 </w:t>
      </w:r>
      <w:proofErr w:type="spellStart"/>
      <w:r w:rsidRPr="00EC4DA5">
        <w:rPr>
          <w:lang w:val="fr-FR"/>
        </w:rPr>
        <w:t>Rev</w:t>
      </w:r>
      <w:proofErr w:type="spellEnd"/>
      <w:r w:rsidRPr="00EC4DA5">
        <w:rPr>
          <w:lang w:val="fr-FR"/>
        </w:rPr>
        <w:t>.</w:t>
      </w:r>
    </w:p>
    <w:p w14:paraId="12D0E0BA"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Proposition relative à une norme de l’OMPI sur les API Web</w:t>
      </w:r>
      <w:r w:rsidRPr="00EC4DA5">
        <w:rPr>
          <w:lang w:val="fr-FR"/>
        </w:rPr>
        <w:br/>
      </w:r>
      <w:r w:rsidRPr="00EC4DA5">
        <w:rPr>
          <w:lang w:val="fr-FR"/>
        </w:rPr>
        <w:tab/>
        <w:t>Voir le document CWS/7/4.</w:t>
      </w:r>
    </w:p>
    <w:p w14:paraId="7249F8D0"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Proposition relative à la spécification JSON</w:t>
      </w:r>
      <w:r w:rsidRPr="00EC4DA5">
        <w:rPr>
          <w:lang w:val="fr-FR"/>
        </w:rPr>
        <w:br/>
      </w:r>
      <w:r w:rsidRPr="00EC4DA5">
        <w:rPr>
          <w:lang w:val="fr-FR"/>
        </w:rPr>
        <w:tab/>
        <w:t>Voir le document CWS/7/5.</w:t>
      </w:r>
    </w:p>
    <w:p w14:paraId="1ADB3B13" w14:textId="77777777" w:rsidR="00EC4DA5" w:rsidRPr="00EC4DA5" w:rsidRDefault="00EC4DA5" w:rsidP="00EC4DA5">
      <w:pPr>
        <w:pStyle w:val="ONUMFS"/>
        <w:keepNext/>
        <w:numPr>
          <w:ilvl w:val="0"/>
          <w:numId w:val="3"/>
        </w:numPr>
        <w:tabs>
          <w:tab w:val="clear" w:pos="567"/>
        </w:tabs>
        <w:ind w:left="567" w:hanging="567"/>
        <w:rPr>
          <w:lang w:val="fr-FR"/>
        </w:rPr>
      </w:pPr>
      <w:r w:rsidRPr="00EC4DA5">
        <w:rPr>
          <w:lang w:val="fr-FR"/>
        </w:rPr>
        <w:t>Équipe d’experts chargée des chaînes de blocs</w:t>
      </w:r>
    </w:p>
    <w:p w14:paraId="677616F3" w14:textId="77777777" w:rsidR="00EC4DA5" w:rsidRPr="00EC4DA5" w:rsidRDefault="00EC4DA5" w:rsidP="00EC4DA5">
      <w:pPr>
        <w:pStyle w:val="ONUMFS"/>
        <w:keepNext/>
        <w:numPr>
          <w:ilvl w:val="1"/>
          <w:numId w:val="3"/>
        </w:numPr>
        <w:tabs>
          <w:tab w:val="clear" w:pos="1134"/>
          <w:tab w:val="left" w:pos="1701"/>
        </w:tabs>
        <w:ind w:left="1134" w:hanging="567"/>
        <w:rPr>
          <w:lang w:val="fr-FR"/>
        </w:rPr>
      </w:pPr>
      <w:r w:rsidRPr="00EC4DA5">
        <w:rPr>
          <w:lang w:val="fr-FR"/>
        </w:rPr>
        <w:t>Rapport sur la tâche n° 59</w:t>
      </w:r>
      <w:r w:rsidRPr="00EC4DA5">
        <w:rPr>
          <w:lang w:val="fr-FR"/>
        </w:rPr>
        <w:br/>
      </w:r>
      <w:r w:rsidRPr="00EC4DA5">
        <w:rPr>
          <w:lang w:val="fr-FR"/>
        </w:rPr>
        <w:tab/>
        <w:t>Voir le document CWS/7/6.</w:t>
      </w:r>
    </w:p>
    <w:p w14:paraId="385B5A52"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Rapport sur l’atelier relatif aux chaînes de blocs</w:t>
      </w:r>
    </w:p>
    <w:p w14:paraId="23A4C0CD"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Équipe d’experts chargée de la normalisation des noms</w:t>
      </w:r>
    </w:p>
    <w:p w14:paraId="0285371E"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Rapport sur la tâche n° 55</w:t>
      </w:r>
      <w:r w:rsidRPr="00EC4DA5">
        <w:rPr>
          <w:lang w:val="fr-FR"/>
        </w:rPr>
        <w:br/>
      </w:r>
      <w:r w:rsidRPr="00EC4DA5">
        <w:rPr>
          <w:lang w:val="fr-FR"/>
        </w:rPr>
        <w:tab/>
        <w:t>Voir le document CWS/7/7.</w:t>
      </w:r>
    </w:p>
    <w:p w14:paraId="4BA027AE"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Résultats de l’enquête sur l’utilisation d’identifiants pour les déposants par les offices de propriété intellectuelle</w:t>
      </w:r>
      <w:r w:rsidRPr="00EC4DA5">
        <w:rPr>
          <w:lang w:val="fr-FR"/>
        </w:rPr>
        <w:br/>
      </w:r>
      <w:r w:rsidRPr="00EC4DA5">
        <w:rPr>
          <w:lang w:val="fr-FR"/>
        </w:rPr>
        <w:tab/>
        <w:t>Voir le document CWS/7/8.</w:t>
      </w:r>
    </w:p>
    <w:p w14:paraId="5A1F1760"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Rapport sur l’atelier relatif à la normalisation des noms</w:t>
      </w:r>
    </w:p>
    <w:p w14:paraId="75D0B48F"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Rapport de l’Équipe d’experts 3D sur la tâche n° 61</w:t>
      </w:r>
      <w:r w:rsidRPr="00EC4DA5">
        <w:rPr>
          <w:lang w:val="fr-FR"/>
        </w:rPr>
        <w:br/>
      </w:r>
      <w:r w:rsidRPr="00EC4DA5">
        <w:rPr>
          <w:lang w:val="fr-FR"/>
        </w:rPr>
        <w:tab/>
        <w:t>Voir le document CWS/7/9.</w:t>
      </w:r>
    </w:p>
    <w:p w14:paraId="62ABC75C"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Rapport de l’Équipe d’experts chargée de la transformation numérique sur la tâche n° 62</w:t>
      </w:r>
      <w:r w:rsidRPr="00EC4DA5">
        <w:rPr>
          <w:lang w:val="fr-FR"/>
        </w:rPr>
        <w:br/>
      </w:r>
      <w:r w:rsidRPr="00EC4DA5">
        <w:rPr>
          <w:lang w:val="fr-FR"/>
        </w:rPr>
        <w:tab/>
        <w:t>Voir le document CWS/7/10.</w:t>
      </w:r>
    </w:p>
    <w:p w14:paraId="730C0689" w14:textId="77777777" w:rsidR="00EC4DA5" w:rsidRPr="00EC4DA5" w:rsidRDefault="00EC4DA5" w:rsidP="00EC4DA5">
      <w:pPr>
        <w:pStyle w:val="ONUMFS"/>
        <w:keepNext/>
        <w:numPr>
          <w:ilvl w:val="0"/>
          <w:numId w:val="3"/>
        </w:numPr>
        <w:tabs>
          <w:tab w:val="clear" w:pos="567"/>
        </w:tabs>
        <w:ind w:left="567" w:hanging="567"/>
        <w:rPr>
          <w:lang w:val="fr-FR"/>
        </w:rPr>
      </w:pPr>
      <w:r w:rsidRPr="00EC4DA5">
        <w:rPr>
          <w:lang w:val="fr-FR"/>
        </w:rPr>
        <w:lastRenderedPageBreak/>
        <w:t>Équipe d’experts chargée de la situation juridique</w:t>
      </w:r>
    </w:p>
    <w:p w14:paraId="2F63A81D"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Rapport sur la tâche n° 47</w:t>
      </w:r>
      <w:r w:rsidRPr="00EC4DA5">
        <w:rPr>
          <w:lang w:val="fr-FR"/>
        </w:rPr>
        <w:br/>
      </w:r>
      <w:r w:rsidRPr="00EC4DA5">
        <w:rPr>
          <w:lang w:val="fr-FR"/>
        </w:rPr>
        <w:tab/>
        <w:t>Voir le document CWS/7/11.</w:t>
      </w:r>
    </w:p>
    <w:p w14:paraId="1D351B35"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Révision de la norme ST.27 de l’OMPI</w:t>
      </w:r>
      <w:r w:rsidRPr="00EC4DA5">
        <w:rPr>
          <w:lang w:val="fr-FR"/>
        </w:rPr>
        <w:br/>
      </w:r>
      <w:r w:rsidRPr="00EC4DA5">
        <w:rPr>
          <w:lang w:val="fr-FR"/>
        </w:rPr>
        <w:tab/>
        <w:t>Voir le document CWS/7/12.</w:t>
      </w:r>
    </w:p>
    <w:p w14:paraId="19617C59"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Rapport sur le programme de mise en œuvre de la norme ST.87 de l’OMPI</w:t>
      </w:r>
    </w:p>
    <w:p w14:paraId="4BEC2FBC"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Équipe d’experts chargée de la norme relative aux listages des séquences</w:t>
      </w:r>
    </w:p>
    <w:p w14:paraId="3EF00B20"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Rapport sur la tâche n° 44</w:t>
      </w:r>
      <w:r w:rsidRPr="00EC4DA5">
        <w:rPr>
          <w:lang w:val="fr-FR"/>
        </w:rPr>
        <w:br/>
      </w:r>
      <w:r w:rsidRPr="00EC4DA5">
        <w:rPr>
          <w:lang w:val="fr-FR"/>
        </w:rPr>
        <w:tab/>
        <w:t>Voir le document CWS/7/13.</w:t>
      </w:r>
    </w:p>
    <w:p w14:paraId="19E79D93"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Révision de la norme ST.26 de l’OMPI</w:t>
      </w:r>
      <w:r w:rsidRPr="00EC4DA5">
        <w:rPr>
          <w:lang w:val="fr-FR"/>
        </w:rPr>
        <w:br/>
      </w:r>
      <w:r w:rsidRPr="00EC4DA5">
        <w:rPr>
          <w:lang w:val="fr-FR"/>
        </w:rPr>
        <w:tab/>
        <w:t>Voir le document CWS/7/14.</w:t>
      </w:r>
    </w:p>
    <w:p w14:paraId="6594C6CC"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Outil de listage des séquences de l’OMPI</w:t>
      </w:r>
      <w:r w:rsidRPr="00EC4DA5">
        <w:rPr>
          <w:lang w:val="fr-FR"/>
        </w:rPr>
        <w:br/>
      </w:r>
      <w:r w:rsidRPr="00EC4DA5">
        <w:rPr>
          <w:lang w:val="fr-FR"/>
        </w:rPr>
        <w:tab/>
        <w:t>Voir le document CWS/7/15.</w:t>
      </w:r>
    </w:p>
    <w:p w14:paraId="179B7B5F"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Équipe d’experts chargée des fichiers d’autorité</w:t>
      </w:r>
    </w:p>
    <w:p w14:paraId="42D89745"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Rapport sur la tâche n° 51</w:t>
      </w:r>
      <w:r w:rsidRPr="00EC4DA5">
        <w:rPr>
          <w:lang w:val="fr-FR"/>
        </w:rPr>
        <w:br/>
      </w:r>
      <w:r w:rsidRPr="00EC4DA5">
        <w:rPr>
          <w:lang w:val="fr-FR"/>
        </w:rPr>
        <w:tab/>
        <w:t>Voir le document CWS/7/16.</w:t>
      </w:r>
    </w:p>
    <w:p w14:paraId="0A300EE8"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Révision de la norme ST.37 de l’OMPI</w:t>
      </w:r>
      <w:r w:rsidRPr="00EC4DA5">
        <w:rPr>
          <w:lang w:val="fr-FR"/>
        </w:rPr>
        <w:br/>
      </w:r>
      <w:r w:rsidRPr="00EC4DA5">
        <w:rPr>
          <w:lang w:val="fr-FR"/>
        </w:rPr>
        <w:tab/>
        <w:t>Voir le document CWS/7/17.</w:t>
      </w:r>
    </w:p>
    <w:p w14:paraId="70B88FC7"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Portail Web pour la publication des fichiers d’autorité</w:t>
      </w:r>
    </w:p>
    <w:p w14:paraId="7370B9A7" w14:textId="77777777" w:rsidR="00EC4DA5" w:rsidRPr="00EC4DA5" w:rsidRDefault="00EC4DA5" w:rsidP="00EC4DA5">
      <w:pPr>
        <w:pStyle w:val="ONUMFS"/>
        <w:keepNext/>
        <w:numPr>
          <w:ilvl w:val="0"/>
          <w:numId w:val="3"/>
        </w:numPr>
        <w:tabs>
          <w:tab w:val="clear" w:pos="567"/>
        </w:tabs>
        <w:ind w:left="567" w:hanging="567"/>
        <w:rPr>
          <w:lang w:val="fr-FR"/>
        </w:rPr>
      </w:pPr>
      <w:r w:rsidRPr="00EC4DA5">
        <w:rPr>
          <w:lang w:val="fr-FR"/>
        </w:rPr>
        <w:t>Équipe d’experts chargée des normes relatives aux marques</w:t>
      </w:r>
    </w:p>
    <w:p w14:paraId="468F3F51" w14:textId="77777777" w:rsidR="00EC4DA5" w:rsidRPr="00EC4DA5" w:rsidRDefault="00EC4DA5" w:rsidP="00EC4DA5">
      <w:pPr>
        <w:pStyle w:val="ONUMFS"/>
        <w:keepNext/>
        <w:numPr>
          <w:ilvl w:val="1"/>
          <w:numId w:val="3"/>
        </w:numPr>
        <w:tabs>
          <w:tab w:val="clear" w:pos="1134"/>
          <w:tab w:val="left" w:pos="1701"/>
        </w:tabs>
        <w:ind w:left="1134" w:hanging="567"/>
        <w:rPr>
          <w:lang w:val="fr-FR"/>
        </w:rPr>
      </w:pPr>
      <w:r w:rsidRPr="00EC4DA5">
        <w:rPr>
          <w:lang w:val="fr-FR"/>
        </w:rPr>
        <w:t>Rapport sur la tâche n° 60</w:t>
      </w:r>
      <w:r w:rsidRPr="00EC4DA5">
        <w:rPr>
          <w:lang w:val="fr-FR"/>
        </w:rPr>
        <w:br/>
      </w:r>
      <w:r w:rsidRPr="00EC4DA5">
        <w:rPr>
          <w:lang w:val="fr-FR"/>
        </w:rPr>
        <w:tab/>
        <w:t>Voir le document CWS/7/18 Corr.</w:t>
      </w:r>
    </w:p>
    <w:p w14:paraId="007CE5D0"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Proposition de révision de la norme ST.60 de l’OMPI</w:t>
      </w:r>
      <w:r w:rsidRPr="00EC4DA5">
        <w:rPr>
          <w:lang w:val="fr-FR"/>
        </w:rPr>
        <w:br/>
      </w:r>
      <w:r w:rsidRPr="00EC4DA5">
        <w:rPr>
          <w:lang w:val="fr-FR"/>
        </w:rPr>
        <w:tab/>
        <w:t>Voir le document CWS/7/19.</w:t>
      </w:r>
    </w:p>
    <w:p w14:paraId="528918CE"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Équipe d’experts chargée de la représentation des dessins et modèles</w:t>
      </w:r>
    </w:p>
    <w:p w14:paraId="7089722C"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Rapport sur la tâche n° 57</w:t>
      </w:r>
      <w:r w:rsidRPr="00EC4DA5">
        <w:rPr>
          <w:lang w:val="fr-FR"/>
        </w:rPr>
        <w:br/>
      </w:r>
      <w:r w:rsidRPr="00EC4DA5">
        <w:rPr>
          <w:lang w:val="fr-FR"/>
        </w:rPr>
        <w:tab/>
        <w:t>Voir le document CWS/7/20.</w:t>
      </w:r>
    </w:p>
    <w:p w14:paraId="63EDF765"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Résultats de l’enquête sur la représentation visuelle sous forme électronique des dessins et modèles industriels</w:t>
      </w:r>
      <w:r w:rsidRPr="00EC4DA5">
        <w:rPr>
          <w:lang w:val="fr-FR"/>
        </w:rPr>
        <w:br/>
      </w:r>
      <w:r w:rsidRPr="00EC4DA5">
        <w:rPr>
          <w:lang w:val="fr-FR"/>
        </w:rPr>
        <w:tab/>
        <w:t>Voir le document CWS/7/21.</w:t>
      </w:r>
    </w:p>
    <w:p w14:paraId="3B38CFCF"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Équipe d’experts chargée de la partie 7</w:t>
      </w:r>
    </w:p>
    <w:p w14:paraId="0D89042E"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Rapport sur la tâche n° 50</w:t>
      </w:r>
      <w:r w:rsidRPr="00EC4DA5">
        <w:rPr>
          <w:lang w:val="fr-FR"/>
        </w:rPr>
        <w:br/>
      </w:r>
      <w:r w:rsidRPr="00EC4DA5">
        <w:rPr>
          <w:lang w:val="fr-FR"/>
        </w:rPr>
        <w:tab/>
        <w:t>Voir le document CWS/7/22.</w:t>
      </w:r>
    </w:p>
    <w:p w14:paraId="5C72133B"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t>Résultats de l’enquête sur la délivrance et la publication des CCP et des extensions</w:t>
      </w:r>
      <w:r w:rsidRPr="00EC4DA5">
        <w:rPr>
          <w:lang w:val="fr-FR"/>
        </w:rPr>
        <w:br/>
      </w:r>
      <w:r w:rsidRPr="00EC4DA5">
        <w:rPr>
          <w:lang w:val="fr-FR"/>
        </w:rPr>
        <w:tab/>
        <w:t>Voir le document CWS/7/23.</w:t>
      </w:r>
    </w:p>
    <w:p w14:paraId="1F5892F4" w14:textId="77777777" w:rsidR="00EC4DA5" w:rsidRPr="00EC4DA5" w:rsidRDefault="00EC4DA5" w:rsidP="00EC4DA5">
      <w:pPr>
        <w:pStyle w:val="ONUMFS"/>
        <w:numPr>
          <w:ilvl w:val="1"/>
          <w:numId w:val="3"/>
        </w:numPr>
        <w:tabs>
          <w:tab w:val="clear" w:pos="1134"/>
          <w:tab w:val="left" w:pos="1701"/>
        </w:tabs>
        <w:ind w:left="1134" w:hanging="567"/>
        <w:rPr>
          <w:lang w:val="fr-FR"/>
        </w:rPr>
      </w:pPr>
      <w:r w:rsidRPr="00EC4DA5">
        <w:rPr>
          <w:lang w:val="fr-FR"/>
        </w:rPr>
        <w:lastRenderedPageBreak/>
        <w:t>Questionnaire sur la numérotation des documents publiés et des titres enregistrés</w:t>
      </w:r>
      <w:r w:rsidRPr="00EC4DA5">
        <w:rPr>
          <w:lang w:val="fr-FR"/>
        </w:rPr>
        <w:br/>
      </w:r>
      <w:r w:rsidRPr="00EC4DA5">
        <w:rPr>
          <w:lang w:val="fr-FR"/>
        </w:rPr>
        <w:tab/>
        <w:t>Voir le document CWS/7/24.</w:t>
      </w:r>
    </w:p>
    <w:p w14:paraId="240A7049"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Proposition de l’Équipe d’experts chargée de l’accès public à l’information en matière de brevets concernant un questionnaire sur l’accès à l’information en matière de brevets accessible au public</w:t>
      </w:r>
      <w:r w:rsidRPr="00EC4DA5">
        <w:rPr>
          <w:lang w:val="fr-FR"/>
        </w:rPr>
        <w:br/>
      </w:r>
      <w:r w:rsidRPr="00EC4DA5">
        <w:rPr>
          <w:lang w:val="fr-FR"/>
        </w:rPr>
        <w:tab/>
        <w:t>Voir le document CWS/7/25.</w:t>
      </w:r>
    </w:p>
    <w:p w14:paraId="3F826B99"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Rapport sur l’enquête concernant l’utilisation des normes de l’OMPI</w:t>
      </w:r>
    </w:p>
    <w:p w14:paraId="0966A693"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Rapport sur les rapports techniques annuels</w:t>
      </w:r>
    </w:p>
    <w:p w14:paraId="42110EA6"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Rapport présenté par le Bureau international sur la prestation de services consultatifs et d’assistance technique aux fins du renforcement des capacités des offices de propriété industrielle en rapport avec le mandat du CWS</w:t>
      </w:r>
      <w:r w:rsidRPr="00EC4DA5">
        <w:rPr>
          <w:lang w:val="fr-FR"/>
        </w:rPr>
        <w:br/>
      </w:r>
      <w:r w:rsidRPr="00EC4DA5">
        <w:rPr>
          <w:lang w:val="fr-FR"/>
        </w:rPr>
        <w:tab/>
        <w:t>Voir le document CWS/7/26.</w:t>
      </w:r>
    </w:p>
    <w:p w14:paraId="236BC774"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Examen du programme de travail et de la liste des tâches du CWS</w:t>
      </w:r>
      <w:r w:rsidRPr="00EC4DA5">
        <w:rPr>
          <w:lang w:val="fr-FR"/>
        </w:rPr>
        <w:br/>
      </w:r>
      <w:r w:rsidRPr="00EC4DA5">
        <w:rPr>
          <w:lang w:val="fr-FR"/>
        </w:rPr>
        <w:tab/>
        <w:t>Voir le document CWS/7/27.</w:t>
      </w:r>
    </w:p>
    <w:p w14:paraId="78CF7C1D"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Résumé présenté par le président</w:t>
      </w:r>
    </w:p>
    <w:p w14:paraId="4AD94F9B" w14:textId="77777777" w:rsidR="00EC4DA5" w:rsidRPr="00EC4DA5" w:rsidRDefault="00EC4DA5" w:rsidP="00EC4DA5">
      <w:pPr>
        <w:pStyle w:val="ONUMFS"/>
        <w:numPr>
          <w:ilvl w:val="0"/>
          <w:numId w:val="3"/>
        </w:numPr>
        <w:tabs>
          <w:tab w:val="clear" w:pos="567"/>
        </w:tabs>
        <w:ind w:left="567" w:hanging="567"/>
        <w:rPr>
          <w:lang w:val="fr-FR"/>
        </w:rPr>
      </w:pPr>
      <w:r w:rsidRPr="00EC4DA5">
        <w:rPr>
          <w:lang w:val="fr-FR"/>
        </w:rPr>
        <w:t>Clôture de la session</w:t>
      </w:r>
    </w:p>
    <w:p w14:paraId="5E4F92F7" w14:textId="77777777" w:rsidR="00E00D5C" w:rsidRPr="00EC4DA5" w:rsidRDefault="00E00D5C" w:rsidP="00892317">
      <w:pPr>
        <w:rPr>
          <w:szCs w:val="22"/>
          <w:lang w:val="fr-FR"/>
        </w:rPr>
      </w:pPr>
      <w:bookmarkStart w:id="1" w:name="_GoBack"/>
      <w:bookmarkEnd w:id="1"/>
    </w:p>
    <w:p w14:paraId="2DC5EEC4" w14:textId="77777777" w:rsidR="008D610D" w:rsidRPr="00EC4DA5" w:rsidRDefault="008D610D" w:rsidP="00892317">
      <w:pPr>
        <w:rPr>
          <w:szCs w:val="22"/>
          <w:lang w:val="fr-FR"/>
        </w:rPr>
      </w:pPr>
    </w:p>
    <w:p w14:paraId="1D65914C" w14:textId="2904DD16" w:rsidR="002928D3" w:rsidRPr="00EC4DA5" w:rsidRDefault="00892317" w:rsidP="00EC4DA5">
      <w:pPr>
        <w:pStyle w:val="Endofdocument-Annex"/>
      </w:pPr>
      <w:r w:rsidRPr="00EC4DA5">
        <w:t>[</w:t>
      </w:r>
      <w:proofErr w:type="spellStart"/>
      <w:r w:rsidR="00EC4DA5" w:rsidRPr="00EC4DA5">
        <w:t>L’annexe</w:t>
      </w:r>
      <w:proofErr w:type="spellEnd"/>
      <w:r w:rsidR="00EC4DA5" w:rsidRPr="00EC4DA5">
        <w:t xml:space="preserve"> III suit</w:t>
      </w:r>
      <w:r w:rsidRPr="00EC4DA5">
        <w:t>]</w:t>
      </w:r>
    </w:p>
    <w:sectPr w:rsidR="002928D3" w:rsidRPr="00EC4DA5" w:rsidSect="00EC4DA5">
      <w:headerReference w:type="even" r:id="rId8"/>
      <w:headerReference w:type="default" r:id="rId9"/>
      <w:headerReference w:type="firs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230D8" w14:textId="77777777" w:rsidR="00CF2FCC" w:rsidRDefault="00CF2FCC">
      <w:r>
        <w:separator/>
      </w:r>
    </w:p>
  </w:endnote>
  <w:endnote w:type="continuationSeparator" w:id="0">
    <w:p w14:paraId="68EB7423" w14:textId="77777777" w:rsidR="00CF2FCC" w:rsidRDefault="00CF2FCC" w:rsidP="003B38C1">
      <w:r>
        <w:separator/>
      </w:r>
    </w:p>
    <w:p w14:paraId="2BD35595" w14:textId="77777777" w:rsidR="00CF2FCC" w:rsidRPr="00C83ADA" w:rsidRDefault="00CF2FCC" w:rsidP="003B38C1">
      <w:pPr>
        <w:spacing w:after="60"/>
        <w:rPr>
          <w:sz w:val="17"/>
          <w:lang w:val="en-US"/>
        </w:rPr>
      </w:pPr>
      <w:r w:rsidRPr="00C83ADA">
        <w:rPr>
          <w:sz w:val="17"/>
          <w:lang w:val="en-US"/>
        </w:rPr>
        <w:t>[Endnote continued from previous page]</w:t>
      </w:r>
    </w:p>
  </w:endnote>
  <w:endnote w:type="continuationNotice" w:id="1">
    <w:p w14:paraId="063415DA" w14:textId="77777777" w:rsidR="00CF2FCC" w:rsidRPr="00C83ADA" w:rsidRDefault="00CF2FCC" w:rsidP="003B38C1">
      <w:pPr>
        <w:spacing w:before="60"/>
        <w:jc w:val="right"/>
        <w:rPr>
          <w:sz w:val="17"/>
          <w:szCs w:val="17"/>
          <w:lang w:val="en-US"/>
        </w:rPr>
      </w:pPr>
      <w:r w:rsidRPr="00C83AD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996D9" w14:textId="77777777" w:rsidR="00CF2FCC" w:rsidRDefault="00CF2FCC">
      <w:r>
        <w:separator/>
      </w:r>
    </w:p>
  </w:footnote>
  <w:footnote w:type="continuationSeparator" w:id="0">
    <w:p w14:paraId="6BE11D72" w14:textId="77777777" w:rsidR="00CF2FCC" w:rsidRDefault="00CF2FCC" w:rsidP="008B60B2">
      <w:r>
        <w:separator/>
      </w:r>
    </w:p>
    <w:p w14:paraId="36338E5C" w14:textId="77777777" w:rsidR="00CF2FCC" w:rsidRPr="00C83ADA" w:rsidRDefault="00CF2FCC" w:rsidP="008B60B2">
      <w:pPr>
        <w:spacing w:after="60"/>
        <w:rPr>
          <w:sz w:val="17"/>
          <w:szCs w:val="17"/>
          <w:lang w:val="en-US"/>
        </w:rPr>
      </w:pPr>
      <w:r w:rsidRPr="00C83ADA">
        <w:rPr>
          <w:sz w:val="17"/>
          <w:szCs w:val="17"/>
          <w:lang w:val="en-US"/>
        </w:rPr>
        <w:t>[Footnote continued from previous page]</w:t>
      </w:r>
    </w:p>
  </w:footnote>
  <w:footnote w:type="continuationNotice" w:id="1">
    <w:p w14:paraId="74AEBA65" w14:textId="77777777" w:rsidR="00CF2FCC" w:rsidRPr="00C83ADA" w:rsidRDefault="00CF2FCC" w:rsidP="008B60B2">
      <w:pPr>
        <w:spacing w:before="60"/>
        <w:jc w:val="right"/>
        <w:rPr>
          <w:sz w:val="17"/>
          <w:szCs w:val="17"/>
          <w:lang w:val="en-US"/>
        </w:rPr>
      </w:pPr>
      <w:r w:rsidRPr="00C83ADA">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BFE82" w14:textId="77777777" w:rsidR="00EC4DA5" w:rsidRDefault="00EC4DA5" w:rsidP="00EC4DA5">
    <w:pPr>
      <w:pStyle w:val="Header"/>
      <w:jc w:val="right"/>
    </w:pPr>
    <w:r>
      <w:t xml:space="preserve">CWS/7/29 </w:t>
    </w:r>
    <w:proofErr w:type="spellStart"/>
    <w:r>
      <w:t>Prov</w:t>
    </w:r>
    <w:proofErr w:type="spellEnd"/>
    <w:r>
      <w:t>.</w:t>
    </w:r>
  </w:p>
  <w:p w14:paraId="74561A16" w14:textId="05A6DD95" w:rsidR="00EC4DA5" w:rsidRDefault="00EC4DA5" w:rsidP="00B12663">
    <w:pPr>
      <w:pStyle w:val="Header"/>
      <w:jc w:val="right"/>
    </w:pPr>
    <w:r>
      <w:t xml:space="preserve">Annexe II, page </w:t>
    </w:r>
    <w:r>
      <w:fldChar w:fldCharType="begin"/>
    </w:r>
    <w:r>
      <w:instrText>PAGE   \* MERGEFORMAT</w:instrText>
    </w:r>
    <w:r>
      <w:fldChar w:fldCharType="separate"/>
    </w:r>
    <w:r>
      <w:rPr>
        <w:noProof/>
      </w:rPr>
      <w:t>2</w:t>
    </w:r>
    <w:r>
      <w:fldChar w:fldCharType="end"/>
    </w:r>
  </w:p>
  <w:p w14:paraId="36D14852" w14:textId="77777777" w:rsidR="00EC4DA5" w:rsidRDefault="00EC4DA5" w:rsidP="00EC4DA5">
    <w:pPr>
      <w:pStyle w:val="Header"/>
      <w:jc w:val="right"/>
    </w:pPr>
  </w:p>
  <w:p w14:paraId="15679360" w14:textId="77777777" w:rsidR="00FD7177" w:rsidRPr="00EC4DA5" w:rsidRDefault="00FD7177" w:rsidP="00EC4DA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94C9" w14:textId="1C15653B" w:rsidR="00EC4DA5" w:rsidRDefault="00C83ADA" w:rsidP="00EC4DA5">
    <w:pPr>
      <w:pStyle w:val="Header"/>
      <w:jc w:val="right"/>
    </w:pPr>
    <w:r>
      <w:t>CWS/7/29</w:t>
    </w:r>
  </w:p>
  <w:p w14:paraId="04F43A09" w14:textId="3544D1E6" w:rsidR="00EC4DA5" w:rsidRDefault="00EC4DA5" w:rsidP="00B12663">
    <w:pPr>
      <w:pStyle w:val="Header"/>
      <w:jc w:val="right"/>
    </w:pPr>
    <w:r>
      <w:t xml:space="preserve">Annexe II, page </w:t>
    </w:r>
    <w:r>
      <w:fldChar w:fldCharType="begin"/>
    </w:r>
    <w:r>
      <w:instrText>PAGE   \* MERGEFORMAT</w:instrText>
    </w:r>
    <w:r>
      <w:fldChar w:fldCharType="separate"/>
    </w:r>
    <w:r w:rsidR="009A2C21">
      <w:rPr>
        <w:noProof/>
      </w:rPr>
      <w:t>2</w:t>
    </w:r>
    <w:r>
      <w:fldChar w:fldCharType="end"/>
    </w:r>
  </w:p>
  <w:p w14:paraId="4426659F" w14:textId="734B73DA" w:rsidR="00216DC2" w:rsidRDefault="00216DC2" w:rsidP="00EC4DA5">
    <w:pPr>
      <w:pStyle w:val="Header"/>
      <w:jc w:val="right"/>
    </w:pPr>
  </w:p>
  <w:p w14:paraId="30A8704D" w14:textId="77777777" w:rsidR="00EC4DA5" w:rsidRPr="00EC4DA5" w:rsidRDefault="00EC4DA5" w:rsidP="00EC4DA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B8946" w14:textId="6145AFBA" w:rsidR="00EC4DA5" w:rsidRDefault="00C83ADA" w:rsidP="00EC4DA5">
    <w:pPr>
      <w:pStyle w:val="Header"/>
      <w:jc w:val="right"/>
    </w:pPr>
    <w:r>
      <w:t>CWS/7/29</w:t>
    </w:r>
  </w:p>
  <w:p w14:paraId="1B5DFD07" w14:textId="52B6D764" w:rsidR="00EC4DA5" w:rsidRDefault="00EC4DA5" w:rsidP="00EC4DA5">
    <w:pPr>
      <w:pStyle w:val="Header"/>
      <w:jc w:val="right"/>
    </w:pPr>
    <w:r>
      <w:t>ANNEXE II</w:t>
    </w:r>
  </w:p>
  <w:p w14:paraId="7FC0AAAA" w14:textId="77777777" w:rsidR="00EC4DA5" w:rsidRDefault="00EC4DA5" w:rsidP="00EC4DA5">
    <w:pPr>
      <w:pStyle w:val="Header"/>
      <w:jc w:val="right"/>
    </w:pPr>
  </w:p>
  <w:p w14:paraId="046B70B8" w14:textId="77777777" w:rsidR="005A5408" w:rsidRPr="00EC4DA5" w:rsidRDefault="005A5408" w:rsidP="00EC4DA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6"/>
  </w:num>
  <w:num w:numId="2">
    <w:abstractNumId w:val="0"/>
  </w:num>
  <w:num w:numId="3">
    <w:abstractNumId w:val="3"/>
  </w:num>
  <w:num w:numId="4">
    <w:abstractNumId w:val="7"/>
  </w:num>
  <w:num w:numId="5">
    <w:abstractNumId w:val="8"/>
  </w:num>
  <w:num w:numId="6">
    <w:abstractNumId w:val="2"/>
  </w:num>
  <w:num w:numId="7">
    <w:abstractNumId w:val="9"/>
  </w:num>
  <w:num w:numId="8">
    <w:abstractNumId w:val="10"/>
  </w:num>
  <w:num w:numId="9">
    <w:abstractNumId w:val="5"/>
  </w:num>
  <w:num w:numId="10">
    <w:abstractNumId w:val="4"/>
  </w:num>
  <w:num w:numId="11">
    <w:abstractNumId w:val="1"/>
  </w:num>
  <w:num w:numId="12">
    <w:abstractNumId w:val="0"/>
  </w:num>
  <w:num w:numId="13">
    <w:abstractNumId w:val="0"/>
  </w:num>
  <w:num w:numId="14">
    <w:abstractNumId w:val="6"/>
  </w:num>
  <w:num w:numId="15">
    <w:abstractNumId w:val="0"/>
  </w:num>
  <w:num w:numId="1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78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43CE"/>
    <w:rsid w:val="00014EFF"/>
    <w:rsid w:val="00023321"/>
    <w:rsid w:val="00025E42"/>
    <w:rsid w:val="00026093"/>
    <w:rsid w:val="000305FB"/>
    <w:rsid w:val="000320E5"/>
    <w:rsid w:val="00032CDF"/>
    <w:rsid w:val="00043CAA"/>
    <w:rsid w:val="00044AA4"/>
    <w:rsid w:val="00047327"/>
    <w:rsid w:val="00055F73"/>
    <w:rsid w:val="00067295"/>
    <w:rsid w:val="00067AE0"/>
    <w:rsid w:val="00067E1A"/>
    <w:rsid w:val="00070AA4"/>
    <w:rsid w:val="00075432"/>
    <w:rsid w:val="0007684D"/>
    <w:rsid w:val="00085237"/>
    <w:rsid w:val="000968ED"/>
    <w:rsid w:val="000B0F76"/>
    <w:rsid w:val="000B2D2B"/>
    <w:rsid w:val="000B7247"/>
    <w:rsid w:val="000C1021"/>
    <w:rsid w:val="000C22DB"/>
    <w:rsid w:val="000C5666"/>
    <w:rsid w:val="000C5B9D"/>
    <w:rsid w:val="000E11B0"/>
    <w:rsid w:val="000E4467"/>
    <w:rsid w:val="000E5F65"/>
    <w:rsid w:val="000F46D6"/>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2DAC"/>
    <w:rsid w:val="00152DF6"/>
    <w:rsid w:val="00153A46"/>
    <w:rsid w:val="001572B9"/>
    <w:rsid w:val="00160EE6"/>
    <w:rsid w:val="00162848"/>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B5BC5"/>
    <w:rsid w:val="001B6A44"/>
    <w:rsid w:val="001B7F01"/>
    <w:rsid w:val="001C0FA4"/>
    <w:rsid w:val="001F3BEE"/>
    <w:rsid w:val="001F47F0"/>
    <w:rsid w:val="00200505"/>
    <w:rsid w:val="00202124"/>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54A4E"/>
    <w:rsid w:val="002618E7"/>
    <w:rsid w:val="002634C4"/>
    <w:rsid w:val="00271EC1"/>
    <w:rsid w:val="00272975"/>
    <w:rsid w:val="00275BE0"/>
    <w:rsid w:val="0028252D"/>
    <w:rsid w:val="0028507D"/>
    <w:rsid w:val="00287817"/>
    <w:rsid w:val="002912F3"/>
    <w:rsid w:val="002928D3"/>
    <w:rsid w:val="002936BB"/>
    <w:rsid w:val="002A1D3F"/>
    <w:rsid w:val="002A40F1"/>
    <w:rsid w:val="002A64AF"/>
    <w:rsid w:val="002B20A3"/>
    <w:rsid w:val="002B4031"/>
    <w:rsid w:val="002B6114"/>
    <w:rsid w:val="002E14FC"/>
    <w:rsid w:val="002E3212"/>
    <w:rsid w:val="002F1FE6"/>
    <w:rsid w:val="002F4E68"/>
    <w:rsid w:val="003032C9"/>
    <w:rsid w:val="003068C1"/>
    <w:rsid w:val="00306EEA"/>
    <w:rsid w:val="00312F7F"/>
    <w:rsid w:val="00325724"/>
    <w:rsid w:val="0033325E"/>
    <w:rsid w:val="0033734A"/>
    <w:rsid w:val="003379DE"/>
    <w:rsid w:val="0034360D"/>
    <w:rsid w:val="00345D82"/>
    <w:rsid w:val="0035110E"/>
    <w:rsid w:val="00357B3A"/>
    <w:rsid w:val="00361450"/>
    <w:rsid w:val="00367122"/>
    <w:rsid w:val="003673CF"/>
    <w:rsid w:val="0036754F"/>
    <w:rsid w:val="003724D4"/>
    <w:rsid w:val="00372913"/>
    <w:rsid w:val="00380C92"/>
    <w:rsid w:val="003845C1"/>
    <w:rsid w:val="00387294"/>
    <w:rsid w:val="003935D5"/>
    <w:rsid w:val="00395DA4"/>
    <w:rsid w:val="003A41E2"/>
    <w:rsid w:val="003A450C"/>
    <w:rsid w:val="003A6C84"/>
    <w:rsid w:val="003A6F89"/>
    <w:rsid w:val="003B38C1"/>
    <w:rsid w:val="003B4E59"/>
    <w:rsid w:val="003B58BD"/>
    <w:rsid w:val="003B6932"/>
    <w:rsid w:val="003C0421"/>
    <w:rsid w:val="003C2534"/>
    <w:rsid w:val="003C323B"/>
    <w:rsid w:val="003D0B9E"/>
    <w:rsid w:val="003D0C09"/>
    <w:rsid w:val="003D57E3"/>
    <w:rsid w:val="003E08B0"/>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91D68"/>
    <w:rsid w:val="004A5372"/>
    <w:rsid w:val="004A54AA"/>
    <w:rsid w:val="004B26E7"/>
    <w:rsid w:val="004B415E"/>
    <w:rsid w:val="004B5909"/>
    <w:rsid w:val="004C4ACD"/>
    <w:rsid w:val="004C6B77"/>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77AB1"/>
    <w:rsid w:val="0058120E"/>
    <w:rsid w:val="005905B7"/>
    <w:rsid w:val="00594180"/>
    <w:rsid w:val="005A245A"/>
    <w:rsid w:val="005A5408"/>
    <w:rsid w:val="005C09C6"/>
    <w:rsid w:val="005C43A6"/>
    <w:rsid w:val="005C6649"/>
    <w:rsid w:val="005C71DD"/>
    <w:rsid w:val="005D532D"/>
    <w:rsid w:val="005D5536"/>
    <w:rsid w:val="005E1D7F"/>
    <w:rsid w:val="005E69B9"/>
    <w:rsid w:val="005F0588"/>
    <w:rsid w:val="005F4F93"/>
    <w:rsid w:val="005F6088"/>
    <w:rsid w:val="005F733A"/>
    <w:rsid w:val="00603523"/>
    <w:rsid w:val="00605827"/>
    <w:rsid w:val="006129DC"/>
    <w:rsid w:val="006149AA"/>
    <w:rsid w:val="00614F82"/>
    <w:rsid w:val="0061586B"/>
    <w:rsid w:val="00615D9A"/>
    <w:rsid w:val="006166AC"/>
    <w:rsid w:val="00631EA5"/>
    <w:rsid w:val="00634C20"/>
    <w:rsid w:val="0063544A"/>
    <w:rsid w:val="00637EE8"/>
    <w:rsid w:val="00646050"/>
    <w:rsid w:val="00650F84"/>
    <w:rsid w:val="00652999"/>
    <w:rsid w:val="00653E35"/>
    <w:rsid w:val="00660664"/>
    <w:rsid w:val="006615F4"/>
    <w:rsid w:val="00661F18"/>
    <w:rsid w:val="00666635"/>
    <w:rsid w:val="00667545"/>
    <w:rsid w:val="006713CA"/>
    <w:rsid w:val="00671BD2"/>
    <w:rsid w:val="00676C5C"/>
    <w:rsid w:val="006851D6"/>
    <w:rsid w:val="00691777"/>
    <w:rsid w:val="00697CDB"/>
    <w:rsid w:val="006A075B"/>
    <w:rsid w:val="006A3905"/>
    <w:rsid w:val="006A5902"/>
    <w:rsid w:val="006B5BF0"/>
    <w:rsid w:val="006D3AEE"/>
    <w:rsid w:val="006E1DB2"/>
    <w:rsid w:val="006E6087"/>
    <w:rsid w:val="006F32F9"/>
    <w:rsid w:val="007015C4"/>
    <w:rsid w:val="007210F3"/>
    <w:rsid w:val="00724DAD"/>
    <w:rsid w:val="00726912"/>
    <w:rsid w:val="0073440C"/>
    <w:rsid w:val="00734652"/>
    <w:rsid w:val="00734EA7"/>
    <w:rsid w:val="007356F1"/>
    <w:rsid w:val="00736038"/>
    <w:rsid w:val="00746814"/>
    <w:rsid w:val="007502FD"/>
    <w:rsid w:val="00752BE2"/>
    <w:rsid w:val="00754723"/>
    <w:rsid w:val="00765F15"/>
    <w:rsid w:val="007734D2"/>
    <w:rsid w:val="00773B7B"/>
    <w:rsid w:val="00774501"/>
    <w:rsid w:val="00774EB5"/>
    <w:rsid w:val="00777E4D"/>
    <w:rsid w:val="007829B8"/>
    <w:rsid w:val="007911BB"/>
    <w:rsid w:val="00793BFC"/>
    <w:rsid w:val="007A0CBE"/>
    <w:rsid w:val="007A1EF5"/>
    <w:rsid w:val="007B1727"/>
    <w:rsid w:val="007B6851"/>
    <w:rsid w:val="007C1C86"/>
    <w:rsid w:val="007C275D"/>
    <w:rsid w:val="007D0DBE"/>
    <w:rsid w:val="007D1090"/>
    <w:rsid w:val="007D1613"/>
    <w:rsid w:val="007D4713"/>
    <w:rsid w:val="007D632E"/>
    <w:rsid w:val="007E3178"/>
    <w:rsid w:val="007F1226"/>
    <w:rsid w:val="007F1DDE"/>
    <w:rsid w:val="007F43BE"/>
    <w:rsid w:val="007F548C"/>
    <w:rsid w:val="007F6442"/>
    <w:rsid w:val="007F6AFB"/>
    <w:rsid w:val="008021B9"/>
    <w:rsid w:val="008146C1"/>
    <w:rsid w:val="00821F66"/>
    <w:rsid w:val="008240CE"/>
    <w:rsid w:val="00830298"/>
    <w:rsid w:val="008451F7"/>
    <w:rsid w:val="00854B4A"/>
    <w:rsid w:val="00866208"/>
    <w:rsid w:val="00872524"/>
    <w:rsid w:val="00872F93"/>
    <w:rsid w:val="00892317"/>
    <w:rsid w:val="008A274F"/>
    <w:rsid w:val="008A3F0A"/>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3EDD"/>
    <w:rsid w:val="00905835"/>
    <w:rsid w:val="0090731E"/>
    <w:rsid w:val="009117A2"/>
    <w:rsid w:val="00913C6C"/>
    <w:rsid w:val="00914EDF"/>
    <w:rsid w:val="00915573"/>
    <w:rsid w:val="00916EE2"/>
    <w:rsid w:val="009312A8"/>
    <w:rsid w:val="00931CEC"/>
    <w:rsid w:val="00933B31"/>
    <w:rsid w:val="0093421F"/>
    <w:rsid w:val="009350C5"/>
    <w:rsid w:val="00936764"/>
    <w:rsid w:val="00940899"/>
    <w:rsid w:val="0094732B"/>
    <w:rsid w:val="00953654"/>
    <w:rsid w:val="00956504"/>
    <w:rsid w:val="00956F70"/>
    <w:rsid w:val="0096310C"/>
    <w:rsid w:val="00966A22"/>
    <w:rsid w:val="0096722F"/>
    <w:rsid w:val="00973F6F"/>
    <w:rsid w:val="00976FCA"/>
    <w:rsid w:val="00980843"/>
    <w:rsid w:val="00980EF3"/>
    <w:rsid w:val="00984B0B"/>
    <w:rsid w:val="00984B67"/>
    <w:rsid w:val="00985C53"/>
    <w:rsid w:val="009929BC"/>
    <w:rsid w:val="00994B08"/>
    <w:rsid w:val="00997625"/>
    <w:rsid w:val="009A2C21"/>
    <w:rsid w:val="009A6DDF"/>
    <w:rsid w:val="009A7F03"/>
    <w:rsid w:val="009B043D"/>
    <w:rsid w:val="009C3715"/>
    <w:rsid w:val="009C594D"/>
    <w:rsid w:val="009D4EEC"/>
    <w:rsid w:val="009E2791"/>
    <w:rsid w:val="009E3F6F"/>
    <w:rsid w:val="009F35F0"/>
    <w:rsid w:val="009F3B5D"/>
    <w:rsid w:val="009F499F"/>
    <w:rsid w:val="009F6C8E"/>
    <w:rsid w:val="009F7984"/>
    <w:rsid w:val="00A02179"/>
    <w:rsid w:val="00A04908"/>
    <w:rsid w:val="00A04949"/>
    <w:rsid w:val="00A071F3"/>
    <w:rsid w:val="00A109AF"/>
    <w:rsid w:val="00A1206D"/>
    <w:rsid w:val="00A157CB"/>
    <w:rsid w:val="00A274DF"/>
    <w:rsid w:val="00A34447"/>
    <w:rsid w:val="00A3799D"/>
    <w:rsid w:val="00A42DAF"/>
    <w:rsid w:val="00A45BD8"/>
    <w:rsid w:val="00A47185"/>
    <w:rsid w:val="00A51B12"/>
    <w:rsid w:val="00A562AD"/>
    <w:rsid w:val="00A72886"/>
    <w:rsid w:val="00A81719"/>
    <w:rsid w:val="00A869B7"/>
    <w:rsid w:val="00A87B6E"/>
    <w:rsid w:val="00AA0246"/>
    <w:rsid w:val="00AB0732"/>
    <w:rsid w:val="00AB10FB"/>
    <w:rsid w:val="00AB4066"/>
    <w:rsid w:val="00AC0D01"/>
    <w:rsid w:val="00AC205C"/>
    <w:rsid w:val="00AC3ABE"/>
    <w:rsid w:val="00AC5DF8"/>
    <w:rsid w:val="00AD1C5D"/>
    <w:rsid w:val="00AD22A3"/>
    <w:rsid w:val="00AD5513"/>
    <w:rsid w:val="00AF0A6B"/>
    <w:rsid w:val="00AF2B58"/>
    <w:rsid w:val="00AF7AD8"/>
    <w:rsid w:val="00B047C7"/>
    <w:rsid w:val="00B05A69"/>
    <w:rsid w:val="00B06D65"/>
    <w:rsid w:val="00B135B8"/>
    <w:rsid w:val="00B14F8F"/>
    <w:rsid w:val="00B1533D"/>
    <w:rsid w:val="00B2167E"/>
    <w:rsid w:val="00B234E8"/>
    <w:rsid w:val="00B24BD6"/>
    <w:rsid w:val="00B50A92"/>
    <w:rsid w:val="00B5116B"/>
    <w:rsid w:val="00B71202"/>
    <w:rsid w:val="00B718B9"/>
    <w:rsid w:val="00B73704"/>
    <w:rsid w:val="00B9734B"/>
    <w:rsid w:val="00BA7E36"/>
    <w:rsid w:val="00BD0A46"/>
    <w:rsid w:val="00BD1276"/>
    <w:rsid w:val="00BD1CDF"/>
    <w:rsid w:val="00BD3100"/>
    <w:rsid w:val="00BD5E62"/>
    <w:rsid w:val="00BD63CA"/>
    <w:rsid w:val="00BE1131"/>
    <w:rsid w:val="00BE25D1"/>
    <w:rsid w:val="00BE74C3"/>
    <w:rsid w:val="00BE7B62"/>
    <w:rsid w:val="00BF333B"/>
    <w:rsid w:val="00C065DD"/>
    <w:rsid w:val="00C11BFE"/>
    <w:rsid w:val="00C16961"/>
    <w:rsid w:val="00C17BE5"/>
    <w:rsid w:val="00C21A24"/>
    <w:rsid w:val="00C223B2"/>
    <w:rsid w:val="00C24CEF"/>
    <w:rsid w:val="00C2601F"/>
    <w:rsid w:val="00C2780C"/>
    <w:rsid w:val="00C30DBA"/>
    <w:rsid w:val="00C32541"/>
    <w:rsid w:val="00C34D7E"/>
    <w:rsid w:val="00C47D93"/>
    <w:rsid w:val="00C57076"/>
    <w:rsid w:val="00C61FB6"/>
    <w:rsid w:val="00C70155"/>
    <w:rsid w:val="00C77583"/>
    <w:rsid w:val="00C82D55"/>
    <w:rsid w:val="00C83860"/>
    <w:rsid w:val="00C83ADA"/>
    <w:rsid w:val="00C9060F"/>
    <w:rsid w:val="00C9183F"/>
    <w:rsid w:val="00C93C3C"/>
    <w:rsid w:val="00C9667A"/>
    <w:rsid w:val="00CA0830"/>
    <w:rsid w:val="00CA350A"/>
    <w:rsid w:val="00CA4D92"/>
    <w:rsid w:val="00CA617B"/>
    <w:rsid w:val="00CA6924"/>
    <w:rsid w:val="00CB5890"/>
    <w:rsid w:val="00CE0AF9"/>
    <w:rsid w:val="00CE7F87"/>
    <w:rsid w:val="00CF2FCC"/>
    <w:rsid w:val="00CF62B8"/>
    <w:rsid w:val="00D0661E"/>
    <w:rsid w:val="00D07667"/>
    <w:rsid w:val="00D07E61"/>
    <w:rsid w:val="00D21FED"/>
    <w:rsid w:val="00D2354D"/>
    <w:rsid w:val="00D25F2A"/>
    <w:rsid w:val="00D27695"/>
    <w:rsid w:val="00D313AB"/>
    <w:rsid w:val="00D3387F"/>
    <w:rsid w:val="00D45252"/>
    <w:rsid w:val="00D508C6"/>
    <w:rsid w:val="00D625B0"/>
    <w:rsid w:val="00D64598"/>
    <w:rsid w:val="00D64921"/>
    <w:rsid w:val="00D666D3"/>
    <w:rsid w:val="00D6710F"/>
    <w:rsid w:val="00D709EE"/>
    <w:rsid w:val="00D71B4D"/>
    <w:rsid w:val="00D71D62"/>
    <w:rsid w:val="00D918CC"/>
    <w:rsid w:val="00D93D55"/>
    <w:rsid w:val="00DA2347"/>
    <w:rsid w:val="00DA4318"/>
    <w:rsid w:val="00DA680B"/>
    <w:rsid w:val="00DB1E46"/>
    <w:rsid w:val="00DB4FBC"/>
    <w:rsid w:val="00DB5866"/>
    <w:rsid w:val="00DC7493"/>
    <w:rsid w:val="00DE1B1E"/>
    <w:rsid w:val="00E00D5C"/>
    <w:rsid w:val="00E02A47"/>
    <w:rsid w:val="00E0498E"/>
    <w:rsid w:val="00E056DD"/>
    <w:rsid w:val="00E060B9"/>
    <w:rsid w:val="00E06CC2"/>
    <w:rsid w:val="00E16A07"/>
    <w:rsid w:val="00E22110"/>
    <w:rsid w:val="00E24CB1"/>
    <w:rsid w:val="00E279F0"/>
    <w:rsid w:val="00E31545"/>
    <w:rsid w:val="00E335FE"/>
    <w:rsid w:val="00E33EDD"/>
    <w:rsid w:val="00E54E03"/>
    <w:rsid w:val="00E71BF7"/>
    <w:rsid w:val="00E82611"/>
    <w:rsid w:val="00E83F24"/>
    <w:rsid w:val="00E844C4"/>
    <w:rsid w:val="00E84730"/>
    <w:rsid w:val="00E8660F"/>
    <w:rsid w:val="00EA76DB"/>
    <w:rsid w:val="00EB1AA2"/>
    <w:rsid w:val="00EB35CC"/>
    <w:rsid w:val="00EB3FCD"/>
    <w:rsid w:val="00EC4DA5"/>
    <w:rsid w:val="00EC4E49"/>
    <w:rsid w:val="00ED4471"/>
    <w:rsid w:val="00ED77FB"/>
    <w:rsid w:val="00EE0676"/>
    <w:rsid w:val="00EE3155"/>
    <w:rsid w:val="00EE45FA"/>
    <w:rsid w:val="00EE6AEE"/>
    <w:rsid w:val="00EF0F5B"/>
    <w:rsid w:val="00EF46F5"/>
    <w:rsid w:val="00F03DFA"/>
    <w:rsid w:val="00F121C8"/>
    <w:rsid w:val="00F20A79"/>
    <w:rsid w:val="00F2202A"/>
    <w:rsid w:val="00F324CE"/>
    <w:rsid w:val="00F34FB9"/>
    <w:rsid w:val="00F41330"/>
    <w:rsid w:val="00F46CF9"/>
    <w:rsid w:val="00F52E6C"/>
    <w:rsid w:val="00F55529"/>
    <w:rsid w:val="00F61DF9"/>
    <w:rsid w:val="00F66152"/>
    <w:rsid w:val="00F756FC"/>
    <w:rsid w:val="00F77809"/>
    <w:rsid w:val="00F871FD"/>
    <w:rsid w:val="00F92AEE"/>
    <w:rsid w:val="00F9637C"/>
    <w:rsid w:val="00F9747D"/>
    <w:rsid w:val="00FA030E"/>
    <w:rsid w:val="00FA2F1F"/>
    <w:rsid w:val="00FB2D06"/>
    <w:rsid w:val="00FB3A2B"/>
    <w:rsid w:val="00FB4A6B"/>
    <w:rsid w:val="00FB4E0D"/>
    <w:rsid w:val="00FC1C92"/>
    <w:rsid w:val="00FC692B"/>
    <w:rsid w:val="00FD2F8B"/>
    <w:rsid w:val="00FD7177"/>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FFA8627"/>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A5"/>
    <w:rPr>
      <w:rFonts w:ascii="Arial" w:eastAsia="SimSun" w:hAnsi="Arial" w:cs="Arial"/>
      <w:sz w:val="22"/>
      <w:lang w:val="fr-CH" w:eastAsia="zh-CN"/>
    </w:rPr>
  </w:style>
  <w:style w:type="paragraph" w:styleId="Heading1">
    <w:name w:val="heading 1"/>
    <w:basedOn w:val="Normal"/>
    <w:next w:val="Normal"/>
    <w:qFormat/>
    <w:rsid w:val="00EC4DA5"/>
    <w:pPr>
      <w:keepNext/>
      <w:spacing w:before="240" w:after="60"/>
      <w:outlineLvl w:val="0"/>
    </w:pPr>
    <w:rPr>
      <w:b/>
      <w:bCs/>
      <w:caps/>
      <w:kern w:val="32"/>
      <w:szCs w:val="32"/>
    </w:rPr>
  </w:style>
  <w:style w:type="paragraph" w:styleId="Heading2">
    <w:name w:val="heading 2"/>
    <w:basedOn w:val="Normal"/>
    <w:next w:val="Normal"/>
    <w:qFormat/>
    <w:rsid w:val="00EC4DA5"/>
    <w:pPr>
      <w:keepNext/>
      <w:spacing w:before="240" w:after="60"/>
      <w:outlineLvl w:val="1"/>
    </w:pPr>
    <w:rPr>
      <w:bCs/>
      <w:iCs/>
      <w:caps/>
      <w:szCs w:val="28"/>
    </w:rPr>
  </w:style>
  <w:style w:type="paragraph" w:styleId="Heading3">
    <w:name w:val="heading 3"/>
    <w:basedOn w:val="Normal"/>
    <w:next w:val="Normal"/>
    <w:qFormat/>
    <w:rsid w:val="00EC4DA5"/>
    <w:pPr>
      <w:keepNext/>
      <w:spacing w:before="240" w:after="60"/>
      <w:outlineLvl w:val="2"/>
    </w:pPr>
    <w:rPr>
      <w:bCs/>
      <w:szCs w:val="26"/>
      <w:u w:val="single"/>
    </w:rPr>
  </w:style>
  <w:style w:type="paragraph" w:styleId="Heading4">
    <w:name w:val="heading 4"/>
    <w:basedOn w:val="Normal"/>
    <w:next w:val="Normal"/>
    <w:qFormat/>
    <w:rsid w:val="00EC4DA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C4DA5"/>
    <w:pPr>
      <w:ind w:left="5534"/>
    </w:pPr>
    <w:rPr>
      <w:lang w:val="en-US"/>
    </w:rPr>
  </w:style>
  <w:style w:type="paragraph" w:styleId="BodyText">
    <w:name w:val="Body Text"/>
    <w:basedOn w:val="Normal"/>
    <w:rsid w:val="00EC4DA5"/>
    <w:pPr>
      <w:spacing w:after="220"/>
    </w:pPr>
  </w:style>
  <w:style w:type="paragraph" w:styleId="Caption">
    <w:name w:val="caption"/>
    <w:basedOn w:val="Normal"/>
    <w:next w:val="Normal"/>
    <w:qFormat/>
    <w:rsid w:val="00EC4DA5"/>
    <w:rPr>
      <w:b/>
      <w:bCs/>
      <w:sz w:val="18"/>
    </w:rPr>
  </w:style>
  <w:style w:type="paragraph" w:styleId="CommentText">
    <w:name w:val="annotation text"/>
    <w:basedOn w:val="Normal"/>
    <w:link w:val="CommentTextChar"/>
    <w:semiHidden/>
    <w:rsid w:val="00EC4DA5"/>
    <w:rPr>
      <w:sz w:val="18"/>
    </w:rPr>
  </w:style>
  <w:style w:type="paragraph" w:styleId="EndnoteText">
    <w:name w:val="endnote text"/>
    <w:basedOn w:val="Normal"/>
    <w:semiHidden/>
    <w:rsid w:val="00EC4DA5"/>
    <w:rPr>
      <w:sz w:val="18"/>
    </w:rPr>
  </w:style>
  <w:style w:type="paragraph" w:styleId="Footer">
    <w:name w:val="footer"/>
    <w:basedOn w:val="Normal"/>
    <w:link w:val="FooterChar"/>
    <w:rsid w:val="00EC4DA5"/>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EC4DA5"/>
    <w:rPr>
      <w:sz w:val="18"/>
    </w:rPr>
  </w:style>
  <w:style w:type="paragraph" w:styleId="Header">
    <w:name w:val="header"/>
    <w:basedOn w:val="Normal"/>
    <w:link w:val="HeaderChar"/>
    <w:uiPriority w:val="99"/>
    <w:rsid w:val="00EC4DA5"/>
    <w:pPr>
      <w:tabs>
        <w:tab w:val="center" w:pos="4536"/>
        <w:tab w:val="right" w:pos="9072"/>
      </w:tabs>
    </w:pPr>
  </w:style>
  <w:style w:type="paragraph" w:styleId="ListNumber">
    <w:name w:val="List Number"/>
    <w:basedOn w:val="Normal"/>
    <w:semiHidden/>
    <w:rsid w:val="00EC4DA5"/>
    <w:pPr>
      <w:numPr>
        <w:numId w:val="14"/>
      </w:numPr>
    </w:pPr>
  </w:style>
  <w:style w:type="paragraph" w:customStyle="1" w:styleId="ONUME">
    <w:name w:val="ONUM E"/>
    <w:basedOn w:val="BodyText"/>
    <w:rsid w:val="00EC4DA5"/>
    <w:pPr>
      <w:numPr>
        <w:numId w:val="15"/>
      </w:numPr>
    </w:pPr>
  </w:style>
  <w:style w:type="paragraph" w:customStyle="1" w:styleId="ONUMFS">
    <w:name w:val="ONUM FS"/>
    <w:basedOn w:val="BodyText"/>
    <w:rsid w:val="00EC4DA5"/>
    <w:pPr>
      <w:numPr>
        <w:numId w:val="16"/>
      </w:numPr>
    </w:pPr>
  </w:style>
  <w:style w:type="paragraph" w:styleId="Salutation">
    <w:name w:val="Salutation"/>
    <w:basedOn w:val="Normal"/>
    <w:next w:val="Normal"/>
    <w:semiHidden/>
    <w:rsid w:val="00EC4DA5"/>
  </w:style>
  <w:style w:type="paragraph" w:styleId="Signature">
    <w:name w:val="Signature"/>
    <w:basedOn w:val="Normal"/>
    <w:semiHidden/>
    <w:rsid w:val="00EC4DA5"/>
    <w:pPr>
      <w:ind w:left="5250"/>
    </w:pPr>
  </w:style>
  <w:style w:type="paragraph" w:styleId="BalloonText">
    <w:name w:val="Balloon Text"/>
    <w:basedOn w:val="Normal"/>
    <w:semiHidden/>
    <w:rsid w:val="007D0DBE"/>
    <w:rPr>
      <w:rFonts w:ascii="Tahoma" w:hAnsi="Tahoma" w:cs="Tahoma"/>
      <w:sz w:val="16"/>
      <w:szCs w:val="16"/>
    </w:rPr>
  </w:style>
  <w:style w:type="character" w:customStyle="1" w:styleId="FooterChar">
    <w:name w:val="Footer Char"/>
    <w:link w:val="Footer"/>
    <w:rsid w:val="00E060B9"/>
    <w:rPr>
      <w:rFonts w:ascii="Arial" w:eastAsia="SimSun" w:hAnsi="Arial" w:cs="Arial"/>
      <w:sz w:val="22"/>
      <w:lang w:val="fr-CH"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val="fr-CH"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EC4DA5"/>
    <w:pPr>
      <w:ind w:left="720"/>
      <w:contextualSpacing/>
    </w:pPr>
  </w:style>
  <w:style w:type="character" w:customStyle="1" w:styleId="HeaderChar">
    <w:name w:val="Header Char"/>
    <w:link w:val="Header"/>
    <w:uiPriority w:val="99"/>
    <w:rsid w:val="00EC4DA5"/>
    <w:rPr>
      <w:rFonts w:ascii="Arial" w:eastAsia="SimSun" w:hAnsi="Arial" w:cs="Arial"/>
      <w:sz w:val="22"/>
      <w:lang w:val="fr-CH" w:eastAsia="zh-CN"/>
    </w:rPr>
  </w:style>
  <w:style w:type="paragraph" w:customStyle="1" w:styleId="Meetingplacedate">
    <w:name w:val="Meeting place &amp; date"/>
    <w:basedOn w:val="Normal"/>
    <w:next w:val="Normal"/>
    <w:rsid w:val="00EC4DA5"/>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C4DA5"/>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93033-7E3F-4C6B-9DE7-CBE543D9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3120</Characters>
  <Application>Microsoft Office Word</Application>
  <DocSecurity>0</DocSecurity>
  <Lines>89</Lines>
  <Paragraphs>50</Paragraphs>
  <ScaleCrop>false</ScaleCrop>
  <HeadingPairs>
    <vt:vector size="2" baseType="variant">
      <vt:variant>
        <vt:lpstr>Title</vt:lpstr>
      </vt:variant>
      <vt:variant>
        <vt:i4>1</vt:i4>
      </vt:variant>
    </vt:vector>
  </HeadingPairs>
  <TitlesOfParts>
    <vt:vector size="1" baseType="lpstr">
      <vt:lpstr>CWS/7/29 PROV. Annex II (in English)</vt:lpstr>
    </vt:vector>
  </TitlesOfParts>
  <Company>WIPO</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II (in English)</dc:title>
  <dc:subject>Annex II - Agenda</dc:subject>
  <dc:creator>KHEDARI Leïla</dc:creator>
  <cp:keywords>FOR OFFICIAL USE ONLY</cp:keywords>
  <dc:description/>
  <cp:lastModifiedBy>KHEDARI Leïla</cp:lastModifiedBy>
  <cp:revision>6</cp:revision>
  <cp:lastPrinted>2019-07-26T09:53:00Z</cp:lastPrinted>
  <dcterms:created xsi:type="dcterms:W3CDTF">2019-08-02T10:42:00Z</dcterms:created>
  <dcterms:modified xsi:type="dcterms:W3CDTF">2019-09-03T14:02:00Z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b76715a2-0e2e-4ca6-95e2-62465edd681d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