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4D2E" w:rsidRPr="00886FB9" w:rsidTr="00F676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4D2E" w:rsidRPr="00886FB9" w:rsidRDefault="00564D2E" w:rsidP="00F6767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4D2E" w:rsidRPr="00886FB9" w:rsidRDefault="00564D2E" w:rsidP="00F67671">
            <w:pPr>
              <w:rPr>
                <w:lang w:val="fr-FR"/>
              </w:rPr>
            </w:pPr>
            <w:r w:rsidRPr="00886FB9">
              <w:rPr>
                <w:noProof/>
                <w:lang w:eastAsia="en-US"/>
              </w:rPr>
              <w:drawing>
                <wp:inline distT="0" distB="0" distL="0" distR="0" wp14:anchorId="61A4DA04" wp14:editId="0C4CB182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4D2E" w:rsidRPr="00886FB9" w:rsidRDefault="00564D2E" w:rsidP="00F67671">
            <w:pPr>
              <w:jc w:val="right"/>
              <w:rPr>
                <w:lang w:val="fr-FR"/>
              </w:rPr>
            </w:pPr>
            <w:r w:rsidRPr="00886FB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64D2E" w:rsidRPr="00886FB9" w:rsidTr="00F6767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4D2E" w:rsidRPr="00886FB9" w:rsidRDefault="00564D2E" w:rsidP="00564D2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86FB9">
              <w:rPr>
                <w:rFonts w:ascii="Arial Black" w:hAnsi="Arial Black"/>
                <w:caps/>
                <w:sz w:val="15"/>
                <w:lang w:val="fr-FR"/>
              </w:rPr>
              <w:t>CWS/5/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886FB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564D2E" w:rsidRPr="00886FB9" w:rsidTr="00F676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4D2E" w:rsidRPr="00886FB9" w:rsidRDefault="00564D2E" w:rsidP="00F676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86FB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6FB9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564D2E" w:rsidRPr="00886FB9" w:rsidTr="00F676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4D2E" w:rsidRPr="00886FB9" w:rsidRDefault="00564D2E" w:rsidP="00564D2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86FB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6FB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21</w:t>
            </w:r>
            <w:r w:rsidRPr="00886FB9">
              <w:rPr>
                <w:rFonts w:ascii="Arial Black" w:hAnsi="Arial Black"/>
                <w:caps/>
                <w:sz w:val="15"/>
                <w:lang w:val="fr-FR"/>
              </w:rPr>
              <w:t xml:space="preserve"> avril 207 </w:t>
            </w:r>
          </w:p>
        </w:tc>
      </w:tr>
    </w:tbl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b/>
          <w:sz w:val="28"/>
          <w:szCs w:val="28"/>
          <w:lang w:val="fr-FR"/>
        </w:rPr>
      </w:pPr>
      <w:r w:rsidRPr="00886FB9">
        <w:rPr>
          <w:b/>
          <w:sz w:val="28"/>
          <w:szCs w:val="28"/>
          <w:lang w:val="fr-FR"/>
        </w:rPr>
        <w:t>Comité des normes de l</w:t>
      </w:r>
      <w:r>
        <w:rPr>
          <w:b/>
          <w:sz w:val="28"/>
          <w:szCs w:val="28"/>
          <w:lang w:val="fr-FR"/>
        </w:rPr>
        <w:t>’</w:t>
      </w:r>
      <w:r w:rsidRPr="00886FB9">
        <w:rPr>
          <w:b/>
          <w:sz w:val="28"/>
          <w:szCs w:val="28"/>
          <w:lang w:val="fr-FR"/>
        </w:rPr>
        <w:t>OMPI (CWS)</w:t>
      </w: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b/>
          <w:sz w:val="24"/>
          <w:szCs w:val="24"/>
          <w:lang w:val="fr-FR"/>
        </w:rPr>
      </w:pPr>
      <w:r w:rsidRPr="00886FB9">
        <w:rPr>
          <w:b/>
          <w:sz w:val="24"/>
          <w:szCs w:val="24"/>
          <w:lang w:val="fr-FR"/>
        </w:rPr>
        <w:t>Cinqu</w:t>
      </w:r>
      <w:r w:rsidR="003D7FB4">
        <w:rPr>
          <w:b/>
          <w:sz w:val="24"/>
          <w:szCs w:val="24"/>
          <w:lang w:val="fr-FR"/>
        </w:rPr>
        <w:t>ième S</w:t>
      </w:r>
      <w:r>
        <w:rPr>
          <w:b/>
          <w:sz w:val="24"/>
          <w:szCs w:val="24"/>
          <w:lang w:val="fr-FR"/>
        </w:rPr>
        <w:t>ession</w:t>
      </w:r>
    </w:p>
    <w:p w:rsidR="00564D2E" w:rsidRPr="00886FB9" w:rsidRDefault="00564D2E" w:rsidP="00564D2E">
      <w:pPr>
        <w:rPr>
          <w:b/>
          <w:sz w:val="24"/>
          <w:szCs w:val="24"/>
          <w:lang w:val="fr-FR"/>
        </w:rPr>
      </w:pPr>
      <w:r w:rsidRPr="00886FB9">
        <w:rPr>
          <w:b/>
          <w:sz w:val="24"/>
          <w:szCs w:val="24"/>
          <w:lang w:val="fr-FR"/>
        </w:rPr>
        <w:t>Genève, 29 mai – 2</w:t>
      </w:r>
      <w:r>
        <w:rPr>
          <w:b/>
          <w:sz w:val="24"/>
          <w:szCs w:val="24"/>
          <w:lang w:val="fr-FR"/>
        </w:rPr>
        <w:t> </w:t>
      </w:r>
      <w:r w:rsidRPr="00886FB9">
        <w:rPr>
          <w:b/>
          <w:sz w:val="24"/>
          <w:szCs w:val="24"/>
          <w:lang w:val="fr-FR"/>
        </w:rPr>
        <w:t>juin</w:t>
      </w:r>
      <w:r>
        <w:rPr>
          <w:b/>
          <w:sz w:val="24"/>
          <w:szCs w:val="24"/>
          <w:lang w:val="fr-FR"/>
        </w:rPr>
        <w:t> </w:t>
      </w:r>
      <w:r w:rsidRPr="00886FB9">
        <w:rPr>
          <w:b/>
          <w:sz w:val="24"/>
          <w:szCs w:val="24"/>
          <w:lang w:val="fr-FR"/>
        </w:rPr>
        <w:t>2017</w:t>
      </w: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564D2E" w:rsidRPr="00886FB9" w:rsidRDefault="00564D2E" w:rsidP="00564D2E">
      <w:pPr>
        <w:rPr>
          <w:lang w:val="fr-FR"/>
        </w:rPr>
      </w:pPr>
    </w:p>
    <w:p w:rsidR="004C079B" w:rsidRPr="00D74AB0" w:rsidRDefault="00D74AB0" w:rsidP="003E310E">
      <w:pPr>
        <w:rPr>
          <w:caps/>
          <w:sz w:val="24"/>
          <w:lang w:val="fr-FR"/>
        </w:rPr>
      </w:pPr>
      <w:r>
        <w:rPr>
          <w:sz w:val="24"/>
          <w:lang w:val="fr-FR"/>
        </w:rPr>
        <w:t>RÉVISION DE LA NORME ST.26 DE L</w:t>
      </w:r>
      <w:r w:rsidR="00564D2E">
        <w:rPr>
          <w:sz w:val="24"/>
          <w:lang w:val="fr-FR"/>
        </w:rPr>
        <w:t>’</w:t>
      </w:r>
      <w:r>
        <w:rPr>
          <w:sz w:val="24"/>
          <w:lang w:val="fr-FR"/>
        </w:rPr>
        <w:t>OMPI</w:t>
      </w:r>
    </w:p>
    <w:p w:rsidR="003E310E" w:rsidRPr="00D74AB0" w:rsidRDefault="003E310E" w:rsidP="003E310E">
      <w:pPr>
        <w:rPr>
          <w:lang w:val="fr-FR"/>
        </w:rPr>
      </w:pPr>
    </w:p>
    <w:p w:rsidR="003E310E" w:rsidRPr="00D74AB0" w:rsidRDefault="003E310E" w:rsidP="003E310E">
      <w:pPr>
        <w:rPr>
          <w:lang w:val="fr-FR"/>
        </w:rPr>
      </w:pPr>
    </w:p>
    <w:p w:rsidR="004C079B" w:rsidRPr="00D74AB0" w:rsidRDefault="004C079B" w:rsidP="004C079B">
      <w:pPr>
        <w:rPr>
          <w:i/>
          <w:lang w:val="fr-FR"/>
        </w:rPr>
      </w:pPr>
      <w:r w:rsidRPr="00D74AB0">
        <w:rPr>
          <w:i/>
          <w:lang w:val="fr-FR"/>
        </w:rPr>
        <w:t xml:space="preserve">Document </w:t>
      </w:r>
      <w:r w:rsidR="00D74AB0">
        <w:rPr>
          <w:i/>
          <w:lang w:val="fr-FR"/>
        </w:rPr>
        <w:t>établi par le Secrétariat</w:t>
      </w:r>
    </w:p>
    <w:p w:rsidR="004C079B" w:rsidRPr="00D74AB0" w:rsidRDefault="004C079B" w:rsidP="004C079B">
      <w:pPr>
        <w:rPr>
          <w:lang w:val="fr-FR"/>
        </w:rPr>
      </w:pPr>
    </w:p>
    <w:p w:rsidR="004C079B" w:rsidRPr="00D74AB0" w:rsidRDefault="004C079B" w:rsidP="004C079B">
      <w:pPr>
        <w:rPr>
          <w:lang w:val="fr-FR"/>
        </w:rPr>
      </w:pPr>
    </w:p>
    <w:p w:rsidR="004C079B" w:rsidRPr="00D74AB0" w:rsidRDefault="004C079B" w:rsidP="00BB21DA">
      <w:pPr>
        <w:rPr>
          <w:lang w:val="fr-FR"/>
        </w:rPr>
      </w:pPr>
    </w:p>
    <w:p w:rsidR="004C079B" w:rsidRPr="00D74AB0" w:rsidRDefault="004C079B" w:rsidP="004C079B">
      <w:pPr>
        <w:rPr>
          <w:lang w:val="fr-FR"/>
        </w:rPr>
      </w:pPr>
    </w:p>
    <w:p w:rsidR="004C079B" w:rsidRPr="00D74AB0" w:rsidRDefault="004C079B" w:rsidP="004C079B">
      <w:pPr>
        <w:rPr>
          <w:lang w:val="fr-FR"/>
        </w:rPr>
      </w:pPr>
    </w:p>
    <w:p w:rsidR="00AF13B2" w:rsidRPr="00D74AB0" w:rsidRDefault="00D74AB0" w:rsidP="00564D2E">
      <w:pPr>
        <w:pStyle w:val="ONUMFS"/>
        <w:rPr>
          <w:lang w:val="fr-FR"/>
        </w:rPr>
      </w:pPr>
      <w:r>
        <w:rPr>
          <w:lang w:val="fr-FR"/>
        </w:rPr>
        <w:t>À la reprise de sa quatr</w:t>
      </w:r>
      <w:r w:rsidR="00564D2E">
        <w:rPr>
          <w:lang w:val="fr-FR"/>
        </w:rPr>
        <w:t>ième session</w:t>
      </w:r>
      <w:r>
        <w:rPr>
          <w:lang w:val="fr-FR"/>
        </w:rPr>
        <w:t xml:space="preserve"> tenue à Genève en </w:t>
      </w:r>
      <w:r w:rsidR="00564D2E">
        <w:rPr>
          <w:lang w:val="fr-FR"/>
        </w:rPr>
        <w:t>mars 20</w:t>
      </w:r>
      <w:r>
        <w:rPr>
          <w:lang w:val="fr-FR"/>
        </w:rPr>
        <w:t>16</w:t>
      </w:r>
      <w:r w:rsidR="0014465D">
        <w:rPr>
          <w:lang w:val="fr-FR"/>
        </w:rPr>
        <w:t>,</w:t>
      </w:r>
      <w:r>
        <w:rPr>
          <w:lang w:val="fr-FR"/>
        </w:rPr>
        <w:t xml:space="preserve"> le Comité des normes de l</w:t>
      </w:r>
      <w:r w:rsidR="00564D2E">
        <w:rPr>
          <w:lang w:val="fr-FR"/>
        </w:rPr>
        <w:t>’</w:t>
      </w:r>
      <w:r w:rsidRPr="00D74AB0">
        <w:rPr>
          <w:lang w:val="fr-FR"/>
        </w:rPr>
        <w:t>OMPI (CWS)</w:t>
      </w:r>
      <w:r w:rsidRPr="003D7FB4">
        <w:rPr>
          <w:lang w:val="fr-FR"/>
        </w:rPr>
        <w:t xml:space="preserve"> </w:t>
      </w:r>
      <w:r w:rsidRPr="00D74AB0">
        <w:rPr>
          <w:lang w:val="fr-FR"/>
        </w:rPr>
        <w:t>a adopté la norme ST.26 de l</w:t>
      </w:r>
      <w:r w:rsidR="00564D2E">
        <w:rPr>
          <w:lang w:val="fr-FR"/>
        </w:rPr>
        <w:t>’</w:t>
      </w:r>
      <w:r w:rsidRPr="00D74AB0">
        <w:rPr>
          <w:lang w:val="fr-FR"/>
        </w:rPr>
        <w:t>OMPI intitulée “Recommandation de norme relative à la présentation des listages de</w:t>
      </w:r>
      <w:r>
        <w:rPr>
          <w:lang w:val="fr-FR"/>
        </w:rPr>
        <w:t>s séquences de nucléotides et d</w:t>
      </w:r>
      <w:r w:rsidR="00564D2E">
        <w:rPr>
          <w:lang w:val="fr-FR"/>
        </w:rPr>
        <w:t>’</w:t>
      </w:r>
      <w:r w:rsidRPr="00D74AB0">
        <w:rPr>
          <w:lang w:val="fr-FR"/>
        </w:rPr>
        <w:t>acides aminés en langage XML (</w:t>
      </w:r>
      <w:proofErr w:type="spellStart"/>
      <w:r w:rsidRPr="00D74AB0">
        <w:rPr>
          <w:lang w:val="fr-FR"/>
        </w:rPr>
        <w:t>eXtensible</w:t>
      </w:r>
      <w:proofErr w:type="spellEnd"/>
      <w:r w:rsidRPr="00D74AB0">
        <w:rPr>
          <w:lang w:val="fr-FR"/>
        </w:rPr>
        <w:t xml:space="preserve"> </w:t>
      </w:r>
      <w:proofErr w:type="spellStart"/>
      <w:r w:rsidRPr="00D74AB0">
        <w:rPr>
          <w:lang w:val="fr-FR"/>
        </w:rPr>
        <w:t>Markup</w:t>
      </w:r>
      <w:proofErr w:type="spellEnd"/>
      <w:r w:rsidRPr="00D74AB0">
        <w:rPr>
          <w:lang w:val="fr-FR"/>
        </w:rPr>
        <w:t xml:space="preserve"> </w:t>
      </w:r>
      <w:proofErr w:type="spellStart"/>
      <w:r w:rsidRPr="00D74AB0">
        <w:rPr>
          <w:lang w:val="fr-FR"/>
        </w:rPr>
        <w:t>Language</w:t>
      </w:r>
      <w:proofErr w:type="spellEnd"/>
      <w:r w:rsidRPr="00D74AB0">
        <w:rPr>
          <w:lang w:val="fr-FR"/>
        </w:rPr>
        <w:t>)”</w:t>
      </w:r>
      <w:r w:rsidR="00BB0DCB" w:rsidRPr="00D74AB0">
        <w:rPr>
          <w:lang w:val="fr-FR"/>
        </w:rPr>
        <w:t>.</w:t>
      </w:r>
      <w:r w:rsidR="00564D2E" w:rsidRPr="00564D2E">
        <w:rPr>
          <w:lang w:val="fr-FR"/>
        </w:rPr>
        <w:t xml:space="preserve"> Le CWS</w:t>
      </w:r>
      <w:r>
        <w:rPr>
          <w:lang w:val="fr-FR"/>
        </w:rPr>
        <w:t xml:space="preserve"> est</w:t>
      </w:r>
      <w:r w:rsidR="002611DE">
        <w:rPr>
          <w:lang w:val="fr-FR"/>
        </w:rPr>
        <w:t xml:space="preserve"> donc</w:t>
      </w:r>
      <w:r>
        <w:rPr>
          <w:lang w:val="fr-FR"/>
        </w:rPr>
        <w:t xml:space="preserve"> </w:t>
      </w:r>
      <w:r w:rsidR="002611DE">
        <w:rPr>
          <w:lang w:val="fr-FR"/>
        </w:rPr>
        <w:t xml:space="preserve">convenu de modifier </w:t>
      </w:r>
      <w:r w:rsidRPr="00D74AB0">
        <w:rPr>
          <w:lang w:val="fr-FR"/>
        </w:rPr>
        <w:t>la tâche n° 44</w:t>
      </w:r>
      <w:r w:rsidR="002611DE">
        <w:rPr>
          <w:lang w:val="fr-FR"/>
        </w:rPr>
        <w:t xml:space="preserve"> comme suit</w:t>
      </w:r>
      <w:r w:rsidR="00564D2E">
        <w:rPr>
          <w:lang w:val="fr-FR"/>
        </w:rPr>
        <w:t> :</w:t>
      </w:r>
      <w:r w:rsidRPr="00D74AB0">
        <w:rPr>
          <w:lang w:val="fr-FR"/>
        </w:rPr>
        <w:t xml:space="preserve"> “</w:t>
      </w:r>
      <w:r w:rsidR="002611DE">
        <w:rPr>
          <w:lang w:val="fr-FR"/>
        </w:rPr>
        <w:t>T</w:t>
      </w:r>
      <w:r w:rsidR="002611DE" w:rsidRPr="00D74AB0">
        <w:rPr>
          <w:lang w:val="fr-FR"/>
        </w:rPr>
        <w:t>âche n° 44</w:t>
      </w:r>
      <w:r w:rsidR="00564D2E">
        <w:rPr>
          <w:lang w:val="fr-FR"/>
        </w:rPr>
        <w:t> :</w:t>
      </w:r>
      <w:r w:rsidR="002611DE">
        <w:rPr>
          <w:lang w:val="fr-FR"/>
        </w:rPr>
        <w:t xml:space="preserve"> </w:t>
      </w:r>
      <w:r w:rsidRPr="00D74AB0">
        <w:rPr>
          <w:lang w:val="fr-FR"/>
        </w:rPr>
        <w:t>Établir des recommandations concernant des dispositions relatives au passage de la norme ST.25 à la norme ST.26 de l</w:t>
      </w:r>
      <w:r w:rsidR="00564D2E">
        <w:rPr>
          <w:lang w:val="fr-FR"/>
        </w:rPr>
        <w:t>’</w:t>
      </w:r>
      <w:r w:rsidRPr="00D74AB0">
        <w:rPr>
          <w:lang w:val="fr-FR"/>
        </w:rPr>
        <w:t>OMPI;</w:t>
      </w:r>
      <w:r>
        <w:rPr>
          <w:lang w:val="fr-FR"/>
        </w:rPr>
        <w:t xml:space="preserve"> </w:t>
      </w:r>
      <w:r w:rsidRPr="00D74AB0">
        <w:rPr>
          <w:lang w:val="fr-FR"/>
        </w:rPr>
        <w:t>et élaborer une proposition relative à la révision de la norme S</w:t>
      </w:r>
      <w:r>
        <w:rPr>
          <w:lang w:val="fr-FR"/>
        </w:rPr>
        <w:t>T.26 de l</w:t>
      </w:r>
      <w:r w:rsidR="00564D2E">
        <w:rPr>
          <w:lang w:val="fr-FR"/>
        </w:rPr>
        <w:t>’</w:t>
      </w:r>
      <w:r>
        <w:rPr>
          <w:lang w:val="fr-FR"/>
        </w:rPr>
        <w:t>OMPI, le cas échéant”</w:t>
      </w:r>
      <w:r w:rsidR="00BB0DCB" w:rsidRPr="00D74AB0">
        <w:rPr>
          <w:lang w:val="fr-FR"/>
        </w:rPr>
        <w:t xml:space="preserve"> </w:t>
      </w:r>
      <w:r w:rsidR="00AF13B2" w:rsidRPr="00D74AB0">
        <w:rPr>
          <w:lang w:val="fr-FR"/>
        </w:rPr>
        <w:t>(</w:t>
      </w:r>
      <w:r>
        <w:rPr>
          <w:lang w:val="fr-FR"/>
        </w:rPr>
        <w:t>voir les paragraphes</w:t>
      </w:r>
      <w:r w:rsidR="00AF13B2" w:rsidRPr="00D74AB0">
        <w:rPr>
          <w:lang w:val="fr-FR"/>
        </w:rPr>
        <w:t> </w:t>
      </w:r>
      <w:r w:rsidR="00BB0DCB" w:rsidRPr="00D74AB0">
        <w:rPr>
          <w:lang w:val="fr-FR"/>
        </w:rPr>
        <w:t xml:space="preserve">49 </w:t>
      </w:r>
      <w:r>
        <w:rPr>
          <w:lang w:val="fr-FR"/>
        </w:rPr>
        <w:t>à</w:t>
      </w:r>
      <w:r w:rsidR="00BB0DCB" w:rsidRPr="00D74AB0">
        <w:rPr>
          <w:lang w:val="fr-FR"/>
        </w:rPr>
        <w:t xml:space="preserve"> 53 </w:t>
      </w:r>
      <w:r>
        <w:rPr>
          <w:lang w:val="fr-FR"/>
        </w:rPr>
        <w:t>et</w:t>
      </w:r>
      <w:r w:rsidR="00BB0DCB" w:rsidRPr="00D74AB0">
        <w:rPr>
          <w:lang w:val="fr-FR"/>
        </w:rPr>
        <w:t xml:space="preserve"> </w:t>
      </w:r>
      <w:r w:rsidR="00AF13B2" w:rsidRPr="00D74AB0">
        <w:rPr>
          <w:lang w:val="fr-FR"/>
        </w:rPr>
        <w:t>8</w:t>
      </w:r>
      <w:r>
        <w:rPr>
          <w:lang w:val="fr-FR"/>
        </w:rPr>
        <w:t>2 à</w:t>
      </w:r>
      <w:r w:rsidR="0063662A" w:rsidRPr="00D74AB0">
        <w:rPr>
          <w:lang w:val="fr-FR"/>
        </w:rPr>
        <w:t xml:space="preserve"> 84</w:t>
      </w:r>
      <w:r w:rsidR="00AF13B2" w:rsidRPr="00D74AB0">
        <w:rPr>
          <w:lang w:val="fr-FR"/>
        </w:rPr>
        <w:t xml:space="preserve"> </w:t>
      </w:r>
      <w:r>
        <w:rPr>
          <w:lang w:val="fr-FR"/>
        </w:rPr>
        <w:t>du</w:t>
      </w:r>
      <w:r w:rsidR="00AF13B2" w:rsidRPr="00D74AB0">
        <w:rPr>
          <w:lang w:val="fr-FR"/>
        </w:rPr>
        <w:t xml:space="preserve"> document CWS/4BIS/16</w:t>
      </w:r>
      <w:r w:rsidR="00BB0DCB" w:rsidRPr="00D74AB0">
        <w:rPr>
          <w:lang w:val="fr-FR"/>
        </w:rPr>
        <w:t>.</w:t>
      </w:r>
      <w:r w:rsidR="00AF13B2" w:rsidRPr="00D74AB0">
        <w:rPr>
          <w:lang w:val="fr-FR"/>
        </w:rPr>
        <w:t>)</w:t>
      </w:r>
    </w:p>
    <w:p w:rsidR="007E045E" w:rsidRPr="00D74AB0" w:rsidRDefault="002611DE" w:rsidP="00564D2E">
      <w:pPr>
        <w:pStyle w:val="ONUMFS"/>
        <w:rPr>
          <w:lang w:val="fr-FR"/>
        </w:rPr>
      </w:pPr>
      <w:r>
        <w:rPr>
          <w:lang w:val="fr-FR"/>
        </w:rPr>
        <w:t>Conformément à cette nouvelle description, l</w:t>
      </w:r>
      <w:r w:rsidR="00564D2E">
        <w:rPr>
          <w:lang w:val="fr-FR"/>
        </w:rPr>
        <w:t>’</w:t>
      </w:r>
      <w:r>
        <w:rPr>
          <w:lang w:val="fr-FR"/>
        </w:rPr>
        <w:t>équipe d</w:t>
      </w:r>
      <w:r w:rsidR="00564D2E">
        <w:rPr>
          <w:lang w:val="fr-FR"/>
        </w:rPr>
        <w:t>’</w:t>
      </w:r>
      <w:r>
        <w:rPr>
          <w:lang w:val="fr-FR"/>
        </w:rPr>
        <w:t>experts SEQL a tenu des discussions sur la révision de la norme</w:t>
      </w:r>
      <w:r w:rsidR="00076D0A">
        <w:rPr>
          <w:lang w:val="fr-FR"/>
        </w:rPr>
        <w:t> </w:t>
      </w:r>
      <w:r>
        <w:rPr>
          <w:lang w:val="fr-FR"/>
        </w:rPr>
        <w:t>ST.26</w:t>
      </w:r>
      <w:r w:rsidR="007E045E" w:rsidRPr="00D74AB0">
        <w:rPr>
          <w:lang w:val="fr-FR"/>
        </w:rPr>
        <w:t>;</w:t>
      </w:r>
      <w:r w:rsidR="0063662A" w:rsidRPr="00D74AB0">
        <w:rPr>
          <w:lang w:val="fr-FR"/>
        </w:rPr>
        <w:t xml:space="preserve"> </w:t>
      </w:r>
      <w:r w:rsidR="0014465D">
        <w:rPr>
          <w:lang w:val="fr-FR"/>
        </w:rPr>
        <w:t>l</w:t>
      </w:r>
      <w:r w:rsidR="00564D2E">
        <w:rPr>
          <w:lang w:val="fr-FR"/>
        </w:rPr>
        <w:t>’</w:t>
      </w:r>
      <w:r w:rsidR="0014465D">
        <w:rPr>
          <w:lang w:val="fr-FR"/>
        </w:rPr>
        <w:t>O</w:t>
      </w:r>
      <w:r>
        <w:rPr>
          <w:lang w:val="fr-FR"/>
        </w:rPr>
        <w:t>ffice européen des brevets (OEB), en tant que responsable de l</w:t>
      </w:r>
      <w:r w:rsidR="00564D2E">
        <w:rPr>
          <w:lang w:val="fr-FR"/>
        </w:rPr>
        <w:t>’</w:t>
      </w:r>
      <w:r>
        <w:rPr>
          <w:lang w:val="fr-FR"/>
        </w:rPr>
        <w:t>équipe d</w:t>
      </w:r>
      <w:r w:rsidR="00564D2E">
        <w:rPr>
          <w:lang w:val="fr-FR"/>
        </w:rPr>
        <w:t>’</w:t>
      </w:r>
      <w:r>
        <w:rPr>
          <w:lang w:val="fr-FR"/>
        </w:rPr>
        <w:t>experts, a établi un rapport sur l</w:t>
      </w:r>
      <w:r w:rsidR="00564D2E">
        <w:rPr>
          <w:lang w:val="fr-FR"/>
        </w:rPr>
        <w:t>’</w:t>
      </w:r>
      <w:r>
        <w:rPr>
          <w:lang w:val="fr-FR"/>
        </w:rPr>
        <w:t>état d</w:t>
      </w:r>
      <w:r w:rsidR="00564D2E">
        <w:rPr>
          <w:lang w:val="fr-FR"/>
        </w:rPr>
        <w:t>’</w:t>
      </w:r>
      <w:r>
        <w:rPr>
          <w:lang w:val="fr-FR"/>
        </w:rPr>
        <w:t>avancement des travaux menés par celle</w:t>
      </w:r>
      <w:r w:rsidR="00C42137">
        <w:rPr>
          <w:lang w:val="fr-FR"/>
        </w:rPr>
        <w:noBreakHyphen/>
      </w:r>
      <w:r>
        <w:rPr>
          <w:lang w:val="fr-FR"/>
        </w:rPr>
        <w:t>ci, qui figure à l</w:t>
      </w:r>
      <w:r w:rsidR="00564D2E">
        <w:rPr>
          <w:lang w:val="fr-FR"/>
        </w:rPr>
        <w:t>’annexe I</w:t>
      </w:r>
      <w:r>
        <w:rPr>
          <w:lang w:val="fr-FR"/>
        </w:rPr>
        <w:t xml:space="preserve"> du présent docum</w:t>
      </w:r>
      <w:bookmarkStart w:id="0" w:name="_GoBack"/>
      <w:bookmarkEnd w:id="0"/>
      <w:r>
        <w:rPr>
          <w:lang w:val="fr-FR"/>
        </w:rPr>
        <w:t>ent.</w:t>
      </w:r>
    </w:p>
    <w:p w:rsidR="0091339E" w:rsidRPr="00D74AB0" w:rsidRDefault="002611DE" w:rsidP="00564D2E">
      <w:pPr>
        <w:pStyle w:val="ONUMFS"/>
        <w:rPr>
          <w:i/>
          <w:lang w:val="fr-FR"/>
        </w:rPr>
      </w:pPr>
      <w:r>
        <w:rPr>
          <w:lang w:val="fr-FR"/>
        </w:rPr>
        <w:t>À l</w:t>
      </w:r>
      <w:r w:rsidR="00564D2E">
        <w:rPr>
          <w:lang w:val="fr-FR"/>
        </w:rPr>
        <w:t>’</w:t>
      </w:r>
      <w:r>
        <w:rPr>
          <w:lang w:val="fr-FR"/>
        </w:rPr>
        <w:t>issue de ces discussions, l</w:t>
      </w:r>
      <w:r w:rsidR="00564D2E">
        <w:rPr>
          <w:lang w:val="fr-FR"/>
        </w:rPr>
        <w:t>’</w:t>
      </w:r>
      <w:r>
        <w:rPr>
          <w:lang w:val="fr-FR"/>
        </w:rPr>
        <w:t>équipe d</w:t>
      </w:r>
      <w:r w:rsidR="00564D2E">
        <w:rPr>
          <w:lang w:val="fr-FR"/>
        </w:rPr>
        <w:t>’</w:t>
      </w:r>
      <w:r>
        <w:rPr>
          <w:lang w:val="fr-FR"/>
        </w:rPr>
        <w:t>experts SEQL a soumis</w:t>
      </w:r>
      <w:r w:rsidR="00564D2E" w:rsidRPr="00564D2E">
        <w:rPr>
          <w:lang w:val="fr-FR"/>
        </w:rPr>
        <w:t xml:space="preserve"> au CWS</w:t>
      </w:r>
      <w:r>
        <w:rPr>
          <w:lang w:val="fr-FR"/>
        </w:rPr>
        <w:t>, pour examen et approbation éventuelle, une proposition finale de révision de la norme</w:t>
      </w:r>
      <w:r w:rsidR="00076D0A">
        <w:rPr>
          <w:lang w:val="fr-FR"/>
        </w:rPr>
        <w:t> </w:t>
      </w:r>
      <w:r>
        <w:rPr>
          <w:lang w:val="fr-FR"/>
        </w:rPr>
        <w:t>ST.26</w:t>
      </w:r>
      <w:r w:rsidR="00C4778B">
        <w:rPr>
          <w:lang w:val="fr-FR"/>
        </w:rPr>
        <w:t xml:space="preserve"> contenant les modifications à apporter au corps du texte et aux </w:t>
      </w:r>
      <w:r w:rsidR="00564D2E">
        <w:rPr>
          <w:lang w:val="fr-FR"/>
        </w:rPr>
        <w:t>annexes I</w:t>
      </w:r>
      <w:r w:rsidR="00C4778B">
        <w:rPr>
          <w:lang w:val="fr-FR"/>
        </w:rPr>
        <w:t xml:space="preserve"> à III de cette norme, ainsi qu</w:t>
      </w:r>
      <w:r w:rsidR="00564D2E">
        <w:rPr>
          <w:lang w:val="fr-FR"/>
        </w:rPr>
        <w:t>’</w:t>
      </w:r>
      <w:r w:rsidR="00C4778B">
        <w:rPr>
          <w:lang w:val="fr-FR"/>
        </w:rPr>
        <w:t xml:space="preserve">une nouvelle </w:t>
      </w:r>
      <w:r w:rsidR="00564D2E">
        <w:rPr>
          <w:lang w:val="fr-FR"/>
        </w:rPr>
        <w:t>annexe V</w:t>
      </w:r>
      <w:r w:rsidR="00C4778B">
        <w:rPr>
          <w:lang w:val="fr-FR"/>
        </w:rPr>
        <w:t>I (document d</w:t>
      </w:r>
      <w:r w:rsidR="00564D2E">
        <w:rPr>
          <w:lang w:val="fr-FR"/>
        </w:rPr>
        <w:t>’</w:t>
      </w:r>
      <w:r w:rsidR="00C4778B">
        <w:rPr>
          <w:lang w:val="fr-FR"/>
        </w:rPr>
        <w:t>orientati</w:t>
      </w:r>
      <w:r w:rsidR="00BC42DF">
        <w:rPr>
          <w:lang w:val="fr-FR"/>
        </w:rPr>
        <w:t>on). Il</w:t>
      </w:r>
      <w:r w:rsidR="00C4778B">
        <w:rPr>
          <w:lang w:val="fr-FR"/>
        </w:rPr>
        <w:t xml:space="preserve"> convient de noter que les </w:t>
      </w:r>
      <w:r w:rsidR="00564D2E">
        <w:rPr>
          <w:lang w:val="fr-FR"/>
        </w:rPr>
        <w:t>annexes I</w:t>
      </w:r>
      <w:r w:rsidR="00C4778B">
        <w:rPr>
          <w:lang w:val="fr-FR"/>
        </w:rPr>
        <w:t>V et V de la norme</w:t>
      </w:r>
      <w:r w:rsidR="00076D0A">
        <w:rPr>
          <w:lang w:val="fr-FR"/>
        </w:rPr>
        <w:t> </w:t>
      </w:r>
      <w:r w:rsidR="00C4778B">
        <w:rPr>
          <w:lang w:val="fr-FR"/>
        </w:rPr>
        <w:t>ST.26 restent inchangées</w:t>
      </w:r>
      <w:r w:rsidR="00BB21DA" w:rsidRPr="00D74AB0">
        <w:rPr>
          <w:lang w:val="fr-FR"/>
        </w:rPr>
        <w:t xml:space="preserve"> (</w:t>
      </w:r>
      <w:r w:rsidR="00C4778B">
        <w:rPr>
          <w:lang w:val="fr-FR"/>
        </w:rPr>
        <w:t>c</w:t>
      </w:r>
      <w:r w:rsidR="00564D2E">
        <w:rPr>
          <w:lang w:val="fr-FR"/>
        </w:rPr>
        <w:t>’</w:t>
      </w:r>
      <w:r w:rsidR="00C4778B">
        <w:rPr>
          <w:lang w:val="fr-FR"/>
        </w:rPr>
        <w:t>est pourquoi elles n</w:t>
      </w:r>
      <w:r w:rsidR="00564D2E">
        <w:rPr>
          <w:lang w:val="fr-FR"/>
        </w:rPr>
        <w:t>’</w:t>
      </w:r>
      <w:r w:rsidR="00C4778B">
        <w:rPr>
          <w:lang w:val="fr-FR"/>
        </w:rPr>
        <w:t>ont pas été jointes au présent docume</w:t>
      </w:r>
      <w:r w:rsidR="006543ED">
        <w:rPr>
          <w:lang w:val="fr-FR"/>
        </w:rPr>
        <w:t xml:space="preserve">nt). </w:t>
      </w:r>
      <w:r w:rsidR="00BC42DF">
        <w:rPr>
          <w:lang w:val="fr-FR"/>
        </w:rPr>
        <w:t>La</w:t>
      </w:r>
      <w:r w:rsidR="00C4778B">
        <w:rPr>
          <w:lang w:val="fr-FR"/>
        </w:rPr>
        <w:t xml:space="preserve"> proposition de révision qui figure à l</w:t>
      </w:r>
      <w:r w:rsidR="00564D2E">
        <w:rPr>
          <w:lang w:val="fr-FR"/>
        </w:rPr>
        <w:t>’annexe I</w:t>
      </w:r>
      <w:r w:rsidR="00C4778B">
        <w:rPr>
          <w:lang w:val="fr-FR"/>
        </w:rPr>
        <w:t>I du présent document concerne le corps du texte de la norme</w:t>
      </w:r>
      <w:r w:rsidR="00076D0A">
        <w:rPr>
          <w:lang w:val="fr-FR"/>
        </w:rPr>
        <w:t> </w:t>
      </w:r>
      <w:r w:rsidR="00C4778B">
        <w:rPr>
          <w:lang w:val="fr-FR"/>
        </w:rPr>
        <w:t xml:space="preserve">ST.26 et ses </w:t>
      </w:r>
      <w:r w:rsidR="00564D2E">
        <w:rPr>
          <w:lang w:val="fr-FR"/>
        </w:rPr>
        <w:t>annexes I</w:t>
      </w:r>
      <w:r w:rsidR="00C4778B">
        <w:rPr>
          <w:lang w:val="fr-FR"/>
        </w:rPr>
        <w:t xml:space="preserve"> et II</w:t>
      </w:r>
      <w:r w:rsidR="00BB21DA" w:rsidRPr="00D74AB0">
        <w:rPr>
          <w:lang w:val="fr-FR"/>
        </w:rPr>
        <w:t xml:space="preserve"> (</w:t>
      </w:r>
      <w:r w:rsidR="00C4778B">
        <w:rPr>
          <w:lang w:val="fr-FR"/>
        </w:rPr>
        <w:t xml:space="preserve">intitulées </w:t>
      </w:r>
      <w:r w:rsidR="00BB21DA" w:rsidRPr="00D74AB0">
        <w:rPr>
          <w:lang w:val="fr-FR"/>
        </w:rPr>
        <w:t>“</w:t>
      </w:r>
      <w:r w:rsidR="00564D2E">
        <w:rPr>
          <w:lang w:val="fr-FR"/>
        </w:rPr>
        <w:t>annexe I</w:t>
      </w:r>
      <w:r w:rsidR="00AA7468">
        <w:rPr>
          <w:lang w:val="fr-FR"/>
        </w:rPr>
        <w:t xml:space="preserve"> de la </w:t>
      </w:r>
      <w:r w:rsidR="00C4778B">
        <w:rPr>
          <w:lang w:val="fr-FR"/>
        </w:rPr>
        <w:t>norme</w:t>
      </w:r>
      <w:r w:rsidR="00076D0A">
        <w:rPr>
          <w:lang w:val="fr-FR"/>
        </w:rPr>
        <w:t> </w:t>
      </w:r>
      <w:r w:rsidR="00BB21DA" w:rsidRPr="00D74AB0">
        <w:rPr>
          <w:lang w:val="fr-FR"/>
        </w:rPr>
        <w:t>ST.26”</w:t>
      </w:r>
      <w:r w:rsidR="00C4778B">
        <w:rPr>
          <w:lang w:val="fr-FR"/>
        </w:rPr>
        <w:t xml:space="preserve"> et</w:t>
      </w:r>
      <w:r w:rsidR="00BB21DA" w:rsidRPr="00D74AB0">
        <w:rPr>
          <w:lang w:val="fr-FR"/>
        </w:rPr>
        <w:t xml:space="preserve"> “</w:t>
      </w:r>
      <w:r w:rsidR="00564D2E">
        <w:rPr>
          <w:lang w:val="fr-FR"/>
        </w:rPr>
        <w:t>annexe I</w:t>
      </w:r>
      <w:r w:rsidR="00AA7468">
        <w:rPr>
          <w:lang w:val="fr-FR"/>
        </w:rPr>
        <w:t xml:space="preserve">I de la </w:t>
      </w:r>
      <w:r w:rsidR="00C4778B">
        <w:rPr>
          <w:lang w:val="fr-FR"/>
        </w:rPr>
        <w:t>norme</w:t>
      </w:r>
      <w:r w:rsidR="00076D0A">
        <w:rPr>
          <w:lang w:val="fr-FR"/>
        </w:rPr>
        <w:t> </w:t>
      </w:r>
      <w:r w:rsidR="00BB21DA" w:rsidRPr="00D74AB0">
        <w:rPr>
          <w:lang w:val="fr-FR"/>
        </w:rPr>
        <w:t>ST.26”, respective</w:t>
      </w:r>
      <w:r w:rsidR="00C4778B">
        <w:rPr>
          <w:lang w:val="fr-FR"/>
        </w:rPr>
        <w:t>ment</w:t>
      </w:r>
      <w:r w:rsidR="00BB21DA" w:rsidRPr="00D74AB0">
        <w:rPr>
          <w:lang w:val="fr-FR"/>
        </w:rPr>
        <w:t>)</w:t>
      </w:r>
      <w:r w:rsidR="002D3A5D" w:rsidRPr="00D74AB0">
        <w:rPr>
          <w:lang w:val="fr-FR"/>
        </w:rPr>
        <w:t>;</w:t>
      </w:r>
      <w:r w:rsidR="00570700" w:rsidRPr="00D74AB0">
        <w:rPr>
          <w:lang w:val="fr-FR"/>
        </w:rPr>
        <w:t xml:space="preserve"> </w:t>
      </w:r>
      <w:r w:rsidR="00C4778B">
        <w:rPr>
          <w:lang w:val="fr-FR"/>
        </w:rPr>
        <w:t>s</w:t>
      </w:r>
      <w:r w:rsidR="00564D2E">
        <w:rPr>
          <w:lang w:val="fr-FR"/>
        </w:rPr>
        <w:t>’</w:t>
      </w:r>
      <w:r w:rsidR="00C4778B">
        <w:rPr>
          <w:lang w:val="fr-FR"/>
        </w:rPr>
        <w:t>agissant de l</w:t>
      </w:r>
      <w:r w:rsidR="00564D2E">
        <w:rPr>
          <w:lang w:val="fr-FR"/>
        </w:rPr>
        <w:t>’annexe I</w:t>
      </w:r>
      <w:r w:rsidR="00C4778B">
        <w:rPr>
          <w:lang w:val="fr-FR"/>
        </w:rPr>
        <w:t>II de la norme</w:t>
      </w:r>
      <w:r w:rsidR="00076D0A">
        <w:rPr>
          <w:lang w:val="fr-FR"/>
        </w:rPr>
        <w:t> </w:t>
      </w:r>
      <w:r w:rsidR="002D3A5D" w:rsidRPr="00D74AB0">
        <w:rPr>
          <w:lang w:val="fr-FR"/>
        </w:rPr>
        <w:t>ST.26</w:t>
      </w:r>
      <w:r w:rsidR="00C4778B">
        <w:rPr>
          <w:lang w:val="fr-FR"/>
        </w:rPr>
        <w:t>, l</w:t>
      </w:r>
      <w:r w:rsidR="00564D2E">
        <w:rPr>
          <w:lang w:val="fr-FR"/>
        </w:rPr>
        <w:t>’</w:t>
      </w:r>
      <w:r w:rsidR="00C4778B">
        <w:rPr>
          <w:lang w:val="fr-FR"/>
        </w:rPr>
        <w:t>équipe d</w:t>
      </w:r>
      <w:r w:rsidR="00564D2E">
        <w:rPr>
          <w:lang w:val="fr-FR"/>
        </w:rPr>
        <w:t>’</w:t>
      </w:r>
      <w:r w:rsidR="00C4778B">
        <w:rPr>
          <w:lang w:val="fr-FR"/>
        </w:rPr>
        <w:t xml:space="preserve">experts SEQL propose </w:t>
      </w:r>
      <w:r w:rsidR="009E1455">
        <w:rPr>
          <w:lang w:val="fr-FR"/>
        </w:rPr>
        <w:t>de remplacer par des</w:t>
      </w:r>
      <w:r w:rsidR="00C4778B">
        <w:rPr>
          <w:lang w:val="fr-FR"/>
        </w:rPr>
        <w:t xml:space="preserve"> minuscules les codes de langue à deux</w:t>
      </w:r>
      <w:r w:rsidR="00076D0A">
        <w:rPr>
          <w:lang w:val="fr-FR"/>
        </w:rPr>
        <w:t> </w:t>
      </w:r>
      <w:r w:rsidR="00C4778B">
        <w:rPr>
          <w:lang w:val="fr-FR"/>
        </w:rPr>
        <w:t xml:space="preserve">lettres </w:t>
      </w:r>
      <w:r w:rsidR="0014465D">
        <w:rPr>
          <w:lang w:val="fr-FR"/>
        </w:rPr>
        <w:t xml:space="preserve">en majuscules </w:t>
      </w:r>
      <w:r w:rsidR="00AA7468">
        <w:rPr>
          <w:lang w:val="fr-FR"/>
        </w:rPr>
        <w:t>afin</w:t>
      </w:r>
      <w:r w:rsidR="00C4778B">
        <w:rPr>
          <w:lang w:val="fr-FR"/>
        </w:rPr>
        <w:t xml:space="preserve"> qu</w:t>
      </w:r>
      <w:r w:rsidR="00564D2E">
        <w:rPr>
          <w:lang w:val="fr-FR"/>
        </w:rPr>
        <w:t>’</w:t>
      </w:r>
      <w:r w:rsidR="00C4778B">
        <w:rPr>
          <w:lang w:val="fr-FR"/>
        </w:rPr>
        <w:t>ils soient alignés sur les codes à deux</w:t>
      </w:r>
      <w:r w:rsidR="00076D0A">
        <w:rPr>
          <w:lang w:val="fr-FR"/>
        </w:rPr>
        <w:t> </w:t>
      </w:r>
      <w:r w:rsidR="00C4778B">
        <w:rPr>
          <w:lang w:val="fr-FR"/>
        </w:rPr>
        <w:t xml:space="preserve">lettres définis dans la </w:t>
      </w:r>
      <w:r w:rsidR="00C4778B">
        <w:rPr>
          <w:lang w:val="fr-FR"/>
        </w:rPr>
        <w:lastRenderedPageBreak/>
        <w:t>norme</w:t>
      </w:r>
      <w:r w:rsidR="00076D0A">
        <w:rPr>
          <w:lang w:val="fr-FR"/>
        </w:rPr>
        <w:t> </w:t>
      </w:r>
      <w:r w:rsidR="00C4778B">
        <w:rPr>
          <w:lang w:val="fr-FR"/>
        </w:rPr>
        <w:t>ISO</w:t>
      </w:r>
      <w:r w:rsidR="00BC42DF">
        <w:rPr>
          <w:lang w:val="fr-FR"/>
        </w:rPr>
        <w:t> </w:t>
      </w:r>
      <w:r w:rsidR="00C4778B">
        <w:rPr>
          <w:lang w:val="fr-FR"/>
        </w:rPr>
        <w:t>639</w:t>
      </w:r>
      <w:r w:rsidR="002D3A5D" w:rsidRPr="00D74AB0">
        <w:rPr>
          <w:lang w:val="fr-FR"/>
        </w:rPr>
        <w:t xml:space="preserve">, </w:t>
      </w:r>
      <w:r w:rsidR="00C4778B">
        <w:rPr>
          <w:lang w:val="fr-FR"/>
        </w:rPr>
        <w:t>par exemple en remplaçant le code à deux</w:t>
      </w:r>
      <w:r w:rsidR="00076D0A">
        <w:rPr>
          <w:lang w:val="fr-FR"/>
        </w:rPr>
        <w:t> </w:t>
      </w:r>
      <w:r w:rsidR="00C4778B">
        <w:rPr>
          <w:lang w:val="fr-FR"/>
        </w:rPr>
        <w:t>lettres</w:t>
      </w:r>
      <w:r w:rsidR="002D3A5D" w:rsidRPr="00D74AB0">
        <w:rPr>
          <w:lang w:val="fr-FR"/>
        </w:rPr>
        <w:t xml:space="preserve"> “EN” </w:t>
      </w:r>
      <w:r w:rsidR="00C4778B">
        <w:rPr>
          <w:lang w:val="fr-FR"/>
        </w:rPr>
        <w:t>pour l</w:t>
      </w:r>
      <w:r w:rsidR="00564D2E">
        <w:rPr>
          <w:lang w:val="fr-FR"/>
        </w:rPr>
        <w:t>’</w:t>
      </w:r>
      <w:r w:rsidR="00C4778B">
        <w:rPr>
          <w:lang w:val="fr-FR"/>
        </w:rPr>
        <w:t xml:space="preserve">anglais par </w:t>
      </w:r>
      <w:r w:rsidR="002D3A5D" w:rsidRPr="00D74AB0">
        <w:rPr>
          <w:lang w:val="fr-FR"/>
        </w:rPr>
        <w:t>“en”</w:t>
      </w:r>
      <w:r w:rsidR="00A436B0" w:rsidRPr="00D74AB0">
        <w:rPr>
          <w:lang w:val="fr-FR"/>
        </w:rPr>
        <w:t>.</w:t>
      </w:r>
      <w:r w:rsidR="00F17016" w:rsidRPr="00D74AB0">
        <w:rPr>
          <w:lang w:val="fr-FR"/>
        </w:rPr>
        <w:t xml:space="preserve"> </w:t>
      </w:r>
      <w:r w:rsidR="0014465D">
        <w:rPr>
          <w:lang w:val="fr-FR"/>
        </w:rPr>
        <w:t>Il convient de noter que</w:t>
      </w:r>
      <w:r w:rsidR="00C4778B">
        <w:rPr>
          <w:lang w:val="fr-FR"/>
        </w:rPr>
        <w:t xml:space="preserve"> si </w:t>
      </w:r>
      <w:r w:rsidR="0014465D">
        <w:rPr>
          <w:lang w:val="fr-FR"/>
        </w:rPr>
        <w:t>cette</w:t>
      </w:r>
      <w:r w:rsidR="00C4778B">
        <w:rPr>
          <w:lang w:val="fr-FR"/>
        </w:rPr>
        <w:t xml:space="preserve"> proposition de révision était approuvée par</w:t>
      </w:r>
      <w:r w:rsidR="00564D2E" w:rsidRPr="00564D2E">
        <w:rPr>
          <w:lang w:val="fr-FR"/>
        </w:rPr>
        <w:t xml:space="preserve"> le CWS</w:t>
      </w:r>
      <w:r w:rsidR="00C4778B">
        <w:rPr>
          <w:lang w:val="fr-FR"/>
        </w:rPr>
        <w:t>, la nouvelle version de la norme</w:t>
      </w:r>
      <w:r w:rsidR="00076D0A">
        <w:rPr>
          <w:lang w:val="fr-FR"/>
        </w:rPr>
        <w:t> </w:t>
      </w:r>
      <w:r w:rsidR="00F17016" w:rsidRPr="00D74AB0">
        <w:rPr>
          <w:lang w:val="fr-FR"/>
        </w:rPr>
        <w:t xml:space="preserve">ST.26 </w:t>
      </w:r>
      <w:r w:rsidR="0014465D">
        <w:rPr>
          <w:lang w:val="fr-FR"/>
        </w:rPr>
        <w:t>deviendrait</w:t>
      </w:r>
      <w:r w:rsidR="00A660A7">
        <w:rPr>
          <w:lang w:val="fr-FR"/>
        </w:rPr>
        <w:t xml:space="preserve"> la </w:t>
      </w:r>
      <w:r w:rsidR="00F17016" w:rsidRPr="00D74AB0">
        <w:rPr>
          <w:lang w:val="fr-FR"/>
        </w:rPr>
        <w:t>version</w:t>
      </w:r>
      <w:r w:rsidR="00BC42DF">
        <w:rPr>
          <w:lang w:val="fr-FR"/>
        </w:rPr>
        <w:t> </w:t>
      </w:r>
      <w:r w:rsidR="00F17016" w:rsidRPr="00D74AB0">
        <w:rPr>
          <w:lang w:val="fr-FR"/>
        </w:rPr>
        <w:t>1.1</w:t>
      </w:r>
      <w:r w:rsidR="00BB21DA" w:rsidRPr="00D74AB0">
        <w:rPr>
          <w:lang w:val="fr-FR"/>
        </w:rPr>
        <w:t xml:space="preserve"> (</w:t>
      </w:r>
      <w:r w:rsidR="00A660A7">
        <w:rPr>
          <w:lang w:val="fr-FR"/>
        </w:rPr>
        <w:t>l</w:t>
      </w:r>
      <w:r w:rsidR="00564D2E">
        <w:rPr>
          <w:lang w:val="fr-FR"/>
        </w:rPr>
        <w:t>’annexe I</w:t>
      </w:r>
      <w:r w:rsidR="00A660A7">
        <w:rPr>
          <w:lang w:val="fr-FR"/>
        </w:rPr>
        <w:t>II de la norme</w:t>
      </w:r>
      <w:r w:rsidR="00076D0A">
        <w:rPr>
          <w:lang w:val="fr-FR"/>
        </w:rPr>
        <w:t> </w:t>
      </w:r>
      <w:r w:rsidR="00BB21DA" w:rsidRPr="00D74AB0">
        <w:rPr>
          <w:lang w:val="fr-FR"/>
        </w:rPr>
        <w:t xml:space="preserve">ST.26 </w:t>
      </w:r>
      <w:r w:rsidR="00A660A7">
        <w:rPr>
          <w:lang w:val="fr-FR"/>
        </w:rPr>
        <w:t>n</w:t>
      </w:r>
      <w:r w:rsidR="00564D2E">
        <w:rPr>
          <w:lang w:val="fr-FR"/>
        </w:rPr>
        <w:t>’</w:t>
      </w:r>
      <w:r w:rsidR="00A660A7">
        <w:rPr>
          <w:lang w:val="fr-FR"/>
        </w:rPr>
        <w:t>est pas jointe au présent document</w:t>
      </w:r>
      <w:r w:rsidR="00BB21DA" w:rsidRPr="00D74AB0">
        <w:rPr>
          <w:lang w:val="fr-FR"/>
        </w:rPr>
        <w:t>)</w:t>
      </w:r>
      <w:r w:rsidR="00F17016" w:rsidRPr="00D74AB0">
        <w:rPr>
          <w:lang w:val="fr-FR"/>
        </w:rPr>
        <w:t>.</w:t>
      </w:r>
    </w:p>
    <w:p w:rsidR="00564D2E" w:rsidRDefault="00A660A7" w:rsidP="00564D2E">
      <w:pPr>
        <w:pStyle w:val="ONUMFS"/>
        <w:ind w:left="5533"/>
        <w:rPr>
          <w:i/>
          <w:lang w:val="fr-FR"/>
        </w:rPr>
      </w:pPr>
      <w:r w:rsidRPr="00564D2E">
        <w:rPr>
          <w:i/>
          <w:lang w:val="fr-FR"/>
        </w:rPr>
        <w:t>Le CWS est invité</w:t>
      </w:r>
    </w:p>
    <w:p w:rsidR="00816CFA" w:rsidRPr="00564D2E" w:rsidRDefault="00A660A7" w:rsidP="00636B23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564D2E">
        <w:rPr>
          <w:i/>
          <w:lang w:val="fr-FR"/>
        </w:rPr>
        <w:t>à prendre note du contenu du présent document et du rapport sur l</w:t>
      </w:r>
      <w:r w:rsidR="00564D2E">
        <w:rPr>
          <w:i/>
          <w:lang w:val="fr-FR"/>
        </w:rPr>
        <w:t>’</w:t>
      </w:r>
      <w:r w:rsidRPr="00564D2E">
        <w:rPr>
          <w:i/>
          <w:lang w:val="fr-FR"/>
        </w:rPr>
        <w:t>état d</w:t>
      </w:r>
      <w:r w:rsidR="00564D2E">
        <w:rPr>
          <w:i/>
          <w:lang w:val="fr-FR"/>
        </w:rPr>
        <w:t>’</w:t>
      </w:r>
      <w:r w:rsidRPr="00564D2E">
        <w:rPr>
          <w:i/>
          <w:lang w:val="fr-FR"/>
        </w:rPr>
        <w:t xml:space="preserve">avancement des travaux </w:t>
      </w:r>
      <w:r w:rsidR="00AA7468" w:rsidRPr="00564D2E">
        <w:rPr>
          <w:i/>
          <w:lang w:val="fr-FR"/>
        </w:rPr>
        <w:t xml:space="preserve">menés par </w:t>
      </w:r>
      <w:r w:rsidRPr="00564D2E">
        <w:rPr>
          <w:i/>
          <w:lang w:val="fr-FR"/>
        </w:rPr>
        <w:t>l</w:t>
      </w:r>
      <w:r w:rsidR="00564D2E">
        <w:rPr>
          <w:i/>
          <w:lang w:val="fr-FR"/>
        </w:rPr>
        <w:t>’</w:t>
      </w:r>
      <w:r w:rsidRPr="00564D2E">
        <w:rPr>
          <w:i/>
          <w:lang w:val="fr-FR"/>
        </w:rPr>
        <w:t>équipe d</w:t>
      </w:r>
      <w:r w:rsidR="00564D2E">
        <w:rPr>
          <w:i/>
          <w:lang w:val="fr-FR"/>
        </w:rPr>
        <w:t>’</w:t>
      </w:r>
      <w:r w:rsidRPr="00564D2E">
        <w:rPr>
          <w:i/>
          <w:lang w:val="fr-FR"/>
        </w:rPr>
        <w:t>experts SEQL qui figure à l</w:t>
      </w:r>
      <w:r w:rsidR="00564D2E">
        <w:rPr>
          <w:i/>
          <w:lang w:val="fr-FR"/>
        </w:rPr>
        <w:t>’</w:t>
      </w:r>
      <w:r w:rsidR="00564D2E" w:rsidRPr="00564D2E">
        <w:rPr>
          <w:i/>
          <w:lang w:val="fr-FR"/>
        </w:rPr>
        <w:t>annexe</w:t>
      </w:r>
      <w:r w:rsidR="00564D2E">
        <w:rPr>
          <w:i/>
          <w:lang w:val="fr-FR"/>
        </w:rPr>
        <w:t> </w:t>
      </w:r>
      <w:r w:rsidR="00564D2E" w:rsidRPr="00564D2E">
        <w:rPr>
          <w:i/>
          <w:lang w:val="fr-FR"/>
        </w:rPr>
        <w:t>I</w:t>
      </w:r>
      <w:r w:rsidRPr="00564D2E">
        <w:rPr>
          <w:i/>
          <w:lang w:val="fr-FR"/>
        </w:rPr>
        <w:t xml:space="preserve"> du présent document</w:t>
      </w:r>
      <w:r w:rsidR="00816CFA" w:rsidRPr="00564D2E">
        <w:rPr>
          <w:i/>
          <w:lang w:val="fr-FR"/>
        </w:rPr>
        <w:t>;</w:t>
      </w:r>
      <w:r w:rsidR="004B3108" w:rsidRPr="00564D2E">
        <w:rPr>
          <w:i/>
          <w:lang w:val="fr-FR"/>
        </w:rPr>
        <w:t xml:space="preserve"> </w:t>
      </w:r>
      <w:r w:rsidRPr="00564D2E">
        <w:rPr>
          <w:i/>
          <w:lang w:val="fr-FR"/>
        </w:rPr>
        <w:t>et</w:t>
      </w:r>
    </w:p>
    <w:p w:rsidR="00816CFA" w:rsidRPr="00564D2E" w:rsidRDefault="00A660A7" w:rsidP="00636B23">
      <w:pPr>
        <w:pStyle w:val="ONUMFS"/>
        <w:numPr>
          <w:ilvl w:val="1"/>
          <w:numId w:val="6"/>
        </w:numPr>
        <w:spacing w:after="0"/>
        <w:ind w:left="5533" w:firstLine="563"/>
        <w:rPr>
          <w:i/>
          <w:lang w:val="fr-FR"/>
        </w:rPr>
      </w:pPr>
      <w:r w:rsidRPr="00564D2E">
        <w:rPr>
          <w:i/>
          <w:lang w:val="fr-FR"/>
        </w:rPr>
        <w:t>à examiner et à approuver éventuellement la proposition de révision de la norme</w:t>
      </w:r>
      <w:r w:rsidR="00076D0A">
        <w:rPr>
          <w:i/>
          <w:lang w:val="fr-FR"/>
        </w:rPr>
        <w:t> </w:t>
      </w:r>
      <w:r w:rsidRPr="00564D2E">
        <w:rPr>
          <w:i/>
          <w:lang w:val="fr-FR"/>
        </w:rPr>
        <w:t>ST.26 de l</w:t>
      </w:r>
      <w:r w:rsidR="00564D2E">
        <w:rPr>
          <w:i/>
          <w:lang w:val="fr-FR"/>
        </w:rPr>
        <w:t>’</w:t>
      </w:r>
      <w:r w:rsidRPr="00564D2E">
        <w:rPr>
          <w:i/>
          <w:lang w:val="fr-FR"/>
        </w:rPr>
        <w:t xml:space="preserve">OMPI mentionnée au </w:t>
      </w:r>
      <w:r w:rsidR="00564D2E" w:rsidRPr="00564D2E">
        <w:rPr>
          <w:i/>
          <w:lang w:val="fr-FR"/>
        </w:rPr>
        <w:t>paragraphe</w:t>
      </w:r>
      <w:r w:rsidR="00564D2E">
        <w:rPr>
          <w:i/>
          <w:lang w:val="fr-FR"/>
        </w:rPr>
        <w:t> </w:t>
      </w:r>
      <w:r w:rsidR="00564D2E" w:rsidRPr="00564D2E">
        <w:rPr>
          <w:i/>
          <w:lang w:val="fr-FR"/>
        </w:rPr>
        <w:t>3</w:t>
      </w:r>
      <w:r w:rsidRPr="00564D2E">
        <w:rPr>
          <w:i/>
          <w:lang w:val="fr-FR"/>
        </w:rPr>
        <w:t xml:space="preserve"> ci</w:t>
      </w:r>
      <w:r w:rsidR="00C42137">
        <w:rPr>
          <w:i/>
          <w:lang w:val="fr-FR"/>
        </w:rPr>
        <w:noBreakHyphen/>
      </w:r>
      <w:r w:rsidRPr="00564D2E">
        <w:rPr>
          <w:i/>
          <w:lang w:val="fr-FR"/>
        </w:rPr>
        <w:t>dessus, qui figure à l</w:t>
      </w:r>
      <w:r w:rsidR="00564D2E">
        <w:rPr>
          <w:i/>
          <w:lang w:val="fr-FR"/>
        </w:rPr>
        <w:t>’</w:t>
      </w:r>
      <w:r w:rsidR="00564D2E" w:rsidRPr="00564D2E">
        <w:rPr>
          <w:i/>
          <w:lang w:val="fr-FR"/>
        </w:rPr>
        <w:t>annexe</w:t>
      </w:r>
      <w:r w:rsidR="00564D2E">
        <w:rPr>
          <w:i/>
          <w:lang w:val="fr-FR"/>
        </w:rPr>
        <w:t> </w:t>
      </w:r>
      <w:r w:rsidR="00564D2E" w:rsidRPr="00564D2E">
        <w:rPr>
          <w:i/>
          <w:lang w:val="fr-FR"/>
        </w:rPr>
        <w:t>I</w:t>
      </w:r>
      <w:r w:rsidRPr="00564D2E">
        <w:rPr>
          <w:i/>
          <w:lang w:val="fr-FR"/>
        </w:rPr>
        <w:t>I du présent document.</w:t>
      </w:r>
    </w:p>
    <w:p w:rsidR="00816CFA" w:rsidRPr="00D74AB0" w:rsidRDefault="00816CFA" w:rsidP="003E310E">
      <w:pPr>
        <w:ind w:left="5529"/>
        <w:rPr>
          <w:lang w:val="fr-FR"/>
        </w:rPr>
      </w:pPr>
    </w:p>
    <w:p w:rsidR="003E310E" w:rsidRPr="00D74AB0" w:rsidRDefault="003E310E" w:rsidP="003E310E">
      <w:pPr>
        <w:ind w:left="5529"/>
        <w:rPr>
          <w:lang w:val="fr-FR"/>
        </w:rPr>
      </w:pPr>
    </w:p>
    <w:p w:rsidR="004C079B" w:rsidRPr="00D74AB0" w:rsidRDefault="00816CFA" w:rsidP="003E310E">
      <w:pPr>
        <w:pStyle w:val="Endofdocument-Annex"/>
        <w:ind w:left="5529"/>
        <w:rPr>
          <w:lang w:val="fr-FR"/>
        </w:rPr>
      </w:pPr>
      <w:r w:rsidRPr="00D74AB0">
        <w:rPr>
          <w:lang w:val="fr-FR"/>
        </w:rPr>
        <w:t>[</w:t>
      </w:r>
      <w:r w:rsidR="00A660A7">
        <w:rPr>
          <w:lang w:val="fr-FR"/>
        </w:rPr>
        <w:t>L</w:t>
      </w:r>
      <w:r w:rsidR="00564D2E">
        <w:rPr>
          <w:lang w:val="fr-FR"/>
        </w:rPr>
        <w:t>’annexe I</w:t>
      </w:r>
      <w:r w:rsidR="00A660A7">
        <w:rPr>
          <w:lang w:val="fr-FR"/>
        </w:rPr>
        <w:t xml:space="preserve"> suit</w:t>
      </w:r>
      <w:r w:rsidRPr="00D74AB0">
        <w:rPr>
          <w:lang w:val="fr-FR"/>
        </w:rPr>
        <w:t>]</w:t>
      </w:r>
    </w:p>
    <w:sectPr w:rsidR="004C079B" w:rsidRPr="00D74AB0" w:rsidSect="00564D2E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E5" w:rsidRDefault="00923EE5">
      <w:r>
        <w:separator/>
      </w:r>
    </w:p>
  </w:endnote>
  <w:endnote w:type="continuationSeparator" w:id="0">
    <w:p w:rsidR="00923EE5" w:rsidRDefault="00923EE5" w:rsidP="003B38C1">
      <w:r>
        <w:separator/>
      </w:r>
    </w:p>
    <w:p w:rsidR="00923EE5" w:rsidRPr="003B38C1" w:rsidRDefault="00923E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23EE5" w:rsidRPr="003B38C1" w:rsidRDefault="00923E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E5" w:rsidRDefault="00923EE5">
      <w:r>
        <w:separator/>
      </w:r>
    </w:p>
  </w:footnote>
  <w:footnote w:type="continuationSeparator" w:id="0">
    <w:p w:rsidR="00923EE5" w:rsidRDefault="00923EE5" w:rsidP="008B60B2">
      <w:r>
        <w:separator/>
      </w:r>
    </w:p>
    <w:p w:rsidR="00923EE5" w:rsidRPr="00ED77FB" w:rsidRDefault="00923E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23EE5" w:rsidRPr="00ED77FB" w:rsidRDefault="00923E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310EA9">
      <w:t>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543ED">
      <w:rPr>
        <w:noProof/>
      </w:rPr>
      <w:t>2</w:t>
    </w:r>
    <w:r>
      <w:fldChar w:fldCharType="end"/>
    </w:r>
  </w:p>
  <w:p w:rsidR="00EB49D8" w:rsidRDefault="00EB49D8" w:rsidP="00477D6B">
    <w:pPr>
      <w:jc w:val="right"/>
    </w:pPr>
  </w:p>
  <w:p w:rsidR="00636B23" w:rsidRDefault="00636B2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73B8D89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2FC06BF"/>
    <w:multiLevelType w:val="multilevel"/>
    <w:tmpl w:val="DA7EA7A2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163E5"/>
    <w:rsid w:val="00043CAA"/>
    <w:rsid w:val="00075432"/>
    <w:rsid w:val="00076D0A"/>
    <w:rsid w:val="000968ED"/>
    <w:rsid w:val="000A6EFF"/>
    <w:rsid w:val="000D7DE5"/>
    <w:rsid w:val="000F2E8F"/>
    <w:rsid w:val="000F5E56"/>
    <w:rsid w:val="00103B9F"/>
    <w:rsid w:val="00112D22"/>
    <w:rsid w:val="00124258"/>
    <w:rsid w:val="001362EE"/>
    <w:rsid w:val="00137B15"/>
    <w:rsid w:val="0014465D"/>
    <w:rsid w:val="00166058"/>
    <w:rsid w:val="001832A6"/>
    <w:rsid w:val="001A0084"/>
    <w:rsid w:val="001A5873"/>
    <w:rsid w:val="001D3608"/>
    <w:rsid w:val="002611DE"/>
    <w:rsid w:val="002634C4"/>
    <w:rsid w:val="002928D3"/>
    <w:rsid w:val="002C6794"/>
    <w:rsid w:val="002D3A5D"/>
    <w:rsid w:val="002E4A96"/>
    <w:rsid w:val="002F1FE6"/>
    <w:rsid w:val="002F4E68"/>
    <w:rsid w:val="003079C1"/>
    <w:rsid w:val="00310EA9"/>
    <w:rsid w:val="00312F7F"/>
    <w:rsid w:val="00342A15"/>
    <w:rsid w:val="00361450"/>
    <w:rsid w:val="003673CF"/>
    <w:rsid w:val="003845C1"/>
    <w:rsid w:val="003A6F89"/>
    <w:rsid w:val="003B0876"/>
    <w:rsid w:val="003B29CE"/>
    <w:rsid w:val="003B38C1"/>
    <w:rsid w:val="003B4A99"/>
    <w:rsid w:val="003B5AA3"/>
    <w:rsid w:val="003D7FB4"/>
    <w:rsid w:val="003E02D3"/>
    <w:rsid w:val="003E310E"/>
    <w:rsid w:val="004077B9"/>
    <w:rsid w:val="00423E3E"/>
    <w:rsid w:val="00427AF4"/>
    <w:rsid w:val="0045108F"/>
    <w:rsid w:val="0045673A"/>
    <w:rsid w:val="004647DA"/>
    <w:rsid w:val="00470C5B"/>
    <w:rsid w:val="00474062"/>
    <w:rsid w:val="00477D6B"/>
    <w:rsid w:val="004906BA"/>
    <w:rsid w:val="00491766"/>
    <w:rsid w:val="004A266D"/>
    <w:rsid w:val="004A5299"/>
    <w:rsid w:val="004B3108"/>
    <w:rsid w:val="004C079B"/>
    <w:rsid w:val="004D15B1"/>
    <w:rsid w:val="004E5916"/>
    <w:rsid w:val="004E69D7"/>
    <w:rsid w:val="004F16B6"/>
    <w:rsid w:val="005019FF"/>
    <w:rsid w:val="0053057A"/>
    <w:rsid w:val="005366F5"/>
    <w:rsid w:val="00555E40"/>
    <w:rsid w:val="00560A29"/>
    <w:rsid w:val="00562578"/>
    <w:rsid w:val="00564D2E"/>
    <w:rsid w:val="00570700"/>
    <w:rsid w:val="005C6649"/>
    <w:rsid w:val="005C7D9D"/>
    <w:rsid w:val="00605827"/>
    <w:rsid w:val="00615CC7"/>
    <w:rsid w:val="00622A81"/>
    <w:rsid w:val="0063662A"/>
    <w:rsid w:val="00636B23"/>
    <w:rsid w:val="00646050"/>
    <w:rsid w:val="006543ED"/>
    <w:rsid w:val="00662341"/>
    <w:rsid w:val="006713CA"/>
    <w:rsid w:val="00676C5C"/>
    <w:rsid w:val="00683FD9"/>
    <w:rsid w:val="00722BE9"/>
    <w:rsid w:val="00735879"/>
    <w:rsid w:val="00741CF0"/>
    <w:rsid w:val="00747B2D"/>
    <w:rsid w:val="007819D2"/>
    <w:rsid w:val="00781CE5"/>
    <w:rsid w:val="007C2240"/>
    <w:rsid w:val="007D0C7D"/>
    <w:rsid w:val="007D1613"/>
    <w:rsid w:val="007E045E"/>
    <w:rsid w:val="00810D6C"/>
    <w:rsid w:val="00816CFA"/>
    <w:rsid w:val="00850156"/>
    <w:rsid w:val="008B2CC1"/>
    <w:rsid w:val="008B60B2"/>
    <w:rsid w:val="008B6619"/>
    <w:rsid w:val="0090731E"/>
    <w:rsid w:val="0091339E"/>
    <w:rsid w:val="00913781"/>
    <w:rsid w:val="00916982"/>
    <w:rsid w:val="00916EE2"/>
    <w:rsid w:val="00923EE5"/>
    <w:rsid w:val="00925CAB"/>
    <w:rsid w:val="00945F19"/>
    <w:rsid w:val="0094686B"/>
    <w:rsid w:val="009551E4"/>
    <w:rsid w:val="00966A22"/>
    <w:rsid w:val="0096722F"/>
    <w:rsid w:val="00980843"/>
    <w:rsid w:val="009D63B7"/>
    <w:rsid w:val="009E1455"/>
    <w:rsid w:val="009E2791"/>
    <w:rsid w:val="009E3F6F"/>
    <w:rsid w:val="009F499F"/>
    <w:rsid w:val="00A03DF8"/>
    <w:rsid w:val="00A33B66"/>
    <w:rsid w:val="00A42DAF"/>
    <w:rsid w:val="00A436B0"/>
    <w:rsid w:val="00A45BD8"/>
    <w:rsid w:val="00A660A7"/>
    <w:rsid w:val="00A869B7"/>
    <w:rsid w:val="00A9671E"/>
    <w:rsid w:val="00AA7468"/>
    <w:rsid w:val="00AC205C"/>
    <w:rsid w:val="00AC3F4A"/>
    <w:rsid w:val="00AD7A06"/>
    <w:rsid w:val="00AE373D"/>
    <w:rsid w:val="00AF0A6B"/>
    <w:rsid w:val="00AF13B2"/>
    <w:rsid w:val="00B05A69"/>
    <w:rsid w:val="00B33D93"/>
    <w:rsid w:val="00B510E8"/>
    <w:rsid w:val="00B9734B"/>
    <w:rsid w:val="00BB0DCB"/>
    <w:rsid w:val="00BB21DA"/>
    <w:rsid w:val="00BC42DF"/>
    <w:rsid w:val="00C11BFE"/>
    <w:rsid w:val="00C2498D"/>
    <w:rsid w:val="00C42137"/>
    <w:rsid w:val="00C4778B"/>
    <w:rsid w:val="00C7192C"/>
    <w:rsid w:val="00CE33C3"/>
    <w:rsid w:val="00D441B9"/>
    <w:rsid w:val="00D45252"/>
    <w:rsid w:val="00D71B4D"/>
    <w:rsid w:val="00D74AB0"/>
    <w:rsid w:val="00D93D55"/>
    <w:rsid w:val="00DA5413"/>
    <w:rsid w:val="00DB6F85"/>
    <w:rsid w:val="00DC3A11"/>
    <w:rsid w:val="00DC4DF7"/>
    <w:rsid w:val="00DD4617"/>
    <w:rsid w:val="00DF0955"/>
    <w:rsid w:val="00E335FE"/>
    <w:rsid w:val="00E62FB2"/>
    <w:rsid w:val="00E84598"/>
    <w:rsid w:val="00EA17C8"/>
    <w:rsid w:val="00EB49D8"/>
    <w:rsid w:val="00EC4E49"/>
    <w:rsid w:val="00ED77FB"/>
    <w:rsid w:val="00EE45FA"/>
    <w:rsid w:val="00F17016"/>
    <w:rsid w:val="00F66152"/>
    <w:rsid w:val="00F774E1"/>
    <w:rsid w:val="00F852B7"/>
    <w:rsid w:val="00FC12EF"/>
    <w:rsid w:val="00FD0FC1"/>
    <w:rsid w:val="00FE7245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5369-AE04-452C-BC11-819102CC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CWS/5/6 (in English)</vt:lpstr>
      <vt:lpstr>CWS/5/6 (in English)</vt:lpstr>
    </vt:vector>
  </TitlesOfParts>
  <Company>WIPO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CWS/5/6 (in French)</dc:title>
  <dc:subject>Revision of WIPO Standard ST.26</dc:subject>
  <dc:creator>WIPO</dc:creator>
  <cp:keywords>CWS</cp:keywords>
  <cp:lastModifiedBy>ZAGO Bétina</cp:lastModifiedBy>
  <cp:revision>4</cp:revision>
  <cp:lastPrinted>2017-04-21T08:23:00Z</cp:lastPrinted>
  <dcterms:created xsi:type="dcterms:W3CDTF">2017-05-09T09:19:00Z</dcterms:created>
  <dcterms:modified xsi:type="dcterms:W3CDTF">2017-05-09T09:21:00Z</dcterms:modified>
</cp:coreProperties>
</file>