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A6" w:rsidRPr="00C20CD0" w:rsidRDefault="000C08B1" w:rsidP="00564CC8">
      <w:pPr>
        <w:pStyle w:val="Heading2"/>
        <w:spacing w:line="360" w:lineRule="auto"/>
        <w:rPr>
          <w:b/>
          <w:bCs w:val="0"/>
        </w:rPr>
      </w:pPr>
      <w:r w:rsidRPr="00C20CD0">
        <w:rPr>
          <w:b/>
          <w:bCs w:val="0"/>
          <w:caps w:val="0"/>
        </w:rPr>
        <w:t>DIX</w:t>
      </w:r>
      <w:r w:rsidRPr="00C20CD0">
        <w:rPr>
          <w:b/>
          <w:bCs w:val="0"/>
          <w:caps w:val="0"/>
        </w:rPr>
        <w:noBreakHyphen/>
        <w:t>HUIT ÉVÉNEMENTS MAJEURS</w:t>
      </w:r>
    </w:p>
    <w:p w:rsidR="007B13A6" w:rsidRPr="00C20CD0" w:rsidRDefault="007B13A6" w:rsidP="00564CC8">
      <w:pPr>
        <w:spacing w:line="360" w:lineRule="auto"/>
      </w:pPr>
    </w:p>
    <w:p w:rsidR="0047550D" w:rsidRPr="00C20CD0" w:rsidRDefault="007B13A6" w:rsidP="00564CC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lang w:val="fr-CH"/>
        </w:rPr>
      </w:pPr>
      <w:r w:rsidRPr="00C20CD0">
        <w:rPr>
          <w:rFonts w:ascii="Arial" w:hAnsi="Arial" w:cs="Arial"/>
          <w:lang w:val="fr-CH"/>
        </w:rPr>
        <w:t>Demande déposée</w:t>
      </w:r>
      <w:r w:rsidR="00815AE6" w:rsidRPr="00C20CD0">
        <w:rPr>
          <w:rFonts w:ascii="Arial" w:hAnsi="Arial" w:cs="Arial"/>
          <w:lang w:val="fr-CH"/>
        </w:rPr>
        <w:t> </w:t>
      </w:r>
      <w:r w:rsidR="00B619D5" w:rsidRPr="00C20CD0">
        <w:rPr>
          <w:rFonts w:ascii="Arial" w:hAnsi="Arial" w:cs="Arial"/>
          <w:lang w:val="fr-CH"/>
        </w:rPr>
        <w:t xml:space="preserve">: </w:t>
      </w:r>
      <w:r w:rsidR="00EC5161" w:rsidRPr="00C20CD0">
        <w:rPr>
          <w:rFonts w:ascii="Arial" w:hAnsi="Arial" w:cs="Arial"/>
          <w:lang w:val="fr-CH"/>
        </w:rPr>
        <w:t>demande nationale ou régionale qui a été déposée ou traitement dans la phase nationale</w:t>
      </w:r>
      <w:r w:rsidR="0047550D" w:rsidRPr="00C20CD0">
        <w:rPr>
          <w:rFonts w:ascii="Arial" w:hAnsi="Arial" w:cs="Arial"/>
          <w:lang w:val="fr-CH"/>
        </w:rPr>
        <w:t xml:space="preserve"> du PCT</w:t>
      </w:r>
      <w:r w:rsidR="00EC5161" w:rsidRPr="00C20CD0">
        <w:rPr>
          <w:rFonts w:ascii="Arial" w:hAnsi="Arial" w:cs="Arial"/>
          <w:lang w:val="fr-CH"/>
        </w:rPr>
        <w:t xml:space="preserve"> qui a commencé auprès d</w:t>
      </w:r>
      <w:r w:rsidR="0047550D" w:rsidRPr="00C20CD0">
        <w:rPr>
          <w:rFonts w:ascii="Arial" w:hAnsi="Arial" w:cs="Arial"/>
          <w:lang w:val="fr-CH"/>
        </w:rPr>
        <w:t>’</w:t>
      </w:r>
      <w:r w:rsidR="00EC5161" w:rsidRPr="00C20CD0">
        <w:rPr>
          <w:rFonts w:ascii="Arial" w:hAnsi="Arial" w:cs="Arial"/>
          <w:lang w:val="fr-CH"/>
        </w:rPr>
        <w:t>un office national ou régional de la propriété intellectuelle.</w:t>
      </w:r>
    </w:p>
    <w:p w:rsidR="007B13A6" w:rsidRPr="00C20CD0" w:rsidRDefault="00D12404" w:rsidP="00564CC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lang w:val="fr-CH"/>
        </w:rPr>
      </w:pPr>
      <w:r w:rsidRPr="00C20CD0">
        <w:rPr>
          <w:rFonts w:ascii="Arial" w:hAnsi="Arial" w:cs="Arial"/>
          <w:lang w:val="fr-CH"/>
        </w:rPr>
        <w:t>Instruction abandonnée</w:t>
      </w:r>
      <w:r w:rsidR="00815AE6" w:rsidRPr="00C20CD0">
        <w:rPr>
          <w:rFonts w:ascii="Arial" w:hAnsi="Arial" w:cs="Arial"/>
          <w:lang w:val="fr-CH"/>
        </w:rPr>
        <w:t> </w:t>
      </w:r>
      <w:r w:rsidRPr="00C20CD0">
        <w:rPr>
          <w:rFonts w:ascii="Arial" w:hAnsi="Arial" w:cs="Arial"/>
          <w:lang w:val="fr-CH"/>
        </w:rPr>
        <w:t>: l</w:t>
      </w:r>
      <w:r w:rsidR="0047550D" w:rsidRPr="00C20CD0">
        <w:rPr>
          <w:rFonts w:ascii="Arial" w:hAnsi="Arial" w:cs="Arial"/>
          <w:lang w:val="fr-CH"/>
        </w:rPr>
        <w:t>’</w:t>
      </w:r>
      <w:r w:rsidRPr="00C20CD0">
        <w:rPr>
          <w:rFonts w:ascii="Arial" w:hAnsi="Arial" w:cs="Arial"/>
          <w:lang w:val="fr-CH"/>
        </w:rPr>
        <w:t>instruction de la demande a été abandonnée en raison d</w:t>
      </w:r>
      <w:r w:rsidR="0047550D" w:rsidRPr="00C20CD0">
        <w:rPr>
          <w:rFonts w:ascii="Arial" w:hAnsi="Arial" w:cs="Arial"/>
          <w:lang w:val="fr-CH"/>
        </w:rPr>
        <w:t>’</w:t>
      </w:r>
      <w:r w:rsidR="00815AE6" w:rsidRPr="00C20CD0">
        <w:rPr>
          <w:rFonts w:ascii="Arial" w:hAnsi="Arial" w:cs="Arial"/>
          <w:lang w:val="fr-CH"/>
        </w:rPr>
        <w:t>un</w:t>
      </w:r>
      <w:r w:rsidRPr="00C20CD0">
        <w:rPr>
          <w:rFonts w:ascii="Arial" w:hAnsi="Arial" w:cs="Arial"/>
          <w:lang w:val="fr-CH"/>
        </w:rPr>
        <w:t xml:space="preserve"> refus de l</w:t>
      </w:r>
      <w:r w:rsidR="0047550D" w:rsidRPr="00C20CD0">
        <w:rPr>
          <w:rFonts w:ascii="Arial" w:hAnsi="Arial" w:cs="Arial"/>
          <w:lang w:val="fr-CH"/>
        </w:rPr>
        <w:t>’</w:t>
      </w:r>
      <w:r w:rsidRPr="00C20CD0">
        <w:rPr>
          <w:rFonts w:ascii="Arial" w:hAnsi="Arial" w:cs="Arial"/>
          <w:lang w:val="fr-CH"/>
        </w:rPr>
        <w:t xml:space="preserve">office de </w:t>
      </w:r>
      <w:r w:rsidR="00815AE6" w:rsidRPr="00C20CD0">
        <w:rPr>
          <w:rFonts w:ascii="Arial" w:hAnsi="Arial" w:cs="Arial"/>
          <w:lang w:val="fr-CH"/>
        </w:rPr>
        <w:t xml:space="preserve">la </w:t>
      </w:r>
      <w:r w:rsidRPr="00C20CD0">
        <w:rPr>
          <w:rFonts w:ascii="Arial" w:hAnsi="Arial" w:cs="Arial"/>
          <w:lang w:val="fr-CH"/>
        </w:rPr>
        <w:t>propriété intellectuelle, d</w:t>
      </w:r>
      <w:r w:rsidR="0047550D" w:rsidRPr="00C20CD0">
        <w:rPr>
          <w:rFonts w:ascii="Arial" w:hAnsi="Arial" w:cs="Arial"/>
          <w:lang w:val="fr-CH"/>
        </w:rPr>
        <w:t>’</w:t>
      </w:r>
      <w:r w:rsidRPr="00C20CD0">
        <w:rPr>
          <w:rFonts w:ascii="Arial" w:hAnsi="Arial" w:cs="Arial"/>
          <w:lang w:val="fr-CH"/>
        </w:rPr>
        <w:t>un retrait par le ou les déposants ou d</w:t>
      </w:r>
      <w:r w:rsidR="0047550D" w:rsidRPr="00C20CD0">
        <w:rPr>
          <w:rFonts w:ascii="Arial" w:hAnsi="Arial" w:cs="Arial"/>
          <w:lang w:val="fr-CH"/>
        </w:rPr>
        <w:t>’</w:t>
      </w:r>
      <w:r w:rsidRPr="00C20CD0">
        <w:rPr>
          <w:rFonts w:ascii="Arial" w:hAnsi="Arial" w:cs="Arial"/>
          <w:lang w:val="fr-CH"/>
        </w:rPr>
        <w:t>un défaut d</w:t>
      </w:r>
      <w:r w:rsidR="0047550D" w:rsidRPr="00C20CD0">
        <w:rPr>
          <w:rFonts w:ascii="Arial" w:hAnsi="Arial" w:cs="Arial"/>
          <w:lang w:val="fr-CH"/>
        </w:rPr>
        <w:t>’</w:t>
      </w:r>
      <w:r w:rsidRPr="00C20CD0">
        <w:rPr>
          <w:rFonts w:ascii="Arial" w:hAnsi="Arial" w:cs="Arial"/>
          <w:lang w:val="fr-CH"/>
        </w:rPr>
        <w:t xml:space="preserve">instruction, par </w:t>
      </w:r>
      <w:r w:rsidR="00815AE6" w:rsidRPr="00C20CD0">
        <w:rPr>
          <w:rFonts w:ascii="Arial" w:hAnsi="Arial" w:cs="Arial"/>
          <w:lang w:val="fr-CH"/>
        </w:rPr>
        <w:t>exemple en raison du</w:t>
      </w:r>
      <w:r w:rsidRPr="00C20CD0">
        <w:rPr>
          <w:rFonts w:ascii="Arial" w:hAnsi="Arial" w:cs="Arial"/>
          <w:lang w:val="fr-CH"/>
        </w:rPr>
        <w:t xml:space="preserve"> non</w:t>
      </w:r>
      <w:r w:rsidR="00564CC8" w:rsidRPr="00C20CD0">
        <w:rPr>
          <w:rFonts w:ascii="Arial" w:hAnsi="Arial" w:cs="Arial"/>
          <w:lang w:val="fr-CH"/>
        </w:rPr>
        <w:noBreakHyphen/>
      </w:r>
      <w:r w:rsidRPr="00C20CD0">
        <w:rPr>
          <w:rFonts w:ascii="Arial" w:hAnsi="Arial" w:cs="Arial"/>
          <w:lang w:val="fr-CH"/>
        </w:rPr>
        <w:t xml:space="preserve">paiement des taxes ou </w:t>
      </w:r>
      <w:r w:rsidR="00815AE6" w:rsidRPr="00C20CD0">
        <w:rPr>
          <w:rFonts w:ascii="Arial" w:hAnsi="Arial" w:cs="Arial"/>
          <w:lang w:val="fr-CH"/>
        </w:rPr>
        <w:t xml:space="preserve">de </w:t>
      </w:r>
      <w:r w:rsidRPr="00C20CD0">
        <w:rPr>
          <w:rFonts w:ascii="Arial" w:hAnsi="Arial" w:cs="Arial"/>
          <w:lang w:val="fr-CH"/>
        </w:rPr>
        <w:t>l</w:t>
      </w:r>
      <w:r w:rsidR="0047550D" w:rsidRPr="00C20CD0">
        <w:rPr>
          <w:rFonts w:ascii="Arial" w:hAnsi="Arial" w:cs="Arial"/>
          <w:lang w:val="fr-CH"/>
        </w:rPr>
        <w:t>’</w:t>
      </w:r>
      <w:r w:rsidRPr="00C20CD0">
        <w:rPr>
          <w:rFonts w:ascii="Arial" w:hAnsi="Arial" w:cs="Arial"/>
          <w:lang w:val="fr-CH"/>
        </w:rPr>
        <w:t>omission de répondre à la décision d</w:t>
      </w:r>
      <w:r w:rsidR="0047550D" w:rsidRPr="00C20CD0">
        <w:rPr>
          <w:rFonts w:ascii="Arial" w:hAnsi="Arial" w:cs="Arial"/>
          <w:lang w:val="fr-CH"/>
        </w:rPr>
        <w:t>’</w:t>
      </w:r>
      <w:r w:rsidRPr="00C20CD0">
        <w:rPr>
          <w:rFonts w:ascii="Arial" w:hAnsi="Arial" w:cs="Arial"/>
          <w:lang w:val="fr-CH"/>
        </w:rPr>
        <w:t>un office dans le délai fixé.</w:t>
      </w:r>
    </w:p>
    <w:p w:rsidR="007B13A6" w:rsidRPr="00C20CD0" w:rsidRDefault="00815AE6" w:rsidP="00564CC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lang w:val="fr-CH"/>
        </w:rPr>
      </w:pPr>
      <w:r w:rsidRPr="00C20CD0">
        <w:rPr>
          <w:rFonts w:ascii="Arial" w:hAnsi="Arial" w:cs="Arial"/>
          <w:lang w:val="fr-CH"/>
        </w:rPr>
        <w:t>Reprise de l</w:t>
      </w:r>
      <w:r w:rsidR="0047550D" w:rsidRPr="00C20CD0">
        <w:rPr>
          <w:rFonts w:ascii="Arial" w:hAnsi="Arial" w:cs="Arial"/>
          <w:lang w:val="fr-CH"/>
        </w:rPr>
        <w:t>’</w:t>
      </w:r>
      <w:r w:rsidRPr="00C20CD0">
        <w:rPr>
          <w:rFonts w:ascii="Arial" w:hAnsi="Arial" w:cs="Arial"/>
          <w:lang w:val="fr-CH"/>
        </w:rPr>
        <w:t>instruction : l</w:t>
      </w:r>
      <w:r w:rsidR="0047550D" w:rsidRPr="00C20CD0">
        <w:rPr>
          <w:rFonts w:ascii="Arial" w:hAnsi="Arial" w:cs="Arial"/>
          <w:lang w:val="fr-CH"/>
        </w:rPr>
        <w:t>’</w:t>
      </w:r>
      <w:r w:rsidRPr="00C20CD0">
        <w:rPr>
          <w:rFonts w:ascii="Arial" w:hAnsi="Arial" w:cs="Arial"/>
          <w:lang w:val="fr-CH"/>
        </w:rPr>
        <w:t>instruction de la demande a repris.</w:t>
      </w:r>
    </w:p>
    <w:p w:rsidR="007B13A6" w:rsidRPr="00C20CD0" w:rsidRDefault="00815AE6" w:rsidP="00564CC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lang w:val="fr-CH"/>
        </w:rPr>
      </w:pPr>
      <w:r w:rsidRPr="00C20CD0">
        <w:rPr>
          <w:rFonts w:ascii="Arial" w:hAnsi="Arial" w:cs="Arial"/>
          <w:lang w:val="fr-CH"/>
        </w:rPr>
        <w:t>Examen demandé</w:t>
      </w:r>
      <w:r w:rsidR="00CD6AAE" w:rsidRPr="00C20CD0">
        <w:rPr>
          <w:rFonts w:ascii="Arial" w:hAnsi="Arial" w:cs="Arial"/>
          <w:lang w:val="fr-CH"/>
        </w:rPr>
        <w:t> </w:t>
      </w:r>
      <w:r w:rsidRPr="00C20CD0">
        <w:rPr>
          <w:rFonts w:ascii="Arial" w:hAnsi="Arial" w:cs="Arial"/>
          <w:lang w:val="fr-CH"/>
        </w:rPr>
        <w:t>: l</w:t>
      </w:r>
      <w:r w:rsidR="0047550D" w:rsidRPr="00C20CD0">
        <w:rPr>
          <w:rFonts w:ascii="Arial" w:hAnsi="Arial" w:cs="Arial"/>
          <w:lang w:val="fr-CH"/>
        </w:rPr>
        <w:t>’</w:t>
      </w:r>
      <w:r w:rsidRPr="00C20CD0">
        <w:rPr>
          <w:rFonts w:ascii="Arial" w:hAnsi="Arial" w:cs="Arial"/>
          <w:lang w:val="fr-CH"/>
        </w:rPr>
        <w:t>examen de la demande a été demandé.</w:t>
      </w:r>
    </w:p>
    <w:p w:rsidR="007B13A6" w:rsidRPr="00C20CD0" w:rsidRDefault="00143C0A" w:rsidP="00564CC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lang w:val="fr-CH"/>
        </w:rPr>
      </w:pPr>
      <w:r w:rsidRPr="00C20CD0">
        <w:rPr>
          <w:rFonts w:ascii="Arial" w:hAnsi="Arial" w:cs="Arial"/>
          <w:lang w:val="fr-CH"/>
        </w:rPr>
        <w:t>Réexa</w:t>
      </w:r>
      <w:r w:rsidR="00CD6AAE" w:rsidRPr="00C20CD0">
        <w:rPr>
          <w:rFonts w:ascii="Arial" w:hAnsi="Arial" w:cs="Arial"/>
          <w:lang w:val="fr-CH"/>
        </w:rPr>
        <w:t>men avant la délivrance demandé </w:t>
      </w:r>
      <w:r w:rsidRPr="00C20CD0">
        <w:rPr>
          <w:rFonts w:ascii="Arial" w:hAnsi="Arial" w:cs="Arial"/>
          <w:lang w:val="fr-CH"/>
        </w:rPr>
        <w:t>: un réexamen avant la délivrance, par exemple un recours administratif ou une opposition, a été demandé pour contester une décision de l</w:t>
      </w:r>
      <w:r w:rsidR="0047550D" w:rsidRPr="00C20CD0">
        <w:rPr>
          <w:rFonts w:ascii="Arial" w:hAnsi="Arial" w:cs="Arial"/>
          <w:lang w:val="fr-CH"/>
        </w:rPr>
        <w:t>’</w:t>
      </w:r>
      <w:r w:rsidRPr="00C20CD0">
        <w:rPr>
          <w:rFonts w:ascii="Arial" w:hAnsi="Arial" w:cs="Arial"/>
          <w:lang w:val="fr-CH"/>
        </w:rPr>
        <w:t>office compétent de la propriété intellectuelle.</w:t>
      </w:r>
    </w:p>
    <w:p w:rsidR="007B13A6" w:rsidRPr="00C20CD0" w:rsidRDefault="00A42FA3" w:rsidP="00564CC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lang w:val="fr-CH"/>
        </w:rPr>
      </w:pPr>
      <w:r w:rsidRPr="00C20CD0">
        <w:rPr>
          <w:rFonts w:ascii="Arial" w:hAnsi="Arial" w:cs="Arial"/>
          <w:lang w:val="fr-CH"/>
        </w:rPr>
        <w:t>Droit de propriété intellectuelle octroyé</w:t>
      </w:r>
      <w:r w:rsidR="00CD6AAE" w:rsidRPr="00C20CD0">
        <w:rPr>
          <w:rFonts w:ascii="Arial" w:hAnsi="Arial" w:cs="Arial"/>
          <w:lang w:val="fr-CH"/>
        </w:rPr>
        <w:t> </w:t>
      </w:r>
      <w:r w:rsidRPr="00C20CD0">
        <w:rPr>
          <w:rFonts w:ascii="Arial" w:hAnsi="Arial" w:cs="Arial"/>
          <w:lang w:val="fr-CH"/>
        </w:rPr>
        <w:t xml:space="preserve">: le brevet a été délivré, ou devrait être délivré, après </w:t>
      </w:r>
      <w:r w:rsidR="00C20CD0" w:rsidRPr="00C20CD0">
        <w:rPr>
          <w:rFonts w:ascii="Arial" w:hAnsi="Arial" w:cs="Arial"/>
          <w:lang w:val="fr-CH"/>
        </w:rPr>
        <w:t>le réexamen</w:t>
      </w:r>
      <w:r w:rsidRPr="00C20CD0">
        <w:rPr>
          <w:rFonts w:ascii="Arial" w:hAnsi="Arial" w:cs="Arial"/>
          <w:lang w:val="fr-CH"/>
        </w:rPr>
        <w:t xml:space="preserve"> ou les procédures précédant la délivrance, sous une forme complète ou modifiée.</w:t>
      </w:r>
    </w:p>
    <w:p w:rsidR="007B13A6" w:rsidRPr="00C20CD0" w:rsidRDefault="00A42FA3" w:rsidP="00564CC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lang w:val="fr-CH"/>
        </w:rPr>
      </w:pPr>
      <w:r w:rsidRPr="00C20CD0">
        <w:rPr>
          <w:rFonts w:ascii="Arial" w:hAnsi="Arial" w:cs="Arial"/>
          <w:lang w:val="fr-CH"/>
        </w:rPr>
        <w:t>Octroi de la protection au</w:t>
      </w:r>
      <w:r w:rsidR="00564CC8" w:rsidRPr="00C20CD0">
        <w:rPr>
          <w:rFonts w:ascii="Arial" w:hAnsi="Arial" w:cs="Arial"/>
          <w:lang w:val="fr-CH"/>
        </w:rPr>
        <w:noBreakHyphen/>
      </w:r>
      <w:r w:rsidRPr="00C20CD0">
        <w:rPr>
          <w:rFonts w:ascii="Arial" w:hAnsi="Arial" w:cs="Arial"/>
          <w:lang w:val="fr-CH"/>
        </w:rPr>
        <w:t>delà de la durée du droit de propriété intellectuelle : l</w:t>
      </w:r>
      <w:r w:rsidR="0047550D" w:rsidRPr="00C20CD0">
        <w:rPr>
          <w:rFonts w:ascii="Arial" w:hAnsi="Arial" w:cs="Arial"/>
          <w:lang w:val="fr-CH"/>
        </w:rPr>
        <w:t>’</w:t>
      </w:r>
      <w:r w:rsidRPr="00C20CD0">
        <w:rPr>
          <w:rFonts w:ascii="Arial" w:hAnsi="Arial" w:cs="Arial"/>
          <w:lang w:val="fr-CH"/>
        </w:rPr>
        <w:t>ajustement de la durée de validité du brevet, l</w:t>
      </w:r>
      <w:r w:rsidR="0047550D" w:rsidRPr="00C20CD0">
        <w:rPr>
          <w:rFonts w:ascii="Arial" w:hAnsi="Arial" w:cs="Arial"/>
          <w:lang w:val="fr-CH"/>
        </w:rPr>
        <w:t>’</w:t>
      </w:r>
      <w:r w:rsidRPr="00C20CD0">
        <w:rPr>
          <w:rFonts w:ascii="Arial" w:hAnsi="Arial" w:cs="Arial"/>
          <w:lang w:val="fr-CH"/>
        </w:rPr>
        <w:t>extension de la durée de validité du brevet ou le certificat complémentaire de protection ont été octroyés.</w:t>
      </w:r>
    </w:p>
    <w:p w:rsidR="0047550D" w:rsidRPr="00C20CD0" w:rsidRDefault="00C35451" w:rsidP="00564CC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lang w:val="fr-CH"/>
        </w:rPr>
      </w:pPr>
      <w:r w:rsidRPr="00C20CD0">
        <w:rPr>
          <w:rFonts w:ascii="Arial" w:hAnsi="Arial" w:cs="Arial"/>
          <w:lang w:val="fr-CH"/>
        </w:rPr>
        <w:t>Droit de pr</w:t>
      </w:r>
      <w:r w:rsidR="00CD6AAE" w:rsidRPr="00C20CD0">
        <w:rPr>
          <w:rFonts w:ascii="Arial" w:hAnsi="Arial" w:cs="Arial"/>
          <w:lang w:val="fr-CH"/>
        </w:rPr>
        <w:t>opriété intellectuelle suspendu </w:t>
      </w:r>
      <w:r w:rsidRPr="00C20CD0">
        <w:rPr>
          <w:rFonts w:ascii="Arial" w:hAnsi="Arial" w:cs="Arial"/>
          <w:lang w:val="fr-CH"/>
        </w:rPr>
        <w:t>: le droit de propriété intellectuelle a été suspendu en raison d</w:t>
      </w:r>
      <w:r w:rsidR="0047550D" w:rsidRPr="00C20CD0">
        <w:rPr>
          <w:rFonts w:ascii="Arial" w:hAnsi="Arial" w:cs="Arial"/>
          <w:lang w:val="fr-CH"/>
        </w:rPr>
        <w:t>’</w:t>
      </w:r>
      <w:r w:rsidRPr="00C20CD0">
        <w:rPr>
          <w:rFonts w:ascii="Arial" w:hAnsi="Arial" w:cs="Arial"/>
          <w:lang w:val="fr-CH"/>
        </w:rPr>
        <w:t>une expiration, d</w:t>
      </w:r>
      <w:r w:rsidR="0047550D" w:rsidRPr="00C20CD0">
        <w:rPr>
          <w:rFonts w:ascii="Arial" w:hAnsi="Arial" w:cs="Arial"/>
          <w:lang w:val="fr-CH"/>
        </w:rPr>
        <w:t>’</w:t>
      </w:r>
      <w:r w:rsidRPr="00C20CD0">
        <w:rPr>
          <w:rFonts w:ascii="Arial" w:hAnsi="Arial" w:cs="Arial"/>
          <w:lang w:val="fr-CH"/>
        </w:rPr>
        <w:t>une révocation ou de la renonciation à ce droit, du non</w:t>
      </w:r>
      <w:r w:rsidR="00564CC8" w:rsidRPr="00C20CD0">
        <w:rPr>
          <w:rFonts w:ascii="Arial" w:hAnsi="Arial" w:cs="Arial"/>
          <w:lang w:val="fr-CH"/>
        </w:rPr>
        <w:noBreakHyphen/>
      </w:r>
      <w:r w:rsidRPr="00C20CD0">
        <w:rPr>
          <w:rFonts w:ascii="Arial" w:hAnsi="Arial" w:cs="Arial"/>
          <w:lang w:val="fr-CH"/>
        </w:rPr>
        <w:t>paiement d</w:t>
      </w:r>
      <w:r w:rsidR="00C20CD0" w:rsidRPr="00C20CD0">
        <w:rPr>
          <w:rFonts w:ascii="Arial" w:hAnsi="Arial" w:cs="Arial"/>
          <w:lang w:val="fr-CH"/>
        </w:rPr>
        <w:t>es taxes de re</w:t>
      </w:r>
      <w:bookmarkStart w:id="0" w:name="_GoBack"/>
      <w:bookmarkEnd w:id="0"/>
      <w:r w:rsidR="00C20CD0" w:rsidRPr="00C20CD0">
        <w:rPr>
          <w:rFonts w:ascii="Arial" w:hAnsi="Arial" w:cs="Arial"/>
          <w:lang w:val="fr-CH"/>
        </w:rPr>
        <w:t>nouvellement ou du réexamen</w:t>
      </w:r>
      <w:r w:rsidRPr="00C20CD0">
        <w:rPr>
          <w:rFonts w:ascii="Arial" w:hAnsi="Arial" w:cs="Arial"/>
          <w:lang w:val="fr-CH"/>
        </w:rPr>
        <w:t xml:space="preserve"> du droit de propriété intellectuelle, par exemple un recours après la délivrance ou une opposition.</w:t>
      </w:r>
    </w:p>
    <w:p w:rsidR="007B13A6" w:rsidRPr="00C20CD0" w:rsidRDefault="00C35451" w:rsidP="00564CC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lang w:val="fr-CH"/>
        </w:rPr>
      </w:pPr>
      <w:r w:rsidRPr="00C20CD0">
        <w:rPr>
          <w:rFonts w:ascii="Arial" w:hAnsi="Arial" w:cs="Arial"/>
          <w:lang w:val="fr-CH"/>
        </w:rPr>
        <w:t>Droit de propriété intellectuelle restauré</w:t>
      </w:r>
      <w:r w:rsidR="00CD6AAE" w:rsidRPr="00C20CD0">
        <w:rPr>
          <w:rFonts w:ascii="Arial" w:hAnsi="Arial" w:cs="Arial"/>
          <w:lang w:val="fr-CH"/>
        </w:rPr>
        <w:t> </w:t>
      </w:r>
      <w:r w:rsidRPr="00C20CD0">
        <w:rPr>
          <w:rFonts w:ascii="Arial" w:hAnsi="Arial" w:cs="Arial"/>
          <w:lang w:val="fr-CH"/>
        </w:rPr>
        <w:t>:</w:t>
      </w:r>
      <w:r w:rsidR="00CD6AAE" w:rsidRPr="00C20CD0">
        <w:rPr>
          <w:rFonts w:ascii="Arial" w:hAnsi="Arial" w:cs="Arial"/>
          <w:lang w:val="fr-CH"/>
        </w:rPr>
        <w:t xml:space="preserve"> le droit de propriété intellectuelle a été restauré après sa suspension.</w:t>
      </w:r>
    </w:p>
    <w:p w:rsidR="0047550D" w:rsidRPr="00C20CD0" w:rsidRDefault="00C20CD0" w:rsidP="00564CC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lang w:val="fr-CH"/>
        </w:rPr>
      </w:pPr>
      <w:r w:rsidRPr="00C20CD0">
        <w:rPr>
          <w:rFonts w:ascii="Arial" w:hAnsi="Arial" w:cs="Arial"/>
          <w:lang w:val="fr-CH"/>
        </w:rPr>
        <w:t xml:space="preserve">Réexamen </w:t>
      </w:r>
      <w:r w:rsidR="00C35451" w:rsidRPr="00C20CD0">
        <w:rPr>
          <w:rFonts w:ascii="Arial" w:hAnsi="Arial" w:cs="Arial"/>
          <w:lang w:val="fr-CH"/>
        </w:rPr>
        <w:t>du droit de propriété intellectuelle demandée</w:t>
      </w:r>
      <w:r w:rsidR="00CD6AAE" w:rsidRPr="00C20CD0">
        <w:rPr>
          <w:rFonts w:ascii="Arial" w:hAnsi="Arial" w:cs="Arial"/>
          <w:lang w:val="fr-CH"/>
        </w:rPr>
        <w:t> </w:t>
      </w:r>
      <w:r w:rsidR="00C35451" w:rsidRPr="00C20CD0">
        <w:rPr>
          <w:rFonts w:ascii="Arial" w:hAnsi="Arial" w:cs="Arial"/>
          <w:lang w:val="fr-CH"/>
        </w:rPr>
        <w:t xml:space="preserve">: le processus de </w:t>
      </w:r>
      <w:r w:rsidRPr="00C20CD0">
        <w:rPr>
          <w:rFonts w:ascii="Arial" w:hAnsi="Arial" w:cs="Arial"/>
          <w:lang w:val="fr-CH"/>
        </w:rPr>
        <w:t>réexamen</w:t>
      </w:r>
      <w:r w:rsidR="00C35451" w:rsidRPr="00C20CD0">
        <w:rPr>
          <w:rFonts w:ascii="Arial" w:hAnsi="Arial" w:cs="Arial"/>
          <w:lang w:val="fr-CH"/>
        </w:rPr>
        <w:t xml:space="preserve"> après la délivrance a été demandé, par exemple un recours, une opposition ou un</w:t>
      </w:r>
      <w:r w:rsidRPr="00C20CD0">
        <w:rPr>
          <w:rFonts w:ascii="Arial" w:hAnsi="Arial" w:cs="Arial"/>
          <w:lang w:val="fr-CH"/>
        </w:rPr>
        <w:t>e autre forme de</w:t>
      </w:r>
      <w:r w:rsidR="00C35451" w:rsidRPr="00C20CD0">
        <w:rPr>
          <w:rFonts w:ascii="Arial" w:hAnsi="Arial" w:cs="Arial"/>
          <w:lang w:val="fr-CH"/>
        </w:rPr>
        <w:t xml:space="preserve"> réexamen.</w:t>
      </w:r>
    </w:p>
    <w:p w:rsidR="007B13A6" w:rsidRPr="00C20CD0" w:rsidRDefault="00460F59" w:rsidP="00564CC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lang w:val="fr-CH"/>
        </w:rPr>
      </w:pPr>
      <w:r w:rsidRPr="00C20CD0">
        <w:rPr>
          <w:rFonts w:ascii="Arial" w:hAnsi="Arial" w:cs="Arial"/>
          <w:lang w:val="fr-CH"/>
        </w:rPr>
        <w:t xml:space="preserve">Droit de propriété </w:t>
      </w:r>
      <w:r w:rsidR="00C20CD0" w:rsidRPr="00C20CD0">
        <w:rPr>
          <w:rFonts w:ascii="Arial" w:hAnsi="Arial" w:cs="Arial"/>
          <w:lang w:val="fr-CH"/>
        </w:rPr>
        <w:t>intellectuelle maintenu après le</w:t>
      </w:r>
      <w:r w:rsidRPr="00C20CD0">
        <w:rPr>
          <w:rFonts w:ascii="Arial" w:hAnsi="Arial" w:cs="Arial"/>
          <w:lang w:val="fr-CH"/>
        </w:rPr>
        <w:t xml:space="preserve"> </w:t>
      </w:r>
      <w:r w:rsidR="00C20CD0" w:rsidRPr="00C20CD0">
        <w:rPr>
          <w:rFonts w:ascii="Arial" w:hAnsi="Arial" w:cs="Arial"/>
          <w:lang w:val="fr-CH"/>
        </w:rPr>
        <w:t>réexamen</w:t>
      </w:r>
      <w:r w:rsidRPr="00C20CD0">
        <w:rPr>
          <w:rFonts w:ascii="Arial" w:hAnsi="Arial" w:cs="Arial"/>
          <w:lang w:val="fr-CH"/>
        </w:rPr>
        <w:t xml:space="preserve"> faisant suite à la délivrance</w:t>
      </w:r>
      <w:r w:rsidR="0077289D" w:rsidRPr="00C20CD0">
        <w:rPr>
          <w:rFonts w:ascii="Arial" w:hAnsi="Arial" w:cs="Arial"/>
          <w:lang w:val="fr-CH"/>
        </w:rPr>
        <w:t> </w:t>
      </w:r>
      <w:r w:rsidRPr="00C20CD0">
        <w:rPr>
          <w:rFonts w:ascii="Arial" w:hAnsi="Arial" w:cs="Arial"/>
          <w:lang w:val="fr-CH"/>
        </w:rPr>
        <w:t xml:space="preserve">: le droit de propriété intellectuelle a été maintenu sous une forme complète ou modifiée après le processus de </w:t>
      </w:r>
      <w:r w:rsidR="00C20CD0" w:rsidRPr="00C20CD0">
        <w:rPr>
          <w:rFonts w:ascii="Arial" w:hAnsi="Arial" w:cs="Arial"/>
          <w:lang w:val="fr-CH"/>
        </w:rPr>
        <w:t>réexamen</w:t>
      </w:r>
      <w:r w:rsidRPr="00C20CD0">
        <w:rPr>
          <w:rFonts w:ascii="Arial" w:hAnsi="Arial" w:cs="Arial"/>
          <w:lang w:val="fr-CH"/>
        </w:rPr>
        <w:t>.</w:t>
      </w:r>
    </w:p>
    <w:p w:rsidR="007B13A6" w:rsidRPr="00C20CD0" w:rsidRDefault="00460F59" w:rsidP="00564CC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lang w:val="fr-CH"/>
        </w:rPr>
      </w:pPr>
      <w:r w:rsidRPr="00C20CD0">
        <w:rPr>
          <w:rFonts w:ascii="Arial" w:hAnsi="Arial" w:cs="Arial"/>
          <w:lang w:val="fr-CH"/>
        </w:rPr>
        <w:t>Fin de l</w:t>
      </w:r>
      <w:r w:rsidR="0047550D" w:rsidRPr="00C20CD0">
        <w:rPr>
          <w:rFonts w:ascii="Arial" w:hAnsi="Arial" w:cs="Arial"/>
          <w:lang w:val="fr-CH"/>
        </w:rPr>
        <w:t>’</w:t>
      </w:r>
      <w:r w:rsidRPr="00C20CD0">
        <w:rPr>
          <w:rFonts w:ascii="Arial" w:hAnsi="Arial" w:cs="Arial"/>
          <w:lang w:val="fr-CH"/>
        </w:rPr>
        <w:t>instruction ou du droit de propriété intel</w:t>
      </w:r>
      <w:r w:rsidR="00CD6AAE" w:rsidRPr="00C20CD0">
        <w:rPr>
          <w:rFonts w:ascii="Arial" w:hAnsi="Arial" w:cs="Arial"/>
          <w:lang w:val="fr-CH"/>
        </w:rPr>
        <w:t>lectuelle de manière définitive </w:t>
      </w:r>
      <w:r w:rsidRPr="00C20CD0">
        <w:rPr>
          <w:rFonts w:ascii="Arial" w:hAnsi="Arial" w:cs="Arial"/>
          <w:lang w:val="fr-CH"/>
        </w:rPr>
        <w:t>: il est définitivement mis fin à l</w:t>
      </w:r>
      <w:r w:rsidR="0047550D" w:rsidRPr="00C20CD0">
        <w:rPr>
          <w:rFonts w:ascii="Arial" w:hAnsi="Arial" w:cs="Arial"/>
          <w:lang w:val="fr-CH"/>
        </w:rPr>
        <w:t>’</w:t>
      </w:r>
      <w:r w:rsidRPr="00C20CD0">
        <w:rPr>
          <w:rFonts w:ascii="Arial" w:hAnsi="Arial" w:cs="Arial"/>
          <w:lang w:val="fr-CH"/>
        </w:rPr>
        <w:t>instruction ou au droit de propriété intellectuelle.</w:t>
      </w:r>
    </w:p>
    <w:p w:rsidR="007B13A6" w:rsidRPr="00C20CD0" w:rsidRDefault="00460F59" w:rsidP="00564CC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lang w:val="fr-CH"/>
        </w:rPr>
      </w:pPr>
      <w:r w:rsidRPr="00C20CD0">
        <w:rPr>
          <w:rFonts w:ascii="Arial" w:hAnsi="Arial" w:cs="Arial"/>
          <w:lang w:val="fr-CH"/>
        </w:rPr>
        <w:t>Document modifié</w:t>
      </w:r>
      <w:r w:rsidR="00CD6AAE" w:rsidRPr="00C20CD0">
        <w:rPr>
          <w:rFonts w:ascii="Arial" w:hAnsi="Arial" w:cs="Arial"/>
          <w:lang w:val="fr-CH"/>
        </w:rPr>
        <w:t> </w:t>
      </w:r>
      <w:r w:rsidRPr="00C20CD0">
        <w:rPr>
          <w:rFonts w:ascii="Arial" w:hAnsi="Arial" w:cs="Arial"/>
          <w:lang w:val="fr-CH"/>
        </w:rPr>
        <w:t>: une modification ou correction a été apportée dans la demande ou le document de brevet.</w:t>
      </w:r>
    </w:p>
    <w:p w:rsidR="007B13A6" w:rsidRPr="00C20CD0" w:rsidRDefault="00460F59" w:rsidP="00564CC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lang w:val="fr-CH"/>
        </w:rPr>
      </w:pPr>
      <w:r w:rsidRPr="00C20CD0">
        <w:rPr>
          <w:rFonts w:ascii="Arial" w:hAnsi="Arial" w:cs="Arial"/>
          <w:lang w:val="fr-CH"/>
        </w:rPr>
        <w:lastRenderedPageBreak/>
        <w:t>Document publié</w:t>
      </w:r>
      <w:r w:rsidR="00CD6AAE" w:rsidRPr="00C20CD0">
        <w:rPr>
          <w:rFonts w:ascii="Arial" w:hAnsi="Arial" w:cs="Arial"/>
          <w:lang w:val="fr-CH"/>
        </w:rPr>
        <w:t> </w:t>
      </w:r>
      <w:r w:rsidRPr="00C20CD0">
        <w:rPr>
          <w:rFonts w:ascii="Arial" w:hAnsi="Arial" w:cs="Arial"/>
          <w:lang w:val="fr-CH"/>
        </w:rPr>
        <w:t>: la demande, le brevet ou les données bibliographiques ont été publiés par un office de la propriété intellectuelle.</w:t>
      </w:r>
    </w:p>
    <w:p w:rsidR="007B13A6" w:rsidRPr="00C20CD0" w:rsidRDefault="00CD6AAE" w:rsidP="00564CC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lang w:val="fr-CH"/>
        </w:rPr>
      </w:pPr>
      <w:r w:rsidRPr="00C20CD0">
        <w:rPr>
          <w:rFonts w:ascii="Arial" w:hAnsi="Arial" w:cs="Arial"/>
          <w:lang w:val="fr-CH"/>
        </w:rPr>
        <w:t>Données concernant les parties modifiées</w:t>
      </w:r>
      <w:r w:rsidR="0077289D" w:rsidRPr="00C20CD0">
        <w:rPr>
          <w:rFonts w:ascii="Arial" w:hAnsi="Arial" w:cs="Arial"/>
          <w:lang w:val="fr-CH"/>
        </w:rPr>
        <w:t> </w:t>
      </w:r>
      <w:r w:rsidRPr="00C20CD0">
        <w:rPr>
          <w:rFonts w:ascii="Arial" w:hAnsi="Arial" w:cs="Arial"/>
          <w:lang w:val="fr-CH"/>
        </w:rPr>
        <w:t>: modification des données renvoyant aux parties visées par la demande ou le droit de propriété intellectuelle, par exemple le nom ou l</w:t>
      </w:r>
      <w:r w:rsidR="0047550D" w:rsidRPr="00C20CD0">
        <w:rPr>
          <w:rFonts w:ascii="Arial" w:hAnsi="Arial" w:cs="Arial"/>
          <w:lang w:val="fr-CH"/>
        </w:rPr>
        <w:t>’</w:t>
      </w:r>
      <w:r w:rsidRPr="00C20CD0">
        <w:rPr>
          <w:rFonts w:ascii="Arial" w:hAnsi="Arial" w:cs="Arial"/>
          <w:lang w:val="fr-CH"/>
        </w:rPr>
        <w:t>adresse du déposant, de l</w:t>
      </w:r>
      <w:r w:rsidR="0047550D" w:rsidRPr="00C20CD0">
        <w:rPr>
          <w:rFonts w:ascii="Arial" w:hAnsi="Arial" w:cs="Arial"/>
          <w:lang w:val="fr-CH"/>
        </w:rPr>
        <w:t>’</w:t>
      </w:r>
      <w:r w:rsidRPr="00C20CD0">
        <w:rPr>
          <w:rFonts w:ascii="Arial" w:hAnsi="Arial" w:cs="Arial"/>
          <w:lang w:val="fr-CH"/>
        </w:rPr>
        <w:t>inventeur, du mandataire ou du titulaire.</w:t>
      </w:r>
    </w:p>
    <w:p w:rsidR="0047550D" w:rsidRPr="00C20CD0" w:rsidRDefault="00C20CD0" w:rsidP="00564CC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lang w:val="fr-CH"/>
        </w:rPr>
      </w:pPr>
      <w:r w:rsidRPr="00C20CD0">
        <w:rPr>
          <w:rFonts w:ascii="Arial" w:hAnsi="Arial" w:cs="Arial"/>
          <w:lang w:val="fr-CH"/>
        </w:rPr>
        <w:t>I</w:t>
      </w:r>
      <w:r w:rsidR="00CD6AAE" w:rsidRPr="00C20CD0">
        <w:rPr>
          <w:rFonts w:ascii="Arial" w:hAnsi="Arial" w:cs="Arial"/>
          <w:lang w:val="fr-CH"/>
        </w:rPr>
        <w:t>nformations sur la concession de licences</w:t>
      </w:r>
      <w:r w:rsidRPr="00C20CD0">
        <w:rPr>
          <w:rFonts w:ascii="Arial" w:hAnsi="Arial" w:cs="Arial"/>
          <w:lang w:val="fr-CH"/>
        </w:rPr>
        <w:t xml:space="preserve"> inscrites</w:t>
      </w:r>
      <w:r w:rsidR="00CD6AAE" w:rsidRPr="00C20CD0">
        <w:rPr>
          <w:rFonts w:ascii="Arial" w:hAnsi="Arial" w:cs="Arial"/>
          <w:lang w:val="fr-CH"/>
        </w:rPr>
        <w:t> : inscription des informations sur la concession de licences, par exemple les informations concernant les licences, la sûreté réelle, un gage ou une hypothèque.</w:t>
      </w:r>
    </w:p>
    <w:p w:rsidR="007B13A6" w:rsidRPr="00C20CD0" w:rsidRDefault="00CD6AAE" w:rsidP="00564CC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lang w:val="fr-CH"/>
        </w:rPr>
      </w:pPr>
      <w:r w:rsidRPr="00C20CD0">
        <w:rPr>
          <w:rFonts w:ascii="Arial" w:hAnsi="Arial" w:cs="Arial"/>
          <w:lang w:val="fr-CH"/>
        </w:rPr>
        <w:t>Délai étendu : extension d</w:t>
      </w:r>
      <w:r w:rsidR="0047550D" w:rsidRPr="00C20CD0">
        <w:rPr>
          <w:rFonts w:ascii="Arial" w:hAnsi="Arial" w:cs="Arial"/>
          <w:lang w:val="fr-CH"/>
        </w:rPr>
        <w:t>’</w:t>
      </w:r>
      <w:r w:rsidRPr="00C20CD0">
        <w:rPr>
          <w:rFonts w:ascii="Arial" w:hAnsi="Arial" w:cs="Arial"/>
          <w:lang w:val="fr-CH"/>
        </w:rPr>
        <w:t>un délai ou poursuite du traitement afin de mener à bien la procédure nécessaire, par exemple le paiement des taxes ou la réalisation d</w:t>
      </w:r>
      <w:r w:rsidR="0047550D" w:rsidRPr="00C20CD0">
        <w:rPr>
          <w:rFonts w:ascii="Arial" w:hAnsi="Arial" w:cs="Arial"/>
          <w:lang w:val="fr-CH"/>
        </w:rPr>
        <w:t>’</w:t>
      </w:r>
      <w:r w:rsidRPr="00C20CD0">
        <w:rPr>
          <w:rFonts w:ascii="Arial" w:hAnsi="Arial" w:cs="Arial"/>
          <w:lang w:val="fr-CH"/>
        </w:rPr>
        <w:t>une spécification.</w:t>
      </w:r>
    </w:p>
    <w:p w:rsidR="007B13A6" w:rsidRPr="00C20CD0" w:rsidRDefault="00CD6AAE" w:rsidP="00AF709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lang w:val="fr-CH"/>
        </w:rPr>
      </w:pPr>
      <w:r w:rsidRPr="00C20CD0">
        <w:rPr>
          <w:rFonts w:ascii="Arial" w:hAnsi="Arial" w:cs="Arial"/>
          <w:lang w:val="fr-CH"/>
        </w:rPr>
        <w:t>Taxe payée : le paiement des taxes a été effectué, par exemple la taxe de renouvellement ou de maintien.</w:t>
      </w:r>
    </w:p>
    <w:p w:rsidR="007B13A6" w:rsidRPr="00C20CD0" w:rsidRDefault="007B13A6" w:rsidP="00AF7093">
      <w:pPr>
        <w:pStyle w:val="Endofdocument"/>
        <w:spacing w:line="240" w:lineRule="auto"/>
        <w:ind w:left="0"/>
        <w:rPr>
          <w:sz w:val="22"/>
          <w:szCs w:val="22"/>
          <w:lang w:val="fr-CH"/>
        </w:rPr>
      </w:pPr>
    </w:p>
    <w:p w:rsidR="007B13A6" w:rsidRDefault="007B13A6" w:rsidP="00AF7093">
      <w:pPr>
        <w:pStyle w:val="Endofdocument"/>
        <w:spacing w:line="240" w:lineRule="auto"/>
        <w:ind w:left="0"/>
        <w:rPr>
          <w:sz w:val="22"/>
          <w:szCs w:val="22"/>
          <w:lang w:val="fr-CH"/>
        </w:rPr>
      </w:pPr>
    </w:p>
    <w:p w:rsidR="00AF7093" w:rsidRPr="00C20CD0" w:rsidRDefault="00AF7093" w:rsidP="00AF7093">
      <w:pPr>
        <w:pStyle w:val="Endofdocument"/>
        <w:spacing w:line="240" w:lineRule="auto"/>
        <w:ind w:left="0"/>
        <w:rPr>
          <w:sz w:val="22"/>
          <w:szCs w:val="22"/>
          <w:lang w:val="fr-CH"/>
        </w:rPr>
      </w:pPr>
    </w:p>
    <w:p w:rsidR="007B13A6" w:rsidRPr="00C20CD0" w:rsidRDefault="00CD6AAE" w:rsidP="00AF7093">
      <w:pPr>
        <w:pStyle w:val="Endofdocument"/>
        <w:spacing w:line="240" w:lineRule="auto"/>
        <w:rPr>
          <w:sz w:val="22"/>
          <w:szCs w:val="22"/>
          <w:lang w:val="fr-CH"/>
        </w:rPr>
      </w:pPr>
      <w:r w:rsidRPr="00C20CD0">
        <w:rPr>
          <w:sz w:val="22"/>
          <w:szCs w:val="22"/>
          <w:lang w:val="fr-CH"/>
        </w:rPr>
        <w:t>[Fin de l</w:t>
      </w:r>
      <w:r w:rsidR="0047550D" w:rsidRPr="00C20CD0">
        <w:rPr>
          <w:sz w:val="22"/>
          <w:szCs w:val="22"/>
          <w:lang w:val="fr-CH"/>
        </w:rPr>
        <w:t>’</w:t>
      </w:r>
      <w:r w:rsidRPr="00C20CD0">
        <w:rPr>
          <w:sz w:val="22"/>
          <w:szCs w:val="22"/>
          <w:lang w:val="fr-CH"/>
        </w:rPr>
        <w:t>annexe</w:t>
      </w:r>
      <w:r w:rsidR="0077289D" w:rsidRPr="00C20CD0">
        <w:rPr>
          <w:sz w:val="22"/>
          <w:szCs w:val="22"/>
          <w:lang w:val="fr-CH"/>
        </w:rPr>
        <w:t> </w:t>
      </w:r>
      <w:r w:rsidRPr="00C20CD0">
        <w:rPr>
          <w:sz w:val="22"/>
          <w:szCs w:val="22"/>
          <w:lang w:val="fr-CH"/>
        </w:rPr>
        <w:t>II et du document]</w:t>
      </w:r>
    </w:p>
    <w:p w:rsidR="007B13A6" w:rsidRPr="00C20CD0" w:rsidRDefault="007B13A6" w:rsidP="00564CC8">
      <w:pPr>
        <w:spacing w:line="360" w:lineRule="auto"/>
        <w:rPr>
          <w:lang w:val="fr-CH"/>
        </w:rPr>
      </w:pPr>
    </w:p>
    <w:p w:rsidR="002928D3" w:rsidRPr="00C20CD0" w:rsidRDefault="002928D3" w:rsidP="00564CC8">
      <w:pPr>
        <w:spacing w:line="360" w:lineRule="auto"/>
        <w:rPr>
          <w:lang w:val="fr-CH"/>
        </w:rPr>
      </w:pPr>
    </w:p>
    <w:sectPr w:rsidR="002928D3" w:rsidRPr="00C20CD0" w:rsidSect="00206FA3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AD" w:rsidRDefault="005276AD">
      <w:r>
        <w:separator/>
      </w:r>
    </w:p>
  </w:endnote>
  <w:endnote w:type="continuationSeparator" w:id="0">
    <w:p w:rsidR="005276AD" w:rsidRDefault="005276AD" w:rsidP="003B38C1">
      <w:r>
        <w:separator/>
      </w:r>
    </w:p>
    <w:p w:rsidR="005276AD" w:rsidRPr="003B38C1" w:rsidRDefault="005276A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276AD" w:rsidRPr="003B38C1" w:rsidRDefault="005276A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AD" w:rsidRDefault="005276AD">
      <w:r>
        <w:separator/>
      </w:r>
    </w:p>
  </w:footnote>
  <w:footnote w:type="continuationSeparator" w:id="0">
    <w:p w:rsidR="005276AD" w:rsidRDefault="005276AD" w:rsidP="008B60B2">
      <w:r>
        <w:separator/>
      </w:r>
    </w:p>
    <w:p w:rsidR="005276AD" w:rsidRPr="00ED77FB" w:rsidRDefault="005276A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276AD" w:rsidRPr="00ED77FB" w:rsidRDefault="005276A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C08B1" w:rsidP="00477D6B">
    <w:pPr>
      <w:jc w:val="right"/>
    </w:pPr>
    <w:r>
      <w:t>CWS</w:t>
    </w:r>
    <w:r w:rsidR="00BB74B8">
      <w:t>/</w:t>
    </w:r>
    <w:r>
      <w:t>4BIS/5</w:t>
    </w:r>
  </w:p>
  <w:p w:rsidR="00EC4E49" w:rsidRDefault="00A65D37" w:rsidP="00477D6B">
    <w:pPr>
      <w:jc w:val="right"/>
    </w:pPr>
    <w:proofErr w:type="spellStart"/>
    <w:r>
      <w:t>Annex</w:t>
    </w:r>
    <w:r w:rsidR="00CD6AAE">
      <w:t>e</w:t>
    </w:r>
    <w:proofErr w:type="spellEnd"/>
    <w:r>
      <w:t xml:space="preserve">, </w:t>
    </w:r>
    <w:r w:rsidR="00EC4E49">
      <w:t xml:space="preserve">page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0C08B1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BB74B8" w:rsidRDefault="00BB74B8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B8" w:rsidRDefault="00EC2895" w:rsidP="005F5AEC">
    <w:pPr>
      <w:jc w:val="right"/>
    </w:pPr>
    <w:r>
      <w:t>CWS/</w:t>
    </w:r>
    <w:r w:rsidR="00CC4622">
      <w:t>4BIS</w:t>
    </w:r>
    <w:r w:rsidR="00BB74B8">
      <w:t>/</w:t>
    </w:r>
    <w:r w:rsidR="005F5AEC">
      <w:t>5</w:t>
    </w:r>
  </w:p>
  <w:p w:rsidR="00BB74B8" w:rsidRDefault="00BB74B8" w:rsidP="00BB74B8">
    <w:pPr>
      <w:jc w:val="right"/>
    </w:pPr>
    <w:r>
      <w:t>ANNEX</w:t>
    </w:r>
    <w:r w:rsidR="007B13A6">
      <w:t>E</w:t>
    </w:r>
    <w:r w:rsidR="00692862">
      <w:t xml:space="preserve"> </w:t>
    </w:r>
    <w:r w:rsidR="00B619D5">
      <w:t>I</w:t>
    </w:r>
    <w:r w:rsidR="00692862">
      <w:t>I</w:t>
    </w:r>
  </w:p>
  <w:p w:rsidR="00BB74B8" w:rsidRDefault="00BB74B8" w:rsidP="00BB74B8">
    <w:pPr>
      <w:jc w:val="right"/>
    </w:pPr>
  </w:p>
  <w:p w:rsidR="00BB74B8" w:rsidRDefault="00BB74B8" w:rsidP="00BB74B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FF1363"/>
    <w:multiLevelType w:val="hybridMultilevel"/>
    <w:tmpl w:val="0574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196D9A"/>
    <w:multiLevelType w:val="multilevel"/>
    <w:tmpl w:val="EFBED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51408"/>
    <w:multiLevelType w:val="hybridMultilevel"/>
    <w:tmpl w:val="4E80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0551D"/>
    <w:multiLevelType w:val="multilevel"/>
    <w:tmpl w:val="E536C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D20AA"/>
    <w:multiLevelType w:val="multilevel"/>
    <w:tmpl w:val="EFBED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050C9"/>
    <w:multiLevelType w:val="hybridMultilevel"/>
    <w:tmpl w:val="80CC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11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|FTS_Glossary"/>
    <w:docVar w:name="TermBaseURL" w:val="empty"/>
    <w:docVar w:name="TextBases" w:val="TextBase TMs\Trademarks\Meetings|TextBase TMs\Trademarks\Other|TextBase TMs\Trademarks\Publications|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traités|TextBase TMs\WorkspaceFTS\EN-FR\UPOV|TextBase TMs\WorkspaceFTS\EN-FR\WO_CC|TextBase TMs\WorkspaceFTS\EN-FR\WO_GA|TextBase TMs\WorkspaceFTS\EN-FR\WO_PBC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Glossaries\EN-FR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"/>
    <w:docVar w:name="TextBaseURL" w:val="empty"/>
    <w:docVar w:name="UILng" w:val="en"/>
  </w:docVars>
  <w:rsids>
    <w:rsidRoot w:val="00CC4622"/>
    <w:rsid w:val="000306DB"/>
    <w:rsid w:val="00043CAA"/>
    <w:rsid w:val="00073864"/>
    <w:rsid w:val="00075432"/>
    <w:rsid w:val="00076D20"/>
    <w:rsid w:val="000968ED"/>
    <w:rsid w:val="000B75E0"/>
    <w:rsid w:val="000C08B1"/>
    <w:rsid w:val="000F5E56"/>
    <w:rsid w:val="00123D4E"/>
    <w:rsid w:val="001362EE"/>
    <w:rsid w:val="00143C0A"/>
    <w:rsid w:val="001832A6"/>
    <w:rsid w:val="00206FA3"/>
    <w:rsid w:val="00230D89"/>
    <w:rsid w:val="002634C4"/>
    <w:rsid w:val="002928D3"/>
    <w:rsid w:val="002F1FE6"/>
    <w:rsid w:val="002F4E68"/>
    <w:rsid w:val="00312F7F"/>
    <w:rsid w:val="003228B7"/>
    <w:rsid w:val="003306F8"/>
    <w:rsid w:val="00357F52"/>
    <w:rsid w:val="003673CF"/>
    <w:rsid w:val="003845C1"/>
    <w:rsid w:val="003A6F89"/>
    <w:rsid w:val="003B38C1"/>
    <w:rsid w:val="00414C52"/>
    <w:rsid w:val="00423E3E"/>
    <w:rsid w:val="00427AF4"/>
    <w:rsid w:val="004400E2"/>
    <w:rsid w:val="00460F59"/>
    <w:rsid w:val="004647DA"/>
    <w:rsid w:val="00474062"/>
    <w:rsid w:val="0047550D"/>
    <w:rsid w:val="00477D6B"/>
    <w:rsid w:val="005276AD"/>
    <w:rsid w:val="0053057A"/>
    <w:rsid w:val="00560A29"/>
    <w:rsid w:val="00564CC8"/>
    <w:rsid w:val="005F5AEC"/>
    <w:rsid w:val="00605827"/>
    <w:rsid w:val="0061197A"/>
    <w:rsid w:val="00646050"/>
    <w:rsid w:val="006713CA"/>
    <w:rsid w:val="00676C5C"/>
    <w:rsid w:val="00692862"/>
    <w:rsid w:val="007058FB"/>
    <w:rsid w:val="0075381D"/>
    <w:rsid w:val="0077289D"/>
    <w:rsid w:val="007B13A6"/>
    <w:rsid w:val="007B6A58"/>
    <w:rsid w:val="007C036A"/>
    <w:rsid w:val="007D1613"/>
    <w:rsid w:val="007D5C56"/>
    <w:rsid w:val="00815AE6"/>
    <w:rsid w:val="00826D3E"/>
    <w:rsid w:val="008B2CC1"/>
    <w:rsid w:val="008B60B2"/>
    <w:rsid w:val="0090731E"/>
    <w:rsid w:val="00916EE2"/>
    <w:rsid w:val="009567DC"/>
    <w:rsid w:val="00966A22"/>
    <w:rsid w:val="0096722F"/>
    <w:rsid w:val="00980843"/>
    <w:rsid w:val="009E2791"/>
    <w:rsid w:val="009E3F6F"/>
    <w:rsid w:val="009F499F"/>
    <w:rsid w:val="00A42DAF"/>
    <w:rsid w:val="00A42FA3"/>
    <w:rsid w:val="00A45BD8"/>
    <w:rsid w:val="00A65D37"/>
    <w:rsid w:val="00A85B8E"/>
    <w:rsid w:val="00AC205C"/>
    <w:rsid w:val="00AF7093"/>
    <w:rsid w:val="00AF713C"/>
    <w:rsid w:val="00B05A69"/>
    <w:rsid w:val="00B0788B"/>
    <w:rsid w:val="00B123E4"/>
    <w:rsid w:val="00B619D5"/>
    <w:rsid w:val="00B903D6"/>
    <w:rsid w:val="00B9734B"/>
    <w:rsid w:val="00BB74B8"/>
    <w:rsid w:val="00C02179"/>
    <w:rsid w:val="00C11BFE"/>
    <w:rsid w:val="00C20CD0"/>
    <w:rsid w:val="00C35451"/>
    <w:rsid w:val="00C44558"/>
    <w:rsid w:val="00C46905"/>
    <w:rsid w:val="00C94629"/>
    <w:rsid w:val="00CC4622"/>
    <w:rsid w:val="00CD28E0"/>
    <w:rsid w:val="00CD6AAE"/>
    <w:rsid w:val="00D12404"/>
    <w:rsid w:val="00D45252"/>
    <w:rsid w:val="00D46F34"/>
    <w:rsid w:val="00D71B4D"/>
    <w:rsid w:val="00D93D55"/>
    <w:rsid w:val="00DA1135"/>
    <w:rsid w:val="00E335FE"/>
    <w:rsid w:val="00E5021F"/>
    <w:rsid w:val="00E55378"/>
    <w:rsid w:val="00EC2895"/>
    <w:rsid w:val="00EC4E49"/>
    <w:rsid w:val="00EC5161"/>
    <w:rsid w:val="00ED77FB"/>
    <w:rsid w:val="00F021A6"/>
    <w:rsid w:val="00F66152"/>
    <w:rsid w:val="00F9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9D5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F5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5AEC"/>
    <w:rPr>
      <w:rFonts w:ascii="Tahoma" w:eastAsia="SimSu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619D5"/>
    <w:rPr>
      <w:rFonts w:ascii="Arial" w:eastAsia="SimSun" w:hAnsi="Arial" w:cs="Arial"/>
      <w:bCs/>
      <w:iCs/>
      <w:caps/>
      <w:sz w:val="22"/>
      <w:szCs w:val="28"/>
    </w:rPr>
  </w:style>
  <w:style w:type="paragraph" w:styleId="ListParagraph">
    <w:name w:val="List Paragraph"/>
    <w:basedOn w:val="Normal"/>
    <w:uiPriority w:val="34"/>
    <w:qFormat/>
    <w:rsid w:val="00B619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ko-KR"/>
    </w:rPr>
  </w:style>
  <w:style w:type="paragraph" w:customStyle="1" w:styleId="Endofdocument">
    <w:name w:val="End of document"/>
    <w:basedOn w:val="Normal"/>
    <w:rsid w:val="00B619D5"/>
    <w:pPr>
      <w:spacing w:line="260" w:lineRule="atLeast"/>
      <w:ind w:left="5534"/>
    </w:pPr>
    <w:rPr>
      <w:rFonts w:eastAsia="Batang" w:cs="Times New Roman"/>
      <w:sz w:val="20"/>
      <w:lang w:eastAsia="en-US"/>
    </w:rPr>
  </w:style>
  <w:style w:type="character" w:styleId="Hyperlink">
    <w:name w:val="Hyperlink"/>
    <w:basedOn w:val="DefaultParagraphFont"/>
    <w:rsid w:val="00564C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9D5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F5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5AEC"/>
    <w:rPr>
      <w:rFonts w:ascii="Tahoma" w:eastAsia="SimSu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619D5"/>
    <w:rPr>
      <w:rFonts w:ascii="Arial" w:eastAsia="SimSun" w:hAnsi="Arial" w:cs="Arial"/>
      <w:bCs/>
      <w:iCs/>
      <w:caps/>
      <w:sz w:val="22"/>
      <w:szCs w:val="28"/>
    </w:rPr>
  </w:style>
  <w:style w:type="paragraph" w:styleId="ListParagraph">
    <w:name w:val="List Paragraph"/>
    <w:basedOn w:val="Normal"/>
    <w:uiPriority w:val="34"/>
    <w:qFormat/>
    <w:rsid w:val="00B619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ko-KR"/>
    </w:rPr>
  </w:style>
  <w:style w:type="paragraph" w:customStyle="1" w:styleId="Endofdocument">
    <w:name w:val="End of document"/>
    <w:basedOn w:val="Normal"/>
    <w:rsid w:val="00B619D5"/>
    <w:pPr>
      <w:spacing w:line="260" w:lineRule="atLeast"/>
      <w:ind w:left="5534"/>
    </w:pPr>
    <w:rPr>
      <w:rFonts w:eastAsia="Batang" w:cs="Times New Roman"/>
      <w:sz w:val="20"/>
      <w:lang w:eastAsia="en-US"/>
    </w:rPr>
  </w:style>
  <w:style w:type="character" w:styleId="Hyperlink">
    <w:name w:val="Hyperlink"/>
    <w:basedOn w:val="DefaultParagraphFont"/>
    <w:rsid w:val="00564C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CWS/4BIS/5 Annex II (in English)</vt:lpstr>
    </vt:vector>
  </TitlesOfParts>
  <Company>WIPO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CWS/4BIS/5 Annex II (en français)</dc:title>
  <dc:subject>Dix‑huit événements majeurs</dc:subject>
  <dc:creator>OMPI/WIPO</dc:creator>
  <cp:keywords>CWS</cp:keywords>
  <cp:lastModifiedBy>RODRIGUEZ Geraldine</cp:lastModifiedBy>
  <cp:revision>4</cp:revision>
  <cp:lastPrinted>2016-03-03T07:05:00Z</cp:lastPrinted>
  <dcterms:created xsi:type="dcterms:W3CDTF">2016-03-03T12:30:00Z</dcterms:created>
  <dcterms:modified xsi:type="dcterms:W3CDTF">2016-03-03T15:09:00Z</dcterms:modified>
</cp:coreProperties>
</file>