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A2B0A" w:rsidRPr="000A4F4B" w:rsidTr="00C0361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A2B0A" w:rsidRPr="000A4F4B" w:rsidRDefault="00EA2B0A" w:rsidP="003160F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2B0A" w:rsidRPr="000A4F4B" w:rsidRDefault="00EA2B0A" w:rsidP="003160F1">
            <w:pPr>
              <w:rPr>
                <w:lang w:val="fr-FR"/>
              </w:rPr>
            </w:pPr>
            <w:r w:rsidRPr="000A4F4B">
              <w:rPr>
                <w:noProof/>
              </w:rPr>
              <w:drawing>
                <wp:inline distT="0" distB="0" distL="0" distR="0" wp14:anchorId="0C76F1E0" wp14:editId="4A29E149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2B0A" w:rsidRPr="000A4F4B" w:rsidRDefault="00EA2B0A" w:rsidP="003160F1">
            <w:pPr>
              <w:jc w:val="right"/>
              <w:rPr>
                <w:lang w:val="fr-FR"/>
              </w:rPr>
            </w:pPr>
            <w:r w:rsidRPr="000A4F4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A2B0A" w:rsidRPr="000A4F4B" w:rsidTr="003160F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A2B0A" w:rsidRPr="000A4F4B" w:rsidRDefault="00EA2B0A" w:rsidP="003160F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4F4B">
              <w:rPr>
                <w:rFonts w:ascii="Arial Black" w:hAnsi="Arial Black"/>
                <w:caps/>
                <w:sz w:val="15"/>
                <w:lang w:val="fr-FR"/>
              </w:rPr>
              <w:t>CWS/4BIS/</w:t>
            </w:r>
            <w:bookmarkStart w:id="0" w:name="Code"/>
            <w:bookmarkEnd w:id="0"/>
            <w:r w:rsidRPr="000A4F4B">
              <w:rPr>
                <w:rFonts w:ascii="Arial Black" w:hAnsi="Arial Black"/>
                <w:caps/>
                <w:sz w:val="15"/>
                <w:lang w:val="fr-FR"/>
              </w:rPr>
              <w:t>4</w:t>
            </w:r>
          </w:p>
        </w:tc>
      </w:tr>
      <w:tr w:rsidR="00EA2B0A" w:rsidRPr="000A4F4B" w:rsidTr="003160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A2B0A" w:rsidRPr="000A4F4B" w:rsidRDefault="00EA2B0A" w:rsidP="003160F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4F4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3E691D" w:rsidRPr="000A4F4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A4F4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0A4F4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A2B0A" w:rsidRPr="000A4F4B" w:rsidTr="003160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A2B0A" w:rsidRPr="000A4F4B" w:rsidRDefault="00EA2B0A" w:rsidP="003160F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4F4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3E691D" w:rsidRPr="000A4F4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A4F4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0A4F4B">
              <w:rPr>
                <w:rFonts w:ascii="Arial Black" w:hAnsi="Arial Black"/>
                <w:caps/>
                <w:sz w:val="15"/>
                <w:lang w:val="fr-FR"/>
              </w:rPr>
              <w:t>22 février 2016</w:t>
            </w:r>
          </w:p>
        </w:tc>
      </w:tr>
    </w:tbl>
    <w:p w:rsidR="00EA2B0A" w:rsidRPr="000A4F4B" w:rsidRDefault="00EA2B0A" w:rsidP="00EA2B0A">
      <w:pPr>
        <w:rPr>
          <w:lang w:val="fr-FR"/>
        </w:rPr>
      </w:pPr>
    </w:p>
    <w:p w:rsidR="00EA2B0A" w:rsidRPr="000A4F4B" w:rsidRDefault="00EA2B0A" w:rsidP="00EA2B0A">
      <w:pPr>
        <w:rPr>
          <w:lang w:val="fr-FR"/>
        </w:rPr>
      </w:pPr>
    </w:p>
    <w:p w:rsidR="00EA2B0A" w:rsidRPr="000A4F4B" w:rsidRDefault="00EA2B0A" w:rsidP="00EA2B0A">
      <w:pPr>
        <w:rPr>
          <w:lang w:val="fr-FR"/>
        </w:rPr>
      </w:pPr>
    </w:p>
    <w:p w:rsidR="00EA2B0A" w:rsidRPr="000A4F4B" w:rsidRDefault="00EA2B0A" w:rsidP="00EA2B0A">
      <w:pPr>
        <w:rPr>
          <w:lang w:val="fr-FR"/>
        </w:rPr>
      </w:pPr>
    </w:p>
    <w:p w:rsidR="00EA2B0A" w:rsidRPr="000A4F4B" w:rsidRDefault="00EA2B0A" w:rsidP="00EA2B0A">
      <w:pPr>
        <w:rPr>
          <w:lang w:val="fr-FR"/>
        </w:rPr>
      </w:pPr>
    </w:p>
    <w:p w:rsidR="00EA2B0A" w:rsidRPr="000A4F4B" w:rsidRDefault="00EA2B0A" w:rsidP="00EA2B0A">
      <w:pPr>
        <w:rPr>
          <w:b/>
          <w:sz w:val="28"/>
          <w:szCs w:val="28"/>
          <w:lang w:val="fr-FR"/>
        </w:rPr>
      </w:pPr>
      <w:r w:rsidRPr="000A4F4B">
        <w:rPr>
          <w:b/>
          <w:sz w:val="28"/>
          <w:szCs w:val="28"/>
          <w:lang w:val="fr-FR"/>
        </w:rPr>
        <w:t>Comité des normes de l</w:t>
      </w:r>
      <w:r w:rsidR="00C03618" w:rsidRPr="000A4F4B">
        <w:rPr>
          <w:b/>
          <w:sz w:val="28"/>
          <w:szCs w:val="28"/>
          <w:lang w:val="fr-FR"/>
        </w:rPr>
        <w:t>’</w:t>
      </w:r>
      <w:r w:rsidRPr="000A4F4B">
        <w:rPr>
          <w:b/>
          <w:sz w:val="28"/>
          <w:szCs w:val="28"/>
          <w:lang w:val="fr-FR"/>
        </w:rPr>
        <w:t>OMPI (CWS)</w:t>
      </w:r>
    </w:p>
    <w:p w:rsidR="00EA2B0A" w:rsidRPr="000A4F4B" w:rsidRDefault="00EA2B0A" w:rsidP="00EA2B0A">
      <w:pPr>
        <w:rPr>
          <w:lang w:val="fr-FR"/>
        </w:rPr>
      </w:pPr>
    </w:p>
    <w:p w:rsidR="00EA2B0A" w:rsidRPr="000A4F4B" w:rsidRDefault="00EA2B0A" w:rsidP="00EA2B0A">
      <w:pPr>
        <w:rPr>
          <w:lang w:val="fr-FR"/>
        </w:rPr>
      </w:pPr>
    </w:p>
    <w:p w:rsidR="00EA2B0A" w:rsidRPr="000A4F4B" w:rsidRDefault="00EA2B0A" w:rsidP="00EA2B0A">
      <w:pPr>
        <w:rPr>
          <w:b/>
          <w:sz w:val="24"/>
          <w:szCs w:val="24"/>
          <w:lang w:val="fr-FR"/>
        </w:rPr>
      </w:pPr>
      <w:r w:rsidRPr="000A4F4B">
        <w:rPr>
          <w:b/>
          <w:sz w:val="24"/>
          <w:szCs w:val="24"/>
          <w:lang w:val="fr-FR"/>
        </w:rPr>
        <w:t>Reprise de la quatrième</w:t>
      </w:r>
      <w:r w:rsidR="003E691D" w:rsidRPr="000A4F4B">
        <w:rPr>
          <w:b/>
          <w:sz w:val="24"/>
          <w:szCs w:val="24"/>
          <w:lang w:val="fr-FR"/>
        </w:rPr>
        <w:t> </w:t>
      </w:r>
      <w:r w:rsidRPr="000A4F4B">
        <w:rPr>
          <w:b/>
          <w:sz w:val="24"/>
          <w:szCs w:val="24"/>
          <w:lang w:val="fr-FR"/>
        </w:rPr>
        <w:t>session</w:t>
      </w:r>
    </w:p>
    <w:p w:rsidR="00EA2B0A" w:rsidRPr="000A4F4B" w:rsidRDefault="00EA2B0A" w:rsidP="00EA2B0A">
      <w:pPr>
        <w:rPr>
          <w:b/>
          <w:sz w:val="24"/>
          <w:szCs w:val="24"/>
          <w:lang w:val="fr-FR"/>
        </w:rPr>
      </w:pPr>
      <w:r w:rsidRPr="000A4F4B">
        <w:rPr>
          <w:b/>
          <w:sz w:val="24"/>
          <w:szCs w:val="24"/>
          <w:lang w:val="fr-FR"/>
        </w:rPr>
        <w:t>Genève, 21 – 2</w:t>
      </w:r>
      <w:r w:rsidR="00C03618" w:rsidRPr="000A4F4B">
        <w:rPr>
          <w:b/>
          <w:sz w:val="24"/>
          <w:szCs w:val="24"/>
          <w:lang w:val="fr-FR"/>
        </w:rPr>
        <w:t>4 mars 20</w:t>
      </w:r>
      <w:r w:rsidRPr="000A4F4B">
        <w:rPr>
          <w:b/>
          <w:sz w:val="24"/>
          <w:szCs w:val="24"/>
          <w:lang w:val="fr-FR"/>
        </w:rPr>
        <w:t>16</w:t>
      </w:r>
    </w:p>
    <w:p w:rsidR="008B2CC1" w:rsidRPr="000A4F4B" w:rsidRDefault="008B2CC1" w:rsidP="008B2CC1">
      <w:pPr>
        <w:rPr>
          <w:lang w:val="fr-FR"/>
        </w:rPr>
      </w:pPr>
    </w:p>
    <w:p w:rsidR="008B2CC1" w:rsidRPr="000A4F4B" w:rsidRDefault="008B2CC1" w:rsidP="008B2CC1">
      <w:pPr>
        <w:rPr>
          <w:lang w:val="fr-FR"/>
        </w:rPr>
      </w:pPr>
    </w:p>
    <w:p w:rsidR="008B2CC1" w:rsidRPr="000A4F4B" w:rsidRDefault="008B2CC1" w:rsidP="008B2CC1">
      <w:pPr>
        <w:rPr>
          <w:lang w:val="fr-FR"/>
        </w:rPr>
      </w:pPr>
    </w:p>
    <w:p w:rsidR="00B611A2" w:rsidRPr="000A4F4B" w:rsidRDefault="00981565" w:rsidP="000B7BA5">
      <w:pPr>
        <w:rPr>
          <w:caps/>
          <w:sz w:val="24"/>
          <w:lang w:val="fr-FR"/>
        </w:rPr>
      </w:pPr>
      <w:bookmarkStart w:id="3" w:name="TitleOfDoc"/>
      <w:bookmarkEnd w:id="3"/>
      <w:r w:rsidRPr="000A4F4B">
        <w:rPr>
          <w:sz w:val="24"/>
          <w:lang w:val="fr-FR"/>
        </w:rPr>
        <w:t>RAPPORT SUR L’ETAT D’AVANCEMENT DE L’ÉTABLISSEMENT DES ANNEXES V ET VI ET DE LA REVISION DE LA NORME ST.96 DE L’OMPI</w:t>
      </w:r>
    </w:p>
    <w:p w:rsidR="00B611A2" w:rsidRPr="000A4F4B" w:rsidRDefault="00B611A2" w:rsidP="000B7BA5">
      <w:pPr>
        <w:rPr>
          <w:lang w:val="fr-FR"/>
        </w:rPr>
      </w:pPr>
    </w:p>
    <w:p w:rsidR="00B611A2" w:rsidRPr="000A4F4B" w:rsidRDefault="00AA3340" w:rsidP="000B7BA5">
      <w:pPr>
        <w:rPr>
          <w:i/>
          <w:lang w:val="fr-FR"/>
        </w:rPr>
      </w:pPr>
      <w:r w:rsidRPr="000A4F4B">
        <w:rPr>
          <w:i/>
          <w:lang w:val="fr-FR"/>
        </w:rPr>
        <w:t xml:space="preserve">Document </w:t>
      </w:r>
      <w:r w:rsidR="00B95183" w:rsidRPr="000A4F4B">
        <w:rPr>
          <w:i/>
          <w:lang w:val="fr-FR"/>
        </w:rPr>
        <w:t xml:space="preserve">établi par le </w:t>
      </w:r>
      <w:r w:rsidR="00B611A2" w:rsidRPr="000A4F4B">
        <w:rPr>
          <w:i/>
          <w:lang w:val="fr-FR"/>
        </w:rPr>
        <w:t>Secr</w:t>
      </w:r>
      <w:r w:rsidR="00B95183" w:rsidRPr="000A4F4B">
        <w:rPr>
          <w:i/>
          <w:lang w:val="fr-FR"/>
        </w:rPr>
        <w:t>é</w:t>
      </w:r>
      <w:r w:rsidR="00B611A2" w:rsidRPr="000A4F4B">
        <w:rPr>
          <w:i/>
          <w:lang w:val="fr-FR"/>
        </w:rPr>
        <w:t>tariat</w:t>
      </w:r>
    </w:p>
    <w:p w:rsidR="00B611A2" w:rsidRPr="000A4F4B" w:rsidRDefault="00B611A2" w:rsidP="000B7BA5">
      <w:pPr>
        <w:rPr>
          <w:lang w:val="fr-FR"/>
        </w:rPr>
      </w:pPr>
    </w:p>
    <w:p w:rsidR="00B611A2" w:rsidRPr="000A4F4B" w:rsidRDefault="00B611A2" w:rsidP="000B7BA5">
      <w:pPr>
        <w:rPr>
          <w:lang w:val="fr-FR"/>
        </w:rPr>
      </w:pPr>
    </w:p>
    <w:p w:rsidR="00AA3340" w:rsidRPr="000A4F4B" w:rsidRDefault="00AA3340" w:rsidP="000B7BA5">
      <w:pPr>
        <w:rPr>
          <w:lang w:val="fr-FR"/>
        </w:rPr>
      </w:pPr>
    </w:p>
    <w:p w:rsidR="00AA3340" w:rsidRDefault="00AA3340" w:rsidP="000B7BA5">
      <w:pPr>
        <w:rPr>
          <w:lang w:val="fr-FR"/>
        </w:rPr>
      </w:pPr>
    </w:p>
    <w:p w:rsidR="00981565" w:rsidRPr="000A4F4B" w:rsidRDefault="00981565" w:rsidP="000B7BA5">
      <w:pPr>
        <w:rPr>
          <w:lang w:val="fr-FR"/>
        </w:rPr>
      </w:pPr>
    </w:p>
    <w:p w:rsidR="00B611A2" w:rsidRPr="005523EF" w:rsidRDefault="0085385D" w:rsidP="005523EF">
      <w:pPr>
        <w:pStyle w:val="Heading2"/>
      </w:pPr>
      <w:r w:rsidRPr="005523EF">
        <w:rPr>
          <w:caps w:val="0"/>
        </w:rPr>
        <w:t>INTRODUCTION</w:t>
      </w:r>
    </w:p>
    <w:p w:rsidR="00B611A2" w:rsidRPr="000A4F4B" w:rsidRDefault="00B95183" w:rsidP="000B7BA5">
      <w:pPr>
        <w:pStyle w:val="ONUMFS"/>
        <w:rPr>
          <w:lang w:val="fr-FR"/>
        </w:rPr>
      </w:pPr>
      <w:r w:rsidRPr="000A4F4B">
        <w:rPr>
          <w:lang w:val="fr-FR"/>
        </w:rPr>
        <w:t>Depuis la présentation du rapport sur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état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avancement des travaux à la quatrième session du Comité des normes de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OMPI (CWS) tenue en mai 2014</w:t>
      </w:r>
      <w:r w:rsidR="00B611A2" w:rsidRPr="000A4F4B">
        <w:rPr>
          <w:lang w:val="fr-FR"/>
        </w:rPr>
        <w:t xml:space="preserve">, </w:t>
      </w:r>
      <w:r w:rsidRPr="000A4F4B">
        <w:rPr>
          <w:lang w:val="fr-FR"/>
        </w:rPr>
        <w:t>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experts chargée de la norme </w:t>
      </w:r>
      <w:r w:rsidR="00B611A2" w:rsidRPr="000A4F4B">
        <w:rPr>
          <w:lang w:val="fr-FR"/>
        </w:rPr>
        <w:t>XML4IP</w:t>
      </w:r>
      <w:r w:rsidRPr="000A4F4B">
        <w:rPr>
          <w:lang w:val="fr-FR"/>
        </w:rPr>
        <w:t xml:space="preserve"> a poursuivi ses délibérations dans le cadre de son forum en ligne,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une conférence en ligne et de réunions physiques, aux fins de la réalisation de la tâche n° 41 :</w:t>
      </w:r>
      <w:r w:rsidR="00B611A2" w:rsidRPr="000A4F4B">
        <w:rPr>
          <w:lang w:val="fr-FR"/>
        </w:rPr>
        <w:t xml:space="preserve"> “</w:t>
      </w:r>
      <w:r w:rsidR="00D0225B" w:rsidRPr="000A4F4B">
        <w:rPr>
          <w:lang w:val="fr-FR"/>
        </w:rPr>
        <w:t>établir</w:t>
      </w:r>
      <w:r w:rsidRPr="000A4F4B">
        <w:rPr>
          <w:lang w:val="fr-FR"/>
        </w:rPr>
        <w:t xml:space="preserve"> une proposition concernant les annexes V et VI de la norme ST.96</w:t>
      </w:r>
      <w:r w:rsidR="00D0225B" w:rsidRPr="000A4F4B">
        <w:rPr>
          <w:lang w:val="fr-FR"/>
        </w:rPr>
        <w:t xml:space="preserve"> aux fins de son adoption par le CWS</w:t>
      </w:r>
      <w:r w:rsidR="00B611A2" w:rsidRPr="000A4F4B">
        <w:rPr>
          <w:lang w:val="fr-FR"/>
        </w:rPr>
        <w:t xml:space="preserve"> </w:t>
      </w:r>
      <w:r w:rsidR="00D0225B" w:rsidRPr="000A4F4B">
        <w:rPr>
          <w:lang w:val="fr-FR"/>
        </w:rPr>
        <w:t>et procéder aux révisions et mises à jour nécessaires de la norme</w:t>
      </w:r>
      <w:r w:rsidR="00970179" w:rsidRPr="000A4F4B">
        <w:rPr>
          <w:lang w:val="fr-FR"/>
        </w:rPr>
        <w:t> </w:t>
      </w:r>
      <w:r w:rsidR="00D0225B" w:rsidRPr="000A4F4B">
        <w:rPr>
          <w:lang w:val="fr-FR"/>
        </w:rPr>
        <w:t>ST.96 de l</w:t>
      </w:r>
      <w:r w:rsidR="00C03618" w:rsidRPr="000A4F4B">
        <w:rPr>
          <w:lang w:val="fr-FR"/>
        </w:rPr>
        <w:t>’</w:t>
      </w:r>
      <w:r w:rsidR="00D0225B" w:rsidRPr="000A4F4B">
        <w:rPr>
          <w:lang w:val="fr-FR"/>
        </w:rPr>
        <w:t>OMPI</w:t>
      </w:r>
      <w:r w:rsidR="00B611A2" w:rsidRPr="000A4F4B">
        <w:rPr>
          <w:lang w:val="fr-FR"/>
        </w:rPr>
        <w:t>”.</w:t>
      </w:r>
    </w:p>
    <w:p w:rsidR="00B611A2" w:rsidRPr="000A4F4B" w:rsidRDefault="00970179" w:rsidP="000B7BA5">
      <w:pPr>
        <w:pStyle w:val="ONUMFS"/>
        <w:rPr>
          <w:lang w:val="fr-FR"/>
        </w:rPr>
      </w:pPr>
      <w:r w:rsidRPr="000A4F4B">
        <w:rPr>
          <w:lang w:val="fr-FR"/>
        </w:rPr>
        <w:t>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experts chargée de la norme XML4IP a établi une proposition concernant les annexes V et VI de la norme ST.96 de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OMPI pour examen et adoption par le CWS à la présente session</w:t>
      </w:r>
      <w:r w:rsidR="00B611A2" w:rsidRPr="000A4F4B">
        <w:rPr>
          <w:lang w:val="fr-FR"/>
        </w:rPr>
        <w:t xml:space="preserve"> (</w:t>
      </w:r>
      <w:r w:rsidRPr="000A4F4B">
        <w:rPr>
          <w:lang w:val="fr-FR"/>
        </w:rPr>
        <w:t>voir le</w:t>
      </w:r>
      <w:r w:rsidR="00B611A2" w:rsidRPr="000A4F4B">
        <w:rPr>
          <w:lang w:val="fr-FR"/>
        </w:rPr>
        <w:t xml:space="preserve"> </w:t>
      </w:r>
      <w:r w:rsidR="00C03618" w:rsidRPr="000A4F4B">
        <w:rPr>
          <w:lang w:val="fr-FR"/>
        </w:rPr>
        <w:t>document CW</w:t>
      </w:r>
      <w:r w:rsidR="00B611A2" w:rsidRPr="000A4F4B">
        <w:rPr>
          <w:lang w:val="fr-FR"/>
        </w:rPr>
        <w:t>S/4BIS/1</w:t>
      </w:r>
      <w:r w:rsidR="00051699" w:rsidRPr="000A4F4B">
        <w:rPr>
          <w:lang w:val="fr-FR"/>
        </w:rPr>
        <w:t>2</w:t>
      </w:r>
      <w:r w:rsidR="00B611A2" w:rsidRPr="000A4F4B">
        <w:rPr>
          <w:lang w:val="fr-FR"/>
        </w:rPr>
        <w:t xml:space="preserve">).  </w:t>
      </w:r>
      <w:r w:rsidRPr="000A4F4B">
        <w:rPr>
          <w:lang w:val="fr-FR"/>
        </w:rPr>
        <w:t>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experts chargée de la norme XML4IP a également révisé la norme</w:t>
      </w:r>
      <w:r w:rsidR="00051699" w:rsidRPr="000A4F4B">
        <w:rPr>
          <w:lang w:val="fr-FR"/>
        </w:rPr>
        <w:t> </w:t>
      </w:r>
      <w:r w:rsidR="00B611A2" w:rsidRPr="000A4F4B">
        <w:rPr>
          <w:lang w:val="fr-FR"/>
        </w:rPr>
        <w:t xml:space="preserve">ST.96 </w:t>
      </w:r>
      <w:r w:rsidRPr="000A4F4B">
        <w:rPr>
          <w:lang w:val="fr-FR"/>
        </w:rPr>
        <w:t>deux fois</w:t>
      </w:r>
      <w:r w:rsidR="00B611A2" w:rsidRPr="000A4F4B">
        <w:rPr>
          <w:lang w:val="fr-FR"/>
        </w:rPr>
        <w:t>,</w:t>
      </w:r>
      <w:r w:rsidRPr="000A4F4B">
        <w:rPr>
          <w:lang w:val="fr-FR"/>
        </w:rPr>
        <w:t xml:space="preserve"> e</w:t>
      </w:r>
      <w:r w:rsidR="00051699" w:rsidRPr="000A4F4B">
        <w:rPr>
          <w:lang w:val="fr-FR"/>
        </w:rPr>
        <w:t xml:space="preserve">n </w:t>
      </w:r>
      <w:r w:rsidRPr="000A4F4B">
        <w:rPr>
          <w:lang w:val="fr-FR"/>
        </w:rPr>
        <w:t>mai et en décembre </w:t>
      </w:r>
      <w:r w:rsidR="00B611A2" w:rsidRPr="000A4F4B">
        <w:rPr>
          <w:lang w:val="fr-FR"/>
        </w:rPr>
        <w:t>2015.</w:t>
      </w:r>
    </w:p>
    <w:p w:rsidR="00B611A2" w:rsidRPr="000A4F4B" w:rsidRDefault="0085385D" w:rsidP="005523EF">
      <w:pPr>
        <w:pStyle w:val="Heading2"/>
      </w:pPr>
      <w:r>
        <w:rPr>
          <w:caps w:val="0"/>
        </w:rPr>
        <w:t>R</w:t>
      </w:r>
      <w:r w:rsidRPr="000A4F4B">
        <w:rPr>
          <w:caps w:val="0"/>
        </w:rPr>
        <w:t>EVISION DE LA NOR</w:t>
      </w:r>
      <w:r>
        <w:rPr>
          <w:caps w:val="0"/>
        </w:rPr>
        <w:t>ME ST</w:t>
      </w:r>
      <w:r w:rsidRPr="000A4F4B">
        <w:rPr>
          <w:caps w:val="0"/>
        </w:rPr>
        <w:t>.96 DE L’</w:t>
      </w:r>
      <w:r>
        <w:rPr>
          <w:caps w:val="0"/>
        </w:rPr>
        <w:t>OMPI</w:t>
      </w:r>
    </w:p>
    <w:p w:rsidR="00B611A2" w:rsidRPr="000A4F4B" w:rsidRDefault="00B611A2" w:rsidP="000B7BA5">
      <w:pPr>
        <w:pStyle w:val="Heading3"/>
        <w:rPr>
          <w:lang w:val="fr-FR"/>
        </w:rPr>
      </w:pPr>
      <w:r w:rsidRPr="000A4F4B">
        <w:rPr>
          <w:lang w:val="fr-FR"/>
        </w:rPr>
        <w:t>Version</w:t>
      </w:r>
      <w:r w:rsidR="00066D93">
        <w:rPr>
          <w:lang w:val="fr-FR"/>
        </w:rPr>
        <w:t> </w:t>
      </w:r>
      <w:r w:rsidRPr="000A4F4B">
        <w:rPr>
          <w:lang w:val="fr-FR"/>
        </w:rPr>
        <w:t>2.0</w:t>
      </w:r>
    </w:p>
    <w:p w:rsidR="00C03618" w:rsidRPr="000A4F4B" w:rsidRDefault="009313E9" w:rsidP="000B7BA5">
      <w:pPr>
        <w:pStyle w:val="ONUMFS"/>
        <w:rPr>
          <w:lang w:val="fr-FR"/>
        </w:rPr>
      </w:pPr>
      <w:r w:rsidRPr="000A4F4B">
        <w:rPr>
          <w:lang w:val="fr-FR"/>
        </w:rPr>
        <w:t>Comme elle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a indiqué au CWS en mai 2014 (voir le</w:t>
      </w:r>
      <w:r w:rsidR="00B611A2" w:rsidRPr="000A4F4B">
        <w:rPr>
          <w:lang w:val="fr-FR"/>
        </w:rPr>
        <w:t xml:space="preserve"> </w:t>
      </w:r>
      <w:r w:rsidR="00C03618" w:rsidRPr="000A4F4B">
        <w:rPr>
          <w:lang w:val="fr-FR"/>
        </w:rPr>
        <w:t>document CW</w:t>
      </w:r>
      <w:r w:rsidR="00B611A2" w:rsidRPr="000A4F4B">
        <w:rPr>
          <w:lang w:val="fr-FR"/>
        </w:rPr>
        <w:t xml:space="preserve">S/4/6), </w:t>
      </w:r>
      <w:r w:rsidRPr="000A4F4B">
        <w:rPr>
          <w:lang w:val="fr-FR"/>
        </w:rPr>
        <w:t>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 xml:space="preserve">experts chargée de la norme XML4IP a travaillé sur la </w:t>
      </w:r>
      <w:r w:rsidR="00B611A2" w:rsidRPr="000A4F4B">
        <w:rPr>
          <w:lang w:val="fr-FR"/>
        </w:rPr>
        <w:t>version</w:t>
      </w:r>
      <w:r w:rsidR="00051699" w:rsidRPr="000A4F4B">
        <w:rPr>
          <w:lang w:val="fr-FR"/>
        </w:rPr>
        <w:t> </w:t>
      </w:r>
      <w:r w:rsidR="00B611A2" w:rsidRPr="000A4F4B">
        <w:rPr>
          <w:lang w:val="fr-FR"/>
        </w:rPr>
        <w:t xml:space="preserve">2.0 </w:t>
      </w:r>
      <w:r w:rsidRPr="000A4F4B">
        <w:rPr>
          <w:lang w:val="fr-FR"/>
        </w:rPr>
        <w:t>de la norme</w:t>
      </w:r>
      <w:r w:rsidR="00051699" w:rsidRPr="000A4F4B">
        <w:rPr>
          <w:lang w:val="fr-FR"/>
        </w:rPr>
        <w:t> </w:t>
      </w:r>
      <w:r w:rsidR="00B611A2" w:rsidRPr="000A4F4B">
        <w:rPr>
          <w:lang w:val="fr-FR"/>
        </w:rPr>
        <w:t xml:space="preserve">ST.96 </w:t>
      </w:r>
      <w:r w:rsidRPr="000A4F4B">
        <w:rPr>
          <w:lang w:val="fr-FR"/>
        </w:rPr>
        <w:t>depuis</w:t>
      </w:r>
      <w:r w:rsidR="00051699" w:rsidRPr="000A4F4B">
        <w:rPr>
          <w:lang w:val="fr-FR"/>
        </w:rPr>
        <w:t> </w:t>
      </w:r>
      <w:r w:rsidR="00B611A2" w:rsidRPr="000A4F4B">
        <w:rPr>
          <w:lang w:val="fr-FR"/>
        </w:rPr>
        <w:t xml:space="preserve">2012 </w:t>
      </w:r>
      <w:r w:rsidRPr="000A4F4B">
        <w:rPr>
          <w:lang w:val="fr-FR"/>
        </w:rPr>
        <w:t>et cette version a été approuvée en mai </w:t>
      </w:r>
      <w:r w:rsidR="00B611A2" w:rsidRPr="000A4F4B">
        <w:rPr>
          <w:lang w:val="fr-FR"/>
        </w:rPr>
        <w:t>2015.</w:t>
      </w:r>
      <w:r w:rsidR="00051699" w:rsidRPr="000A4F4B">
        <w:rPr>
          <w:lang w:val="fr-FR"/>
        </w:rPr>
        <w:t xml:space="preserve"> </w:t>
      </w:r>
      <w:r w:rsidR="00B611A2" w:rsidRPr="000A4F4B">
        <w:rPr>
          <w:lang w:val="fr-FR"/>
        </w:rPr>
        <w:t xml:space="preserve"> </w:t>
      </w:r>
      <w:r w:rsidRPr="000A4F4B">
        <w:rPr>
          <w:lang w:val="fr-FR"/>
        </w:rPr>
        <w:t xml:space="preserve">Dans la </w:t>
      </w:r>
      <w:r w:rsidR="00B611A2" w:rsidRPr="000A4F4B">
        <w:rPr>
          <w:lang w:val="fr-FR"/>
        </w:rPr>
        <w:t>version</w:t>
      </w:r>
      <w:r w:rsidR="00051699" w:rsidRPr="000A4F4B">
        <w:rPr>
          <w:lang w:val="fr-FR"/>
        </w:rPr>
        <w:t> </w:t>
      </w:r>
      <w:r w:rsidR="00B611A2" w:rsidRPr="000A4F4B">
        <w:rPr>
          <w:lang w:val="fr-FR"/>
        </w:rPr>
        <w:t xml:space="preserve">2.0, </w:t>
      </w:r>
      <w:r w:rsidRPr="000A4F4B">
        <w:rPr>
          <w:lang w:val="fr-FR"/>
        </w:rPr>
        <w:t>le corps et quatre annexes de la norme </w:t>
      </w:r>
      <w:r w:rsidR="00B611A2" w:rsidRPr="000A4F4B">
        <w:rPr>
          <w:lang w:val="fr-FR"/>
        </w:rPr>
        <w:t xml:space="preserve">ST.96 </w:t>
      </w:r>
      <w:r w:rsidRPr="000A4F4B">
        <w:rPr>
          <w:lang w:val="fr-FR"/>
        </w:rPr>
        <w:t>ont été révisés</w:t>
      </w:r>
      <w:r w:rsidR="00B611A2" w:rsidRPr="000A4F4B">
        <w:rPr>
          <w:lang w:val="fr-FR"/>
        </w:rPr>
        <w:t>.</w:t>
      </w:r>
    </w:p>
    <w:p w:rsidR="00C03618" w:rsidRPr="000A4F4B" w:rsidRDefault="009313E9" w:rsidP="000B7BA5">
      <w:pPr>
        <w:pStyle w:val="ONUMFS"/>
        <w:rPr>
          <w:lang w:val="fr-FR"/>
        </w:rPr>
      </w:pPr>
      <w:r w:rsidRPr="000A4F4B">
        <w:rPr>
          <w:lang w:val="fr-FR"/>
        </w:rPr>
        <w:lastRenderedPageBreak/>
        <w:t>Des améliorations importantes ont été apportées dans la version 2.0</w:t>
      </w:r>
      <w:r w:rsidR="00B611A2" w:rsidRPr="000A4F4B">
        <w:rPr>
          <w:lang w:val="fr-FR"/>
        </w:rPr>
        <w:t xml:space="preserve">, </w:t>
      </w:r>
      <w:r w:rsidRPr="000A4F4B">
        <w:rPr>
          <w:lang w:val="fr-FR"/>
        </w:rPr>
        <w:t>notamment en ce qui concerne la documentation relative aux schémas </w:t>
      </w:r>
      <w:r w:rsidR="000A4F4B" w:rsidRPr="000A4F4B">
        <w:rPr>
          <w:lang w:val="fr-FR"/>
        </w:rPr>
        <w:t>XML.  Le</w:t>
      </w:r>
      <w:r w:rsidRPr="000A4F4B">
        <w:rPr>
          <w:lang w:val="fr-FR"/>
        </w:rPr>
        <w:t xml:space="preserve">s principales révisions portaient sur les </w:t>
      </w:r>
      <w:r w:rsidR="005C7F2E">
        <w:rPr>
          <w:lang w:val="fr-FR"/>
        </w:rPr>
        <w:t>éléments</w:t>
      </w:r>
      <w:r w:rsidRPr="000A4F4B">
        <w:rPr>
          <w:lang w:val="fr-FR"/>
        </w:rPr>
        <w:t xml:space="preserve"> suivants :</w:t>
      </w:r>
    </w:p>
    <w:p w:rsidR="00B611A2" w:rsidRPr="000A4F4B" w:rsidRDefault="00B611A2" w:rsidP="000B7BA5">
      <w:pPr>
        <w:pStyle w:val="ListParagraph"/>
        <w:numPr>
          <w:ilvl w:val="0"/>
          <w:numId w:val="7"/>
        </w:numPr>
        <w:ind w:left="1134" w:hanging="567"/>
        <w:rPr>
          <w:lang w:val="fr-FR"/>
        </w:rPr>
      </w:pPr>
      <w:r w:rsidRPr="000A4F4B">
        <w:rPr>
          <w:lang w:val="fr-FR"/>
        </w:rPr>
        <w:t xml:space="preserve">image, </w:t>
      </w:r>
      <w:r w:rsidR="009313E9" w:rsidRPr="000A4F4B">
        <w:rPr>
          <w:lang w:val="fr-FR"/>
        </w:rPr>
        <w:t>paiement</w:t>
      </w:r>
      <w:r w:rsidRPr="000A4F4B">
        <w:rPr>
          <w:lang w:val="fr-FR"/>
        </w:rPr>
        <w:t xml:space="preserve">, </w:t>
      </w:r>
      <w:r w:rsidR="009313E9" w:rsidRPr="000A4F4B">
        <w:rPr>
          <w:lang w:val="fr-FR"/>
        </w:rPr>
        <w:t xml:space="preserve">référence paragraphes et figures dans </w:t>
      </w:r>
      <w:r w:rsidR="002D4CD7" w:rsidRPr="000A4F4B">
        <w:rPr>
          <w:lang w:val="fr-FR"/>
        </w:rPr>
        <w:t>le domaine commun</w:t>
      </w:r>
      <w:r w:rsidRPr="000A4F4B">
        <w:rPr>
          <w:lang w:val="fr-FR"/>
        </w:rPr>
        <w:t>;</w:t>
      </w:r>
    </w:p>
    <w:p w:rsidR="00B611A2" w:rsidRPr="000A4F4B" w:rsidRDefault="002D4CD7" w:rsidP="000B7BA5">
      <w:pPr>
        <w:pStyle w:val="ListParagraph"/>
        <w:numPr>
          <w:ilvl w:val="0"/>
          <w:numId w:val="7"/>
        </w:numPr>
        <w:ind w:left="1134" w:hanging="567"/>
        <w:rPr>
          <w:lang w:val="fr-FR"/>
        </w:rPr>
      </w:pPr>
      <w:r w:rsidRPr="000A4F4B">
        <w:rPr>
          <w:lang w:val="fr-FR"/>
        </w:rPr>
        <w:t>classification des brevets, données bibliographiques, publication des brevets et nouvelle publication des brevets dans le domaine des brevets</w:t>
      </w:r>
      <w:r w:rsidR="00B611A2" w:rsidRPr="000A4F4B">
        <w:rPr>
          <w:lang w:val="fr-FR"/>
        </w:rPr>
        <w:t>;</w:t>
      </w:r>
    </w:p>
    <w:p w:rsidR="00C03618" w:rsidRPr="000A4F4B" w:rsidRDefault="002D4CD7" w:rsidP="000B7BA5">
      <w:pPr>
        <w:pStyle w:val="ListParagraph"/>
        <w:numPr>
          <w:ilvl w:val="0"/>
          <w:numId w:val="7"/>
        </w:numPr>
        <w:ind w:left="1134" w:hanging="567"/>
        <w:rPr>
          <w:lang w:val="fr-FR"/>
        </w:rPr>
      </w:pPr>
      <w:r w:rsidRPr="000A4F4B">
        <w:rPr>
          <w:lang w:val="fr-FR"/>
        </w:rPr>
        <w:t>catégorie de marques, marque collective et classification des produits et services dans le domaine des marques</w:t>
      </w:r>
      <w:r w:rsidR="00B611A2" w:rsidRPr="000A4F4B">
        <w:rPr>
          <w:lang w:val="fr-FR"/>
        </w:rPr>
        <w:t xml:space="preserve">; </w:t>
      </w:r>
      <w:r w:rsidR="00BA38FF" w:rsidRPr="000A4F4B">
        <w:rPr>
          <w:lang w:val="fr-FR"/>
        </w:rPr>
        <w:t xml:space="preserve"> </w:t>
      </w:r>
      <w:r w:rsidRPr="000A4F4B">
        <w:rPr>
          <w:lang w:val="fr-FR"/>
        </w:rPr>
        <w:t>et</w:t>
      </w:r>
    </w:p>
    <w:p w:rsidR="00B611A2" w:rsidRPr="000A4F4B" w:rsidRDefault="002D4CD7" w:rsidP="000B7BA5">
      <w:pPr>
        <w:pStyle w:val="ListParagraph"/>
        <w:numPr>
          <w:ilvl w:val="0"/>
          <w:numId w:val="7"/>
        </w:numPr>
        <w:ind w:left="1134" w:hanging="567"/>
        <w:rPr>
          <w:lang w:val="fr-FR"/>
        </w:rPr>
      </w:pPr>
      <w:r w:rsidRPr="000A4F4B">
        <w:rPr>
          <w:lang w:val="fr-FR"/>
        </w:rPr>
        <w:t>classification de Locarno, catégorie angles de vue dans le domaine des dessins et modèles</w:t>
      </w:r>
      <w:r w:rsidR="00B611A2" w:rsidRPr="000A4F4B">
        <w:rPr>
          <w:lang w:val="fr-FR"/>
        </w:rPr>
        <w:t>.</w:t>
      </w:r>
    </w:p>
    <w:p w:rsidR="00B611A2" w:rsidRPr="000A4F4B" w:rsidRDefault="00B611A2" w:rsidP="000B7BA5">
      <w:pPr>
        <w:rPr>
          <w:lang w:val="fr-FR"/>
        </w:rPr>
      </w:pPr>
    </w:p>
    <w:p w:rsidR="00B611A2" w:rsidRPr="000A4F4B" w:rsidRDefault="002D4CD7" w:rsidP="000B7BA5">
      <w:pPr>
        <w:pStyle w:val="ONUMFS"/>
        <w:rPr>
          <w:lang w:val="fr-FR"/>
        </w:rPr>
      </w:pPr>
      <w:r w:rsidRPr="000A4F4B">
        <w:rPr>
          <w:lang w:val="fr-FR"/>
        </w:rPr>
        <w:t>La v</w:t>
      </w:r>
      <w:r w:rsidR="00270186" w:rsidRPr="000A4F4B">
        <w:rPr>
          <w:lang w:val="fr-FR"/>
        </w:rPr>
        <w:t>ersion </w:t>
      </w:r>
      <w:r w:rsidR="00B611A2" w:rsidRPr="000A4F4B">
        <w:rPr>
          <w:lang w:val="fr-FR"/>
        </w:rPr>
        <w:t xml:space="preserve">2.0 </w:t>
      </w:r>
      <w:r w:rsidR="005245CD" w:rsidRPr="000A4F4B">
        <w:rPr>
          <w:lang w:val="fr-FR"/>
        </w:rPr>
        <w:t xml:space="preserve">est </w:t>
      </w:r>
      <w:r w:rsidR="005C7F2E">
        <w:rPr>
          <w:lang w:val="fr-FR"/>
        </w:rPr>
        <w:t>publiée</w:t>
      </w:r>
      <w:r w:rsidR="005245CD" w:rsidRPr="000A4F4B">
        <w:rPr>
          <w:lang w:val="fr-FR"/>
        </w:rPr>
        <w:t xml:space="preserve"> sur le site Web de l</w:t>
      </w:r>
      <w:r w:rsidR="00C03618" w:rsidRPr="000A4F4B">
        <w:rPr>
          <w:lang w:val="fr-FR"/>
        </w:rPr>
        <w:t>’</w:t>
      </w:r>
      <w:r w:rsidR="005245CD" w:rsidRPr="000A4F4B">
        <w:rPr>
          <w:lang w:val="fr-FR"/>
        </w:rPr>
        <w:t>OMPI à l</w:t>
      </w:r>
      <w:r w:rsidR="00C03618" w:rsidRPr="000A4F4B">
        <w:rPr>
          <w:lang w:val="fr-FR"/>
        </w:rPr>
        <w:t>’</w:t>
      </w:r>
      <w:r w:rsidR="005245CD" w:rsidRPr="000A4F4B">
        <w:rPr>
          <w:lang w:val="fr-FR"/>
        </w:rPr>
        <w:t>adresse</w:t>
      </w:r>
      <w:r w:rsidR="00B611A2" w:rsidRPr="000A4F4B">
        <w:rPr>
          <w:lang w:val="fr-FR"/>
        </w:rPr>
        <w:t xml:space="preserve"> </w:t>
      </w:r>
      <w:hyperlink r:id="rId10" w:history="1">
        <w:r w:rsidR="005245CD" w:rsidRPr="000A4F4B">
          <w:rPr>
            <w:rStyle w:val="Hyperlink"/>
            <w:lang w:val="fr-FR"/>
          </w:rPr>
          <w:t>http://www.wipo.int/standards/fr/s</w:t>
        </w:r>
        <w:r w:rsidR="005245CD" w:rsidRPr="000A4F4B">
          <w:rPr>
            <w:rStyle w:val="Hyperlink"/>
            <w:lang w:val="fr-FR"/>
          </w:rPr>
          <w:t>t</w:t>
        </w:r>
        <w:r w:rsidR="005245CD" w:rsidRPr="000A4F4B">
          <w:rPr>
            <w:rStyle w:val="Hyperlink"/>
            <w:lang w:val="fr-FR"/>
          </w:rPr>
          <w:t>96/v2</w:t>
        </w:r>
        <w:r w:rsidR="000A4F4B" w:rsidRPr="000A4F4B">
          <w:rPr>
            <w:rStyle w:val="Hyperlink"/>
            <w:lang w:val="fr-FR"/>
          </w:rPr>
          <w:noBreakHyphen/>
        </w:r>
        <w:r w:rsidR="005245CD" w:rsidRPr="000A4F4B">
          <w:rPr>
            <w:rStyle w:val="Hyperlink"/>
            <w:lang w:val="fr-FR"/>
          </w:rPr>
          <w:t>0/</w:t>
        </w:r>
      </w:hyperlink>
      <w:r w:rsidR="00B611A2" w:rsidRPr="000A4F4B">
        <w:rPr>
          <w:lang w:val="fr-FR"/>
        </w:rPr>
        <w:t>.</w:t>
      </w:r>
    </w:p>
    <w:p w:rsidR="00B611A2" w:rsidRPr="000A4F4B" w:rsidRDefault="00B611A2" w:rsidP="000B7BA5">
      <w:pPr>
        <w:pStyle w:val="Heading3"/>
        <w:rPr>
          <w:lang w:val="fr-FR"/>
        </w:rPr>
      </w:pPr>
      <w:r w:rsidRPr="000A4F4B">
        <w:rPr>
          <w:lang w:val="fr-FR"/>
        </w:rPr>
        <w:t>Version</w:t>
      </w:r>
      <w:r w:rsidR="00066D93">
        <w:rPr>
          <w:lang w:val="fr-FR"/>
        </w:rPr>
        <w:t> </w:t>
      </w:r>
      <w:r w:rsidRPr="000A4F4B">
        <w:rPr>
          <w:lang w:val="fr-FR"/>
        </w:rPr>
        <w:t>2.1</w:t>
      </w:r>
    </w:p>
    <w:p w:rsidR="00C03618" w:rsidRPr="000A4F4B" w:rsidRDefault="005245CD" w:rsidP="000B7BA5">
      <w:pPr>
        <w:pStyle w:val="ONUMFS"/>
        <w:rPr>
          <w:lang w:val="fr-FR"/>
        </w:rPr>
      </w:pPr>
      <w:r w:rsidRPr="000A4F4B">
        <w:rPr>
          <w:lang w:val="fr-FR"/>
        </w:rPr>
        <w:t>La v</w:t>
      </w:r>
      <w:r w:rsidR="00B611A2" w:rsidRPr="000A4F4B">
        <w:rPr>
          <w:lang w:val="fr-FR"/>
        </w:rPr>
        <w:t>ersion</w:t>
      </w:r>
      <w:r w:rsidR="00270186" w:rsidRPr="000A4F4B">
        <w:rPr>
          <w:lang w:val="fr-FR"/>
        </w:rPr>
        <w:t> </w:t>
      </w:r>
      <w:r w:rsidR="00B611A2" w:rsidRPr="000A4F4B">
        <w:rPr>
          <w:lang w:val="fr-FR"/>
        </w:rPr>
        <w:t xml:space="preserve">2.1 </w:t>
      </w:r>
      <w:r w:rsidRPr="000A4F4B">
        <w:rPr>
          <w:lang w:val="fr-FR"/>
        </w:rPr>
        <w:t xml:space="preserve">a été publiée pour corriger des erreurs mineures et ajouter </w:t>
      </w:r>
      <w:r w:rsidR="00A81DA8" w:rsidRPr="000A4F4B">
        <w:rPr>
          <w:lang w:val="fr-FR"/>
        </w:rPr>
        <w:t>de nouve</w:t>
      </w:r>
      <w:r w:rsidR="00CB4991" w:rsidRPr="000A4F4B">
        <w:rPr>
          <w:lang w:val="fr-FR"/>
        </w:rPr>
        <w:t>lles</w:t>
      </w:r>
      <w:r w:rsidR="00A81DA8" w:rsidRPr="000A4F4B">
        <w:rPr>
          <w:lang w:val="fr-FR"/>
        </w:rPr>
        <w:t xml:space="preserve"> </w:t>
      </w:r>
      <w:r w:rsidR="00CB4991" w:rsidRPr="000A4F4B">
        <w:rPr>
          <w:lang w:val="fr-FR"/>
        </w:rPr>
        <w:t>composantes</w:t>
      </w:r>
      <w:r w:rsidR="00A81DA8" w:rsidRPr="000A4F4B">
        <w:rPr>
          <w:lang w:val="fr-FR"/>
        </w:rPr>
        <w:t xml:space="preserve"> </w:t>
      </w:r>
      <w:r w:rsidRPr="000A4F4B">
        <w:rPr>
          <w:lang w:val="fr-FR"/>
        </w:rPr>
        <w:t>au schéma XML de la norme </w:t>
      </w:r>
      <w:r w:rsidR="00B611A2" w:rsidRPr="000A4F4B">
        <w:rPr>
          <w:lang w:val="fr-FR"/>
        </w:rPr>
        <w:t>ST.96 (</w:t>
      </w:r>
      <w:r w:rsidRPr="000A4F4B">
        <w:rPr>
          <w:lang w:val="fr-FR"/>
        </w:rPr>
        <w:t>a</w:t>
      </w:r>
      <w:r w:rsidR="00B611A2" w:rsidRPr="000A4F4B">
        <w:rPr>
          <w:lang w:val="fr-FR"/>
        </w:rPr>
        <w:t>nnex</w:t>
      </w:r>
      <w:r w:rsidRPr="000A4F4B">
        <w:rPr>
          <w:lang w:val="fr-FR"/>
        </w:rPr>
        <w:t>e</w:t>
      </w:r>
      <w:r w:rsidR="00270186" w:rsidRPr="000A4F4B">
        <w:rPr>
          <w:lang w:val="fr-FR"/>
        </w:rPr>
        <w:t> </w:t>
      </w:r>
      <w:r w:rsidR="00B611A2" w:rsidRPr="000A4F4B">
        <w:rPr>
          <w:lang w:val="fr-FR"/>
        </w:rPr>
        <w:t xml:space="preserve">III), </w:t>
      </w:r>
      <w:r w:rsidRPr="000A4F4B">
        <w:rPr>
          <w:lang w:val="fr-FR"/>
        </w:rPr>
        <w:t>mais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 xml:space="preserve">autres parties de la norme ST.96, </w:t>
      </w:r>
      <w:r w:rsidR="00C03618" w:rsidRPr="000A4F4B">
        <w:rPr>
          <w:lang w:val="fr-FR"/>
        </w:rPr>
        <w:t>y compris</w:t>
      </w:r>
      <w:r w:rsidRPr="000A4F4B">
        <w:rPr>
          <w:lang w:val="fr-FR"/>
        </w:rPr>
        <w:t xml:space="preserve"> le corps de la norme, ont </w:t>
      </w:r>
      <w:r w:rsidR="005C7F2E">
        <w:rPr>
          <w:lang w:val="fr-FR"/>
        </w:rPr>
        <w:t xml:space="preserve">également </w:t>
      </w:r>
      <w:r w:rsidRPr="000A4F4B">
        <w:rPr>
          <w:lang w:val="fr-FR"/>
        </w:rPr>
        <w:t>été actualisées de sorte qu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 xml:space="preserve">elles soient en phase </w:t>
      </w:r>
      <w:r w:rsidR="005C7F2E">
        <w:rPr>
          <w:lang w:val="fr-FR"/>
        </w:rPr>
        <w:t xml:space="preserve">les unes </w:t>
      </w:r>
      <w:r w:rsidRPr="000A4F4B">
        <w:rPr>
          <w:lang w:val="fr-FR"/>
        </w:rPr>
        <w:t xml:space="preserve">avec </w:t>
      </w:r>
      <w:r w:rsidR="005C7F2E">
        <w:rPr>
          <w:lang w:val="fr-FR"/>
        </w:rPr>
        <w:t xml:space="preserve">les autres dans </w:t>
      </w:r>
      <w:r w:rsidRPr="000A4F4B">
        <w:rPr>
          <w:lang w:val="fr-FR"/>
        </w:rPr>
        <w:t>la version 2.1</w:t>
      </w:r>
      <w:r w:rsidR="00B611A2" w:rsidRPr="000A4F4B">
        <w:rPr>
          <w:lang w:val="fr-FR"/>
        </w:rPr>
        <w:t xml:space="preserve">. </w:t>
      </w:r>
      <w:r w:rsidR="00BA38FF" w:rsidRPr="000A4F4B">
        <w:rPr>
          <w:lang w:val="fr-FR"/>
        </w:rPr>
        <w:t xml:space="preserve"> </w:t>
      </w:r>
      <w:r w:rsidRPr="000A4F4B">
        <w:rPr>
          <w:lang w:val="fr-FR"/>
        </w:rPr>
        <w:t xml:space="preserve">Les principales modifications apportées dans la version 2.1 portaient sur les </w:t>
      </w:r>
      <w:r w:rsidR="005C7F2E">
        <w:rPr>
          <w:lang w:val="fr-FR"/>
        </w:rPr>
        <w:t>élément</w:t>
      </w:r>
      <w:r w:rsidR="00CB4991" w:rsidRPr="000A4F4B">
        <w:rPr>
          <w:lang w:val="fr-FR"/>
        </w:rPr>
        <w:t>s</w:t>
      </w:r>
      <w:r w:rsidRPr="000A4F4B">
        <w:rPr>
          <w:lang w:val="fr-FR"/>
        </w:rPr>
        <w:t xml:space="preserve"> suivants :</w:t>
      </w:r>
    </w:p>
    <w:p w:rsidR="00B611A2" w:rsidRPr="000A4F4B" w:rsidRDefault="00A25287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 xml:space="preserve">actualisation </w:t>
      </w:r>
      <w:r w:rsidR="00A81DA8" w:rsidRPr="000A4F4B">
        <w:rPr>
          <w:szCs w:val="22"/>
          <w:lang w:val="fr-FR"/>
        </w:rPr>
        <w:t>de certain</w:t>
      </w:r>
      <w:r w:rsidR="00CB4991" w:rsidRPr="000A4F4B">
        <w:rPr>
          <w:szCs w:val="22"/>
          <w:lang w:val="fr-FR"/>
        </w:rPr>
        <w:t>e</w:t>
      </w:r>
      <w:r w:rsidR="00A81DA8" w:rsidRPr="000A4F4B">
        <w:rPr>
          <w:szCs w:val="22"/>
          <w:lang w:val="fr-FR"/>
        </w:rPr>
        <w:t xml:space="preserve">s </w:t>
      </w:r>
      <w:r w:rsidR="00CB4991" w:rsidRPr="000A4F4B">
        <w:rPr>
          <w:szCs w:val="22"/>
          <w:lang w:val="fr-FR"/>
        </w:rPr>
        <w:t>composantes</w:t>
      </w:r>
      <w:r w:rsidR="00A81DA8" w:rsidRPr="000A4F4B">
        <w:rPr>
          <w:szCs w:val="22"/>
          <w:lang w:val="fr-FR"/>
        </w:rPr>
        <w:t xml:space="preserve"> </w:t>
      </w:r>
      <w:r w:rsidR="005C7F2E">
        <w:rPr>
          <w:szCs w:val="22"/>
          <w:lang w:val="fr-FR"/>
        </w:rPr>
        <w:t xml:space="preserve">relatives aux </w:t>
      </w:r>
      <w:r w:rsidRPr="000A4F4B">
        <w:rPr>
          <w:szCs w:val="22"/>
          <w:lang w:val="fr-FR"/>
        </w:rPr>
        <w:t>paragraphes, p.</w:t>
      </w:r>
      <w:r w:rsidR="003E691D" w:rsidRPr="000A4F4B">
        <w:rPr>
          <w:szCs w:val="22"/>
          <w:lang w:val="fr-FR"/>
        </w:rPr>
        <w:t> </w:t>
      </w:r>
      <w:r w:rsidRPr="000A4F4B">
        <w:rPr>
          <w:szCs w:val="22"/>
          <w:lang w:val="fr-FR"/>
        </w:rPr>
        <w:t>ex</w:t>
      </w:r>
      <w:r w:rsidR="00B611A2" w:rsidRPr="000A4F4B">
        <w:rPr>
          <w:szCs w:val="22"/>
          <w:lang w:val="fr-FR"/>
        </w:rPr>
        <w:t xml:space="preserve"> </w:t>
      </w:r>
      <w:proofErr w:type="spellStart"/>
      <w:r w:rsidR="00B611A2" w:rsidRPr="000A4F4B">
        <w:rPr>
          <w:szCs w:val="22"/>
          <w:lang w:val="fr-FR"/>
        </w:rPr>
        <w:t>com:SmallCapital</w:t>
      </w:r>
      <w:proofErr w:type="spellEnd"/>
      <w:r w:rsidR="00B611A2" w:rsidRPr="000A4F4B">
        <w:rPr>
          <w:szCs w:val="22"/>
          <w:lang w:val="fr-FR"/>
        </w:rPr>
        <w:t xml:space="preserve">, </w:t>
      </w:r>
      <w:proofErr w:type="spellStart"/>
      <w:r w:rsidR="00B611A2" w:rsidRPr="000A4F4B">
        <w:rPr>
          <w:szCs w:val="22"/>
          <w:lang w:val="fr-FR"/>
        </w:rPr>
        <w:t>com:Sub</w:t>
      </w:r>
      <w:proofErr w:type="spellEnd"/>
      <w:r w:rsidR="00B611A2" w:rsidRPr="000A4F4B">
        <w:rPr>
          <w:szCs w:val="22"/>
          <w:lang w:val="fr-FR"/>
        </w:rPr>
        <w:t xml:space="preserve"> </w:t>
      </w:r>
      <w:r w:rsidRPr="000A4F4B">
        <w:rPr>
          <w:szCs w:val="22"/>
          <w:lang w:val="fr-FR"/>
        </w:rPr>
        <w:t>et</w:t>
      </w:r>
      <w:r w:rsidR="00B611A2" w:rsidRPr="000A4F4B">
        <w:rPr>
          <w:szCs w:val="22"/>
          <w:lang w:val="fr-FR"/>
        </w:rPr>
        <w:t xml:space="preserve"> </w:t>
      </w:r>
      <w:proofErr w:type="spellStart"/>
      <w:r w:rsidR="00B611A2" w:rsidRPr="000A4F4B">
        <w:rPr>
          <w:szCs w:val="22"/>
          <w:lang w:val="fr-FR"/>
        </w:rPr>
        <w:t>com:Sup</w:t>
      </w:r>
      <w:proofErr w:type="spellEnd"/>
      <w:r w:rsidR="00B611A2" w:rsidRPr="000A4F4B">
        <w:rPr>
          <w:szCs w:val="22"/>
          <w:lang w:val="fr-FR"/>
        </w:rPr>
        <w:t>;</w:t>
      </w:r>
    </w:p>
    <w:p w:rsidR="00B611A2" w:rsidRPr="000A4F4B" w:rsidRDefault="00A25287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ajout d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une nouvelle valeur d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énumération</w:t>
      </w:r>
      <w:r w:rsidR="00B611A2" w:rsidRPr="000A4F4B">
        <w:rPr>
          <w:szCs w:val="22"/>
          <w:lang w:val="fr-FR"/>
        </w:rPr>
        <w:t xml:space="preserve"> “Pt” (Points) </w:t>
      </w:r>
      <w:r w:rsidRPr="000A4F4B">
        <w:rPr>
          <w:szCs w:val="22"/>
          <w:lang w:val="fr-FR"/>
        </w:rPr>
        <w:t>à</w:t>
      </w:r>
      <w:r w:rsidR="00B611A2" w:rsidRPr="000A4F4B">
        <w:rPr>
          <w:szCs w:val="22"/>
          <w:lang w:val="fr-FR"/>
        </w:rPr>
        <w:t xml:space="preserve"> </w:t>
      </w:r>
      <w:proofErr w:type="spellStart"/>
      <w:r w:rsidR="00B611A2" w:rsidRPr="000A4F4B">
        <w:rPr>
          <w:szCs w:val="22"/>
          <w:lang w:val="fr-FR"/>
        </w:rPr>
        <w:t>com:MeasureUnitCodeType</w:t>
      </w:r>
      <w:proofErr w:type="spellEnd"/>
      <w:r w:rsidR="00B611A2" w:rsidRPr="000A4F4B">
        <w:rPr>
          <w:szCs w:val="22"/>
          <w:lang w:val="fr-FR"/>
        </w:rPr>
        <w:t>;</w:t>
      </w:r>
    </w:p>
    <w:p w:rsidR="00B611A2" w:rsidRPr="000A4F4B" w:rsidRDefault="00A25287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ajout de</w:t>
      </w:r>
      <w:r w:rsidR="00B611A2" w:rsidRPr="000A4F4B">
        <w:rPr>
          <w:szCs w:val="22"/>
          <w:lang w:val="fr-FR"/>
        </w:rPr>
        <w:t xml:space="preserve"> </w:t>
      </w:r>
      <w:proofErr w:type="spellStart"/>
      <w:r w:rsidR="00B611A2" w:rsidRPr="000A4F4B">
        <w:rPr>
          <w:szCs w:val="22"/>
          <w:lang w:val="fr-FR"/>
        </w:rPr>
        <w:t>com:PublicationContact</w:t>
      </w:r>
      <w:proofErr w:type="spellEnd"/>
      <w:r w:rsidR="00B611A2" w:rsidRPr="000A4F4B">
        <w:rPr>
          <w:szCs w:val="22"/>
          <w:lang w:val="fr-FR"/>
        </w:rPr>
        <w:t xml:space="preserve"> </w:t>
      </w:r>
      <w:r w:rsidR="00A81DA8" w:rsidRPr="000A4F4B">
        <w:rPr>
          <w:szCs w:val="22"/>
          <w:lang w:val="fr-FR"/>
        </w:rPr>
        <w:t>à certain</w:t>
      </w:r>
      <w:r w:rsidR="00CB4991" w:rsidRPr="000A4F4B">
        <w:rPr>
          <w:szCs w:val="22"/>
          <w:lang w:val="fr-FR"/>
        </w:rPr>
        <w:t>e</w:t>
      </w:r>
      <w:r w:rsidRPr="000A4F4B">
        <w:rPr>
          <w:szCs w:val="22"/>
          <w:lang w:val="fr-FR"/>
        </w:rPr>
        <w:t xml:space="preserve">s </w:t>
      </w:r>
      <w:r w:rsidR="00CB4991" w:rsidRPr="000A4F4B">
        <w:rPr>
          <w:szCs w:val="22"/>
          <w:lang w:val="fr-FR"/>
        </w:rPr>
        <w:t>composantes</w:t>
      </w:r>
      <w:r w:rsidRPr="000A4F4B">
        <w:rPr>
          <w:szCs w:val="22"/>
          <w:lang w:val="fr-FR"/>
        </w:rPr>
        <w:t xml:space="preserve"> </w:t>
      </w:r>
      <w:r w:rsidR="005C7F2E">
        <w:rPr>
          <w:szCs w:val="22"/>
          <w:lang w:val="fr-FR"/>
        </w:rPr>
        <w:t xml:space="preserve">relatives aux </w:t>
      </w:r>
      <w:r w:rsidRPr="000A4F4B">
        <w:rPr>
          <w:szCs w:val="22"/>
          <w:lang w:val="fr-FR"/>
        </w:rPr>
        <w:t>marques</w:t>
      </w:r>
      <w:r w:rsidR="00B611A2" w:rsidRPr="000A4F4B">
        <w:rPr>
          <w:szCs w:val="22"/>
          <w:lang w:val="fr-FR"/>
        </w:rPr>
        <w:t xml:space="preserve">, </w:t>
      </w:r>
      <w:r w:rsidRPr="000A4F4B">
        <w:rPr>
          <w:szCs w:val="22"/>
          <w:lang w:val="fr-FR"/>
        </w:rPr>
        <w:t>p.</w:t>
      </w:r>
      <w:r w:rsidR="003E691D" w:rsidRPr="000A4F4B">
        <w:rPr>
          <w:szCs w:val="22"/>
          <w:lang w:val="fr-FR"/>
        </w:rPr>
        <w:t> </w:t>
      </w:r>
      <w:r w:rsidRPr="000A4F4B">
        <w:rPr>
          <w:szCs w:val="22"/>
          <w:lang w:val="fr-FR"/>
        </w:rPr>
        <w:t>ex</w:t>
      </w:r>
      <w:r w:rsidR="00B611A2" w:rsidRPr="000A4F4B">
        <w:rPr>
          <w:szCs w:val="22"/>
          <w:lang w:val="fr-FR"/>
        </w:rPr>
        <w:t xml:space="preserve"> </w:t>
      </w:r>
      <w:proofErr w:type="spellStart"/>
      <w:r w:rsidR="00B611A2" w:rsidRPr="000A4F4B">
        <w:rPr>
          <w:szCs w:val="22"/>
          <w:lang w:val="fr-FR"/>
        </w:rPr>
        <w:t>tmk:ApplicantType</w:t>
      </w:r>
      <w:proofErr w:type="spellEnd"/>
      <w:r w:rsidR="00B611A2" w:rsidRPr="000A4F4B">
        <w:rPr>
          <w:szCs w:val="22"/>
          <w:lang w:val="fr-FR"/>
        </w:rPr>
        <w:t xml:space="preserve">; </w:t>
      </w:r>
      <w:r w:rsidR="00270186" w:rsidRPr="000A4F4B">
        <w:rPr>
          <w:szCs w:val="22"/>
          <w:lang w:val="fr-FR"/>
        </w:rPr>
        <w:t xml:space="preserve"> </w:t>
      </w:r>
      <w:r w:rsidRPr="000A4F4B">
        <w:rPr>
          <w:szCs w:val="22"/>
          <w:lang w:val="fr-FR"/>
        </w:rPr>
        <w:t>et</w:t>
      </w:r>
    </w:p>
    <w:p w:rsidR="00B611A2" w:rsidRPr="000A4F4B" w:rsidRDefault="00A25287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ajout d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une nouvelle valeur d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énumération</w:t>
      </w:r>
      <w:r w:rsidR="00B611A2" w:rsidRPr="000A4F4B">
        <w:rPr>
          <w:szCs w:val="22"/>
          <w:lang w:val="fr-FR"/>
        </w:rPr>
        <w:t xml:space="preserve"> “Breeder” </w:t>
      </w:r>
      <w:proofErr w:type="gramStart"/>
      <w:r w:rsidRPr="000A4F4B">
        <w:rPr>
          <w:szCs w:val="22"/>
          <w:lang w:val="fr-FR"/>
        </w:rPr>
        <w:t xml:space="preserve">à </w:t>
      </w:r>
      <w:r w:rsidR="00CB4991" w:rsidRPr="000A4F4B">
        <w:rPr>
          <w:szCs w:val="22"/>
          <w:lang w:val="fr-FR"/>
        </w:rPr>
        <w:t>la composante</w:t>
      </w:r>
      <w:proofErr w:type="gramEnd"/>
      <w:r w:rsidRPr="000A4F4B">
        <w:rPr>
          <w:szCs w:val="22"/>
          <w:lang w:val="fr-FR"/>
        </w:rPr>
        <w:t xml:space="preserve"> </w:t>
      </w:r>
      <w:proofErr w:type="spellStart"/>
      <w:r w:rsidR="00B611A2" w:rsidRPr="000A4F4B">
        <w:rPr>
          <w:szCs w:val="22"/>
          <w:lang w:val="fr-FR"/>
        </w:rPr>
        <w:t>com:RoleCategoryType</w:t>
      </w:r>
      <w:proofErr w:type="spellEnd"/>
      <w:r w:rsidR="00B611A2" w:rsidRPr="000A4F4B">
        <w:rPr>
          <w:szCs w:val="22"/>
          <w:lang w:val="fr-FR"/>
        </w:rPr>
        <w:t>.</w:t>
      </w:r>
    </w:p>
    <w:p w:rsidR="00B611A2" w:rsidRPr="000A4F4B" w:rsidRDefault="00A25287" w:rsidP="000B7BA5">
      <w:pPr>
        <w:pStyle w:val="ONUMFS"/>
        <w:rPr>
          <w:lang w:val="fr-FR"/>
        </w:rPr>
      </w:pPr>
      <w:r w:rsidRPr="000A4F4B">
        <w:rPr>
          <w:rStyle w:val="ONUMEChar"/>
          <w:lang w:val="fr-FR"/>
        </w:rPr>
        <w:t>La version </w:t>
      </w:r>
      <w:r w:rsidR="00B611A2" w:rsidRPr="000A4F4B">
        <w:rPr>
          <w:rStyle w:val="ONUMEChar"/>
          <w:lang w:val="fr-FR"/>
        </w:rPr>
        <w:t xml:space="preserve">2.1 </w:t>
      </w:r>
      <w:r w:rsidRPr="000A4F4B">
        <w:rPr>
          <w:rStyle w:val="ONUMEChar"/>
          <w:lang w:val="fr-FR"/>
        </w:rPr>
        <w:t>est la version la plus récente au moment de l</w:t>
      </w:r>
      <w:r w:rsidR="00C03618" w:rsidRPr="000A4F4B">
        <w:rPr>
          <w:rStyle w:val="ONUMEChar"/>
          <w:lang w:val="fr-FR"/>
        </w:rPr>
        <w:t>’</w:t>
      </w:r>
      <w:r w:rsidRPr="000A4F4B">
        <w:rPr>
          <w:rStyle w:val="ONUMEChar"/>
          <w:lang w:val="fr-FR"/>
        </w:rPr>
        <w:t xml:space="preserve">établissement du présent document et est </w:t>
      </w:r>
      <w:r w:rsidR="005C7F2E">
        <w:rPr>
          <w:rStyle w:val="ONUMEChar"/>
          <w:lang w:val="fr-FR"/>
        </w:rPr>
        <w:t>publiée</w:t>
      </w:r>
      <w:r w:rsidRPr="000A4F4B">
        <w:rPr>
          <w:rStyle w:val="ONUMEChar"/>
          <w:lang w:val="fr-FR"/>
        </w:rPr>
        <w:t xml:space="preserve"> sur le site Web de l</w:t>
      </w:r>
      <w:r w:rsidR="00C03618" w:rsidRPr="000A4F4B">
        <w:rPr>
          <w:rStyle w:val="ONUMEChar"/>
          <w:lang w:val="fr-FR"/>
        </w:rPr>
        <w:t>’</w:t>
      </w:r>
      <w:r w:rsidRPr="000A4F4B">
        <w:rPr>
          <w:rStyle w:val="ONUMEChar"/>
          <w:lang w:val="fr-FR"/>
        </w:rPr>
        <w:t>OMPI à l</w:t>
      </w:r>
      <w:r w:rsidR="00C03618" w:rsidRPr="000A4F4B">
        <w:rPr>
          <w:rStyle w:val="ONUMEChar"/>
          <w:lang w:val="fr-FR"/>
        </w:rPr>
        <w:t>’</w:t>
      </w:r>
      <w:r w:rsidRPr="000A4F4B">
        <w:rPr>
          <w:rStyle w:val="ONUMEChar"/>
          <w:lang w:val="fr-FR"/>
        </w:rPr>
        <w:t>adresse</w:t>
      </w:r>
      <w:r w:rsidR="00B611A2" w:rsidRPr="000A4F4B">
        <w:rPr>
          <w:lang w:val="fr-FR"/>
        </w:rPr>
        <w:t xml:space="preserve"> </w:t>
      </w:r>
      <w:hyperlink r:id="rId11" w:history="1">
        <w:r w:rsidRPr="000A4F4B">
          <w:rPr>
            <w:rStyle w:val="Hyperlink"/>
            <w:lang w:val="fr-FR"/>
          </w:rPr>
          <w:t>http://www.wipo.int/standards/fr/p</w:t>
        </w:r>
        <w:r w:rsidRPr="000A4F4B">
          <w:rPr>
            <w:rStyle w:val="Hyperlink"/>
            <w:lang w:val="fr-FR"/>
          </w:rPr>
          <w:t>a</w:t>
        </w:r>
        <w:r w:rsidRPr="000A4F4B">
          <w:rPr>
            <w:rStyle w:val="Hyperlink"/>
            <w:lang w:val="fr-FR"/>
          </w:rPr>
          <w:t>rt_03_standards.html</w:t>
        </w:r>
      </w:hyperlink>
      <w:r w:rsidR="00B611A2" w:rsidRPr="000A4F4B">
        <w:rPr>
          <w:lang w:val="fr-FR"/>
        </w:rPr>
        <w:t>.</w:t>
      </w:r>
    </w:p>
    <w:p w:rsidR="00B611A2" w:rsidRPr="000A4F4B" w:rsidRDefault="0085385D" w:rsidP="005523EF">
      <w:pPr>
        <w:pStyle w:val="Heading2"/>
      </w:pPr>
      <w:r>
        <w:rPr>
          <w:caps w:val="0"/>
        </w:rPr>
        <w:t>A</w:t>
      </w:r>
      <w:r w:rsidRPr="000A4F4B">
        <w:rPr>
          <w:caps w:val="0"/>
        </w:rPr>
        <w:t>UTRES ACTIVITES DE L’EQUIPE D’EXPERTS CHARGEE DE LA NORME </w:t>
      </w:r>
      <w:r>
        <w:rPr>
          <w:caps w:val="0"/>
        </w:rPr>
        <w:t>XML</w:t>
      </w:r>
      <w:r w:rsidRPr="000A4F4B">
        <w:rPr>
          <w:caps w:val="0"/>
        </w:rPr>
        <w:t>4</w:t>
      </w:r>
      <w:r>
        <w:rPr>
          <w:caps w:val="0"/>
        </w:rPr>
        <w:t>IP</w:t>
      </w:r>
    </w:p>
    <w:p w:rsidR="00B611A2" w:rsidRPr="000A4F4B" w:rsidRDefault="00A25287" w:rsidP="000B7BA5">
      <w:pPr>
        <w:pStyle w:val="ONUMFS"/>
        <w:rPr>
          <w:lang w:val="fr-FR"/>
        </w:rPr>
      </w:pPr>
      <w:r w:rsidRPr="000A4F4B">
        <w:rPr>
          <w:lang w:val="fr-FR"/>
        </w:rPr>
        <w:t>Après la réunion du CWS en mai 2014</w:t>
      </w:r>
      <w:r w:rsidR="00B611A2" w:rsidRPr="000A4F4B">
        <w:rPr>
          <w:lang w:val="fr-FR"/>
        </w:rPr>
        <w:t>,</w:t>
      </w:r>
      <w:r w:rsidRPr="000A4F4B">
        <w:rPr>
          <w:lang w:val="fr-FR"/>
        </w:rPr>
        <w:t xml:space="preserve">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experts chargée de la norme</w:t>
      </w:r>
      <w:r w:rsidR="00270186" w:rsidRPr="000A4F4B">
        <w:rPr>
          <w:lang w:val="fr-FR"/>
        </w:rPr>
        <w:t> </w:t>
      </w:r>
      <w:r w:rsidR="00B611A2" w:rsidRPr="000A4F4B">
        <w:rPr>
          <w:lang w:val="fr-FR"/>
        </w:rPr>
        <w:t>XML4IP</w:t>
      </w:r>
      <w:r w:rsidRPr="000A4F4B">
        <w:rPr>
          <w:lang w:val="fr-FR"/>
        </w:rPr>
        <w:t xml:space="preserve"> a tenu quatre</w:t>
      </w:r>
      <w:r w:rsidR="003E691D" w:rsidRPr="000A4F4B">
        <w:rPr>
          <w:lang w:val="fr-FR"/>
        </w:rPr>
        <w:t> </w:t>
      </w:r>
      <w:r w:rsidRPr="000A4F4B">
        <w:rPr>
          <w:lang w:val="fr-FR"/>
        </w:rPr>
        <w:t>réunio</w:t>
      </w:r>
      <w:r w:rsidR="000A4F4B" w:rsidRPr="000A4F4B">
        <w:rPr>
          <w:lang w:val="fr-FR"/>
        </w:rPr>
        <w:t>ns.  Ce</w:t>
      </w:r>
      <w:r w:rsidRPr="000A4F4B">
        <w:rPr>
          <w:lang w:val="fr-FR"/>
        </w:rPr>
        <w:t>s réunions visaient les objectifs suivants :</w:t>
      </w:r>
    </w:p>
    <w:p w:rsidR="00B611A2" w:rsidRPr="000A4F4B" w:rsidRDefault="00A25287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la réunion qui s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est tenue à Alexandria (États</w:t>
      </w:r>
      <w:r w:rsidR="000A4F4B" w:rsidRPr="000A4F4B">
        <w:rPr>
          <w:szCs w:val="22"/>
          <w:lang w:val="fr-FR"/>
        </w:rPr>
        <w:noBreakHyphen/>
      </w:r>
      <w:r w:rsidRPr="000A4F4B">
        <w:rPr>
          <w:szCs w:val="22"/>
          <w:lang w:val="fr-FR"/>
        </w:rPr>
        <w:t>Unis d</w:t>
      </w:r>
      <w:r w:rsidR="00C03618" w:rsidRPr="000A4F4B">
        <w:rPr>
          <w:szCs w:val="22"/>
          <w:lang w:val="fr-FR"/>
        </w:rPr>
        <w:t>’</w:t>
      </w:r>
      <w:r w:rsidR="00A81DA8" w:rsidRPr="000A4F4B">
        <w:rPr>
          <w:szCs w:val="22"/>
          <w:lang w:val="fr-FR"/>
        </w:rPr>
        <w:t>Amérique) en octobre 2014</w:t>
      </w:r>
      <w:r w:rsidR="00B611A2" w:rsidRPr="000A4F4B">
        <w:rPr>
          <w:szCs w:val="22"/>
          <w:lang w:val="fr-FR"/>
        </w:rPr>
        <w:t xml:space="preserve"> </w:t>
      </w:r>
      <w:r w:rsidR="00A81DA8" w:rsidRPr="000A4F4B">
        <w:rPr>
          <w:szCs w:val="22"/>
          <w:lang w:val="fr-FR"/>
        </w:rPr>
        <w:t>visait principalement à mettre au point un schéma XML pour les marques, notamment pour la communication électronique dans le cadre du système de Madrid</w:t>
      </w:r>
      <w:r w:rsidR="00B611A2" w:rsidRPr="000A4F4B">
        <w:rPr>
          <w:szCs w:val="22"/>
          <w:lang w:val="fr-FR"/>
        </w:rPr>
        <w:t>;</w:t>
      </w:r>
    </w:p>
    <w:p w:rsidR="00B611A2" w:rsidRPr="000A4F4B" w:rsidRDefault="00A81DA8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la réunion qui s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est tenue à Londres (Royaume</w:t>
      </w:r>
      <w:r w:rsidR="000A4F4B" w:rsidRPr="000A4F4B">
        <w:rPr>
          <w:szCs w:val="22"/>
          <w:lang w:val="fr-FR"/>
        </w:rPr>
        <w:noBreakHyphen/>
      </w:r>
      <w:r w:rsidRPr="000A4F4B">
        <w:rPr>
          <w:szCs w:val="22"/>
          <w:lang w:val="fr-FR"/>
        </w:rPr>
        <w:t>Uni) en novembre 2014 visait principalement à établir la version finale des annexes V et VI et à mettre au point la version 2.0</w:t>
      </w:r>
      <w:r w:rsidR="00B611A2" w:rsidRPr="000A4F4B">
        <w:rPr>
          <w:szCs w:val="22"/>
          <w:lang w:val="fr-FR"/>
        </w:rPr>
        <w:t>;</w:t>
      </w:r>
    </w:p>
    <w:p w:rsidR="00C03618" w:rsidRPr="000A4F4B" w:rsidRDefault="00A81DA8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la réunion qui s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est tenue à Genève (Suisse) en juin 2015 visait principalement à finaliser les annexes </w:t>
      </w:r>
      <w:r w:rsidR="00B611A2" w:rsidRPr="000A4F4B">
        <w:rPr>
          <w:szCs w:val="22"/>
          <w:lang w:val="fr-FR"/>
        </w:rPr>
        <w:t xml:space="preserve">V </w:t>
      </w:r>
      <w:r w:rsidRPr="000A4F4B">
        <w:rPr>
          <w:szCs w:val="22"/>
          <w:lang w:val="fr-FR"/>
        </w:rPr>
        <w:t>et</w:t>
      </w:r>
      <w:r w:rsidR="00270186" w:rsidRPr="000A4F4B">
        <w:rPr>
          <w:szCs w:val="22"/>
          <w:lang w:val="fr-FR"/>
        </w:rPr>
        <w:t> </w:t>
      </w:r>
      <w:r w:rsidR="00B611A2" w:rsidRPr="000A4F4B">
        <w:rPr>
          <w:szCs w:val="22"/>
          <w:lang w:val="fr-FR"/>
        </w:rPr>
        <w:t xml:space="preserve">VI; </w:t>
      </w:r>
      <w:r w:rsidR="00270186" w:rsidRPr="000A4F4B">
        <w:rPr>
          <w:szCs w:val="22"/>
          <w:lang w:val="fr-FR"/>
        </w:rPr>
        <w:t xml:space="preserve"> </w:t>
      </w:r>
      <w:r w:rsidRPr="000A4F4B">
        <w:rPr>
          <w:szCs w:val="22"/>
          <w:lang w:val="fr-FR"/>
        </w:rPr>
        <w:t>et</w:t>
      </w:r>
    </w:p>
    <w:p w:rsidR="00B611A2" w:rsidRPr="000A4F4B" w:rsidRDefault="00A81DA8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lastRenderedPageBreak/>
        <w:t>la réunion qui s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est tenue à Alexandria (États</w:t>
      </w:r>
      <w:r w:rsidR="000A4F4B" w:rsidRPr="000A4F4B">
        <w:rPr>
          <w:szCs w:val="22"/>
          <w:lang w:val="fr-FR"/>
        </w:rPr>
        <w:noBreakHyphen/>
      </w:r>
      <w:r w:rsidRPr="000A4F4B">
        <w:rPr>
          <w:szCs w:val="22"/>
          <w:lang w:val="fr-FR"/>
        </w:rPr>
        <w:t>Unis d</w:t>
      </w:r>
      <w:r w:rsidR="00C03618" w:rsidRPr="000A4F4B">
        <w:rPr>
          <w:szCs w:val="22"/>
          <w:lang w:val="fr-FR"/>
        </w:rPr>
        <w:t>’</w:t>
      </w:r>
      <w:r w:rsidRPr="000A4F4B">
        <w:rPr>
          <w:szCs w:val="22"/>
          <w:lang w:val="fr-FR"/>
        </w:rPr>
        <w:t>Amérique) en octobre</w:t>
      </w:r>
      <w:r w:rsidR="00270186" w:rsidRPr="000A4F4B">
        <w:rPr>
          <w:szCs w:val="22"/>
          <w:lang w:val="fr-FR"/>
        </w:rPr>
        <w:t> </w:t>
      </w:r>
      <w:r w:rsidR="00B611A2" w:rsidRPr="000A4F4B">
        <w:rPr>
          <w:szCs w:val="22"/>
          <w:lang w:val="fr-FR"/>
        </w:rPr>
        <w:t>2015</w:t>
      </w:r>
      <w:r w:rsidRPr="000A4F4B">
        <w:rPr>
          <w:szCs w:val="22"/>
          <w:lang w:val="fr-FR"/>
        </w:rPr>
        <w:t xml:space="preserve"> visait principalement à établir les </w:t>
      </w:r>
      <w:r w:rsidR="000E7899" w:rsidRPr="000A4F4B">
        <w:rPr>
          <w:szCs w:val="22"/>
          <w:lang w:val="fr-FR"/>
        </w:rPr>
        <w:t xml:space="preserve">projets </w:t>
      </w:r>
      <w:r w:rsidR="00CB4991" w:rsidRPr="000A4F4B">
        <w:rPr>
          <w:szCs w:val="22"/>
          <w:lang w:val="fr-FR"/>
        </w:rPr>
        <w:t>de composantes</w:t>
      </w:r>
      <w:r w:rsidRPr="000A4F4B">
        <w:rPr>
          <w:szCs w:val="22"/>
          <w:lang w:val="fr-FR"/>
        </w:rPr>
        <w:t xml:space="preserve"> </w:t>
      </w:r>
      <w:r w:rsidR="000E7899" w:rsidRPr="000A4F4B">
        <w:rPr>
          <w:szCs w:val="22"/>
          <w:lang w:val="fr-FR"/>
        </w:rPr>
        <w:t xml:space="preserve">pour la communication dans le cadre du système de Madrid et la communication dans le </w:t>
      </w:r>
      <w:r w:rsidR="005C7F2E">
        <w:rPr>
          <w:szCs w:val="22"/>
          <w:lang w:val="fr-FR"/>
        </w:rPr>
        <w:t xml:space="preserve">cadre du </w:t>
      </w:r>
      <w:r w:rsidR="000E7899" w:rsidRPr="000A4F4B">
        <w:rPr>
          <w:szCs w:val="22"/>
          <w:lang w:val="fr-FR"/>
        </w:rPr>
        <w:t xml:space="preserve">système de </w:t>
      </w:r>
      <w:r w:rsidR="00C03618" w:rsidRPr="000A4F4B">
        <w:rPr>
          <w:szCs w:val="22"/>
          <w:lang w:val="fr-FR"/>
        </w:rPr>
        <w:t>La Haye</w:t>
      </w:r>
      <w:r w:rsidR="00B611A2" w:rsidRPr="000A4F4B">
        <w:rPr>
          <w:szCs w:val="22"/>
          <w:lang w:val="fr-FR"/>
        </w:rPr>
        <w:t>.</w:t>
      </w:r>
    </w:p>
    <w:p w:rsidR="00B611A2" w:rsidRPr="000A4F4B" w:rsidRDefault="009D6189" w:rsidP="000B7BA5">
      <w:pPr>
        <w:pStyle w:val="ONUMFS"/>
        <w:rPr>
          <w:lang w:val="fr-FR"/>
        </w:rPr>
      </w:pPr>
      <w:r w:rsidRPr="000A4F4B">
        <w:rPr>
          <w:lang w:val="fr-FR"/>
        </w:rPr>
        <w:t xml:space="preserve">Une autre activité importante a consisté à partager </w:t>
      </w:r>
      <w:r w:rsidR="005C7F2E">
        <w:rPr>
          <w:lang w:val="fr-FR"/>
        </w:rPr>
        <w:t xml:space="preserve">avec les autres offices, </w:t>
      </w:r>
      <w:r w:rsidR="005C7F2E" w:rsidRPr="000A4F4B">
        <w:rPr>
          <w:lang w:val="fr-FR"/>
        </w:rPr>
        <w:t>dans le cadre de réunions et par l’intermédiaire du forum électronique</w:t>
      </w:r>
      <w:r w:rsidR="005C7F2E">
        <w:rPr>
          <w:lang w:val="fr-FR"/>
        </w:rPr>
        <w:t>,</w:t>
      </w:r>
      <w:r w:rsidR="005C7F2E" w:rsidRPr="000A4F4B">
        <w:rPr>
          <w:lang w:val="fr-FR"/>
        </w:rPr>
        <w:t xml:space="preserve"> </w:t>
      </w:r>
      <w:r w:rsidRPr="000A4F4B">
        <w:rPr>
          <w:lang w:val="fr-FR"/>
        </w:rPr>
        <w:t xml:space="preserve">le programme de mise en œuvre </w:t>
      </w:r>
      <w:r w:rsidR="00773082" w:rsidRPr="000A4F4B">
        <w:rPr>
          <w:lang w:val="fr-FR"/>
        </w:rPr>
        <w:t>et les données d</w:t>
      </w:r>
      <w:r w:rsidR="00C03618" w:rsidRPr="000A4F4B">
        <w:rPr>
          <w:lang w:val="fr-FR"/>
        </w:rPr>
        <w:t>’</w:t>
      </w:r>
      <w:r w:rsidR="00773082" w:rsidRPr="000A4F4B">
        <w:rPr>
          <w:lang w:val="fr-FR"/>
        </w:rPr>
        <w:t>expérience de</w:t>
      </w:r>
      <w:r w:rsidR="005C7F2E">
        <w:rPr>
          <w:lang w:val="fr-FR"/>
        </w:rPr>
        <w:t xml:space="preserve"> chacun des offices</w:t>
      </w:r>
      <w:r w:rsidR="00773082" w:rsidRPr="000A4F4B">
        <w:rPr>
          <w:lang w:val="fr-FR"/>
        </w:rPr>
        <w:t xml:space="preserve"> en ce qui concerne la norme ST.96</w:t>
      </w:r>
      <w:r w:rsidR="000A4F4B" w:rsidRPr="000A4F4B">
        <w:rPr>
          <w:lang w:val="fr-FR"/>
        </w:rPr>
        <w:t>.  Ce</w:t>
      </w:r>
      <w:r w:rsidR="00773082" w:rsidRPr="000A4F4B">
        <w:rPr>
          <w:lang w:val="fr-FR"/>
        </w:rPr>
        <w:t xml:space="preserve"> type de collaboration est très utile </w:t>
      </w:r>
      <w:r w:rsidR="005C7F2E">
        <w:rPr>
          <w:lang w:val="fr-FR"/>
        </w:rPr>
        <w:t>car il permet d’</w:t>
      </w:r>
      <w:r w:rsidR="00773082" w:rsidRPr="000A4F4B">
        <w:rPr>
          <w:lang w:val="fr-FR"/>
        </w:rPr>
        <w:t xml:space="preserve">aider les offices à mettre en œuvre la norme ST.96 et </w:t>
      </w:r>
      <w:r w:rsidR="005C7F2E">
        <w:rPr>
          <w:lang w:val="fr-FR"/>
        </w:rPr>
        <w:t>de</w:t>
      </w:r>
      <w:r w:rsidR="00773082" w:rsidRPr="000A4F4B">
        <w:rPr>
          <w:lang w:val="fr-FR"/>
        </w:rPr>
        <w:t xml:space="preserve"> faciliter l</w:t>
      </w:r>
      <w:r w:rsidR="00C03618" w:rsidRPr="000A4F4B">
        <w:rPr>
          <w:lang w:val="fr-FR"/>
        </w:rPr>
        <w:t>’</w:t>
      </w:r>
      <w:r w:rsidR="00773082" w:rsidRPr="000A4F4B">
        <w:rPr>
          <w:lang w:val="fr-FR"/>
        </w:rPr>
        <w:t>échange de données entre les offices</w:t>
      </w:r>
      <w:r w:rsidR="00B611A2" w:rsidRPr="000A4F4B">
        <w:rPr>
          <w:lang w:val="fr-FR"/>
        </w:rPr>
        <w:t>.</w:t>
      </w:r>
    </w:p>
    <w:p w:rsidR="00B611A2" w:rsidRPr="000A4F4B" w:rsidRDefault="00A04149" w:rsidP="000B7BA5">
      <w:pPr>
        <w:pStyle w:val="ONUMFS"/>
        <w:rPr>
          <w:lang w:val="fr-FR"/>
        </w:rPr>
      </w:pPr>
      <w:r w:rsidRPr="000A4F4B">
        <w:rPr>
          <w:lang w:val="fr-FR"/>
        </w:rPr>
        <w:t xml:space="preserve">Pour répondre aux questions ou </w:t>
      </w:r>
      <w:r w:rsidR="005C7F2E">
        <w:rPr>
          <w:lang w:val="fr-FR"/>
        </w:rPr>
        <w:t xml:space="preserve">aux </w:t>
      </w:r>
      <w:r w:rsidRPr="000A4F4B">
        <w:rPr>
          <w:lang w:val="fr-FR"/>
        </w:rPr>
        <w:t>demandes spécifiques,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experts chargée de la norme </w:t>
      </w:r>
      <w:r w:rsidR="00B611A2" w:rsidRPr="000A4F4B">
        <w:rPr>
          <w:lang w:val="fr-FR"/>
        </w:rPr>
        <w:t>XML4IP</w:t>
      </w:r>
      <w:r w:rsidRPr="000A4F4B">
        <w:rPr>
          <w:lang w:val="fr-FR"/>
        </w:rPr>
        <w:t xml:space="preserve"> utilise </w:t>
      </w:r>
      <w:r w:rsidR="005C7F2E">
        <w:rPr>
          <w:lang w:val="fr-FR"/>
        </w:rPr>
        <w:t>un</w:t>
      </w:r>
      <w:r w:rsidRPr="000A4F4B">
        <w:rPr>
          <w:lang w:val="fr-FR"/>
        </w:rPr>
        <w:t xml:space="preserve"> registre des questions à examiner</w:t>
      </w:r>
      <w:r w:rsidR="005C7F2E">
        <w:rPr>
          <w:lang w:val="fr-FR"/>
        </w:rPr>
        <w:t>.  A</w:t>
      </w:r>
      <w:r w:rsidRPr="000A4F4B">
        <w:rPr>
          <w:lang w:val="fr-FR"/>
        </w:rPr>
        <w:t>u moment de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établissement du présent document</w:t>
      </w:r>
      <w:r w:rsidR="00B611A2" w:rsidRPr="000A4F4B">
        <w:rPr>
          <w:lang w:val="fr-FR"/>
        </w:rPr>
        <w:t>, 585</w:t>
      </w:r>
      <w:r w:rsidR="0034474C" w:rsidRPr="000A4F4B">
        <w:rPr>
          <w:lang w:val="fr-FR"/>
        </w:rPr>
        <w:t> </w:t>
      </w:r>
      <w:r w:rsidRPr="000A4F4B">
        <w:rPr>
          <w:lang w:val="fr-FR"/>
        </w:rPr>
        <w:t xml:space="preserve">questions </w:t>
      </w:r>
      <w:r w:rsidR="005C7F2E">
        <w:rPr>
          <w:lang w:val="fr-FR"/>
        </w:rPr>
        <w:t>avaie</w:t>
      </w:r>
      <w:r w:rsidRPr="000A4F4B">
        <w:rPr>
          <w:lang w:val="fr-FR"/>
        </w:rPr>
        <w:t>nt été inscrites au regist</w:t>
      </w:r>
      <w:r w:rsidR="000A4F4B" w:rsidRPr="000A4F4B">
        <w:rPr>
          <w:lang w:val="fr-FR"/>
        </w:rPr>
        <w:t>re.  Un</w:t>
      </w:r>
      <w:r w:rsidRPr="000A4F4B">
        <w:rPr>
          <w:lang w:val="fr-FR"/>
        </w:rPr>
        <w:t xml:space="preserve"> grand nombre de questions ont été examinées, mais il en reste </w:t>
      </w:r>
      <w:r w:rsidR="005C7F2E">
        <w:rPr>
          <w:lang w:val="fr-FR"/>
        </w:rPr>
        <w:t>une quarantaine</w:t>
      </w:r>
      <w:r w:rsidRPr="000A4F4B">
        <w:rPr>
          <w:lang w:val="fr-FR"/>
        </w:rPr>
        <w:t xml:space="preserve"> à traiter</w:t>
      </w:r>
      <w:r w:rsidR="00B611A2" w:rsidRPr="000A4F4B">
        <w:rPr>
          <w:lang w:val="fr-FR"/>
        </w:rPr>
        <w:t>.</w:t>
      </w:r>
    </w:p>
    <w:p w:rsidR="00B611A2" w:rsidRPr="000A4F4B" w:rsidRDefault="0085385D" w:rsidP="005523EF">
      <w:pPr>
        <w:pStyle w:val="Heading2"/>
      </w:pPr>
      <w:r>
        <w:rPr>
          <w:caps w:val="0"/>
        </w:rPr>
        <w:t>P</w:t>
      </w:r>
      <w:r w:rsidRPr="000A4F4B">
        <w:rPr>
          <w:caps w:val="0"/>
        </w:rPr>
        <w:t>ROGRAMME DE TRAVAIL</w:t>
      </w:r>
    </w:p>
    <w:p w:rsidR="00C03618" w:rsidRPr="000A4F4B" w:rsidRDefault="00A04149" w:rsidP="000B7BA5">
      <w:pPr>
        <w:pStyle w:val="ONUMFS"/>
        <w:rPr>
          <w:lang w:val="fr-FR"/>
        </w:rPr>
      </w:pPr>
      <w:r w:rsidRPr="000A4F4B">
        <w:rPr>
          <w:lang w:val="fr-FR"/>
        </w:rPr>
        <w:t>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experts chargée de la norme XML4IP reçoit des demandes concernant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extension de la norme ST.96 de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OMPI pour que celle</w:t>
      </w:r>
      <w:r w:rsidR="000A4F4B" w:rsidRPr="000A4F4B">
        <w:rPr>
          <w:lang w:val="fr-FR"/>
        </w:rPr>
        <w:noBreakHyphen/>
      </w:r>
      <w:r w:rsidRPr="000A4F4B">
        <w:rPr>
          <w:lang w:val="fr-FR"/>
        </w:rPr>
        <w:t>ci réponde à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autres besoins opérationne</w:t>
      </w:r>
      <w:r w:rsidR="000A4F4B" w:rsidRPr="000A4F4B">
        <w:rPr>
          <w:lang w:val="fr-FR"/>
        </w:rPr>
        <w:t>ls.  Be</w:t>
      </w:r>
      <w:r w:rsidRPr="000A4F4B">
        <w:rPr>
          <w:lang w:val="fr-FR"/>
        </w:rPr>
        <w:t>aucoup de</w:t>
      </w:r>
      <w:bookmarkStart w:id="4" w:name="_GoBack"/>
      <w:bookmarkEnd w:id="4"/>
      <w:r w:rsidRPr="000A4F4B">
        <w:rPr>
          <w:lang w:val="fr-FR"/>
        </w:rPr>
        <w:t xml:space="preserve"> ces demandes ont déjà été traitées, mais </w:t>
      </w:r>
      <w:r w:rsidR="00B00F7B" w:rsidRPr="000A4F4B">
        <w:rPr>
          <w:lang w:val="fr-FR"/>
        </w:rPr>
        <w:t xml:space="preserve">certains </w:t>
      </w:r>
      <w:r w:rsidR="00CB4991" w:rsidRPr="000A4F4B">
        <w:rPr>
          <w:lang w:val="fr-FR"/>
        </w:rPr>
        <w:t>éléments</w:t>
      </w:r>
      <w:r w:rsidR="00B00F7B" w:rsidRPr="000A4F4B">
        <w:rPr>
          <w:lang w:val="fr-FR"/>
        </w:rPr>
        <w:t>, notamment ceux indiqués ci</w:t>
      </w:r>
      <w:r w:rsidR="000A4F4B" w:rsidRPr="000A4F4B">
        <w:rPr>
          <w:lang w:val="fr-FR"/>
        </w:rPr>
        <w:noBreakHyphen/>
      </w:r>
      <w:r w:rsidR="00B00F7B" w:rsidRPr="000A4F4B">
        <w:rPr>
          <w:lang w:val="fr-FR"/>
        </w:rPr>
        <w:t>après, sont encore en instance</w:t>
      </w:r>
      <w:r w:rsidR="00B611A2" w:rsidRPr="000A4F4B">
        <w:rPr>
          <w:lang w:val="fr-FR"/>
        </w:rPr>
        <w:t>.</w:t>
      </w:r>
    </w:p>
    <w:p w:rsidR="00B611A2" w:rsidRPr="000A4F4B" w:rsidRDefault="00B00F7B" w:rsidP="000B7BA5">
      <w:pPr>
        <w:pStyle w:val="Heading3"/>
        <w:rPr>
          <w:lang w:val="fr-FR"/>
        </w:rPr>
      </w:pPr>
      <w:r w:rsidRPr="000A4F4B">
        <w:rPr>
          <w:lang w:val="fr-FR"/>
        </w:rPr>
        <w:t>Domaine commun</w:t>
      </w:r>
    </w:p>
    <w:p w:rsidR="00B611A2" w:rsidRPr="000A4F4B" w:rsidRDefault="00B611A2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Pa</w:t>
      </w:r>
      <w:r w:rsidR="00CB4991" w:rsidRPr="000A4F4B">
        <w:rPr>
          <w:szCs w:val="22"/>
          <w:lang w:val="fr-FR"/>
        </w:rPr>
        <w:t>quet/transaction pour le dépôt et le renouvellement en ligne pour un service à guichet unique</w:t>
      </w:r>
    </w:p>
    <w:p w:rsidR="00B611A2" w:rsidRPr="000A4F4B" w:rsidRDefault="00B00F7B" w:rsidP="000B7BA5">
      <w:pPr>
        <w:pStyle w:val="Heading3"/>
        <w:rPr>
          <w:lang w:val="fr-FR"/>
        </w:rPr>
      </w:pPr>
      <w:r w:rsidRPr="000A4F4B">
        <w:rPr>
          <w:lang w:val="fr-FR"/>
        </w:rPr>
        <w:t>Domaine des brevets</w:t>
      </w:r>
    </w:p>
    <w:p w:rsidR="00B611A2" w:rsidRPr="000A4F4B" w:rsidRDefault="00B00F7B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Rapport de recherche</w:t>
      </w:r>
      <w:r w:rsidR="00066D93">
        <w:rPr>
          <w:szCs w:val="22"/>
          <w:lang w:val="fr-FR"/>
        </w:rPr>
        <w:t>/</w:t>
      </w:r>
      <w:r w:rsidRPr="000A4F4B">
        <w:rPr>
          <w:szCs w:val="22"/>
          <w:lang w:val="fr-FR"/>
        </w:rPr>
        <w:t>opinion écrite</w:t>
      </w:r>
    </w:p>
    <w:p w:rsidR="00B611A2" w:rsidRPr="000A4F4B" w:rsidRDefault="00B00F7B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Données bibliographiques pour certificat complémentaire de protection (CCP)</w:t>
      </w:r>
    </w:p>
    <w:p w:rsidR="00B611A2" w:rsidRPr="000A4F4B" w:rsidRDefault="00B00F7B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Renouvellement de brevet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Document de priorité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Données sur la situation juridique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Formulaires PCT</w:t>
      </w:r>
    </w:p>
    <w:p w:rsidR="00B611A2" w:rsidRPr="000A4F4B" w:rsidRDefault="00B611A2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Transaction</w:t>
      </w:r>
    </w:p>
    <w:p w:rsidR="00B611A2" w:rsidRPr="000A4F4B" w:rsidRDefault="00B611A2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Amend</w:t>
      </w:r>
      <w:r w:rsidR="00CB4991" w:rsidRPr="000A4F4B">
        <w:rPr>
          <w:szCs w:val="22"/>
          <w:lang w:val="fr-FR"/>
        </w:rPr>
        <w:t>e</w:t>
      </w:r>
      <w:r w:rsidRPr="000A4F4B">
        <w:rPr>
          <w:szCs w:val="22"/>
          <w:lang w:val="fr-FR"/>
        </w:rPr>
        <w:t>ment</w:t>
      </w:r>
    </w:p>
    <w:p w:rsidR="00B611A2" w:rsidRPr="000A4F4B" w:rsidRDefault="00B00F7B" w:rsidP="000B7BA5">
      <w:pPr>
        <w:pStyle w:val="Heading3"/>
        <w:rPr>
          <w:lang w:val="fr-FR"/>
        </w:rPr>
      </w:pPr>
      <w:r w:rsidRPr="000A4F4B">
        <w:rPr>
          <w:lang w:val="fr-FR"/>
        </w:rPr>
        <w:t>Domaine des marques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Communication électronique dans le cadre du système de Madrid</w:t>
      </w:r>
    </w:p>
    <w:p w:rsidR="00B611A2" w:rsidRPr="000A4F4B" w:rsidRDefault="00B00F7B" w:rsidP="000B7BA5">
      <w:pPr>
        <w:pStyle w:val="Heading3"/>
        <w:rPr>
          <w:shd w:val="clear" w:color="auto" w:fill="FFFFFF"/>
          <w:lang w:val="fr-FR"/>
        </w:rPr>
      </w:pPr>
      <w:r w:rsidRPr="000A4F4B">
        <w:rPr>
          <w:shd w:val="clear" w:color="auto" w:fill="FFFFFF"/>
          <w:lang w:val="fr-FR"/>
        </w:rPr>
        <w:t>Domaine des dessins et modèles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 xml:space="preserve">Communication électronique dans le cadre du système de </w:t>
      </w:r>
      <w:r w:rsidR="00C03618" w:rsidRPr="000A4F4B">
        <w:rPr>
          <w:szCs w:val="22"/>
          <w:lang w:val="fr-FR"/>
        </w:rPr>
        <w:t>La Haye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Données bibliographiques sur les dessins et modèles</w:t>
      </w:r>
    </w:p>
    <w:p w:rsidR="00B611A2" w:rsidRPr="000A4F4B" w:rsidRDefault="00CB4991" w:rsidP="000B7BA5">
      <w:pPr>
        <w:pStyle w:val="ONUMFS"/>
        <w:rPr>
          <w:lang w:val="fr-FR"/>
        </w:rPr>
      </w:pPr>
      <w:r w:rsidRPr="000A4F4B">
        <w:rPr>
          <w:lang w:val="fr-FR"/>
        </w:rPr>
        <w:lastRenderedPageBreak/>
        <w:t>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experts a provisoirement décidé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inclure les éléments ci</w:t>
      </w:r>
      <w:r w:rsidR="000A4F4B" w:rsidRPr="000A4F4B">
        <w:rPr>
          <w:lang w:val="fr-FR"/>
        </w:rPr>
        <w:noBreakHyphen/>
      </w:r>
      <w:r w:rsidRPr="000A4F4B">
        <w:rPr>
          <w:lang w:val="fr-FR"/>
        </w:rPr>
        <w:t>après dans la prochaine version du schéma XML de la norme ST.96</w:t>
      </w:r>
      <w:r w:rsidR="00B611A2" w:rsidRPr="000A4F4B">
        <w:rPr>
          <w:lang w:val="fr-FR"/>
        </w:rPr>
        <w:t>.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Communication électronique dans le cadre du système de Madrid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 xml:space="preserve">Communication électronique dans le cadre du système de </w:t>
      </w:r>
      <w:r w:rsidR="00C03618" w:rsidRPr="000A4F4B">
        <w:rPr>
          <w:szCs w:val="22"/>
          <w:lang w:val="fr-FR"/>
        </w:rPr>
        <w:t>La Haye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Données bibliographiques pour le certificat complémentaire de protection (CCP)</w:t>
      </w:r>
    </w:p>
    <w:p w:rsidR="00B611A2" w:rsidRPr="000A4F4B" w:rsidRDefault="00CB4991" w:rsidP="000B7BA5">
      <w:pPr>
        <w:pStyle w:val="ListParagraph"/>
        <w:numPr>
          <w:ilvl w:val="0"/>
          <w:numId w:val="13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0A4F4B">
        <w:rPr>
          <w:szCs w:val="22"/>
          <w:lang w:val="fr-FR"/>
        </w:rPr>
        <w:t>Rapport de recherche</w:t>
      </w:r>
      <w:r w:rsidR="00066D93">
        <w:rPr>
          <w:szCs w:val="22"/>
          <w:lang w:val="fr-FR"/>
        </w:rPr>
        <w:t>/</w:t>
      </w:r>
      <w:r w:rsidRPr="000A4F4B">
        <w:rPr>
          <w:szCs w:val="22"/>
          <w:lang w:val="fr-FR"/>
        </w:rPr>
        <w:t>opinion écrite</w:t>
      </w:r>
    </w:p>
    <w:p w:rsidR="00C03618" w:rsidRPr="000A4F4B" w:rsidRDefault="008F35AA" w:rsidP="000B7BA5">
      <w:pPr>
        <w:pStyle w:val="ONUMFS"/>
        <w:rPr>
          <w:lang w:val="fr-FR"/>
        </w:rPr>
      </w:pPr>
      <w:r w:rsidRPr="000A4F4B">
        <w:rPr>
          <w:lang w:val="fr-FR"/>
        </w:rPr>
        <w:t>Afin de préparer la prochaine version du schéma XML de la norme </w:t>
      </w:r>
      <w:r w:rsidR="00B611A2" w:rsidRPr="000A4F4B">
        <w:rPr>
          <w:lang w:val="fr-FR"/>
        </w:rPr>
        <w:t>ST.96,</w:t>
      </w:r>
      <w:r w:rsidRPr="000A4F4B">
        <w:rPr>
          <w:lang w:val="fr-FR"/>
        </w:rPr>
        <w:t xml:space="preserve"> l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équipe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experts chargée de la norme </w:t>
      </w:r>
      <w:r w:rsidR="00B611A2" w:rsidRPr="000A4F4B">
        <w:rPr>
          <w:lang w:val="fr-FR"/>
        </w:rPr>
        <w:t>XML4IP</w:t>
      </w:r>
      <w:r w:rsidRPr="000A4F4B">
        <w:rPr>
          <w:lang w:val="fr-FR"/>
        </w:rPr>
        <w:t xml:space="preserve"> prévoit d</w:t>
      </w:r>
      <w:r w:rsidR="00C03618" w:rsidRPr="000A4F4B">
        <w:rPr>
          <w:lang w:val="fr-FR"/>
        </w:rPr>
        <w:t>’</w:t>
      </w:r>
      <w:r w:rsidRPr="000A4F4B">
        <w:rPr>
          <w:lang w:val="fr-FR"/>
        </w:rPr>
        <w:t>organiser des réunions en 2016</w:t>
      </w:r>
      <w:r w:rsidR="00B611A2" w:rsidRPr="000A4F4B">
        <w:rPr>
          <w:lang w:val="fr-FR"/>
        </w:rPr>
        <w:t>.</w:t>
      </w:r>
    </w:p>
    <w:p w:rsidR="00B611A2" w:rsidRPr="00066D93" w:rsidRDefault="008F35AA" w:rsidP="000B7BA5">
      <w:pPr>
        <w:pStyle w:val="ONUMFS"/>
        <w:ind w:left="5533"/>
        <w:rPr>
          <w:i/>
          <w:lang w:val="fr-FR"/>
        </w:rPr>
      </w:pPr>
      <w:r w:rsidRPr="00066D93">
        <w:rPr>
          <w:i/>
          <w:lang w:val="fr-FR"/>
        </w:rPr>
        <w:t>Le CWS est invité</w:t>
      </w:r>
    </w:p>
    <w:p w:rsidR="00C03618" w:rsidRPr="00066D93" w:rsidRDefault="008F35AA" w:rsidP="000B7BA5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066D93">
        <w:rPr>
          <w:i/>
          <w:lang w:val="fr-FR"/>
        </w:rPr>
        <w:t>à prendre note des résultats des travaux de l</w:t>
      </w:r>
      <w:r w:rsidR="00C03618" w:rsidRPr="00066D93">
        <w:rPr>
          <w:i/>
          <w:lang w:val="fr-FR"/>
        </w:rPr>
        <w:t>’</w:t>
      </w:r>
      <w:r w:rsidRPr="00066D93">
        <w:rPr>
          <w:i/>
          <w:lang w:val="fr-FR"/>
        </w:rPr>
        <w:t>équipe d</w:t>
      </w:r>
      <w:r w:rsidR="00C03618" w:rsidRPr="00066D93">
        <w:rPr>
          <w:i/>
          <w:lang w:val="fr-FR"/>
        </w:rPr>
        <w:t>’</w:t>
      </w:r>
      <w:r w:rsidRPr="00066D93">
        <w:rPr>
          <w:i/>
          <w:lang w:val="fr-FR"/>
        </w:rPr>
        <w:t>experts chargée de la norme </w:t>
      </w:r>
      <w:r w:rsidR="0034474C" w:rsidRPr="00066D93">
        <w:rPr>
          <w:i/>
          <w:lang w:val="fr-FR"/>
        </w:rPr>
        <w:t>XML4IP</w:t>
      </w:r>
      <w:r w:rsidRPr="00066D93">
        <w:rPr>
          <w:i/>
          <w:lang w:val="fr-FR"/>
        </w:rPr>
        <w:t xml:space="preserve"> et du rapport de son responsable figurant dans le présent document</w:t>
      </w:r>
      <w:r w:rsidR="00066D93">
        <w:rPr>
          <w:i/>
          <w:lang w:val="fr-FR"/>
        </w:rPr>
        <w:t>,</w:t>
      </w:r>
      <w:r w:rsidR="00B611A2" w:rsidRPr="00066D93">
        <w:rPr>
          <w:i/>
          <w:lang w:val="fr-FR"/>
        </w:rPr>
        <w:t xml:space="preserve"> </w:t>
      </w:r>
      <w:r w:rsidRPr="00066D93">
        <w:rPr>
          <w:i/>
          <w:lang w:val="fr-FR"/>
        </w:rPr>
        <w:t>et</w:t>
      </w:r>
    </w:p>
    <w:p w:rsidR="00B611A2" w:rsidRPr="00066D93" w:rsidRDefault="008F35AA" w:rsidP="000B7BA5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066D93">
        <w:rPr>
          <w:i/>
          <w:lang w:val="fr-FR"/>
        </w:rPr>
        <w:t>à prendre note du programme de travail de l</w:t>
      </w:r>
      <w:r w:rsidR="00C03618" w:rsidRPr="00066D93">
        <w:rPr>
          <w:i/>
          <w:lang w:val="fr-FR"/>
        </w:rPr>
        <w:t>’</w:t>
      </w:r>
      <w:r w:rsidRPr="00066D93">
        <w:rPr>
          <w:i/>
          <w:lang w:val="fr-FR"/>
        </w:rPr>
        <w:t>équipe d</w:t>
      </w:r>
      <w:r w:rsidR="00C03618" w:rsidRPr="00066D93">
        <w:rPr>
          <w:i/>
          <w:lang w:val="fr-FR"/>
        </w:rPr>
        <w:t>’</w:t>
      </w:r>
      <w:r w:rsidRPr="00066D93">
        <w:rPr>
          <w:i/>
          <w:lang w:val="fr-FR"/>
        </w:rPr>
        <w:t>experts chargée de la norme </w:t>
      </w:r>
      <w:r w:rsidR="0034474C" w:rsidRPr="00066D93">
        <w:rPr>
          <w:i/>
          <w:lang w:val="fr-FR"/>
        </w:rPr>
        <w:t>XML4IP</w:t>
      </w:r>
      <w:r w:rsidRPr="00066D93">
        <w:rPr>
          <w:i/>
          <w:lang w:val="fr-FR"/>
        </w:rPr>
        <w:t xml:space="preserve"> mentionné aux paragraphes 11 à 13 ci</w:t>
      </w:r>
      <w:r w:rsidR="000A4F4B" w:rsidRPr="00066D93">
        <w:rPr>
          <w:i/>
          <w:lang w:val="fr-FR"/>
        </w:rPr>
        <w:noBreakHyphen/>
      </w:r>
      <w:r w:rsidRPr="00066D93">
        <w:rPr>
          <w:i/>
          <w:lang w:val="fr-FR"/>
        </w:rPr>
        <w:t>dessus</w:t>
      </w:r>
      <w:r w:rsidR="00B611A2" w:rsidRPr="00066D93">
        <w:rPr>
          <w:i/>
          <w:lang w:val="fr-FR"/>
        </w:rPr>
        <w:t>.</w:t>
      </w:r>
    </w:p>
    <w:p w:rsidR="00B611A2" w:rsidRDefault="00B611A2" w:rsidP="000B7BA5">
      <w:pPr>
        <w:pStyle w:val="Endofdocument-Annex"/>
        <w:rPr>
          <w:lang w:val="fr-FR"/>
        </w:rPr>
      </w:pPr>
    </w:p>
    <w:p w:rsidR="00066D93" w:rsidRPr="000A4F4B" w:rsidRDefault="00066D93" w:rsidP="000B7BA5">
      <w:pPr>
        <w:pStyle w:val="Endofdocument-Annex"/>
        <w:rPr>
          <w:lang w:val="fr-FR"/>
        </w:rPr>
      </w:pPr>
    </w:p>
    <w:p w:rsidR="008B2CC1" w:rsidRPr="000A4F4B" w:rsidRDefault="00B611A2" w:rsidP="000B7BA5">
      <w:pPr>
        <w:pStyle w:val="Endofdocument-Annex"/>
        <w:rPr>
          <w:caps/>
          <w:sz w:val="24"/>
          <w:lang w:val="fr-FR"/>
        </w:rPr>
      </w:pPr>
      <w:r w:rsidRPr="000A4F4B">
        <w:rPr>
          <w:lang w:val="fr-FR"/>
        </w:rPr>
        <w:t>[</w:t>
      </w:r>
      <w:r w:rsidR="008F35AA" w:rsidRPr="000A4F4B">
        <w:rPr>
          <w:lang w:val="fr-FR"/>
        </w:rPr>
        <w:t>Fin du</w:t>
      </w:r>
      <w:r w:rsidRPr="000A4F4B">
        <w:rPr>
          <w:lang w:val="fr-FR"/>
        </w:rPr>
        <w:t xml:space="preserve"> document]</w:t>
      </w:r>
    </w:p>
    <w:sectPr w:rsidR="008B2CC1" w:rsidRPr="000A4F4B" w:rsidSect="00C03618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A2" w:rsidRDefault="00B611A2">
      <w:r>
        <w:separator/>
      </w:r>
    </w:p>
  </w:endnote>
  <w:endnote w:type="continuationSeparator" w:id="0">
    <w:p w:rsidR="00B611A2" w:rsidRDefault="00B611A2" w:rsidP="003B38C1">
      <w:r>
        <w:separator/>
      </w:r>
    </w:p>
    <w:p w:rsidR="00B611A2" w:rsidRPr="003B38C1" w:rsidRDefault="00B611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11A2" w:rsidRPr="003B38C1" w:rsidRDefault="00B611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A2" w:rsidRDefault="00B611A2">
      <w:r>
        <w:separator/>
      </w:r>
    </w:p>
  </w:footnote>
  <w:footnote w:type="continuationSeparator" w:id="0">
    <w:p w:rsidR="00B611A2" w:rsidRDefault="00B611A2" w:rsidP="008B60B2">
      <w:r>
        <w:separator/>
      </w:r>
    </w:p>
    <w:p w:rsidR="00B611A2" w:rsidRPr="00ED77FB" w:rsidRDefault="00B611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11A2" w:rsidRPr="00ED77FB" w:rsidRDefault="00B611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5" w:name="Code2"/>
    <w:bookmarkEnd w:id="5"/>
    <w:r>
      <w:t>CWS/4</w:t>
    </w:r>
    <w:r w:rsidR="00B611A2">
      <w:t>BIS</w:t>
    </w:r>
    <w:r>
      <w:t>/</w:t>
    </w:r>
    <w:r w:rsidR="00B611A2">
      <w:t>4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066D9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5385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43CAA"/>
    <w:rsid w:val="00051699"/>
    <w:rsid w:val="00066D93"/>
    <w:rsid w:val="00075432"/>
    <w:rsid w:val="000968ED"/>
    <w:rsid w:val="000A4F4B"/>
    <w:rsid w:val="000B7BA5"/>
    <w:rsid w:val="000E7899"/>
    <w:rsid w:val="000F5E56"/>
    <w:rsid w:val="001362EE"/>
    <w:rsid w:val="001832A6"/>
    <w:rsid w:val="00191163"/>
    <w:rsid w:val="001C2428"/>
    <w:rsid w:val="002634C4"/>
    <w:rsid w:val="00270186"/>
    <w:rsid w:val="002928D3"/>
    <w:rsid w:val="002D4CD7"/>
    <w:rsid w:val="002E74C9"/>
    <w:rsid w:val="002F1FE6"/>
    <w:rsid w:val="002F39A3"/>
    <w:rsid w:val="002F4E68"/>
    <w:rsid w:val="00300CA4"/>
    <w:rsid w:val="00312F7F"/>
    <w:rsid w:val="00342A15"/>
    <w:rsid w:val="0034474C"/>
    <w:rsid w:val="00361450"/>
    <w:rsid w:val="003673CF"/>
    <w:rsid w:val="003845C1"/>
    <w:rsid w:val="00394B38"/>
    <w:rsid w:val="003A6F89"/>
    <w:rsid w:val="003B38C1"/>
    <w:rsid w:val="003E691D"/>
    <w:rsid w:val="00423E3E"/>
    <w:rsid w:val="00427AF4"/>
    <w:rsid w:val="004647DA"/>
    <w:rsid w:val="00474062"/>
    <w:rsid w:val="00477D6B"/>
    <w:rsid w:val="004A0A4E"/>
    <w:rsid w:val="005019FF"/>
    <w:rsid w:val="00504CCF"/>
    <w:rsid w:val="005245CD"/>
    <w:rsid w:val="0053057A"/>
    <w:rsid w:val="005523EF"/>
    <w:rsid w:val="00560A29"/>
    <w:rsid w:val="005C6649"/>
    <w:rsid w:val="005C7F2E"/>
    <w:rsid w:val="00605827"/>
    <w:rsid w:val="0064363E"/>
    <w:rsid w:val="00646050"/>
    <w:rsid w:val="00662341"/>
    <w:rsid w:val="006713CA"/>
    <w:rsid w:val="00676C5C"/>
    <w:rsid w:val="00773082"/>
    <w:rsid w:val="007D1613"/>
    <w:rsid w:val="007D2BD6"/>
    <w:rsid w:val="0085385D"/>
    <w:rsid w:val="008635ED"/>
    <w:rsid w:val="008B2CC1"/>
    <w:rsid w:val="008B60B2"/>
    <w:rsid w:val="008F35AA"/>
    <w:rsid w:val="0090731E"/>
    <w:rsid w:val="00916EE2"/>
    <w:rsid w:val="009313E9"/>
    <w:rsid w:val="00966A22"/>
    <w:rsid w:val="0096722F"/>
    <w:rsid w:val="00970179"/>
    <w:rsid w:val="00980843"/>
    <w:rsid w:val="00981565"/>
    <w:rsid w:val="009D6189"/>
    <w:rsid w:val="009E2791"/>
    <w:rsid w:val="009E3F6F"/>
    <w:rsid w:val="009F499F"/>
    <w:rsid w:val="00A03DF8"/>
    <w:rsid w:val="00A04149"/>
    <w:rsid w:val="00A25287"/>
    <w:rsid w:val="00A3163F"/>
    <w:rsid w:val="00A42DAF"/>
    <w:rsid w:val="00A45BD8"/>
    <w:rsid w:val="00A81DA8"/>
    <w:rsid w:val="00A869B7"/>
    <w:rsid w:val="00A9671E"/>
    <w:rsid w:val="00AA3340"/>
    <w:rsid w:val="00AC205C"/>
    <w:rsid w:val="00AF0A6B"/>
    <w:rsid w:val="00B00F7B"/>
    <w:rsid w:val="00B05A69"/>
    <w:rsid w:val="00B33D93"/>
    <w:rsid w:val="00B611A2"/>
    <w:rsid w:val="00B95183"/>
    <w:rsid w:val="00B9734B"/>
    <w:rsid w:val="00BA38FF"/>
    <w:rsid w:val="00C03618"/>
    <w:rsid w:val="00C11BFE"/>
    <w:rsid w:val="00CB4991"/>
    <w:rsid w:val="00D0225B"/>
    <w:rsid w:val="00D45252"/>
    <w:rsid w:val="00D71B4D"/>
    <w:rsid w:val="00D93D55"/>
    <w:rsid w:val="00DC0C7D"/>
    <w:rsid w:val="00E335FE"/>
    <w:rsid w:val="00E84598"/>
    <w:rsid w:val="00EA2B0A"/>
    <w:rsid w:val="00EA404A"/>
    <w:rsid w:val="00EC4E49"/>
    <w:rsid w:val="00ED77FB"/>
    <w:rsid w:val="00EE45FA"/>
    <w:rsid w:val="00F66152"/>
    <w:rsid w:val="00F91D17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523EF"/>
    <w:pPr>
      <w:keepNext/>
      <w:spacing w:before="120" w:after="6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523EF"/>
    <w:pPr>
      <w:keepNext/>
      <w:spacing w:before="120" w:after="6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standards/fr/part_03_standard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standards/fr/st96/v2-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6BD7-8C06-46F4-B35F-5B39FB98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1096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CWS/4BIS/4 (en français)</vt:lpstr>
    </vt:vector>
  </TitlesOfParts>
  <Company>WIPO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CWS/4BIS/4 (en français)</dc:title>
  <dc:subject>RAPPORT SUR L’ETAT D’AVANCEMENT DE L’ÉTABLISSEMENT DES ANNEXES V ET VI ET DE LA REVISION DE LA NORME ST.96 DE L’OMPI</dc:subject>
  <dc:creator>OMPI/WIPO</dc:creator>
  <cp:keywords>CWS</cp:keywords>
  <cp:lastModifiedBy>RODRIGUEZ Geraldine</cp:lastModifiedBy>
  <cp:revision>5</cp:revision>
  <cp:lastPrinted>2016-02-23T10:11:00Z</cp:lastPrinted>
  <dcterms:created xsi:type="dcterms:W3CDTF">2016-02-23T11:12:00Z</dcterms:created>
  <dcterms:modified xsi:type="dcterms:W3CDTF">2016-02-26T16:40:00Z</dcterms:modified>
</cp:coreProperties>
</file>