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12F16" w:rsidRPr="008B2CC1" w:rsidTr="0098778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12F16" w:rsidRPr="008B2CC1" w:rsidRDefault="00E12F16" w:rsidP="00987785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12F16" w:rsidRPr="008B2CC1" w:rsidRDefault="00E12F16" w:rsidP="00987785">
            <w:r>
              <w:rPr>
                <w:noProof/>
              </w:rPr>
              <w:drawing>
                <wp:inline distT="0" distB="0" distL="0" distR="0" wp14:anchorId="79183BB5" wp14:editId="31B78D75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12F16" w:rsidRPr="008B2CC1" w:rsidRDefault="00E12F16" w:rsidP="00987785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E12F16" w:rsidRPr="001832A6" w:rsidTr="0098778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12F16" w:rsidRPr="0090731E" w:rsidRDefault="00E12F16" w:rsidP="0098778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CWS/4BIS/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12</w:t>
            </w:r>
          </w:p>
        </w:tc>
      </w:tr>
      <w:tr w:rsidR="00E12F16" w:rsidRPr="001832A6" w:rsidTr="0098778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12F16" w:rsidRPr="0090731E" w:rsidRDefault="00E12F16" w:rsidP="0098778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E12F16" w:rsidRPr="001832A6" w:rsidTr="0098778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12F16" w:rsidRPr="0090731E" w:rsidRDefault="00E12F16" w:rsidP="0098778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22 février 2016</w:t>
            </w:r>
          </w:p>
        </w:tc>
      </w:tr>
    </w:tbl>
    <w:p w:rsidR="00E12F16" w:rsidRPr="008B2CC1" w:rsidRDefault="00E12F16" w:rsidP="00E12F16"/>
    <w:p w:rsidR="00E12F16" w:rsidRPr="008B2CC1" w:rsidRDefault="00E12F16" w:rsidP="00E12F16"/>
    <w:p w:rsidR="00E12F16" w:rsidRPr="008B2CC1" w:rsidRDefault="00E12F16" w:rsidP="00E12F16"/>
    <w:p w:rsidR="00E12F16" w:rsidRPr="008B2CC1" w:rsidRDefault="00E12F16" w:rsidP="00E12F16"/>
    <w:p w:rsidR="00E12F16" w:rsidRPr="008B2CC1" w:rsidRDefault="00E12F16" w:rsidP="00E12F16"/>
    <w:p w:rsidR="00E12F16" w:rsidRPr="00FF6392" w:rsidRDefault="00E12F16" w:rsidP="00E12F16">
      <w:pPr>
        <w:rPr>
          <w:b/>
          <w:sz w:val="28"/>
          <w:szCs w:val="28"/>
          <w:lang w:val="fr-FR"/>
        </w:rPr>
      </w:pPr>
      <w:r w:rsidRPr="00FF6392">
        <w:rPr>
          <w:b/>
          <w:sz w:val="28"/>
          <w:szCs w:val="28"/>
          <w:lang w:val="fr-FR"/>
        </w:rPr>
        <w:t>Comité des normes de l’OMPI (CWS)</w:t>
      </w:r>
    </w:p>
    <w:p w:rsidR="00E12F16" w:rsidRPr="00FF6392" w:rsidRDefault="00E12F16" w:rsidP="00E12F16">
      <w:pPr>
        <w:rPr>
          <w:lang w:val="fr-FR"/>
        </w:rPr>
      </w:pPr>
    </w:p>
    <w:p w:rsidR="00E12F16" w:rsidRPr="00FF6392" w:rsidRDefault="00E12F16" w:rsidP="00E12F16">
      <w:pPr>
        <w:rPr>
          <w:lang w:val="fr-FR"/>
        </w:rPr>
      </w:pPr>
    </w:p>
    <w:p w:rsidR="00E12F16" w:rsidRPr="00FF6392" w:rsidRDefault="00FF6392" w:rsidP="00E12F16">
      <w:pPr>
        <w:rPr>
          <w:b/>
          <w:sz w:val="24"/>
          <w:szCs w:val="24"/>
          <w:lang w:val="fr-FR"/>
        </w:rPr>
      </w:pPr>
      <w:r w:rsidRPr="00FF6392">
        <w:rPr>
          <w:b/>
          <w:sz w:val="24"/>
          <w:szCs w:val="24"/>
          <w:lang w:val="fr-FR"/>
        </w:rPr>
        <w:t>Reprise de la quatrième </w:t>
      </w:r>
      <w:r w:rsidR="00E12F16" w:rsidRPr="00FF6392">
        <w:rPr>
          <w:b/>
          <w:sz w:val="24"/>
          <w:szCs w:val="24"/>
          <w:lang w:val="fr-FR"/>
        </w:rPr>
        <w:t>session</w:t>
      </w:r>
    </w:p>
    <w:p w:rsidR="00E12F16" w:rsidRPr="00B11C1F" w:rsidRDefault="00E12F16" w:rsidP="00E12F16">
      <w:pPr>
        <w:rPr>
          <w:b/>
          <w:sz w:val="24"/>
          <w:szCs w:val="24"/>
          <w:lang w:val="fr-CH"/>
        </w:rPr>
      </w:pPr>
      <w:r w:rsidRPr="00B11C1F">
        <w:rPr>
          <w:b/>
          <w:sz w:val="24"/>
          <w:szCs w:val="24"/>
          <w:lang w:val="fr-CH"/>
        </w:rPr>
        <w:t>Genève, 21 – 24 mars 2016</w:t>
      </w:r>
    </w:p>
    <w:p w:rsidR="00E12F16" w:rsidRPr="00B11C1F" w:rsidRDefault="00E12F16" w:rsidP="00E12F16">
      <w:pPr>
        <w:rPr>
          <w:lang w:val="fr-CH"/>
        </w:rPr>
      </w:pPr>
    </w:p>
    <w:p w:rsidR="00E12F16" w:rsidRPr="00B11C1F" w:rsidRDefault="00E12F16" w:rsidP="00E12F16">
      <w:pPr>
        <w:rPr>
          <w:lang w:val="fr-CH"/>
        </w:rPr>
      </w:pPr>
    </w:p>
    <w:p w:rsidR="00E12F16" w:rsidRPr="00B11C1F" w:rsidRDefault="00E12F16" w:rsidP="00E12F16">
      <w:pPr>
        <w:rPr>
          <w:lang w:val="fr-CH"/>
        </w:rPr>
      </w:pPr>
    </w:p>
    <w:p w:rsidR="007239E6" w:rsidRPr="00F10E92" w:rsidRDefault="00CE20E6" w:rsidP="00834487">
      <w:pPr>
        <w:rPr>
          <w:caps/>
          <w:sz w:val="24"/>
          <w:lang w:val="fr-FR"/>
        </w:rPr>
      </w:pPr>
      <w:r w:rsidRPr="00F10E92">
        <w:rPr>
          <w:sz w:val="24"/>
          <w:lang w:val="fr-FR"/>
        </w:rPr>
        <w:t>PROPOSITION POUR LES ANNEXES V ET VI DE LA NORME ST.96 DE L’OMPI</w:t>
      </w:r>
    </w:p>
    <w:p w:rsidR="007239E6" w:rsidRPr="00F10E92" w:rsidRDefault="007239E6" w:rsidP="00834487">
      <w:pPr>
        <w:rPr>
          <w:lang w:val="fr-FR"/>
        </w:rPr>
      </w:pPr>
    </w:p>
    <w:p w:rsidR="00AB5DFF" w:rsidRPr="00F10E92" w:rsidRDefault="00834487" w:rsidP="00834487">
      <w:pPr>
        <w:rPr>
          <w:i/>
          <w:lang w:val="fr-FR"/>
        </w:rPr>
      </w:pPr>
      <w:r w:rsidRPr="00F10E92">
        <w:rPr>
          <w:i/>
          <w:lang w:val="fr-FR"/>
        </w:rPr>
        <w:t xml:space="preserve">Document </w:t>
      </w:r>
      <w:r w:rsidR="007239E6" w:rsidRPr="00F10E92">
        <w:rPr>
          <w:i/>
          <w:lang w:val="fr-FR"/>
        </w:rPr>
        <w:t>établi par le Secrétariat</w:t>
      </w:r>
    </w:p>
    <w:p w:rsidR="007239E6" w:rsidRPr="00E12F16" w:rsidRDefault="007239E6" w:rsidP="00834487">
      <w:pPr>
        <w:rPr>
          <w:iCs/>
          <w:lang w:val="fr-FR"/>
        </w:rPr>
      </w:pPr>
    </w:p>
    <w:p w:rsidR="007239E6" w:rsidRPr="00E12F16" w:rsidRDefault="007239E6" w:rsidP="00834487">
      <w:pPr>
        <w:rPr>
          <w:iCs/>
          <w:lang w:val="fr-FR"/>
        </w:rPr>
      </w:pPr>
    </w:p>
    <w:p w:rsidR="007239E6" w:rsidRPr="00F10E92" w:rsidRDefault="007239E6" w:rsidP="00834487">
      <w:pPr>
        <w:rPr>
          <w:iCs/>
          <w:lang w:val="fr-FR"/>
        </w:rPr>
      </w:pPr>
    </w:p>
    <w:p w:rsidR="007239E6" w:rsidRDefault="007239E6" w:rsidP="00834487">
      <w:pPr>
        <w:rPr>
          <w:iCs/>
          <w:lang w:val="fr-FR"/>
        </w:rPr>
      </w:pPr>
    </w:p>
    <w:p w:rsidR="00646F91" w:rsidRPr="00E12F16" w:rsidRDefault="00646F91" w:rsidP="00834487">
      <w:pPr>
        <w:rPr>
          <w:iCs/>
          <w:lang w:val="fr-FR"/>
        </w:rPr>
      </w:pPr>
    </w:p>
    <w:p w:rsidR="007239E6" w:rsidRPr="00FF6392" w:rsidRDefault="00CE20E6" w:rsidP="00FF6392">
      <w:pPr>
        <w:pStyle w:val="Heading2"/>
      </w:pPr>
      <w:r w:rsidRPr="00FF6392">
        <w:rPr>
          <w:caps w:val="0"/>
        </w:rPr>
        <w:t>INTRODUCTION</w:t>
      </w:r>
    </w:p>
    <w:p w:rsidR="007239E6" w:rsidRPr="00F10E92" w:rsidRDefault="007239E6" w:rsidP="00FF6392">
      <w:pPr>
        <w:pStyle w:val="ONUMFS"/>
        <w:rPr>
          <w:sz w:val="24"/>
          <w:szCs w:val="24"/>
          <w:lang w:val="fr-FR"/>
        </w:rPr>
      </w:pPr>
      <w:r w:rsidRPr="00F10E92">
        <w:rPr>
          <w:lang w:val="fr-FR"/>
        </w:rPr>
        <w:t>À sa deuxième session tenue en 2012, le Comité des normes de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OMPI (CWS) a adopté la norme ST.96, ainsi que ses annexes I à IV, et a noté que les projets de</w:t>
      </w:r>
      <w:r w:rsidR="00E66531" w:rsidRPr="00F10E92">
        <w:rPr>
          <w:lang w:val="fr-FR"/>
        </w:rPr>
        <w:t xml:space="preserve"> deux</w:t>
      </w:r>
      <w:r w:rsidR="00FD6F7C" w:rsidRPr="00F10E92">
        <w:rPr>
          <w:lang w:val="fr-FR"/>
        </w:rPr>
        <w:t> </w:t>
      </w:r>
      <w:r w:rsidR="00E66531" w:rsidRPr="00F10E92">
        <w:rPr>
          <w:lang w:val="fr-FR"/>
        </w:rPr>
        <w:t>autres</w:t>
      </w:r>
      <w:r w:rsidRPr="00F10E92">
        <w:rPr>
          <w:lang w:val="fr-FR"/>
        </w:rPr>
        <w:t xml:space="preserve"> annexes</w:t>
      </w:r>
      <w:r w:rsidR="00E66531" w:rsidRPr="00F10E92">
        <w:rPr>
          <w:lang w:val="fr-FR"/>
        </w:rPr>
        <w:t>, l</w:t>
      </w:r>
      <w:r w:rsidR="00AB5DFF" w:rsidRPr="00F10E92">
        <w:rPr>
          <w:lang w:val="fr-FR"/>
        </w:rPr>
        <w:t>’</w:t>
      </w:r>
      <w:r w:rsidR="00E66531" w:rsidRPr="00F10E92">
        <w:rPr>
          <w:lang w:val="fr-FR"/>
        </w:rPr>
        <w:t>annexe</w:t>
      </w:r>
      <w:r w:rsidRPr="00F10E92">
        <w:rPr>
          <w:lang w:val="fr-FR"/>
        </w:rPr>
        <w:t> V (Règles et principes d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 xml:space="preserve">application) et </w:t>
      </w:r>
      <w:r w:rsidR="00E66531" w:rsidRPr="00F10E92">
        <w:rPr>
          <w:lang w:val="fr-FR"/>
        </w:rPr>
        <w:t>l</w:t>
      </w:r>
      <w:r w:rsidR="00AB5DFF" w:rsidRPr="00F10E92">
        <w:rPr>
          <w:lang w:val="fr-FR"/>
        </w:rPr>
        <w:t>’</w:t>
      </w:r>
      <w:r w:rsidR="00E66531" w:rsidRPr="00F10E92">
        <w:rPr>
          <w:lang w:val="fr-FR"/>
        </w:rPr>
        <w:t>annexe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 xml:space="preserve">VI (Règles et principes de conversion), présentés lors de cette session, </w:t>
      </w:r>
      <w:r w:rsidR="00E66531" w:rsidRPr="00F10E92">
        <w:rPr>
          <w:lang w:val="fr-FR"/>
        </w:rPr>
        <w:t xml:space="preserve">devaient être améliorés avant de pouvoir </w:t>
      </w:r>
      <w:r w:rsidRPr="00F10E92">
        <w:rPr>
          <w:lang w:val="fr-FR"/>
        </w:rPr>
        <w:t xml:space="preserve">être adoptés. </w:t>
      </w:r>
      <w:r w:rsidR="00834487" w:rsidRPr="00F10E92">
        <w:rPr>
          <w:lang w:val="fr-FR"/>
        </w:rPr>
        <w:t xml:space="preserve"> </w:t>
      </w:r>
      <w:r w:rsidR="00866F73">
        <w:rPr>
          <w:lang w:val="fr-FR"/>
        </w:rPr>
        <w:t xml:space="preserve">Il </w:t>
      </w:r>
      <w:r w:rsidRPr="00F10E92">
        <w:rPr>
          <w:lang w:val="fr-FR"/>
        </w:rPr>
        <w:t>a donc demandé à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équipe d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experts chargée de la norme XML4IP d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établir une proposition en vue de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adoption par</w:t>
      </w:r>
      <w:r w:rsidR="00AB5DFF" w:rsidRPr="00F10E92">
        <w:rPr>
          <w:lang w:val="fr-FR"/>
        </w:rPr>
        <w:t xml:space="preserve"> le CWS</w:t>
      </w:r>
      <w:r w:rsidRPr="00F10E92">
        <w:rPr>
          <w:lang w:val="fr-FR"/>
        </w:rPr>
        <w:t xml:space="preserve"> de ces </w:t>
      </w:r>
      <w:r w:rsidR="00866F73">
        <w:rPr>
          <w:lang w:val="fr-FR"/>
        </w:rPr>
        <w:t xml:space="preserve">textes </w:t>
      </w:r>
      <w:r w:rsidRPr="00F10E92">
        <w:rPr>
          <w:lang w:val="fr-FR"/>
        </w:rPr>
        <w:t>en tant qu</w:t>
      </w:r>
      <w:r w:rsidR="00866F73">
        <w:rPr>
          <w:lang w:val="fr-FR"/>
        </w:rPr>
        <w:t>’</w:t>
      </w:r>
      <w:r w:rsidR="00866F73" w:rsidRPr="00F10E92">
        <w:rPr>
          <w:lang w:val="fr-FR"/>
        </w:rPr>
        <w:t>annexes</w:t>
      </w:r>
      <w:r w:rsidRPr="00F10E92">
        <w:rPr>
          <w:lang w:val="fr-FR"/>
        </w:rPr>
        <w:t xml:space="preserve"> de la norme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>ST.96 de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OMPI.</w:t>
      </w:r>
    </w:p>
    <w:p w:rsidR="007239E6" w:rsidRPr="00F10E92" w:rsidRDefault="007239E6" w:rsidP="00FF6392">
      <w:pPr>
        <w:pStyle w:val="ONUMFS"/>
        <w:rPr>
          <w:lang w:val="fr-FR"/>
        </w:rPr>
      </w:pPr>
      <w:r w:rsidRPr="00F10E92">
        <w:rPr>
          <w:lang w:val="fr-FR"/>
        </w:rPr>
        <w:t>Depuis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 xml:space="preserve">2011, </w:t>
      </w:r>
      <w:r w:rsidRPr="00F10E92">
        <w:rPr>
          <w:lang w:val="fr-FR"/>
        </w:rPr>
        <w:t>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équipe d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experts chargée de la norme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 xml:space="preserve">XML4IP a </w:t>
      </w:r>
      <w:r w:rsidR="0015696F" w:rsidRPr="00F10E92">
        <w:rPr>
          <w:lang w:val="fr-FR"/>
        </w:rPr>
        <w:t>mené</w:t>
      </w:r>
      <w:r w:rsidRPr="00F10E92">
        <w:rPr>
          <w:lang w:val="fr-FR"/>
        </w:rPr>
        <w:t xml:space="preserve"> de nombreuses discussions en vue d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établir la proposition pour les annexes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>V et VI.  Grâce à la collaboration active de tous les membres de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équipe, les annexes ont pu être établies.</w:t>
      </w:r>
    </w:p>
    <w:p w:rsidR="007239E6" w:rsidRPr="00F10E92" w:rsidRDefault="006D094F" w:rsidP="00FF6392">
      <w:pPr>
        <w:pStyle w:val="ONUMFS"/>
        <w:rPr>
          <w:lang w:val="fr-FR"/>
        </w:rPr>
      </w:pPr>
      <w:r w:rsidRPr="00F10E92">
        <w:rPr>
          <w:lang w:val="fr-FR"/>
        </w:rPr>
        <w:t>Les projets définitifs des a</w:t>
      </w:r>
      <w:r w:rsidR="00834487" w:rsidRPr="00F10E92">
        <w:rPr>
          <w:lang w:val="fr-FR"/>
        </w:rPr>
        <w:t>nnexes</w:t>
      </w:r>
      <w:r w:rsidR="0013761E" w:rsidRPr="00F10E92">
        <w:rPr>
          <w:lang w:val="fr-FR"/>
        </w:rPr>
        <w:t> </w:t>
      </w:r>
      <w:r w:rsidR="00834487" w:rsidRPr="00F10E92">
        <w:rPr>
          <w:lang w:val="fr-FR"/>
        </w:rPr>
        <w:t xml:space="preserve">V </w:t>
      </w:r>
      <w:r w:rsidRPr="00F10E92">
        <w:rPr>
          <w:lang w:val="fr-FR"/>
        </w:rPr>
        <w:t>et</w:t>
      </w:r>
      <w:r w:rsidR="00834487" w:rsidRPr="00F10E92">
        <w:rPr>
          <w:lang w:val="fr-FR"/>
        </w:rPr>
        <w:t xml:space="preserve"> VI </w:t>
      </w:r>
      <w:r w:rsidRPr="00F10E92">
        <w:rPr>
          <w:lang w:val="fr-FR"/>
        </w:rPr>
        <w:t>pour examen et adoption par</w:t>
      </w:r>
      <w:r w:rsidR="00AB5DFF" w:rsidRPr="00F10E92">
        <w:rPr>
          <w:lang w:val="fr-FR"/>
        </w:rPr>
        <w:t xml:space="preserve"> le CWS</w:t>
      </w:r>
      <w:r w:rsidR="009A092B" w:rsidRPr="00F10E92">
        <w:rPr>
          <w:lang w:val="fr-FR"/>
        </w:rPr>
        <w:t xml:space="preserve"> </w:t>
      </w:r>
      <w:r w:rsidRPr="00F10E92">
        <w:rPr>
          <w:lang w:val="fr-FR"/>
        </w:rPr>
        <w:t>sont établis sur la base de la version</w:t>
      </w:r>
      <w:r w:rsidR="00E12F16">
        <w:rPr>
          <w:lang w:val="fr-FR"/>
        </w:rPr>
        <w:t> </w:t>
      </w:r>
      <w:r w:rsidRPr="00F10E92">
        <w:rPr>
          <w:lang w:val="fr-FR"/>
        </w:rPr>
        <w:t>2.0 du schéma XML de la norme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 xml:space="preserve">ST.96. </w:t>
      </w:r>
      <w:r w:rsidR="0013761E" w:rsidRPr="00F10E92">
        <w:rPr>
          <w:lang w:val="fr-FR"/>
        </w:rPr>
        <w:t xml:space="preserve"> </w:t>
      </w:r>
      <w:r w:rsidRPr="00F10E92">
        <w:rPr>
          <w:lang w:val="fr-FR"/>
        </w:rPr>
        <w:t xml:space="preserve">La proposition </w:t>
      </w:r>
      <w:r w:rsidR="00E66531" w:rsidRPr="00F10E92">
        <w:rPr>
          <w:lang w:val="fr-FR"/>
        </w:rPr>
        <w:t>pour</w:t>
      </w:r>
      <w:r w:rsidRPr="00F10E92">
        <w:rPr>
          <w:lang w:val="fr-FR"/>
        </w:rPr>
        <w:t xml:space="preserve">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a</w:t>
      </w:r>
      <w:r w:rsidR="00834487" w:rsidRPr="00F10E92">
        <w:rPr>
          <w:lang w:val="fr-FR"/>
        </w:rPr>
        <w:t>nnex</w:t>
      </w:r>
      <w:r w:rsidRPr="00F10E92">
        <w:rPr>
          <w:lang w:val="fr-FR"/>
        </w:rPr>
        <w:t>e</w:t>
      </w:r>
      <w:r w:rsidR="0013761E" w:rsidRPr="00F10E92">
        <w:rPr>
          <w:lang w:val="fr-FR"/>
        </w:rPr>
        <w:t> </w:t>
      </w:r>
      <w:r w:rsidR="00834487" w:rsidRPr="00F10E92">
        <w:rPr>
          <w:lang w:val="fr-FR"/>
        </w:rPr>
        <w:t xml:space="preserve">V, </w:t>
      </w:r>
      <w:r w:rsidRPr="00F10E92">
        <w:rPr>
          <w:lang w:val="fr-FR"/>
        </w:rPr>
        <w:t>qui contient deux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>a</w:t>
      </w:r>
      <w:r w:rsidR="009A092B" w:rsidRPr="00F10E92">
        <w:rPr>
          <w:lang w:val="fr-FR"/>
        </w:rPr>
        <w:t>ppendices</w:t>
      </w:r>
      <w:r w:rsidR="00834487" w:rsidRPr="00F10E92">
        <w:rPr>
          <w:lang w:val="fr-FR"/>
        </w:rPr>
        <w:t xml:space="preserve">, </w:t>
      </w:r>
      <w:r w:rsidRPr="00F10E92">
        <w:rPr>
          <w:lang w:val="fr-FR"/>
        </w:rPr>
        <w:t>fait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objet de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a</w:t>
      </w:r>
      <w:r w:rsidR="00834487" w:rsidRPr="00F10E92">
        <w:rPr>
          <w:lang w:val="fr-FR"/>
        </w:rPr>
        <w:t>nnex</w:t>
      </w:r>
      <w:r w:rsidRPr="00F10E92">
        <w:rPr>
          <w:lang w:val="fr-FR"/>
        </w:rPr>
        <w:t>e</w:t>
      </w:r>
      <w:r w:rsidR="0013761E" w:rsidRPr="00F10E92">
        <w:rPr>
          <w:lang w:val="fr-FR"/>
        </w:rPr>
        <w:t> </w:t>
      </w:r>
      <w:r w:rsidR="00834487" w:rsidRPr="00F10E92">
        <w:rPr>
          <w:lang w:val="fr-FR"/>
        </w:rPr>
        <w:t xml:space="preserve">I </w:t>
      </w:r>
      <w:r w:rsidRPr="00F10E92">
        <w:rPr>
          <w:lang w:val="fr-FR"/>
        </w:rPr>
        <w:t xml:space="preserve">du présent document et la proposition </w:t>
      </w:r>
      <w:r w:rsidR="00E66531" w:rsidRPr="00F10E92">
        <w:rPr>
          <w:lang w:val="fr-FR"/>
        </w:rPr>
        <w:t>pour</w:t>
      </w:r>
      <w:r w:rsidRPr="00F10E92">
        <w:rPr>
          <w:lang w:val="fr-FR"/>
        </w:rPr>
        <w:t xml:space="preserve">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a</w:t>
      </w:r>
      <w:r w:rsidR="00834487" w:rsidRPr="00F10E92">
        <w:rPr>
          <w:lang w:val="fr-FR"/>
        </w:rPr>
        <w:t>nnex</w:t>
      </w:r>
      <w:r w:rsidRPr="00F10E92">
        <w:rPr>
          <w:lang w:val="fr-FR"/>
        </w:rPr>
        <w:t>e</w:t>
      </w:r>
      <w:r w:rsidR="0013761E" w:rsidRPr="00F10E92">
        <w:rPr>
          <w:lang w:val="fr-FR"/>
        </w:rPr>
        <w:t> </w:t>
      </w:r>
      <w:r w:rsidR="00834487" w:rsidRPr="00F10E92">
        <w:rPr>
          <w:lang w:val="fr-FR"/>
        </w:rPr>
        <w:t xml:space="preserve">VI, </w:t>
      </w:r>
      <w:r w:rsidRPr="00F10E92">
        <w:rPr>
          <w:lang w:val="fr-FR"/>
        </w:rPr>
        <w:t>qui contient trois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>a</w:t>
      </w:r>
      <w:r w:rsidR="009A092B" w:rsidRPr="00F10E92">
        <w:rPr>
          <w:lang w:val="fr-FR"/>
        </w:rPr>
        <w:t>ppendices</w:t>
      </w:r>
      <w:r w:rsidR="006D20C3" w:rsidRPr="00F10E92">
        <w:rPr>
          <w:lang w:val="fr-FR"/>
        </w:rPr>
        <w:t xml:space="preserve">, </w:t>
      </w:r>
      <w:r w:rsidRPr="00F10E92">
        <w:rPr>
          <w:lang w:val="fr-FR"/>
        </w:rPr>
        <w:t>fait l</w:t>
      </w:r>
      <w:r w:rsidR="00AB5DFF" w:rsidRPr="00F10E92">
        <w:rPr>
          <w:lang w:val="fr-FR"/>
        </w:rPr>
        <w:t>’</w:t>
      </w:r>
      <w:r w:rsidR="0015696F" w:rsidRPr="00F10E92">
        <w:rPr>
          <w:lang w:val="fr-FR"/>
        </w:rPr>
        <w:t xml:space="preserve">objet de </w:t>
      </w:r>
      <w:r w:rsidR="00866F73">
        <w:rPr>
          <w:lang w:val="fr-FR"/>
        </w:rPr>
        <w:t>l’a</w:t>
      </w:r>
      <w:r w:rsidRPr="00F10E92">
        <w:rPr>
          <w:lang w:val="fr-FR"/>
        </w:rPr>
        <w:t>nnexe </w:t>
      </w:r>
      <w:r w:rsidR="006D20C3" w:rsidRPr="00F10E92">
        <w:rPr>
          <w:lang w:val="fr-FR"/>
        </w:rPr>
        <w:t>II.</w:t>
      </w:r>
    </w:p>
    <w:p w:rsidR="007239E6" w:rsidRPr="00F10E92" w:rsidRDefault="00CE20E6" w:rsidP="00FF6392">
      <w:pPr>
        <w:pStyle w:val="Heading2"/>
      </w:pPr>
      <w:r>
        <w:rPr>
          <w:caps w:val="0"/>
        </w:rPr>
        <w:t>ANNEXE V</w:t>
      </w:r>
      <w:r w:rsidRPr="00F10E92">
        <w:rPr>
          <w:caps w:val="0"/>
        </w:rPr>
        <w:t xml:space="preserve"> DE LA NORME</w:t>
      </w:r>
      <w:r>
        <w:rPr>
          <w:caps w:val="0"/>
        </w:rPr>
        <w:t> ST</w:t>
      </w:r>
      <w:r w:rsidRPr="00F10E92">
        <w:rPr>
          <w:caps w:val="0"/>
        </w:rPr>
        <w:t>.96</w:t>
      </w:r>
    </w:p>
    <w:p w:rsidR="007239E6" w:rsidRPr="00F10E92" w:rsidRDefault="0070489C" w:rsidP="00FF6392">
      <w:pPr>
        <w:pStyle w:val="ONUMFS"/>
        <w:rPr>
          <w:lang w:val="fr-FR"/>
        </w:rPr>
      </w:pPr>
      <w:r w:rsidRPr="00F10E92">
        <w:rPr>
          <w:lang w:val="fr-FR"/>
        </w:rPr>
        <w:t>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a</w:t>
      </w:r>
      <w:r w:rsidR="00834487" w:rsidRPr="00F10E92">
        <w:rPr>
          <w:lang w:val="fr-FR"/>
        </w:rPr>
        <w:t>nnex</w:t>
      </w:r>
      <w:r w:rsidRPr="00F10E92">
        <w:rPr>
          <w:lang w:val="fr-FR"/>
        </w:rPr>
        <w:t>e</w:t>
      </w:r>
      <w:r w:rsidR="00834487" w:rsidRPr="00F10E92">
        <w:rPr>
          <w:lang w:val="fr-FR"/>
        </w:rPr>
        <w:t xml:space="preserve"> V </w:t>
      </w:r>
      <w:r w:rsidRPr="00F10E92">
        <w:rPr>
          <w:lang w:val="fr-FR"/>
        </w:rPr>
        <w:t>de la norme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>ST.96,</w:t>
      </w:r>
      <w:r w:rsidR="00866F73">
        <w:rPr>
          <w:lang w:val="fr-FR"/>
        </w:rPr>
        <w:t xml:space="preserve"> intitulée</w:t>
      </w:r>
      <w:r w:rsidR="00834487" w:rsidRPr="00F10E92">
        <w:rPr>
          <w:lang w:val="fr-FR"/>
        </w:rPr>
        <w:t xml:space="preserve"> </w:t>
      </w:r>
      <w:r w:rsidR="004826A3" w:rsidRPr="00F10E92">
        <w:rPr>
          <w:i/>
          <w:lang w:val="fr-FR"/>
        </w:rPr>
        <w:t>Règles et principes d</w:t>
      </w:r>
      <w:r w:rsidR="00AB5DFF" w:rsidRPr="00F10E92">
        <w:rPr>
          <w:i/>
          <w:lang w:val="fr-FR"/>
        </w:rPr>
        <w:t>’</w:t>
      </w:r>
      <w:r w:rsidR="004826A3" w:rsidRPr="00F10E92">
        <w:rPr>
          <w:i/>
          <w:lang w:val="fr-FR"/>
        </w:rPr>
        <w:t>application</w:t>
      </w:r>
      <w:r w:rsidR="00834487" w:rsidRPr="00F10E92">
        <w:rPr>
          <w:lang w:val="fr-FR"/>
        </w:rPr>
        <w:t>,</w:t>
      </w:r>
      <w:r w:rsidR="00834487" w:rsidRPr="00F10E92">
        <w:rPr>
          <w:lang w:val="fr-FR" w:eastAsia="ko-KR"/>
        </w:rPr>
        <w:t xml:space="preserve"> </w:t>
      </w:r>
      <w:r w:rsidR="00FD6157" w:rsidRPr="00F10E92">
        <w:rPr>
          <w:lang w:val="fr-FR" w:eastAsia="ko-KR"/>
        </w:rPr>
        <w:t>vise à</w:t>
      </w:r>
      <w:r w:rsidR="004826A3" w:rsidRPr="00F10E92">
        <w:rPr>
          <w:lang w:val="fr-FR" w:eastAsia="ko-KR"/>
        </w:rPr>
        <w:t xml:space="preserve"> fournir des orientations en vue de la personnalisation des schémas XML définis à l</w:t>
      </w:r>
      <w:r w:rsidR="00AB5DFF" w:rsidRPr="00F10E92">
        <w:rPr>
          <w:lang w:val="fr-FR" w:eastAsia="ko-KR"/>
        </w:rPr>
        <w:t>’</w:t>
      </w:r>
      <w:r w:rsidR="004826A3" w:rsidRPr="00F10E92">
        <w:rPr>
          <w:lang w:val="fr-FR" w:eastAsia="ko-KR"/>
        </w:rPr>
        <w:t>annexe</w:t>
      </w:r>
      <w:r w:rsidR="00FD6F7C" w:rsidRPr="00F10E92">
        <w:rPr>
          <w:lang w:val="fr-FR" w:eastAsia="ko-KR"/>
        </w:rPr>
        <w:t> </w:t>
      </w:r>
      <w:r w:rsidR="004826A3" w:rsidRPr="00F10E92">
        <w:rPr>
          <w:lang w:val="fr-FR" w:eastAsia="ko-KR"/>
        </w:rPr>
        <w:t>III de la norme</w:t>
      </w:r>
      <w:r w:rsidR="00FD6F7C" w:rsidRPr="00F10E92">
        <w:rPr>
          <w:lang w:val="fr-FR" w:eastAsia="ko-KR"/>
        </w:rPr>
        <w:t> </w:t>
      </w:r>
      <w:r w:rsidR="004826A3" w:rsidRPr="00F10E92">
        <w:rPr>
          <w:lang w:val="fr-FR" w:eastAsia="ko-KR"/>
        </w:rPr>
        <w:t>ST.96, d</w:t>
      </w:r>
      <w:r w:rsidR="00AB5DFF" w:rsidRPr="00F10E92">
        <w:rPr>
          <w:lang w:val="fr-FR" w:eastAsia="ko-KR"/>
        </w:rPr>
        <w:t>’</w:t>
      </w:r>
      <w:r w:rsidR="00E66531" w:rsidRPr="00F10E92">
        <w:rPr>
          <w:lang w:val="fr-FR" w:eastAsia="ko-KR"/>
        </w:rPr>
        <w:t>une</w:t>
      </w:r>
      <w:r w:rsidR="004826A3" w:rsidRPr="00F10E92">
        <w:rPr>
          <w:lang w:val="fr-FR" w:eastAsia="ko-KR"/>
        </w:rPr>
        <w:t xml:space="preserve"> manière</w:t>
      </w:r>
      <w:r w:rsidR="00E66531" w:rsidRPr="00F10E92">
        <w:rPr>
          <w:lang w:val="fr-FR" w:eastAsia="ko-KR"/>
        </w:rPr>
        <w:t xml:space="preserve"> courante</w:t>
      </w:r>
      <w:r w:rsidR="004826A3" w:rsidRPr="00F10E92">
        <w:rPr>
          <w:lang w:val="fr-FR" w:eastAsia="ko-KR"/>
        </w:rPr>
        <w:t>, pour répondre à une exigence spécifique d</w:t>
      </w:r>
      <w:r w:rsidR="00AB5DFF" w:rsidRPr="00F10E92">
        <w:rPr>
          <w:lang w:val="fr-FR" w:eastAsia="ko-KR"/>
        </w:rPr>
        <w:t>’</w:t>
      </w:r>
      <w:r w:rsidR="004826A3" w:rsidRPr="00F10E92">
        <w:rPr>
          <w:lang w:val="fr-FR" w:eastAsia="ko-KR"/>
        </w:rPr>
        <w:t xml:space="preserve">un office de propriété </w:t>
      </w:r>
      <w:r w:rsidR="00641685" w:rsidRPr="00F10E92">
        <w:rPr>
          <w:lang w:val="fr-FR" w:eastAsia="ko-KR"/>
        </w:rPr>
        <w:t>industrielle</w:t>
      </w:r>
      <w:r w:rsidR="00FD6157" w:rsidRPr="00F10E92">
        <w:rPr>
          <w:lang w:val="fr-FR" w:eastAsia="ko-KR"/>
        </w:rPr>
        <w:t>,</w:t>
      </w:r>
      <w:r w:rsidR="004826A3" w:rsidRPr="00F10E92">
        <w:rPr>
          <w:lang w:val="fr-FR" w:eastAsia="ko-KR"/>
        </w:rPr>
        <w:t xml:space="preserve"> bien que le schéma de la norme</w:t>
      </w:r>
      <w:r w:rsidR="00FD6F7C" w:rsidRPr="00F10E92">
        <w:rPr>
          <w:lang w:val="fr-FR" w:eastAsia="ko-KR"/>
        </w:rPr>
        <w:t> </w:t>
      </w:r>
      <w:r w:rsidR="004826A3" w:rsidRPr="00F10E92">
        <w:rPr>
          <w:lang w:val="fr-FR" w:eastAsia="ko-KR"/>
        </w:rPr>
        <w:t xml:space="preserve">ST.96 puisse dans de nombreux cas être </w:t>
      </w:r>
      <w:r w:rsidR="004826A3" w:rsidRPr="00F10E92">
        <w:rPr>
          <w:lang w:val="fr-FR" w:eastAsia="ko-KR"/>
        </w:rPr>
        <w:lastRenderedPageBreak/>
        <w:t xml:space="preserve">utilisé “tel quel”.  Cependant, les offices de propriété </w:t>
      </w:r>
      <w:r w:rsidR="00641685" w:rsidRPr="00F10E92">
        <w:rPr>
          <w:lang w:val="fr-FR" w:eastAsia="ko-KR"/>
        </w:rPr>
        <w:t>industrielle</w:t>
      </w:r>
      <w:r w:rsidR="004826A3" w:rsidRPr="00F10E92">
        <w:rPr>
          <w:lang w:val="fr-FR" w:eastAsia="ko-KR"/>
        </w:rPr>
        <w:t xml:space="preserve"> </w:t>
      </w:r>
      <w:r w:rsidR="00E66531" w:rsidRPr="00F10E92">
        <w:rPr>
          <w:lang w:val="fr-FR" w:eastAsia="ko-KR"/>
        </w:rPr>
        <w:t>peuvent</w:t>
      </w:r>
      <w:r w:rsidR="004826A3" w:rsidRPr="00F10E92">
        <w:rPr>
          <w:lang w:val="fr-FR" w:eastAsia="ko-KR"/>
        </w:rPr>
        <w:t xml:space="preserve"> avoir à traiter des types d</w:t>
      </w:r>
      <w:r w:rsidR="00AB5DFF" w:rsidRPr="00F10E92">
        <w:rPr>
          <w:lang w:val="fr-FR" w:eastAsia="ko-KR"/>
        </w:rPr>
        <w:t>’</w:t>
      </w:r>
      <w:r w:rsidR="004826A3" w:rsidRPr="00F10E92">
        <w:rPr>
          <w:lang w:val="fr-FR" w:eastAsia="ko-KR"/>
        </w:rPr>
        <w:t xml:space="preserve">utilisation </w:t>
      </w:r>
      <w:r w:rsidR="00E66531" w:rsidRPr="00F10E92">
        <w:rPr>
          <w:lang w:val="fr-FR" w:eastAsia="ko-KR"/>
        </w:rPr>
        <w:t xml:space="preserve">pour lesquels les </w:t>
      </w:r>
      <w:r w:rsidR="00660ECB" w:rsidRPr="00F10E92">
        <w:rPr>
          <w:lang w:val="fr-FR" w:eastAsia="ko-KR"/>
        </w:rPr>
        <w:t>schémas XML de la norme</w:t>
      </w:r>
      <w:r w:rsidR="00FD6F7C" w:rsidRPr="00F10E92">
        <w:rPr>
          <w:lang w:val="fr-FR" w:eastAsia="ko-KR"/>
        </w:rPr>
        <w:t> </w:t>
      </w:r>
      <w:r w:rsidR="00660ECB" w:rsidRPr="00F10E92">
        <w:rPr>
          <w:lang w:val="fr-FR" w:eastAsia="ko-KR"/>
        </w:rPr>
        <w:t xml:space="preserve">ST.96 </w:t>
      </w:r>
      <w:r w:rsidR="00E66531" w:rsidRPr="00F10E92">
        <w:rPr>
          <w:lang w:val="fr-FR" w:eastAsia="ko-KR"/>
        </w:rPr>
        <w:t xml:space="preserve">ne permettent pas de répondre aux exigences </w:t>
      </w:r>
      <w:r w:rsidR="004826A3" w:rsidRPr="00F10E92">
        <w:rPr>
          <w:lang w:val="fr-FR" w:eastAsia="ko-KR"/>
        </w:rPr>
        <w:t>et l</w:t>
      </w:r>
      <w:r w:rsidR="00AB5DFF" w:rsidRPr="00F10E92">
        <w:rPr>
          <w:lang w:val="fr-FR" w:eastAsia="ko-KR"/>
        </w:rPr>
        <w:t>’</w:t>
      </w:r>
      <w:r w:rsidR="004826A3" w:rsidRPr="00F10E92">
        <w:rPr>
          <w:lang w:val="fr-FR" w:eastAsia="ko-KR"/>
        </w:rPr>
        <w:t>annexe</w:t>
      </w:r>
      <w:r w:rsidR="00FD6F7C" w:rsidRPr="00F10E92">
        <w:rPr>
          <w:lang w:val="fr-FR" w:eastAsia="ko-KR"/>
        </w:rPr>
        <w:t> </w:t>
      </w:r>
      <w:r w:rsidR="004826A3" w:rsidRPr="00F10E92">
        <w:rPr>
          <w:lang w:val="fr-FR" w:eastAsia="ko-KR"/>
        </w:rPr>
        <w:t xml:space="preserve">V </w:t>
      </w:r>
      <w:r w:rsidR="00FD6157" w:rsidRPr="00F10E92">
        <w:rPr>
          <w:lang w:val="fr-FR" w:eastAsia="ko-KR"/>
        </w:rPr>
        <w:t xml:space="preserve">vise à fournir </w:t>
      </w:r>
      <w:r w:rsidR="00660ECB" w:rsidRPr="00F10E92">
        <w:rPr>
          <w:lang w:val="fr-FR" w:eastAsia="ko-KR"/>
        </w:rPr>
        <w:t xml:space="preserve">aux offices des orientations </w:t>
      </w:r>
      <w:r w:rsidR="004826A3" w:rsidRPr="00F10E92">
        <w:rPr>
          <w:lang w:val="fr-FR" w:eastAsia="ko-KR"/>
        </w:rPr>
        <w:t>sur la manière d</w:t>
      </w:r>
      <w:r w:rsidR="00AB5DFF" w:rsidRPr="00F10E92">
        <w:rPr>
          <w:lang w:val="fr-FR" w:eastAsia="ko-KR"/>
        </w:rPr>
        <w:t>’</w:t>
      </w:r>
      <w:r w:rsidR="004826A3" w:rsidRPr="00F10E92">
        <w:rPr>
          <w:lang w:val="fr-FR" w:eastAsia="ko-KR"/>
        </w:rPr>
        <w:t>établir leurs schémas sur la base de</w:t>
      </w:r>
      <w:r w:rsidR="00660ECB" w:rsidRPr="00F10E92">
        <w:rPr>
          <w:lang w:val="fr-FR" w:eastAsia="ko-KR"/>
        </w:rPr>
        <w:t xml:space="preserve"> ceux </w:t>
      </w:r>
      <w:r w:rsidR="004826A3" w:rsidRPr="00F10E92">
        <w:rPr>
          <w:lang w:val="fr-FR" w:eastAsia="ko-KR"/>
        </w:rPr>
        <w:t>de la norme</w:t>
      </w:r>
      <w:r w:rsidR="00FD6F7C" w:rsidRPr="00F10E92">
        <w:rPr>
          <w:lang w:val="fr-FR" w:eastAsia="ko-KR"/>
        </w:rPr>
        <w:t> </w:t>
      </w:r>
      <w:r w:rsidR="004826A3" w:rsidRPr="00F10E92">
        <w:rPr>
          <w:lang w:val="fr-FR" w:eastAsia="ko-KR"/>
        </w:rPr>
        <w:t>ST.96 et d</w:t>
      </w:r>
      <w:r w:rsidR="00AB5DFF" w:rsidRPr="00F10E92">
        <w:rPr>
          <w:lang w:val="fr-FR" w:eastAsia="ko-KR"/>
        </w:rPr>
        <w:t>’</w:t>
      </w:r>
      <w:r w:rsidR="004826A3" w:rsidRPr="00F10E92">
        <w:rPr>
          <w:lang w:val="fr-FR" w:eastAsia="ko-KR"/>
        </w:rPr>
        <w:t>autres ressources XML.</w:t>
      </w:r>
    </w:p>
    <w:p w:rsidR="007239E6" w:rsidRPr="00F10E92" w:rsidRDefault="00660ECB" w:rsidP="00FF6392">
      <w:pPr>
        <w:pStyle w:val="ONUMFS"/>
        <w:rPr>
          <w:lang w:val="fr-FR"/>
        </w:rPr>
      </w:pPr>
      <w:r w:rsidRPr="00F10E92">
        <w:rPr>
          <w:lang w:val="fr-FR"/>
        </w:rPr>
        <w:t>Il existe deux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 xml:space="preserve">types de schémas de personnalisation, </w:t>
      </w:r>
      <w:r w:rsidR="00AB5DFF" w:rsidRPr="00F10E92">
        <w:rPr>
          <w:lang w:val="fr-FR"/>
        </w:rPr>
        <w:t>à savoir</w:t>
      </w:r>
      <w:r w:rsidRPr="00F10E92">
        <w:rPr>
          <w:lang w:val="fr-FR"/>
        </w:rPr>
        <w:t xml:space="preserve"> le schéma compatible </w:t>
      </w:r>
      <w:r w:rsidR="00E66531" w:rsidRPr="00F10E92">
        <w:rPr>
          <w:lang w:val="fr-FR"/>
        </w:rPr>
        <w:t>avec la norme</w:t>
      </w:r>
      <w:r w:rsidR="00FD6F7C" w:rsidRPr="00F10E92">
        <w:rPr>
          <w:lang w:val="fr-FR"/>
        </w:rPr>
        <w:t> </w:t>
      </w:r>
      <w:r w:rsidR="00E66531" w:rsidRPr="00F10E92">
        <w:rPr>
          <w:lang w:val="fr-FR"/>
        </w:rPr>
        <w:t xml:space="preserve">ST.96 </w:t>
      </w:r>
      <w:r w:rsidRPr="00F10E92">
        <w:rPr>
          <w:lang w:val="fr-FR"/>
        </w:rPr>
        <w:t>et le schéma conforme à la norme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>ST.96 de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O</w:t>
      </w:r>
      <w:r w:rsidR="00F10E92" w:rsidRPr="00F10E92">
        <w:rPr>
          <w:lang w:val="fr-FR"/>
        </w:rPr>
        <w:t>MPI.  Lo</w:t>
      </w:r>
      <w:r w:rsidR="00FD6157" w:rsidRPr="00F10E92">
        <w:rPr>
          <w:lang w:val="fr-FR"/>
        </w:rPr>
        <w:t>rs</w:t>
      </w:r>
      <w:r w:rsidRPr="00F10E92">
        <w:rPr>
          <w:lang w:val="fr-FR"/>
        </w:rPr>
        <w:t>qu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 xml:space="preserve">un office de propriété </w:t>
      </w:r>
      <w:r w:rsidR="00641685" w:rsidRPr="00F10E92">
        <w:rPr>
          <w:lang w:val="fr-FR"/>
        </w:rPr>
        <w:t>industrielle</w:t>
      </w:r>
      <w:r w:rsidRPr="00F10E92">
        <w:rPr>
          <w:lang w:val="fr-FR"/>
        </w:rPr>
        <w:t xml:space="preserve"> décide de personnaliser le schéma</w:t>
      </w:r>
      <w:r w:rsidR="00E12F16">
        <w:rPr>
          <w:lang w:val="fr-FR"/>
        </w:rPr>
        <w:t> </w:t>
      </w:r>
      <w:r w:rsidRPr="00F10E92">
        <w:rPr>
          <w:lang w:val="fr-FR"/>
        </w:rPr>
        <w:t xml:space="preserve">ST.96, il doit décider si le résultat sera </w:t>
      </w:r>
      <w:r w:rsidRPr="00F10E92">
        <w:rPr>
          <w:i/>
          <w:lang w:val="fr-FR"/>
        </w:rPr>
        <w:t>conforme</w:t>
      </w:r>
      <w:r w:rsidRPr="00F10E92">
        <w:rPr>
          <w:lang w:val="fr-FR"/>
        </w:rPr>
        <w:t xml:space="preserve"> à la norme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 xml:space="preserve">ST.96 ou </w:t>
      </w:r>
      <w:r w:rsidRPr="00F10E92">
        <w:rPr>
          <w:i/>
          <w:lang w:val="fr-FR"/>
        </w:rPr>
        <w:t>compatible</w:t>
      </w:r>
      <w:r w:rsidRPr="00F10E92">
        <w:rPr>
          <w:lang w:val="fr-FR"/>
        </w:rPr>
        <w:t xml:space="preserve"> avec el</w:t>
      </w:r>
      <w:r w:rsidR="00F10E92" w:rsidRPr="00F10E92">
        <w:rPr>
          <w:lang w:val="fr-FR"/>
        </w:rPr>
        <w:t>le.  L’a</w:t>
      </w:r>
      <w:r w:rsidRPr="00F10E92">
        <w:rPr>
          <w:lang w:val="fr-FR"/>
        </w:rPr>
        <w:t>nnexe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>V contient une série complète de règles et de principes d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application pour la personnalisation et l</w:t>
      </w:r>
      <w:r w:rsidR="00AB5DFF" w:rsidRPr="00F10E92">
        <w:rPr>
          <w:lang w:val="fr-FR"/>
        </w:rPr>
        <w:t>’</w:t>
      </w:r>
      <w:r w:rsidR="00866F73">
        <w:rPr>
          <w:lang w:val="fr-FR"/>
        </w:rPr>
        <w:t>application des schémas </w:t>
      </w:r>
      <w:r w:rsidRPr="00F10E92">
        <w:rPr>
          <w:lang w:val="fr-FR"/>
        </w:rPr>
        <w:t>XML de la norme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>ST.96.</w:t>
      </w:r>
      <w:r w:rsidR="00CE3B6A" w:rsidRPr="00F10E92">
        <w:rPr>
          <w:lang w:val="fr-FR"/>
        </w:rPr>
        <w:t xml:space="preserve">  En outre, afin d</w:t>
      </w:r>
      <w:r w:rsidR="00AB5DFF" w:rsidRPr="00F10E92">
        <w:rPr>
          <w:lang w:val="fr-FR"/>
        </w:rPr>
        <w:t>’</w:t>
      </w:r>
      <w:r w:rsidR="00CE3B6A" w:rsidRPr="00F10E92">
        <w:rPr>
          <w:lang w:val="fr-FR"/>
        </w:rPr>
        <w:t>aider les offices à l</w:t>
      </w:r>
      <w:r w:rsidR="00AB5DFF" w:rsidRPr="00F10E92">
        <w:rPr>
          <w:lang w:val="fr-FR"/>
        </w:rPr>
        <w:t>’</w:t>
      </w:r>
      <w:r w:rsidR="00CE3B6A" w:rsidRPr="00F10E92">
        <w:rPr>
          <w:lang w:val="fr-FR"/>
        </w:rPr>
        <w:t>aide d</w:t>
      </w:r>
      <w:r w:rsidR="00AB5DFF" w:rsidRPr="00F10E92">
        <w:rPr>
          <w:lang w:val="fr-FR"/>
        </w:rPr>
        <w:t>’</w:t>
      </w:r>
      <w:r w:rsidR="00CE3B6A" w:rsidRPr="00F10E92">
        <w:rPr>
          <w:lang w:val="fr-FR"/>
        </w:rPr>
        <w:t xml:space="preserve">exemples concrets, </w:t>
      </w:r>
      <w:r w:rsidR="00E66531" w:rsidRPr="00F10E92">
        <w:rPr>
          <w:lang w:val="fr-FR"/>
        </w:rPr>
        <w:t>elle contient deux</w:t>
      </w:r>
      <w:r w:rsidR="00FD6F7C" w:rsidRPr="00F10E92">
        <w:rPr>
          <w:lang w:val="fr-FR"/>
        </w:rPr>
        <w:t> </w:t>
      </w:r>
      <w:r w:rsidR="00E66531" w:rsidRPr="00F10E92">
        <w:rPr>
          <w:lang w:val="fr-FR"/>
        </w:rPr>
        <w:t>appendices :</w:t>
      </w:r>
      <w:r w:rsidR="00CE3B6A" w:rsidRPr="00F10E92">
        <w:rPr>
          <w:lang w:val="fr-FR"/>
        </w:rPr>
        <w:t xml:space="preserve"> l</w:t>
      </w:r>
      <w:r w:rsidR="00AB5DFF" w:rsidRPr="00F10E92">
        <w:rPr>
          <w:lang w:val="fr-FR"/>
        </w:rPr>
        <w:t>’</w:t>
      </w:r>
      <w:r w:rsidR="00CE3B6A" w:rsidRPr="00F10E92">
        <w:rPr>
          <w:lang w:val="fr-FR"/>
        </w:rPr>
        <w:t>appendice</w:t>
      </w:r>
      <w:r w:rsidR="003A214A">
        <w:rPr>
          <w:lang w:val="fr-FR"/>
        </w:rPr>
        <w:t> </w:t>
      </w:r>
      <w:r w:rsidR="00CE3B6A" w:rsidRPr="00F10E92">
        <w:rPr>
          <w:lang w:val="fr-FR"/>
        </w:rPr>
        <w:t>A pour les exemples de schémas conformes à la norme</w:t>
      </w:r>
      <w:r w:rsidR="00FD6F7C" w:rsidRPr="00F10E92">
        <w:rPr>
          <w:lang w:val="fr-FR"/>
        </w:rPr>
        <w:t> </w:t>
      </w:r>
      <w:r w:rsidR="00CE3B6A" w:rsidRPr="00F10E92">
        <w:rPr>
          <w:lang w:val="fr-FR"/>
        </w:rPr>
        <w:t>ST.96 et l</w:t>
      </w:r>
      <w:r w:rsidR="00AB5DFF" w:rsidRPr="00F10E92">
        <w:rPr>
          <w:lang w:val="fr-FR"/>
        </w:rPr>
        <w:t>’</w:t>
      </w:r>
      <w:r w:rsidR="00CE3B6A" w:rsidRPr="00F10E92">
        <w:rPr>
          <w:lang w:val="fr-FR"/>
        </w:rPr>
        <w:t>appendice</w:t>
      </w:r>
      <w:r w:rsidR="003A214A">
        <w:rPr>
          <w:lang w:val="fr-FR"/>
        </w:rPr>
        <w:t> </w:t>
      </w:r>
      <w:r w:rsidR="00CE3B6A" w:rsidRPr="00F10E92">
        <w:rPr>
          <w:lang w:val="fr-FR"/>
        </w:rPr>
        <w:t>B pour les exemples de schémas compatibles avec la norme</w:t>
      </w:r>
      <w:r w:rsidR="00FD6F7C" w:rsidRPr="00F10E92">
        <w:rPr>
          <w:lang w:val="fr-FR"/>
        </w:rPr>
        <w:t> </w:t>
      </w:r>
      <w:r w:rsidR="00CE3B6A" w:rsidRPr="00F10E92">
        <w:rPr>
          <w:lang w:val="fr-FR"/>
        </w:rPr>
        <w:t>ST.96.</w:t>
      </w:r>
    </w:p>
    <w:p w:rsidR="007239E6" w:rsidRPr="00F10E92" w:rsidRDefault="00CE3B6A" w:rsidP="00FF6392">
      <w:pPr>
        <w:pStyle w:val="ONUMFS"/>
        <w:rPr>
          <w:lang w:val="fr-FR"/>
        </w:rPr>
      </w:pPr>
      <w:r w:rsidRPr="00F10E92">
        <w:rPr>
          <w:lang w:val="fr-FR"/>
        </w:rPr>
        <w:t xml:space="preserve">Par ailleurs, </w:t>
      </w:r>
      <w:r w:rsidR="00834487" w:rsidRPr="00F10E92">
        <w:rPr>
          <w:i/>
          <w:lang w:val="fr-FR"/>
        </w:rPr>
        <w:t>ST96XSDValicator</w:t>
      </w:r>
      <w:r w:rsidR="00A14484" w:rsidRPr="00F10E92">
        <w:rPr>
          <w:lang w:val="fr-FR"/>
        </w:rPr>
        <w:t xml:space="preserve"> </w:t>
      </w:r>
      <w:r w:rsidRPr="00F10E92">
        <w:rPr>
          <w:lang w:val="fr-FR"/>
        </w:rPr>
        <w:t>fait désormais partie de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a</w:t>
      </w:r>
      <w:r w:rsidR="00A14484" w:rsidRPr="00F10E92">
        <w:rPr>
          <w:lang w:val="fr-FR"/>
        </w:rPr>
        <w:t>nnex</w:t>
      </w:r>
      <w:r w:rsidRPr="00F10E92">
        <w:rPr>
          <w:lang w:val="fr-FR"/>
        </w:rPr>
        <w:t>e</w:t>
      </w:r>
      <w:r w:rsidR="00A14484" w:rsidRPr="00F10E92">
        <w:rPr>
          <w:lang w:val="fr-FR"/>
        </w:rPr>
        <w:t> </w:t>
      </w:r>
      <w:r w:rsidR="00834487" w:rsidRPr="00F10E92">
        <w:rPr>
          <w:lang w:val="fr-FR"/>
        </w:rPr>
        <w:t>V.</w:t>
      </w:r>
      <w:r w:rsidR="003A214A">
        <w:rPr>
          <w:lang w:val="fr-FR"/>
        </w:rPr>
        <w:t xml:space="preserve">  </w:t>
      </w:r>
      <w:r w:rsidRPr="00F10E92">
        <w:rPr>
          <w:lang w:val="fr-FR"/>
        </w:rPr>
        <w:t>Il s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agit d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 xml:space="preserve">un outil qui utilise </w:t>
      </w:r>
      <w:proofErr w:type="spellStart"/>
      <w:r w:rsidR="00834487" w:rsidRPr="00F10E92">
        <w:rPr>
          <w:i/>
          <w:lang w:val="fr-FR"/>
        </w:rPr>
        <w:t>Schematron</w:t>
      </w:r>
      <w:proofErr w:type="spellEnd"/>
      <w:r w:rsidR="00834487" w:rsidRPr="00F10E92">
        <w:rPr>
          <w:lang w:val="fr-FR"/>
        </w:rPr>
        <w:t xml:space="preserve"> </w:t>
      </w:r>
      <w:r w:rsidRPr="00F10E92">
        <w:rPr>
          <w:lang w:val="fr-FR"/>
        </w:rPr>
        <w:t xml:space="preserve">pour valider le schéma </w:t>
      </w:r>
      <w:r w:rsidR="00834487" w:rsidRPr="00F10E92">
        <w:rPr>
          <w:lang w:val="fr-FR"/>
        </w:rPr>
        <w:t xml:space="preserve">XML </w:t>
      </w:r>
      <w:r w:rsidR="00FD6157" w:rsidRPr="00F10E92">
        <w:rPr>
          <w:lang w:val="fr-FR"/>
        </w:rPr>
        <w:t>en fonction des</w:t>
      </w:r>
      <w:r w:rsidRPr="00F10E92">
        <w:rPr>
          <w:lang w:val="fr-FR"/>
        </w:rPr>
        <w:t xml:space="preserve"> </w:t>
      </w:r>
      <w:r w:rsidRPr="00F10E92">
        <w:rPr>
          <w:i/>
          <w:lang w:val="fr-FR"/>
        </w:rPr>
        <w:t>Règles et conventions de conception XML de la norme</w:t>
      </w:r>
      <w:r w:rsidR="00FD6F7C" w:rsidRPr="00F10E92">
        <w:rPr>
          <w:i/>
          <w:lang w:val="fr-FR"/>
        </w:rPr>
        <w:t> </w:t>
      </w:r>
      <w:r w:rsidR="00834487" w:rsidRPr="00F10E92">
        <w:rPr>
          <w:i/>
          <w:lang w:val="fr-FR"/>
        </w:rPr>
        <w:t xml:space="preserve">ST.96 </w:t>
      </w:r>
      <w:r w:rsidR="00834487" w:rsidRPr="00F10E92">
        <w:rPr>
          <w:lang w:val="fr-FR"/>
        </w:rPr>
        <w:t>(</w:t>
      </w:r>
      <w:r w:rsidRPr="00F10E92">
        <w:rPr>
          <w:lang w:val="fr-FR"/>
        </w:rPr>
        <w:t>a</w:t>
      </w:r>
      <w:r w:rsidR="00834487" w:rsidRPr="00F10E92">
        <w:rPr>
          <w:lang w:val="fr-FR"/>
        </w:rPr>
        <w:t>nnex</w:t>
      </w:r>
      <w:r w:rsidRPr="00F10E92">
        <w:rPr>
          <w:lang w:val="fr-FR"/>
        </w:rPr>
        <w:t>e</w:t>
      </w:r>
      <w:r w:rsidR="00A14484" w:rsidRPr="00F10E92">
        <w:rPr>
          <w:lang w:val="fr-FR"/>
        </w:rPr>
        <w:t> </w:t>
      </w:r>
      <w:r w:rsidR="00834487" w:rsidRPr="00F10E92">
        <w:rPr>
          <w:lang w:val="fr-FR"/>
        </w:rPr>
        <w:t xml:space="preserve">I </w:t>
      </w:r>
      <w:r w:rsidRPr="00F10E92">
        <w:rPr>
          <w:lang w:val="fr-FR"/>
        </w:rPr>
        <w:t>de la norme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 xml:space="preserve">ST.96). </w:t>
      </w:r>
      <w:r w:rsidR="00A14484" w:rsidRPr="00F10E92">
        <w:rPr>
          <w:lang w:val="fr-FR"/>
        </w:rPr>
        <w:t xml:space="preserve"> </w:t>
      </w:r>
      <w:r w:rsidR="00866A86" w:rsidRPr="00F10E92">
        <w:rPr>
          <w:lang w:val="fr-FR"/>
        </w:rPr>
        <w:t xml:space="preserve">Il est très pratique pour </w:t>
      </w:r>
      <w:r w:rsidR="00ED6C09" w:rsidRPr="00F10E92">
        <w:rPr>
          <w:lang w:val="fr-FR"/>
        </w:rPr>
        <w:t xml:space="preserve">la </w:t>
      </w:r>
      <w:r w:rsidR="00364173" w:rsidRPr="00F10E92">
        <w:rPr>
          <w:lang w:val="fr-FR"/>
        </w:rPr>
        <w:t xml:space="preserve">validation par les </w:t>
      </w:r>
      <w:r w:rsidR="00866A86" w:rsidRPr="00F10E92">
        <w:rPr>
          <w:lang w:val="fr-FR"/>
        </w:rPr>
        <w:t xml:space="preserve">offices de propriété </w:t>
      </w:r>
      <w:r w:rsidR="00641685" w:rsidRPr="00F10E92">
        <w:rPr>
          <w:lang w:val="fr-FR"/>
        </w:rPr>
        <w:t>industrielle</w:t>
      </w:r>
      <w:r w:rsidR="00866A86" w:rsidRPr="00F10E92">
        <w:rPr>
          <w:lang w:val="fr-FR"/>
        </w:rPr>
        <w:t xml:space="preserve"> </w:t>
      </w:r>
      <w:r w:rsidR="00364173" w:rsidRPr="00F10E92">
        <w:rPr>
          <w:lang w:val="fr-FR"/>
        </w:rPr>
        <w:t xml:space="preserve">de </w:t>
      </w:r>
      <w:r w:rsidR="00866A86" w:rsidRPr="00F10E92">
        <w:rPr>
          <w:lang w:val="fr-FR"/>
        </w:rPr>
        <w:t>l</w:t>
      </w:r>
      <w:r w:rsidR="00AB5DFF" w:rsidRPr="00F10E92">
        <w:rPr>
          <w:lang w:val="fr-FR"/>
        </w:rPr>
        <w:t>’</w:t>
      </w:r>
      <w:r w:rsidR="00866A86" w:rsidRPr="00F10E92">
        <w:rPr>
          <w:lang w:val="fr-FR"/>
        </w:rPr>
        <w:t xml:space="preserve">application de leur schéma </w:t>
      </w:r>
      <w:r w:rsidR="00834487" w:rsidRPr="00F10E92">
        <w:rPr>
          <w:lang w:val="fr-FR"/>
        </w:rPr>
        <w:t xml:space="preserve">XML </w:t>
      </w:r>
      <w:r w:rsidR="00FD6157" w:rsidRPr="00F10E92">
        <w:rPr>
          <w:lang w:val="fr-FR"/>
        </w:rPr>
        <w:t xml:space="preserve">en fonction de </w:t>
      </w:r>
      <w:r w:rsidR="00866A86" w:rsidRPr="00F10E92">
        <w:rPr>
          <w:lang w:val="fr-FR"/>
        </w:rPr>
        <w:t>la norme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>ST.96.</w:t>
      </w:r>
    </w:p>
    <w:p w:rsidR="007239E6" w:rsidRPr="00FF6392" w:rsidRDefault="00CE20E6" w:rsidP="00FF6392">
      <w:pPr>
        <w:pStyle w:val="Heading2"/>
      </w:pPr>
      <w:r w:rsidRPr="00FF6392">
        <w:rPr>
          <w:caps w:val="0"/>
        </w:rPr>
        <w:t>ANNEXE VI DE LA NORME ST.96</w:t>
      </w:r>
    </w:p>
    <w:p w:rsidR="00AB5DFF" w:rsidRPr="00F10E92" w:rsidRDefault="00364173" w:rsidP="00FF6392">
      <w:pPr>
        <w:pStyle w:val="ONUMFS"/>
        <w:rPr>
          <w:lang w:val="fr-FR"/>
        </w:rPr>
      </w:pPr>
      <w:r w:rsidRPr="00F10E92">
        <w:rPr>
          <w:lang w:val="fr-FR"/>
        </w:rPr>
        <w:t>Avant l</w:t>
      </w:r>
      <w:r w:rsidR="00AB5DFF" w:rsidRPr="00F10E92">
        <w:rPr>
          <w:lang w:val="fr-FR"/>
        </w:rPr>
        <w:t>’</w:t>
      </w:r>
      <w:r w:rsidR="00834487" w:rsidRPr="00F10E92">
        <w:rPr>
          <w:lang w:val="fr-FR"/>
        </w:rPr>
        <w:t xml:space="preserve">adoption </w:t>
      </w:r>
      <w:r w:rsidRPr="00F10E92">
        <w:rPr>
          <w:lang w:val="fr-FR"/>
        </w:rPr>
        <w:t>de la norme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>ST.96</w:t>
      </w:r>
      <w:r w:rsidRPr="00F10E92">
        <w:rPr>
          <w:lang w:val="fr-FR"/>
        </w:rPr>
        <w:t xml:space="preserve"> de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OMPI</w:t>
      </w:r>
      <w:r w:rsidR="00834487" w:rsidRPr="00F10E92">
        <w:rPr>
          <w:lang w:val="fr-FR"/>
        </w:rPr>
        <w:t xml:space="preserve">, </w:t>
      </w:r>
      <w:r w:rsidRPr="00F10E92">
        <w:rPr>
          <w:lang w:val="fr-FR"/>
        </w:rPr>
        <w:t>les normes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 xml:space="preserve">ST.36, ST.66 </w:t>
      </w:r>
      <w:r w:rsidRPr="00F10E92">
        <w:rPr>
          <w:lang w:val="fr-FR"/>
        </w:rPr>
        <w:t>et</w:t>
      </w:r>
      <w:r w:rsidR="00834487" w:rsidRPr="00F10E92">
        <w:rPr>
          <w:lang w:val="fr-FR"/>
        </w:rPr>
        <w:t xml:space="preserve"> ST.86 </w:t>
      </w:r>
      <w:r w:rsidRPr="00F10E92">
        <w:rPr>
          <w:lang w:val="fr-FR"/>
        </w:rPr>
        <w:t>de 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 xml:space="preserve">OMPI </w:t>
      </w:r>
      <w:r w:rsidR="00866F73">
        <w:rPr>
          <w:lang w:val="fr-FR"/>
        </w:rPr>
        <w:t>ét</w:t>
      </w:r>
      <w:r w:rsidRPr="00F10E92">
        <w:rPr>
          <w:lang w:val="fr-FR"/>
        </w:rPr>
        <w:t xml:space="preserve">aient déjà </w:t>
      </w:r>
      <w:r w:rsidR="00D861FF" w:rsidRPr="00F10E92">
        <w:rPr>
          <w:lang w:val="fr-FR"/>
        </w:rPr>
        <w:t xml:space="preserve">utilisées par les offices de propriété </w:t>
      </w:r>
      <w:r w:rsidR="00641685" w:rsidRPr="00F10E92">
        <w:rPr>
          <w:lang w:val="fr-FR"/>
        </w:rPr>
        <w:t>industriel</w:t>
      </w:r>
      <w:r w:rsidR="00F10E92" w:rsidRPr="00F10E92">
        <w:rPr>
          <w:lang w:val="fr-FR"/>
        </w:rPr>
        <w:t>le.  Gé</w:t>
      </w:r>
      <w:r w:rsidR="00B53EAC" w:rsidRPr="00F10E92">
        <w:rPr>
          <w:lang w:val="fr-FR"/>
        </w:rPr>
        <w:t xml:space="preserve">rer les possibilités de conversion avec les </w:t>
      </w:r>
      <w:r w:rsidR="00F37F60" w:rsidRPr="00F10E92">
        <w:rPr>
          <w:lang w:val="fr-FR"/>
        </w:rPr>
        <w:t>instances</w:t>
      </w:r>
      <w:r w:rsidR="00B53EAC" w:rsidRPr="00F10E92">
        <w:rPr>
          <w:lang w:val="fr-FR"/>
        </w:rPr>
        <w:t xml:space="preserve"> XML conformes à ces normes était donc l</w:t>
      </w:r>
      <w:r w:rsidR="00AB5DFF" w:rsidRPr="00F10E92">
        <w:rPr>
          <w:lang w:val="fr-FR"/>
        </w:rPr>
        <w:t>’</w:t>
      </w:r>
      <w:r w:rsidR="00B53EAC" w:rsidRPr="00F10E92">
        <w:rPr>
          <w:lang w:val="fr-FR"/>
        </w:rPr>
        <w:t>une des préoccupations principales de l</w:t>
      </w:r>
      <w:r w:rsidR="00AB5DFF" w:rsidRPr="00F10E92">
        <w:rPr>
          <w:lang w:val="fr-FR"/>
        </w:rPr>
        <w:t>’</w:t>
      </w:r>
      <w:r w:rsidR="007239E6" w:rsidRPr="00F10E92">
        <w:rPr>
          <w:lang w:val="fr-FR"/>
        </w:rPr>
        <w:t>équipe d</w:t>
      </w:r>
      <w:r w:rsidR="00AB5DFF" w:rsidRPr="00F10E92">
        <w:rPr>
          <w:lang w:val="fr-FR"/>
        </w:rPr>
        <w:t>’</w:t>
      </w:r>
      <w:r w:rsidR="007239E6" w:rsidRPr="00F10E92">
        <w:rPr>
          <w:lang w:val="fr-FR"/>
        </w:rPr>
        <w:t>exp</w:t>
      </w:r>
      <w:r w:rsidR="00B53EAC" w:rsidRPr="00F10E92">
        <w:rPr>
          <w:lang w:val="fr-FR"/>
        </w:rPr>
        <w:t>erts chargée de la norme</w:t>
      </w:r>
      <w:r w:rsidR="00FD6F7C" w:rsidRPr="00F10E92">
        <w:rPr>
          <w:lang w:val="fr-FR"/>
        </w:rPr>
        <w:t> </w:t>
      </w:r>
      <w:r w:rsidR="00B53EAC" w:rsidRPr="00F10E92">
        <w:rPr>
          <w:lang w:val="fr-FR"/>
        </w:rPr>
        <w:t>XML4IP</w:t>
      </w:r>
      <w:r w:rsidR="00834487" w:rsidRPr="00F10E92">
        <w:rPr>
          <w:lang w:val="fr-FR"/>
        </w:rPr>
        <w:t xml:space="preserve">. </w:t>
      </w:r>
      <w:r w:rsidR="00A14484" w:rsidRPr="00F10E92">
        <w:rPr>
          <w:lang w:val="fr-FR"/>
        </w:rPr>
        <w:t xml:space="preserve"> </w:t>
      </w:r>
      <w:r w:rsidR="00B53EAC" w:rsidRPr="00F10E92">
        <w:rPr>
          <w:lang w:val="fr-FR"/>
        </w:rPr>
        <w:t>Pour faciliter l</w:t>
      </w:r>
      <w:r w:rsidR="00AB5DFF" w:rsidRPr="00F10E92">
        <w:rPr>
          <w:lang w:val="fr-FR"/>
        </w:rPr>
        <w:t>’</w:t>
      </w:r>
      <w:r w:rsidR="00B53EAC" w:rsidRPr="00F10E92">
        <w:rPr>
          <w:lang w:val="fr-FR"/>
        </w:rPr>
        <w:t xml:space="preserve">échange de données </w:t>
      </w:r>
      <w:r w:rsidR="00FD6157" w:rsidRPr="00F10E92">
        <w:rPr>
          <w:lang w:val="fr-FR"/>
        </w:rPr>
        <w:t>et l</w:t>
      </w:r>
      <w:r w:rsidR="00AB5DFF" w:rsidRPr="00F10E92">
        <w:rPr>
          <w:lang w:val="fr-FR"/>
        </w:rPr>
        <w:t>’</w:t>
      </w:r>
      <w:r w:rsidR="00FD6157" w:rsidRPr="00F10E92">
        <w:rPr>
          <w:lang w:val="fr-FR"/>
        </w:rPr>
        <w:t xml:space="preserve">interopérabilité </w:t>
      </w:r>
      <w:r w:rsidR="00B53EAC" w:rsidRPr="00F10E92">
        <w:rPr>
          <w:lang w:val="fr-FR"/>
        </w:rPr>
        <w:t xml:space="preserve">entre un office de propriété </w:t>
      </w:r>
      <w:r w:rsidR="00641685" w:rsidRPr="00F10E92">
        <w:rPr>
          <w:lang w:val="fr-FR"/>
        </w:rPr>
        <w:t>industrielle</w:t>
      </w:r>
      <w:r w:rsidR="00B53EAC" w:rsidRPr="00F10E92">
        <w:rPr>
          <w:lang w:val="fr-FR"/>
        </w:rPr>
        <w:t xml:space="preserve"> </w:t>
      </w:r>
      <w:r w:rsidR="00FD6157" w:rsidRPr="00F10E92">
        <w:rPr>
          <w:lang w:val="fr-FR"/>
        </w:rPr>
        <w:t>appliquant</w:t>
      </w:r>
      <w:r w:rsidR="00B53EAC" w:rsidRPr="00F10E92">
        <w:rPr>
          <w:lang w:val="fr-FR"/>
        </w:rPr>
        <w:t xml:space="preserve"> les normes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>ST.36</w:t>
      </w:r>
      <w:r w:rsidR="00B53EAC" w:rsidRPr="00F10E92">
        <w:rPr>
          <w:lang w:val="fr-FR"/>
        </w:rPr>
        <w:t xml:space="preserve">, </w:t>
      </w:r>
      <w:r w:rsidR="00834487" w:rsidRPr="00F10E92">
        <w:rPr>
          <w:lang w:val="fr-FR"/>
        </w:rPr>
        <w:t>ST.66</w:t>
      </w:r>
      <w:r w:rsidR="00B53EAC" w:rsidRPr="00F10E92">
        <w:rPr>
          <w:lang w:val="fr-FR"/>
        </w:rPr>
        <w:t xml:space="preserve"> et </w:t>
      </w:r>
      <w:r w:rsidR="00834487" w:rsidRPr="00F10E92">
        <w:rPr>
          <w:lang w:val="fr-FR"/>
        </w:rPr>
        <w:t xml:space="preserve">ST.86 </w:t>
      </w:r>
      <w:r w:rsidR="00B53EAC" w:rsidRPr="00F10E92">
        <w:rPr>
          <w:lang w:val="fr-FR"/>
        </w:rPr>
        <w:t xml:space="preserve">et un </w:t>
      </w:r>
      <w:r w:rsidR="00866F73">
        <w:rPr>
          <w:lang w:val="fr-FR"/>
        </w:rPr>
        <w:t>office</w:t>
      </w:r>
      <w:r w:rsidR="00B53EAC" w:rsidRPr="00F10E92">
        <w:rPr>
          <w:lang w:val="fr-FR"/>
        </w:rPr>
        <w:t xml:space="preserve"> </w:t>
      </w:r>
      <w:r w:rsidR="00FD6157" w:rsidRPr="00F10E92">
        <w:rPr>
          <w:lang w:val="fr-FR"/>
        </w:rPr>
        <w:t xml:space="preserve">appliquant </w:t>
      </w:r>
      <w:r w:rsidR="00B53EAC" w:rsidRPr="00F10E92">
        <w:rPr>
          <w:lang w:val="fr-FR"/>
        </w:rPr>
        <w:t>la norme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 xml:space="preserve">ST.96, </w:t>
      </w:r>
      <w:r w:rsidR="00FD6157" w:rsidRPr="00F10E92">
        <w:rPr>
          <w:lang w:val="fr-FR"/>
        </w:rPr>
        <w:t>il était nécessaire de procéder à une</w:t>
      </w:r>
      <w:r w:rsidR="00B53EAC" w:rsidRPr="00F10E92">
        <w:rPr>
          <w:lang w:val="fr-FR"/>
        </w:rPr>
        <w:t xml:space="preserve"> </w:t>
      </w:r>
      <w:r w:rsidR="00FB5145" w:rsidRPr="00F10E92">
        <w:rPr>
          <w:lang w:val="fr-FR"/>
        </w:rPr>
        <w:t>conversion</w:t>
      </w:r>
      <w:r w:rsidR="00834487" w:rsidRPr="00F10E92">
        <w:rPr>
          <w:lang w:val="fr-FR"/>
        </w:rPr>
        <w:t xml:space="preserve"> </w:t>
      </w:r>
      <w:r w:rsidR="00B53EAC" w:rsidRPr="00F10E92">
        <w:rPr>
          <w:lang w:val="fr-FR"/>
        </w:rPr>
        <w:t>entre la norme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 xml:space="preserve">ST.96 </w:t>
      </w:r>
      <w:r w:rsidR="00B53EAC" w:rsidRPr="00F10E92">
        <w:rPr>
          <w:lang w:val="fr-FR"/>
        </w:rPr>
        <w:t xml:space="preserve">et les normes </w:t>
      </w:r>
      <w:r w:rsidR="00FB5145" w:rsidRPr="00F10E92">
        <w:rPr>
          <w:lang w:val="fr-FR"/>
        </w:rPr>
        <w:t>actuelles</w:t>
      </w:r>
      <w:r w:rsidR="00834487" w:rsidRPr="00F10E92">
        <w:rPr>
          <w:lang w:val="fr-FR"/>
        </w:rPr>
        <w:t xml:space="preserve">; </w:t>
      </w:r>
      <w:r w:rsidR="002B1561" w:rsidRPr="00F10E92">
        <w:rPr>
          <w:lang w:val="fr-FR"/>
        </w:rPr>
        <w:t xml:space="preserve"> </w:t>
      </w:r>
      <w:r w:rsidR="00B53EAC" w:rsidRPr="00F10E92">
        <w:rPr>
          <w:lang w:val="fr-FR"/>
        </w:rPr>
        <w:t>l</w:t>
      </w:r>
      <w:r w:rsidR="00AB5DFF" w:rsidRPr="00F10E92">
        <w:rPr>
          <w:lang w:val="fr-FR"/>
        </w:rPr>
        <w:t>’</w:t>
      </w:r>
      <w:r w:rsidR="007239E6" w:rsidRPr="00F10E92">
        <w:rPr>
          <w:lang w:val="fr-FR"/>
        </w:rPr>
        <w:t>équipe d</w:t>
      </w:r>
      <w:r w:rsidR="00AB5DFF" w:rsidRPr="00F10E92">
        <w:rPr>
          <w:lang w:val="fr-FR"/>
        </w:rPr>
        <w:t>’</w:t>
      </w:r>
      <w:r w:rsidR="007239E6" w:rsidRPr="00F10E92">
        <w:rPr>
          <w:lang w:val="fr-FR"/>
        </w:rPr>
        <w:t>experts chargée de la norme</w:t>
      </w:r>
      <w:r w:rsidR="00FD6F7C" w:rsidRPr="00F10E92">
        <w:rPr>
          <w:lang w:val="fr-FR"/>
        </w:rPr>
        <w:t> </w:t>
      </w:r>
      <w:r w:rsidR="007239E6" w:rsidRPr="00F10E92">
        <w:rPr>
          <w:lang w:val="fr-FR"/>
        </w:rPr>
        <w:t xml:space="preserve">XML4IP </w:t>
      </w:r>
      <w:r w:rsidR="00B53EAC" w:rsidRPr="00F10E92">
        <w:rPr>
          <w:lang w:val="fr-FR"/>
        </w:rPr>
        <w:t>a donc commencé à élaborer l</w:t>
      </w:r>
      <w:r w:rsidR="00AB5DFF" w:rsidRPr="00F10E92">
        <w:rPr>
          <w:lang w:val="fr-FR"/>
        </w:rPr>
        <w:t>’</w:t>
      </w:r>
      <w:r w:rsidR="00B53EAC" w:rsidRPr="00F10E92">
        <w:rPr>
          <w:lang w:val="fr-FR"/>
        </w:rPr>
        <w:t>a</w:t>
      </w:r>
      <w:r w:rsidR="00A14484" w:rsidRPr="00F10E92">
        <w:rPr>
          <w:lang w:val="fr-FR"/>
        </w:rPr>
        <w:t>nnex</w:t>
      </w:r>
      <w:r w:rsidR="00B53EAC" w:rsidRPr="00F10E92">
        <w:rPr>
          <w:lang w:val="fr-FR"/>
        </w:rPr>
        <w:t>e</w:t>
      </w:r>
      <w:r w:rsidR="00A14484" w:rsidRPr="00F10E92">
        <w:rPr>
          <w:lang w:val="fr-FR"/>
        </w:rPr>
        <w:t> </w:t>
      </w:r>
      <w:r w:rsidR="00834487" w:rsidRPr="00F10E92">
        <w:rPr>
          <w:lang w:val="fr-FR"/>
        </w:rPr>
        <w:t>VI.</w:t>
      </w:r>
    </w:p>
    <w:p w:rsidR="007239E6" w:rsidRPr="00F10E92" w:rsidRDefault="00B53EAC" w:rsidP="00FF6392">
      <w:pPr>
        <w:pStyle w:val="ONUMFS"/>
        <w:rPr>
          <w:rStyle w:val="Hyperlink"/>
          <w:color w:val="auto"/>
          <w:u w:val="none"/>
          <w:lang w:val="fr-FR"/>
        </w:rPr>
      </w:pPr>
      <w:r w:rsidRPr="00F10E92">
        <w:rPr>
          <w:lang w:val="fr-FR"/>
        </w:rPr>
        <w:t>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a</w:t>
      </w:r>
      <w:r w:rsidR="00834487" w:rsidRPr="00F10E92">
        <w:rPr>
          <w:lang w:val="fr-FR"/>
        </w:rPr>
        <w:t>nnex</w:t>
      </w:r>
      <w:r w:rsidRPr="00F10E92">
        <w:rPr>
          <w:lang w:val="fr-FR"/>
        </w:rPr>
        <w:t>e</w:t>
      </w:r>
      <w:r w:rsidR="00834487" w:rsidRPr="00F10E92">
        <w:rPr>
          <w:lang w:val="fr-FR"/>
        </w:rPr>
        <w:t xml:space="preserve"> VI </w:t>
      </w:r>
      <w:r w:rsidRPr="00F10E92">
        <w:rPr>
          <w:lang w:val="fr-FR"/>
        </w:rPr>
        <w:t>de la norme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>ST.96,</w:t>
      </w:r>
      <w:r w:rsidR="00866F73">
        <w:rPr>
          <w:lang w:val="fr-FR"/>
        </w:rPr>
        <w:t xml:space="preserve"> intitulée</w:t>
      </w:r>
      <w:r w:rsidR="00834487" w:rsidRPr="00F10E92">
        <w:rPr>
          <w:lang w:val="fr-FR"/>
        </w:rPr>
        <w:t xml:space="preserve"> </w:t>
      </w:r>
      <w:r w:rsidRPr="00F10E92">
        <w:rPr>
          <w:i/>
          <w:lang w:val="fr-FR"/>
        </w:rPr>
        <w:t>Règles et principes de conversion</w:t>
      </w:r>
      <w:r w:rsidR="00834487" w:rsidRPr="00F10E92">
        <w:rPr>
          <w:lang w:val="fr-FR"/>
        </w:rPr>
        <w:t xml:space="preserve">, </w:t>
      </w:r>
      <w:r w:rsidR="003B5678" w:rsidRPr="00F10E92">
        <w:rPr>
          <w:lang w:val="fr-FR"/>
        </w:rPr>
        <w:t>vise à</w:t>
      </w:r>
      <w:r w:rsidR="00FB5145" w:rsidRPr="00F10E92">
        <w:rPr>
          <w:lang w:val="fr-FR"/>
        </w:rPr>
        <w:t xml:space="preserve"> fournir des règles et </w:t>
      </w:r>
      <w:r w:rsidR="00FD6157" w:rsidRPr="00F10E92">
        <w:rPr>
          <w:lang w:val="fr-FR"/>
        </w:rPr>
        <w:t xml:space="preserve">des </w:t>
      </w:r>
      <w:r w:rsidR="00FB5145" w:rsidRPr="00F10E92">
        <w:rPr>
          <w:lang w:val="fr-FR"/>
        </w:rPr>
        <w:t xml:space="preserve">principes de conversion entre les </w:t>
      </w:r>
      <w:r w:rsidR="00F37F60" w:rsidRPr="00F10E92">
        <w:rPr>
          <w:lang w:val="fr-FR"/>
        </w:rPr>
        <w:t>instances</w:t>
      </w:r>
      <w:r w:rsidR="00FB5145" w:rsidRPr="00F10E92">
        <w:rPr>
          <w:lang w:val="fr-FR"/>
        </w:rPr>
        <w:t xml:space="preserve"> XML conformes à la norme</w:t>
      </w:r>
      <w:r w:rsidR="00FD6F7C" w:rsidRPr="00F10E92">
        <w:rPr>
          <w:lang w:val="fr-FR"/>
        </w:rPr>
        <w:t> </w:t>
      </w:r>
      <w:r w:rsidR="00FB5145" w:rsidRPr="00F10E92">
        <w:rPr>
          <w:lang w:val="fr-FR"/>
        </w:rPr>
        <w:t xml:space="preserve">ST.96 et les </w:t>
      </w:r>
      <w:r w:rsidR="00F37F60" w:rsidRPr="00F10E92">
        <w:rPr>
          <w:lang w:val="fr-FR"/>
        </w:rPr>
        <w:t xml:space="preserve">instances </w:t>
      </w:r>
      <w:r w:rsidR="00FB5145" w:rsidRPr="00F10E92">
        <w:rPr>
          <w:lang w:val="fr-FR"/>
        </w:rPr>
        <w:t>XML conformes aux normes</w:t>
      </w:r>
      <w:r w:rsidR="00FD6F7C" w:rsidRPr="00F10E92">
        <w:rPr>
          <w:lang w:val="fr-FR"/>
        </w:rPr>
        <w:t> </w:t>
      </w:r>
      <w:r w:rsidR="00FB5145" w:rsidRPr="00F10E92">
        <w:rPr>
          <w:lang w:val="fr-FR"/>
        </w:rPr>
        <w:t xml:space="preserve">ST.36, ST.66 ou ST.86. </w:t>
      </w:r>
      <w:r w:rsidR="00FD6F7C" w:rsidRPr="00F10E92">
        <w:rPr>
          <w:lang w:val="fr-FR"/>
        </w:rPr>
        <w:t xml:space="preserve"> </w:t>
      </w:r>
      <w:r w:rsidR="00FB5145" w:rsidRPr="00F10E92">
        <w:rPr>
          <w:lang w:val="fr-FR"/>
        </w:rPr>
        <w:t>Il convient de noter que l</w:t>
      </w:r>
      <w:r w:rsidR="00AB5DFF" w:rsidRPr="00F10E92">
        <w:rPr>
          <w:lang w:val="fr-FR"/>
        </w:rPr>
        <w:t>’</w:t>
      </w:r>
      <w:r w:rsidR="00FB5145" w:rsidRPr="00F10E92">
        <w:rPr>
          <w:lang w:val="fr-FR"/>
        </w:rPr>
        <w:t>annexe</w:t>
      </w:r>
      <w:r w:rsidR="00FD6F7C" w:rsidRPr="00F10E92">
        <w:rPr>
          <w:lang w:val="fr-FR"/>
        </w:rPr>
        <w:t> </w:t>
      </w:r>
      <w:r w:rsidR="00FB5145" w:rsidRPr="00F10E92">
        <w:rPr>
          <w:lang w:val="fr-FR"/>
        </w:rPr>
        <w:t>VI n</w:t>
      </w:r>
      <w:r w:rsidR="00AB5DFF" w:rsidRPr="00F10E92">
        <w:rPr>
          <w:lang w:val="fr-FR"/>
        </w:rPr>
        <w:t>’</w:t>
      </w:r>
      <w:r w:rsidR="00FB5145" w:rsidRPr="00F10E92">
        <w:rPr>
          <w:lang w:val="fr-FR"/>
        </w:rPr>
        <w:t>a pas pour objet de traiter des conversions à des fins de mise en œuvre na</w:t>
      </w:r>
      <w:r w:rsidR="00F37F60" w:rsidRPr="00F10E92">
        <w:rPr>
          <w:lang w:val="fr-FR"/>
        </w:rPr>
        <w:t xml:space="preserve">tionale </w:t>
      </w:r>
      <w:r w:rsidR="00E66531" w:rsidRPr="00F10E92">
        <w:rPr>
          <w:lang w:val="fr-FR"/>
        </w:rPr>
        <w:t>ou</w:t>
      </w:r>
      <w:r w:rsidR="00F37F60" w:rsidRPr="00F10E92">
        <w:rPr>
          <w:lang w:val="fr-FR"/>
        </w:rPr>
        <w:t xml:space="preserve"> la conversion d</w:t>
      </w:r>
      <w:r w:rsidR="00AB5DFF" w:rsidRPr="00F10E92">
        <w:rPr>
          <w:lang w:val="fr-FR"/>
        </w:rPr>
        <w:t>’</w:t>
      </w:r>
      <w:r w:rsidR="00F37F60" w:rsidRPr="00F10E92">
        <w:rPr>
          <w:lang w:val="fr-FR"/>
        </w:rPr>
        <w:t xml:space="preserve">instances </w:t>
      </w:r>
      <w:r w:rsidR="00FB5145" w:rsidRPr="00F10E92">
        <w:rPr>
          <w:lang w:val="fr-FR"/>
        </w:rPr>
        <w:t>XML entre différentes versions de la norme</w:t>
      </w:r>
      <w:r w:rsidR="00FD6F7C" w:rsidRPr="00F10E92">
        <w:rPr>
          <w:lang w:val="fr-FR"/>
        </w:rPr>
        <w:t> </w:t>
      </w:r>
      <w:r w:rsidR="00FB5145" w:rsidRPr="00F10E92">
        <w:rPr>
          <w:lang w:val="fr-FR"/>
        </w:rPr>
        <w:t xml:space="preserve">ST.96.  </w:t>
      </w:r>
      <w:r w:rsidR="003B5678" w:rsidRPr="00F10E92">
        <w:rPr>
          <w:lang w:val="fr-FR"/>
        </w:rPr>
        <w:t>Afin d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 xml:space="preserve">aider les offices de propriété </w:t>
      </w:r>
      <w:r w:rsidR="00641685" w:rsidRPr="00F10E92">
        <w:rPr>
          <w:lang w:val="fr-FR"/>
        </w:rPr>
        <w:t>industrielle</w:t>
      </w:r>
      <w:r w:rsidR="003B5678" w:rsidRPr="00F10E92">
        <w:rPr>
          <w:lang w:val="fr-FR"/>
        </w:rPr>
        <w:t xml:space="preserve"> à convertir leurs données conformes aux normes</w:t>
      </w:r>
      <w:r w:rsidR="00FD6F7C" w:rsidRPr="00F10E92">
        <w:rPr>
          <w:lang w:val="fr-FR"/>
        </w:rPr>
        <w:t> </w:t>
      </w:r>
      <w:r w:rsidR="003B5678" w:rsidRPr="00F10E92">
        <w:rPr>
          <w:lang w:val="fr-FR"/>
        </w:rPr>
        <w:t>ST.36, ST.66 ou ST.86 en données conformes à la norme</w:t>
      </w:r>
      <w:r w:rsidR="00FD6F7C" w:rsidRPr="00F10E92">
        <w:rPr>
          <w:lang w:val="fr-FR"/>
        </w:rPr>
        <w:t> </w:t>
      </w:r>
      <w:r w:rsidR="003B5678" w:rsidRPr="00F10E92">
        <w:rPr>
          <w:lang w:val="fr-FR"/>
        </w:rPr>
        <w:t>ST.96 et vice versa, trois</w:t>
      </w:r>
      <w:r w:rsidR="00FD6F7C" w:rsidRPr="00F10E92">
        <w:rPr>
          <w:lang w:val="fr-FR"/>
        </w:rPr>
        <w:t> </w:t>
      </w:r>
      <w:r w:rsidR="003B5678" w:rsidRPr="00F10E92">
        <w:rPr>
          <w:lang w:val="fr-FR"/>
        </w:rPr>
        <w:t>appendices ont été ajoutés à l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>annexe</w:t>
      </w:r>
      <w:r w:rsidR="00FD6F7C" w:rsidRPr="00F10E92">
        <w:rPr>
          <w:lang w:val="fr-FR"/>
        </w:rPr>
        <w:t> </w:t>
      </w:r>
      <w:r w:rsidR="003B5678" w:rsidRPr="00F10E92">
        <w:rPr>
          <w:lang w:val="fr-FR"/>
        </w:rPr>
        <w:t xml:space="preserve">VI, </w:t>
      </w:r>
      <w:r w:rsidR="00AB5DFF" w:rsidRPr="00F10E92">
        <w:rPr>
          <w:lang w:val="fr-FR"/>
        </w:rPr>
        <w:t>à savoir</w:t>
      </w:r>
      <w:r w:rsidR="003B5678" w:rsidRPr="00F10E92">
        <w:rPr>
          <w:lang w:val="fr-FR"/>
        </w:rPr>
        <w:t xml:space="preserve"> l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>appendice A pour les tableaux de correspondance des éléments et attributs, l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>appendice B pour les tableaux de correspondance des valeurs d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>énumération et l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 xml:space="preserve">appendice C pour les codes indicatifs </w:t>
      </w:r>
      <w:proofErr w:type="spellStart"/>
      <w:r w:rsidR="003B5678" w:rsidRPr="00F10E92">
        <w:rPr>
          <w:lang w:val="fr-FR"/>
        </w:rPr>
        <w:t>d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>eXtensible</w:t>
      </w:r>
      <w:proofErr w:type="spellEnd"/>
      <w:r w:rsidR="003B5678" w:rsidRPr="00F10E92">
        <w:rPr>
          <w:lang w:val="fr-FR"/>
        </w:rPr>
        <w:t xml:space="preserve"> </w:t>
      </w:r>
      <w:proofErr w:type="spellStart"/>
      <w:r w:rsidR="003B5678" w:rsidRPr="00F10E92">
        <w:rPr>
          <w:lang w:val="fr-FR"/>
        </w:rPr>
        <w:t>Stylesheet</w:t>
      </w:r>
      <w:proofErr w:type="spellEnd"/>
      <w:r w:rsidR="003B5678" w:rsidRPr="00F10E92">
        <w:rPr>
          <w:lang w:val="fr-FR"/>
        </w:rPr>
        <w:t xml:space="preserve"> </w:t>
      </w:r>
      <w:proofErr w:type="spellStart"/>
      <w:r w:rsidR="003B5678" w:rsidRPr="00F10E92">
        <w:rPr>
          <w:lang w:val="fr-FR"/>
        </w:rPr>
        <w:t>Language</w:t>
      </w:r>
      <w:proofErr w:type="spellEnd"/>
      <w:r w:rsidR="003B5678" w:rsidRPr="00F10E92">
        <w:rPr>
          <w:lang w:val="fr-FR"/>
        </w:rPr>
        <w:t xml:space="preserve"> Transformations (XSLT) fondés sur les tableaux de correspondance des appendices A et B.  Les trois</w:t>
      </w:r>
      <w:r w:rsidR="00FD6F7C" w:rsidRPr="00F10E92">
        <w:rPr>
          <w:lang w:val="fr-FR"/>
        </w:rPr>
        <w:t> </w:t>
      </w:r>
      <w:r w:rsidR="003B5678" w:rsidRPr="00F10E92">
        <w:rPr>
          <w:lang w:val="fr-FR"/>
        </w:rPr>
        <w:t>appendices sont accessibles sur le site</w:t>
      </w:r>
      <w:r w:rsidR="00FD6F7C" w:rsidRPr="00F10E92">
        <w:rPr>
          <w:lang w:val="fr-FR"/>
        </w:rPr>
        <w:t> </w:t>
      </w:r>
      <w:r w:rsidR="003B5678" w:rsidRPr="00F10E92">
        <w:rPr>
          <w:lang w:val="fr-FR"/>
        </w:rPr>
        <w:t>Web de l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>OMPI à l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>adresse :</w:t>
      </w:r>
      <w:r w:rsidR="006D20C3" w:rsidRPr="00F10E92">
        <w:rPr>
          <w:lang w:val="fr-FR"/>
        </w:rPr>
        <w:t xml:space="preserve"> </w:t>
      </w:r>
      <w:hyperlink r:id="rId9" w:history="1">
        <w:r w:rsidR="006D20C3" w:rsidRPr="00F10E92">
          <w:rPr>
            <w:rStyle w:val="Hyperlink"/>
            <w:lang w:val="fr-FR"/>
          </w:rPr>
          <w:t>http://www.wipo.int/edocs/mdocs/cws/en/cws_4_bis/cws_4_bis_12</w:t>
        </w:r>
        <w:r w:rsidR="00F10E92" w:rsidRPr="00F10E92">
          <w:rPr>
            <w:rStyle w:val="Hyperlink"/>
            <w:lang w:val="fr-FR"/>
          </w:rPr>
          <w:noBreakHyphen/>
        </w:r>
        <w:r w:rsidR="006D20C3" w:rsidRPr="00F10E92">
          <w:rPr>
            <w:rStyle w:val="Hyperlink"/>
            <w:lang w:val="fr-FR"/>
          </w:rPr>
          <w:t>appendix1.zip</w:t>
        </w:r>
      </w:hyperlink>
      <w:r w:rsidR="006D20C3" w:rsidRPr="00F10E92">
        <w:rPr>
          <w:rStyle w:val="Hyperlink"/>
          <w:lang w:val="fr-FR"/>
        </w:rPr>
        <w:t>.</w:t>
      </w:r>
    </w:p>
    <w:p w:rsidR="007239E6" w:rsidRPr="00F10E92" w:rsidRDefault="00CE20E6" w:rsidP="00FF6392">
      <w:pPr>
        <w:pStyle w:val="Heading2"/>
      </w:pPr>
      <w:r>
        <w:rPr>
          <w:caps w:val="0"/>
        </w:rPr>
        <w:t>M</w:t>
      </w:r>
      <w:r w:rsidRPr="00F10E92">
        <w:rPr>
          <w:caps w:val="0"/>
        </w:rPr>
        <w:t>ODIFICATION DE LA TACHE N° 41</w:t>
      </w:r>
    </w:p>
    <w:p w:rsidR="007239E6" w:rsidRPr="00F10E92" w:rsidRDefault="007239E6" w:rsidP="00FF6392">
      <w:pPr>
        <w:pStyle w:val="ONUMFS"/>
        <w:rPr>
          <w:lang w:val="fr-FR"/>
        </w:rPr>
      </w:pPr>
      <w:r w:rsidRPr="00F10E92">
        <w:rPr>
          <w:lang w:val="fr-FR"/>
        </w:rPr>
        <w:t>L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équipe d</w:t>
      </w:r>
      <w:r w:rsidR="00AB5DFF" w:rsidRPr="00F10E92">
        <w:rPr>
          <w:lang w:val="fr-FR"/>
        </w:rPr>
        <w:t>’</w:t>
      </w:r>
      <w:r w:rsidRPr="00F10E92">
        <w:rPr>
          <w:lang w:val="fr-FR"/>
        </w:rPr>
        <w:t>experts chargée de la norme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 xml:space="preserve">XML4IP </w:t>
      </w:r>
      <w:r w:rsidR="003B5678" w:rsidRPr="00F10E92">
        <w:rPr>
          <w:lang w:val="fr-FR"/>
        </w:rPr>
        <w:t>ayant achevé l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>établissement de la proposition pour les annexes</w:t>
      </w:r>
      <w:r w:rsidR="00A14484" w:rsidRPr="00F10E92">
        <w:rPr>
          <w:lang w:val="fr-FR"/>
        </w:rPr>
        <w:t> </w:t>
      </w:r>
      <w:r w:rsidR="00834487" w:rsidRPr="00F10E92">
        <w:rPr>
          <w:lang w:val="fr-FR"/>
        </w:rPr>
        <w:t xml:space="preserve">V </w:t>
      </w:r>
      <w:r w:rsidR="003B5678" w:rsidRPr="00F10E92">
        <w:rPr>
          <w:lang w:val="fr-FR"/>
        </w:rPr>
        <w:t>et</w:t>
      </w:r>
      <w:r w:rsidR="00834487" w:rsidRPr="00F10E92">
        <w:rPr>
          <w:lang w:val="fr-FR"/>
        </w:rPr>
        <w:t xml:space="preserve"> VI </w:t>
      </w:r>
      <w:r w:rsidR="003B5678" w:rsidRPr="00F10E92">
        <w:rPr>
          <w:lang w:val="fr-FR"/>
        </w:rPr>
        <w:t>de la norme</w:t>
      </w:r>
      <w:r w:rsidR="00FD6F7C" w:rsidRPr="00F10E92">
        <w:rPr>
          <w:lang w:val="fr-FR"/>
        </w:rPr>
        <w:t> </w:t>
      </w:r>
      <w:r w:rsidR="00834487" w:rsidRPr="00F10E92">
        <w:rPr>
          <w:lang w:val="fr-FR"/>
        </w:rPr>
        <w:t xml:space="preserve">ST.96, </w:t>
      </w:r>
      <w:r w:rsidR="003B5678" w:rsidRPr="00F10E92">
        <w:rPr>
          <w:lang w:val="fr-FR"/>
        </w:rPr>
        <w:t xml:space="preserve">le Bureau international </w:t>
      </w:r>
      <w:r w:rsidR="00834487" w:rsidRPr="00F10E92">
        <w:rPr>
          <w:lang w:val="fr-FR"/>
        </w:rPr>
        <w:t xml:space="preserve">propose </w:t>
      </w:r>
      <w:r w:rsidR="003B5678" w:rsidRPr="00F10E92">
        <w:rPr>
          <w:lang w:val="fr-FR"/>
        </w:rPr>
        <w:t>de supprimer la première partie de la tâche n° 41 et de n</w:t>
      </w:r>
      <w:r w:rsidR="00AB5DFF" w:rsidRPr="00F10E92">
        <w:rPr>
          <w:lang w:val="fr-FR"/>
        </w:rPr>
        <w:t>’</w:t>
      </w:r>
      <w:r w:rsidR="003B5678" w:rsidRPr="00F10E92">
        <w:rPr>
          <w:lang w:val="fr-FR"/>
        </w:rPr>
        <w:t>en conserver que la seconde part</w:t>
      </w:r>
      <w:r w:rsidR="00F10E92" w:rsidRPr="00F10E92">
        <w:rPr>
          <w:lang w:val="fr-FR"/>
        </w:rPr>
        <w:t>ie.  Le</w:t>
      </w:r>
      <w:r w:rsidR="00404480" w:rsidRPr="00F10E92">
        <w:rPr>
          <w:lang w:val="fr-FR"/>
        </w:rPr>
        <w:t xml:space="preserve"> nouveau libellé pour la tâche n° 41 serait le suivant : </w:t>
      </w:r>
      <w:r w:rsidR="00834487" w:rsidRPr="00F10E92">
        <w:rPr>
          <w:lang w:val="fr-FR"/>
        </w:rPr>
        <w:t>“</w:t>
      </w:r>
      <w:r w:rsidR="00404480" w:rsidRPr="00F10E92">
        <w:rPr>
          <w:lang w:val="fr-FR"/>
        </w:rPr>
        <w:t>Tâche n° 41 </w:t>
      </w:r>
      <w:r w:rsidR="00834487" w:rsidRPr="00F10E92">
        <w:rPr>
          <w:lang w:val="fr-FR"/>
        </w:rPr>
        <w:t xml:space="preserve">: </w:t>
      </w:r>
      <w:r w:rsidR="00404480" w:rsidRPr="00F10E92">
        <w:rPr>
          <w:lang w:val="fr-FR"/>
        </w:rPr>
        <w:t>procéder aux révisions et mises à jour nécessaires de l</w:t>
      </w:r>
      <w:bookmarkStart w:id="4" w:name="_GoBack"/>
      <w:bookmarkEnd w:id="4"/>
      <w:r w:rsidR="00404480" w:rsidRPr="00F10E92">
        <w:rPr>
          <w:lang w:val="fr-FR"/>
        </w:rPr>
        <w:t>a norme</w:t>
      </w:r>
      <w:r w:rsidR="00FD6F7C" w:rsidRPr="00F10E92">
        <w:rPr>
          <w:lang w:val="fr-FR"/>
        </w:rPr>
        <w:t> </w:t>
      </w:r>
      <w:r w:rsidR="00404480" w:rsidRPr="00F10E92">
        <w:rPr>
          <w:lang w:val="fr-FR"/>
        </w:rPr>
        <w:t>ST.96 de l</w:t>
      </w:r>
      <w:r w:rsidR="00AB5DFF" w:rsidRPr="00F10E92">
        <w:rPr>
          <w:lang w:val="fr-FR"/>
        </w:rPr>
        <w:t>’</w:t>
      </w:r>
      <w:r w:rsidR="00404480" w:rsidRPr="00F10E92">
        <w:rPr>
          <w:lang w:val="fr-FR"/>
        </w:rPr>
        <w:t>OMPI</w:t>
      </w:r>
      <w:r w:rsidR="00834487" w:rsidRPr="00F10E92">
        <w:rPr>
          <w:lang w:val="fr-FR"/>
        </w:rPr>
        <w:t xml:space="preserve">”.  </w:t>
      </w:r>
      <w:r w:rsidR="00E66531" w:rsidRPr="00F10E92">
        <w:rPr>
          <w:lang w:val="fr-FR"/>
        </w:rPr>
        <w:t>Le Bureau international</w:t>
      </w:r>
      <w:r w:rsidR="00404480" w:rsidRPr="00F10E92">
        <w:rPr>
          <w:lang w:val="fr-FR"/>
        </w:rPr>
        <w:t xml:space="preserve"> propose également que l</w:t>
      </w:r>
      <w:r w:rsidR="00AB5DFF" w:rsidRPr="00F10E92">
        <w:rPr>
          <w:lang w:val="fr-FR"/>
        </w:rPr>
        <w:t>’</w:t>
      </w:r>
      <w:r w:rsidR="00866F73">
        <w:rPr>
          <w:lang w:val="fr-FR"/>
        </w:rPr>
        <w:t>é</w:t>
      </w:r>
      <w:r w:rsidR="00404480" w:rsidRPr="00F10E92">
        <w:rPr>
          <w:lang w:val="fr-FR"/>
        </w:rPr>
        <w:t>quipe d</w:t>
      </w:r>
      <w:r w:rsidR="00AB5DFF" w:rsidRPr="00F10E92">
        <w:rPr>
          <w:lang w:val="fr-FR"/>
        </w:rPr>
        <w:t>’</w:t>
      </w:r>
      <w:r w:rsidR="00404480" w:rsidRPr="00F10E92">
        <w:rPr>
          <w:lang w:val="fr-FR"/>
        </w:rPr>
        <w:t>experts chargée de la norme</w:t>
      </w:r>
      <w:r w:rsidR="00FD6F7C" w:rsidRPr="00F10E92">
        <w:rPr>
          <w:lang w:val="fr-FR"/>
        </w:rPr>
        <w:t> </w:t>
      </w:r>
      <w:r w:rsidR="00404480" w:rsidRPr="00F10E92">
        <w:rPr>
          <w:lang w:val="fr-FR"/>
        </w:rPr>
        <w:t xml:space="preserve">XML4IP poursuive les travaux </w:t>
      </w:r>
      <w:r w:rsidR="00E66531" w:rsidRPr="00F10E92">
        <w:rPr>
          <w:lang w:val="fr-FR"/>
        </w:rPr>
        <w:t>relatifs à</w:t>
      </w:r>
      <w:r w:rsidR="00404480" w:rsidRPr="00F10E92">
        <w:rPr>
          <w:lang w:val="fr-FR"/>
        </w:rPr>
        <w:t xml:space="preserve"> la tâche n°</w:t>
      </w:r>
      <w:r w:rsidR="00FD6F7C" w:rsidRPr="00F10E92">
        <w:rPr>
          <w:lang w:val="fr-FR"/>
        </w:rPr>
        <w:t> </w:t>
      </w:r>
      <w:r w:rsidR="00404480" w:rsidRPr="00F10E92">
        <w:rPr>
          <w:lang w:val="fr-FR"/>
        </w:rPr>
        <w:t>41</w:t>
      </w:r>
      <w:r w:rsidR="00866F73" w:rsidRPr="00866F73">
        <w:rPr>
          <w:lang w:val="fr-FR"/>
        </w:rPr>
        <w:t xml:space="preserve"> </w:t>
      </w:r>
      <w:r w:rsidR="00866F73" w:rsidRPr="00F10E92">
        <w:rPr>
          <w:lang w:val="fr-FR"/>
        </w:rPr>
        <w:t>révisée</w:t>
      </w:r>
      <w:r w:rsidR="00834487" w:rsidRPr="00F10E92">
        <w:rPr>
          <w:lang w:val="fr-FR"/>
        </w:rPr>
        <w:t>.</w:t>
      </w:r>
    </w:p>
    <w:p w:rsidR="007239E6" w:rsidRPr="00E12F16" w:rsidRDefault="00404480" w:rsidP="00FF6392">
      <w:pPr>
        <w:pStyle w:val="ONUMFS"/>
        <w:ind w:left="5533"/>
        <w:rPr>
          <w:i/>
          <w:lang w:val="fr-FR"/>
        </w:rPr>
      </w:pPr>
      <w:r w:rsidRPr="00E12F16">
        <w:rPr>
          <w:i/>
          <w:lang w:val="fr-FR"/>
        </w:rPr>
        <w:lastRenderedPageBreak/>
        <w:t>L</w:t>
      </w:r>
      <w:r w:rsidR="00834487" w:rsidRPr="00E12F16">
        <w:rPr>
          <w:i/>
          <w:lang w:val="fr-FR"/>
        </w:rPr>
        <w:t xml:space="preserve">e CWS </w:t>
      </w:r>
      <w:r w:rsidRPr="00E12F16">
        <w:rPr>
          <w:i/>
          <w:lang w:val="fr-FR"/>
        </w:rPr>
        <w:t>est invité</w:t>
      </w:r>
    </w:p>
    <w:p w:rsidR="007239E6" w:rsidRPr="00E12F16" w:rsidRDefault="00404480" w:rsidP="00FF6392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E12F16">
        <w:rPr>
          <w:i/>
          <w:lang w:val="fr-FR"/>
        </w:rPr>
        <w:t xml:space="preserve">à prendre note des informations contenues dans le présent </w:t>
      </w:r>
      <w:r w:rsidR="004C6CCC" w:rsidRPr="00E12F16">
        <w:rPr>
          <w:i/>
          <w:lang w:val="fr-FR"/>
        </w:rPr>
        <w:t>document</w:t>
      </w:r>
      <w:r w:rsidRPr="00E12F16">
        <w:rPr>
          <w:i/>
          <w:lang w:val="fr-FR"/>
        </w:rPr>
        <w:t>,</w:t>
      </w:r>
    </w:p>
    <w:p w:rsidR="007239E6" w:rsidRPr="00E12F16" w:rsidRDefault="00404480" w:rsidP="00FF6392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E12F16">
        <w:rPr>
          <w:i/>
          <w:lang w:val="fr-FR"/>
        </w:rPr>
        <w:t>à examiner et à adopter l</w:t>
      </w:r>
      <w:r w:rsidR="00AB5DFF" w:rsidRPr="00E12F16">
        <w:rPr>
          <w:i/>
          <w:lang w:val="fr-FR"/>
        </w:rPr>
        <w:t>’</w:t>
      </w:r>
      <w:r w:rsidRPr="00E12F16">
        <w:rPr>
          <w:i/>
          <w:lang w:val="fr-FR"/>
        </w:rPr>
        <w:t>a</w:t>
      </w:r>
      <w:r w:rsidR="00834487" w:rsidRPr="00E12F16">
        <w:rPr>
          <w:i/>
          <w:lang w:val="fr-FR"/>
        </w:rPr>
        <w:t>nnex</w:t>
      </w:r>
      <w:r w:rsidRPr="00E12F16">
        <w:rPr>
          <w:i/>
          <w:lang w:val="fr-FR"/>
        </w:rPr>
        <w:t>e</w:t>
      </w:r>
      <w:r w:rsidR="00A14484" w:rsidRPr="00E12F16">
        <w:rPr>
          <w:i/>
          <w:lang w:val="fr-FR"/>
        </w:rPr>
        <w:t> </w:t>
      </w:r>
      <w:r w:rsidR="00834487" w:rsidRPr="00E12F16">
        <w:rPr>
          <w:i/>
          <w:lang w:val="fr-FR"/>
        </w:rPr>
        <w:t xml:space="preserve">V </w:t>
      </w:r>
      <w:r w:rsidRPr="00E12F16">
        <w:rPr>
          <w:i/>
          <w:lang w:val="fr-FR"/>
        </w:rPr>
        <w:t>de la norme</w:t>
      </w:r>
      <w:r w:rsidR="00FD6F7C" w:rsidRPr="00E12F16">
        <w:rPr>
          <w:i/>
          <w:lang w:val="fr-FR"/>
        </w:rPr>
        <w:t> </w:t>
      </w:r>
      <w:r w:rsidR="00834487" w:rsidRPr="00E12F16">
        <w:rPr>
          <w:i/>
          <w:lang w:val="fr-FR"/>
        </w:rPr>
        <w:t>ST.96</w:t>
      </w:r>
      <w:r w:rsidRPr="00E12F16">
        <w:rPr>
          <w:i/>
          <w:lang w:val="fr-FR"/>
        </w:rPr>
        <w:t xml:space="preserve"> de l</w:t>
      </w:r>
      <w:r w:rsidR="00AB5DFF" w:rsidRPr="00E12F16">
        <w:rPr>
          <w:i/>
          <w:lang w:val="fr-FR"/>
        </w:rPr>
        <w:t>’</w:t>
      </w:r>
      <w:r w:rsidRPr="00E12F16">
        <w:rPr>
          <w:i/>
          <w:lang w:val="fr-FR"/>
        </w:rPr>
        <w:t>OMPI</w:t>
      </w:r>
      <w:r w:rsidR="00834487" w:rsidRPr="00E12F16">
        <w:rPr>
          <w:i/>
          <w:lang w:val="fr-FR"/>
        </w:rPr>
        <w:t xml:space="preserve"> </w:t>
      </w:r>
      <w:r w:rsidRPr="00E12F16">
        <w:rPr>
          <w:i/>
          <w:lang w:val="fr-FR"/>
        </w:rPr>
        <w:t>qui est reproduite à l</w:t>
      </w:r>
      <w:r w:rsidR="00AB5DFF" w:rsidRPr="00E12F16">
        <w:rPr>
          <w:i/>
          <w:lang w:val="fr-FR"/>
        </w:rPr>
        <w:t>’</w:t>
      </w:r>
      <w:r w:rsidRPr="00E12F16">
        <w:rPr>
          <w:i/>
          <w:lang w:val="fr-FR"/>
        </w:rPr>
        <w:t>annexe</w:t>
      </w:r>
      <w:r w:rsidR="00A14484" w:rsidRPr="00E12F16">
        <w:rPr>
          <w:i/>
          <w:lang w:val="fr-FR"/>
        </w:rPr>
        <w:t> </w:t>
      </w:r>
      <w:r w:rsidR="00834487" w:rsidRPr="00E12F16">
        <w:rPr>
          <w:i/>
          <w:lang w:val="fr-FR"/>
        </w:rPr>
        <w:t xml:space="preserve">I </w:t>
      </w:r>
      <w:r w:rsidRPr="00E12F16">
        <w:rPr>
          <w:i/>
          <w:lang w:val="fr-FR"/>
        </w:rPr>
        <w:t>du présent document,</w:t>
      </w:r>
    </w:p>
    <w:p w:rsidR="007239E6" w:rsidRPr="00E12F16" w:rsidRDefault="00404480" w:rsidP="00FF6392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E12F16">
        <w:rPr>
          <w:i/>
          <w:lang w:val="fr-FR"/>
        </w:rPr>
        <w:t>à examiner et à adopter l</w:t>
      </w:r>
      <w:r w:rsidR="00AB5DFF" w:rsidRPr="00E12F16">
        <w:rPr>
          <w:i/>
          <w:lang w:val="fr-FR"/>
        </w:rPr>
        <w:t>’</w:t>
      </w:r>
      <w:r w:rsidRPr="00E12F16">
        <w:rPr>
          <w:i/>
          <w:lang w:val="fr-FR"/>
        </w:rPr>
        <w:t>annexe</w:t>
      </w:r>
      <w:r w:rsidR="00A14484" w:rsidRPr="00E12F16">
        <w:rPr>
          <w:i/>
          <w:lang w:val="fr-FR"/>
        </w:rPr>
        <w:t> </w:t>
      </w:r>
      <w:r w:rsidR="00834487" w:rsidRPr="00E12F16">
        <w:rPr>
          <w:i/>
          <w:lang w:val="fr-FR"/>
        </w:rPr>
        <w:t xml:space="preserve">VI </w:t>
      </w:r>
      <w:r w:rsidRPr="00E12F16">
        <w:rPr>
          <w:i/>
          <w:lang w:val="fr-FR"/>
        </w:rPr>
        <w:t>de la norme</w:t>
      </w:r>
      <w:r w:rsidR="00FD6F7C" w:rsidRPr="00E12F16">
        <w:rPr>
          <w:i/>
          <w:lang w:val="fr-FR"/>
        </w:rPr>
        <w:t> </w:t>
      </w:r>
      <w:r w:rsidR="00834487" w:rsidRPr="00E12F16">
        <w:rPr>
          <w:i/>
          <w:lang w:val="fr-FR"/>
        </w:rPr>
        <w:t>ST.96</w:t>
      </w:r>
      <w:r w:rsidRPr="00E12F16">
        <w:rPr>
          <w:i/>
          <w:lang w:val="fr-FR"/>
        </w:rPr>
        <w:t xml:space="preserve"> de l</w:t>
      </w:r>
      <w:r w:rsidR="00AB5DFF" w:rsidRPr="00E12F16">
        <w:rPr>
          <w:i/>
          <w:lang w:val="fr-FR"/>
        </w:rPr>
        <w:t>’</w:t>
      </w:r>
      <w:r w:rsidRPr="00E12F16">
        <w:rPr>
          <w:i/>
          <w:lang w:val="fr-FR"/>
        </w:rPr>
        <w:t>OMPI</w:t>
      </w:r>
      <w:r w:rsidR="00834487" w:rsidRPr="00E12F16">
        <w:rPr>
          <w:i/>
          <w:lang w:val="fr-FR"/>
        </w:rPr>
        <w:t xml:space="preserve"> </w:t>
      </w:r>
      <w:r w:rsidRPr="00E12F16">
        <w:rPr>
          <w:i/>
          <w:lang w:val="fr-FR"/>
        </w:rPr>
        <w:t>qui est reproduite à l</w:t>
      </w:r>
      <w:r w:rsidR="00AB5DFF" w:rsidRPr="00E12F16">
        <w:rPr>
          <w:i/>
          <w:lang w:val="fr-FR"/>
        </w:rPr>
        <w:t>’</w:t>
      </w:r>
      <w:r w:rsidRPr="00E12F16">
        <w:rPr>
          <w:i/>
          <w:lang w:val="fr-FR"/>
        </w:rPr>
        <w:t>annexe</w:t>
      </w:r>
      <w:r w:rsidR="00A14484" w:rsidRPr="00E12F16">
        <w:rPr>
          <w:i/>
          <w:lang w:val="fr-FR"/>
        </w:rPr>
        <w:t> </w:t>
      </w:r>
      <w:r w:rsidR="00834487" w:rsidRPr="00E12F16">
        <w:rPr>
          <w:i/>
          <w:lang w:val="fr-FR"/>
        </w:rPr>
        <w:t xml:space="preserve">II </w:t>
      </w:r>
      <w:r w:rsidRPr="00E12F16">
        <w:rPr>
          <w:i/>
          <w:lang w:val="fr-FR"/>
        </w:rPr>
        <w:t xml:space="preserve">du présent </w:t>
      </w:r>
      <w:r w:rsidR="00834487" w:rsidRPr="00E12F16">
        <w:rPr>
          <w:i/>
          <w:lang w:val="fr-FR"/>
        </w:rPr>
        <w:t>document</w:t>
      </w:r>
      <w:r w:rsidRPr="00E12F16">
        <w:rPr>
          <w:i/>
          <w:lang w:val="fr-FR"/>
        </w:rPr>
        <w:t>,</w:t>
      </w:r>
      <w:r w:rsidR="00834487" w:rsidRPr="00E12F16">
        <w:rPr>
          <w:i/>
          <w:lang w:val="fr-FR"/>
        </w:rPr>
        <w:t xml:space="preserve"> </w:t>
      </w:r>
      <w:r w:rsidR="00FD6157" w:rsidRPr="00E12F16">
        <w:rPr>
          <w:i/>
          <w:lang w:val="fr-FR"/>
        </w:rPr>
        <w:t>ainsi que</w:t>
      </w:r>
      <w:r w:rsidRPr="00E12F16">
        <w:rPr>
          <w:i/>
          <w:lang w:val="fr-FR"/>
        </w:rPr>
        <w:t xml:space="preserve"> les trois</w:t>
      </w:r>
      <w:r w:rsidR="00FD6F7C" w:rsidRPr="00E12F16">
        <w:rPr>
          <w:i/>
          <w:lang w:val="fr-FR"/>
        </w:rPr>
        <w:t> </w:t>
      </w:r>
      <w:r w:rsidRPr="00E12F16">
        <w:rPr>
          <w:i/>
          <w:lang w:val="fr-FR"/>
        </w:rPr>
        <w:t>appendices de l</w:t>
      </w:r>
      <w:r w:rsidR="00AB5DFF" w:rsidRPr="00E12F16">
        <w:rPr>
          <w:i/>
          <w:lang w:val="fr-FR"/>
        </w:rPr>
        <w:t>’</w:t>
      </w:r>
      <w:r w:rsidRPr="00E12F16">
        <w:rPr>
          <w:i/>
          <w:lang w:val="fr-FR"/>
        </w:rPr>
        <w:t>annexe</w:t>
      </w:r>
      <w:r w:rsidR="00FD6F7C" w:rsidRPr="00E12F16">
        <w:rPr>
          <w:i/>
          <w:lang w:val="fr-FR"/>
        </w:rPr>
        <w:t> </w:t>
      </w:r>
      <w:r w:rsidRPr="00E12F16">
        <w:rPr>
          <w:i/>
          <w:lang w:val="fr-FR"/>
        </w:rPr>
        <w:t>VI de la norme</w:t>
      </w:r>
      <w:r w:rsidR="00FD6F7C" w:rsidRPr="00E12F16">
        <w:rPr>
          <w:i/>
          <w:lang w:val="fr-FR"/>
        </w:rPr>
        <w:t> </w:t>
      </w:r>
      <w:r w:rsidR="004C6CCC" w:rsidRPr="00E12F16">
        <w:rPr>
          <w:i/>
          <w:lang w:val="fr-FR"/>
        </w:rPr>
        <w:t xml:space="preserve">ST.96 </w:t>
      </w:r>
      <w:r w:rsidRPr="00E12F16">
        <w:rPr>
          <w:i/>
          <w:lang w:val="fr-FR"/>
        </w:rPr>
        <w:t xml:space="preserve">proposée, comme indiqué au </w:t>
      </w:r>
      <w:r w:rsidR="00834487" w:rsidRPr="00E12F16">
        <w:rPr>
          <w:i/>
          <w:lang w:val="fr-FR"/>
        </w:rPr>
        <w:t>paragraph</w:t>
      </w:r>
      <w:r w:rsidRPr="00E12F16">
        <w:rPr>
          <w:i/>
          <w:lang w:val="fr-FR"/>
        </w:rPr>
        <w:t>e</w:t>
      </w:r>
      <w:r w:rsidR="00834487" w:rsidRPr="00E12F16">
        <w:rPr>
          <w:i/>
          <w:lang w:val="fr-FR"/>
        </w:rPr>
        <w:t> </w:t>
      </w:r>
      <w:r w:rsidR="004C6CCC" w:rsidRPr="00E12F16">
        <w:rPr>
          <w:i/>
          <w:lang w:val="fr-FR"/>
        </w:rPr>
        <w:t>8</w:t>
      </w:r>
      <w:r w:rsidRPr="00E12F16">
        <w:rPr>
          <w:i/>
          <w:lang w:val="fr-FR"/>
        </w:rPr>
        <w:t>, et</w:t>
      </w:r>
    </w:p>
    <w:p w:rsidR="007239E6" w:rsidRPr="00E12F16" w:rsidRDefault="00404480" w:rsidP="00FF6392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E12F16">
        <w:rPr>
          <w:i/>
          <w:lang w:val="fr-FR"/>
        </w:rPr>
        <w:t xml:space="preserve">à approuver la </w:t>
      </w:r>
      <w:r w:rsidR="00834487" w:rsidRPr="00E12F16">
        <w:rPr>
          <w:i/>
          <w:lang w:val="fr-FR"/>
        </w:rPr>
        <w:t xml:space="preserve">modification </w:t>
      </w:r>
      <w:r w:rsidRPr="00E12F16">
        <w:rPr>
          <w:i/>
          <w:lang w:val="fr-FR"/>
        </w:rPr>
        <w:t>de la tâche n° </w:t>
      </w:r>
      <w:r w:rsidR="00834487" w:rsidRPr="00E12F16">
        <w:rPr>
          <w:i/>
          <w:lang w:val="fr-FR"/>
        </w:rPr>
        <w:t xml:space="preserve">41 </w:t>
      </w:r>
      <w:r w:rsidRPr="00E12F16">
        <w:rPr>
          <w:i/>
          <w:lang w:val="fr-FR"/>
        </w:rPr>
        <w:t xml:space="preserve">et </w:t>
      </w:r>
      <w:r w:rsidR="00BC4B53" w:rsidRPr="00E12F16">
        <w:rPr>
          <w:i/>
          <w:lang w:val="fr-FR"/>
        </w:rPr>
        <w:t xml:space="preserve">à confier </w:t>
      </w:r>
      <w:r w:rsidRPr="00E12F16">
        <w:rPr>
          <w:i/>
          <w:lang w:val="fr-FR"/>
        </w:rPr>
        <w:t>cette tâche à l</w:t>
      </w:r>
      <w:r w:rsidR="00AB5DFF" w:rsidRPr="00E12F16">
        <w:rPr>
          <w:i/>
          <w:lang w:val="fr-FR"/>
        </w:rPr>
        <w:t>’</w:t>
      </w:r>
      <w:r w:rsidR="007239E6" w:rsidRPr="00E12F16">
        <w:rPr>
          <w:i/>
          <w:lang w:val="fr-FR"/>
        </w:rPr>
        <w:t>équipe d</w:t>
      </w:r>
      <w:r w:rsidR="00AB5DFF" w:rsidRPr="00E12F16">
        <w:rPr>
          <w:i/>
          <w:lang w:val="fr-FR"/>
        </w:rPr>
        <w:t>’</w:t>
      </w:r>
      <w:r w:rsidR="007239E6" w:rsidRPr="00E12F16">
        <w:rPr>
          <w:i/>
          <w:lang w:val="fr-FR"/>
        </w:rPr>
        <w:t>experts chargée de la norme</w:t>
      </w:r>
      <w:r w:rsidR="00FD6F7C" w:rsidRPr="00E12F16">
        <w:rPr>
          <w:i/>
          <w:lang w:val="fr-FR"/>
        </w:rPr>
        <w:t> </w:t>
      </w:r>
      <w:r w:rsidR="007239E6" w:rsidRPr="00E12F16">
        <w:rPr>
          <w:i/>
          <w:lang w:val="fr-FR"/>
        </w:rPr>
        <w:t>XML4IP</w:t>
      </w:r>
      <w:r w:rsidRPr="00E12F16">
        <w:rPr>
          <w:i/>
          <w:lang w:val="fr-FR"/>
        </w:rPr>
        <w:t xml:space="preserve">, </w:t>
      </w:r>
      <w:r w:rsidR="00BC4B53" w:rsidRPr="00E12F16">
        <w:rPr>
          <w:i/>
          <w:lang w:val="fr-FR"/>
        </w:rPr>
        <w:t xml:space="preserve">comme </w:t>
      </w:r>
      <w:r w:rsidRPr="00E12F16">
        <w:rPr>
          <w:i/>
          <w:lang w:val="fr-FR"/>
        </w:rPr>
        <w:t>proposé au</w:t>
      </w:r>
      <w:r w:rsidR="00834487" w:rsidRPr="00E12F16">
        <w:rPr>
          <w:i/>
          <w:lang w:val="fr-FR"/>
        </w:rPr>
        <w:t xml:space="preserve"> paragraph</w:t>
      </w:r>
      <w:r w:rsidRPr="00E12F16">
        <w:rPr>
          <w:i/>
          <w:lang w:val="fr-FR"/>
        </w:rPr>
        <w:t>e</w:t>
      </w:r>
      <w:r w:rsidR="00834487" w:rsidRPr="00E12F16">
        <w:rPr>
          <w:i/>
          <w:lang w:val="fr-FR"/>
        </w:rPr>
        <w:t> 9.</w:t>
      </w:r>
    </w:p>
    <w:p w:rsidR="007239E6" w:rsidRDefault="007239E6" w:rsidP="00FF6392">
      <w:pPr>
        <w:pStyle w:val="Endofdocument-Annex"/>
        <w:rPr>
          <w:lang w:val="fr-FR"/>
        </w:rPr>
      </w:pPr>
    </w:p>
    <w:p w:rsidR="00E12F16" w:rsidRPr="00F10E92" w:rsidRDefault="00E12F16" w:rsidP="00FF6392">
      <w:pPr>
        <w:pStyle w:val="Endofdocument-Annex"/>
        <w:rPr>
          <w:lang w:val="fr-FR"/>
        </w:rPr>
      </w:pPr>
    </w:p>
    <w:p w:rsidR="007239E6" w:rsidRPr="00F10E92" w:rsidRDefault="00834487" w:rsidP="00FF6392">
      <w:pPr>
        <w:pStyle w:val="Endofdocument-Annex"/>
        <w:rPr>
          <w:caps/>
          <w:sz w:val="24"/>
          <w:lang w:val="fr-FR"/>
        </w:rPr>
      </w:pPr>
      <w:r w:rsidRPr="00F10E92">
        <w:rPr>
          <w:lang w:val="fr-FR"/>
        </w:rPr>
        <w:t>[</w:t>
      </w:r>
      <w:r w:rsidR="00404480" w:rsidRPr="00F10E92">
        <w:rPr>
          <w:lang w:val="fr-FR"/>
        </w:rPr>
        <w:t>L</w:t>
      </w:r>
      <w:r w:rsidR="00AB5DFF" w:rsidRPr="00F10E92">
        <w:rPr>
          <w:lang w:val="fr-FR"/>
        </w:rPr>
        <w:t>’</w:t>
      </w:r>
      <w:r w:rsidR="00404480" w:rsidRPr="00F10E92">
        <w:rPr>
          <w:lang w:val="fr-FR"/>
        </w:rPr>
        <w:t>a</w:t>
      </w:r>
      <w:r w:rsidRPr="00F10E92">
        <w:rPr>
          <w:lang w:val="fr-FR"/>
        </w:rPr>
        <w:t>nnex</w:t>
      </w:r>
      <w:r w:rsidR="00404480" w:rsidRPr="00F10E92">
        <w:rPr>
          <w:lang w:val="fr-FR"/>
        </w:rPr>
        <w:t>e</w:t>
      </w:r>
      <w:r w:rsidR="00FD6F7C" w:rsidRPr="00F10E92">
        <w:rPr>
          <w:lang w:val="fr-FR"/>
        </w:rPr>
        <w:t> </w:t>
      </w:r>
      <w:r w:rsidRPr="00F10E92">
        <w:rPr>
          <w:lang w:val="fr-FR"/>
        </w:rPr>
        <w:t xml:space="preserve">I </w:t>
      </w:r>
      <w:r w:rsidR="00404480" w:rsidRPr="00F10E92">
        <w:rPr>
          <w:lang w:val="fr-FR"/>
        </w:rPr>
        <w:t>suit</w:t>
      </w:r>
      <w:r w:rsidRPr="00F10E92">
        <w:rPr>
          <w:lang w:val="fr-FR"/>
        </w:rPr>
        <w:t>]</w:t>
      </w:r>
    </w:p>
    <w:p w:rsidR="008B2CC1" w:rsidRPr="00F10E92" w:rsidRDefault="008B2CC1" w:rsidP="00FF6392">
      <w:pPr>
        <w:pStyle w:val="Endofdocument-Annex"/>
        <w:rPr>
          <w:caps/>
          <w:sz w:val="24"/>
          <w:lang w:val="fr-FR"/>
        </w:rPr>
      </w:pPr>
    </w:p>
    <w:sectPr w:rsidR="008B2CC1" w:rsidRPr="00F10E92" w:rsidSect="00AB5DF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87" w:rsidRDefault="00834487">
      <w:r>
        <w:separator/>
      </w:r>
    </w:p>
  </w:endnote>
  <w:endnote w:type="continuationSeparator" w:id="0">
    <w:p w:rsidR="00834487" w:rsidRDefault="00834487" w:rsidP="003B38C1">
      <w:r>
        <w:separator/>
      </w:r>
    </w:p>
    <w:p w:rsidR="00834487" w:rsidRPr="003B38C1" w:rsidRDefault="008344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487" w:rsidRPr="003B38C1" w:rsidRDefault="008344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87" w:rsidRDefault="00834487">
      <w:r>
        <w:separator/>
      </w:r>
    </w:p>
  </w:footnote>
  <w:footnote w:type="continuationSeparator" w:id="0">
    <w:p w:rsidR="00834487" w:rsidRDefault="00834487" w:rsidP="008B60B2">
      <w:r>
        <w:separator/>
      </w:r>
    </w:p>
    <w:p w:rsidR="00834487" w:rsidRPr="00ED77FB" w:rsidRDefault="008344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487" w:rsidRPr="00ED77FB" w:rsidRDefault="008344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5" w:name="Code2"/>
    <w:bookmarkEnd w:id="5"/>
    <w:r>
      <w:t>CWS/4</w:t>
    </w:r>
    <w:r w:rsidR="00EC49B8">
      <w:t>BIS</w:t>
    </w:r>
    <w:r>
      <w:t>/</w:t>
    </w:r>
    <w:r w:rsidR="00EC49B8">
      <w:t>12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E12F1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E20E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B11C1F" w:rsidRDefault="00B11C1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818F79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UPOV_Beta|FTS_Glossary|TRADTERM"/>
    <w:docVar w:name="TermBaseURL" w:val="empty"/>
    <w:docVar w:name="TextBases" w:val="TextBase TMs\UPOV\Meetings|TextBase TMs\UPOV\Other|TextBase TMs\UPOV\Publications|TextBase TMs\UPOV\Technical Guidelines|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Glossaries\EN-FR|TextBase TMs\Copyright\Meetings|TextBase TMs\Copyright\Other|TextBase TMs\Copyright\Publications|TextBase TMs\Budget and Finance\Meetings|TextBase TMs\Budget and Finance\Other|TextBase TMs\Budget and Finance\Publications|TextBase TMs\Administrative\Meetings|TextBase TMs\Administrative\Other|TextBase TMs\Administrative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834487"/>
    <w:rsid w:val="00043CAA"/>
    <w:rsid w:val="00075432"/>
    <w:rsid w:val="000968ED"/>
    <w:rsid w:val="000F5E56"/>
    <w:rsid w:val="000F6EFF"/>
    <w:rsid w:val="001362EE"/>
    <w:rsid w:val="0013761E"/>
    <w:rsid w:val="0015696F"/>
    <w:rsid w:val="00166481"/>
    <w:rsid w:val="001832A6"/>
    <w:rsid w:val="002634C4"/>
    <w:rsid w:val="002928D3"/>
    <w:rsid w:val="002B1561"/>
    <w:rsid w:val="002F1FE6"/>
    <w:rsid w:val="002F4E68"/>
    <w:rsid w:val="00312F7F"/>
    <w:rsid w:val="00342A15"/>
    <w:rsid w:val="00361450"/>
    <w:rsid w:val="00364173"/>
    <w:rsid w:val="003673CF"/>
    <w:rsid w:val="003845C1"/>
    <w:rsid w:val="003A214A"/>
    <w:rsid w:val="003A6F89"/>
    <w:rsid w:val="003B38C1"/>
    <w:rsid w:val="003B5678"/>
    <w:rsid w:val="003D75F8"/>
    <w:rsid w:val="00404480"/>
    <w:rsid w:val="00423E3E"/>
    <w:rsid w:val="00427AF4"/>
    <w:rsid w:val="00441CD4"/>
    <w:rsid w:val="004647DA"/>
    <w:rsid w:val="00474062"/>
    <w:rsid w:val="00477D6B"/>
    <w:rsid w:val="004826A3"/>
    <w:rsid w:val="004C6CCC"/>
    <w:rsid w:val="005019FF"/>
    <w:rsid w:val="0053057A"/>
    <w:rsid w:val="00560A29"/>
    <w:rsid w:val="005619DC"/>
    <w:rsid w:val="005C6649"/>
    <w:rsid w:val="00605827"/>
    <w:rsid w:val="00641685"/>
    <w:rsid w:val="00646050"/>
    <w:rsid w:val="00646F91"/>
    <w:rsid w:val="00660ECB"/>
    <w:rsid w:val="00662341"/>
    <w:rsid w:val="006713CA"/>
    <w:rsid w:val="006759FD"/>
    <w:rsid w:val="00676C5C"/>
    <w:rsid w:val="006A1EE8"/>
    <w:rsid w:val="006D094F"/>
    <w:rsid w:val="006D20C3"/>
    <w:rsid w:val="0070489C"/>
    <w:rsid w:val="007239E6"/>
    <w:rsid w:val="007B31A1"/>
    <w:rsid w:val="007D1613"/>
    <w:rsid w:val="00834487"/>
    <w:rsid w:val="00861393"/>
    <w:rsid w:val="00866A86"/>
    <w:rsid w:val="00866F73"/>
    <w:rsid w:val="008B2CC1"/>
    <w:rsid w:val="008B60B2"/>
    <w:rsid w:val="00905ED8"/>
    <w:rsid w:val="0090731E"/>
    <w:rsid w:val="00916EE2"/>
    <w:rsid w:val="0092261A"/>
    <w:rsid w:val="00966A22"/>
    <w:rsid w:val="0096722F"/>
    <w:rsid w:val="00980843"/>
    <w:rsid w:val="009A092B"/>
    <w:rsid w:val="009D30C2"/>
    <w:rsid w:val="009E2791"/>
    <w:rsid w:val="009E3F6F"/>
    <w:rsid w:val="009F499F"/>
    <w:rsid w:val="00A03DF8"/>
    <w:rsid w:val="00A14484"/>
    <w:rsid w:val="00A42DAF"/>
    <w:rsid w:val="00A45BD8"/>
    <w:rsid w:val="00A869B7"/>
    <w:rsid w:val="00A9671E"/>
    <w:rsid w:val="00AB5DFF"/>
    <w:rsid w:val="00AC205C"/>
    <w:rsid w:val="00AF0A6B"/>
    <w:rsid w:val="00B04265"/>
    <w:rsid w:val="00B05A69"/>
    <w:rsid w:val="00B11C1F"/>
    <w:rsid w:val="00B25E86"/>
    <w:rsid w:val="00B33D93"/>
    <w:rsid w:val="00B53EAC"/>
    <w:rsid w:val="00B9734B"/>
    <w:rsid w:val="00BC4B53"/>
    <w:rsid w:val="00C11BFE"/>
    <w:rsid w:val="00CE20E6"/>
    <w:rsid w:val="00CE3B6A"/>
    <w:rsid w:val="00D45252"/>
    <w:rsid w:val="00D71B4D"/>
    <w:rsid w:val="00D861FF"/>
    <w:rsid w:val="00D93D55"/>
    <w:rsid w:val="00DC5CB8"/>
    <w:rsid w:val="00E12F16"/>
    <w:rsid w:val="00E335FE"/>
    <w:rsid w:val="00E43372"/>
    <w:rsid w:val="00E66531"/>
    <w:rsid w:val="00E84598"/>
    <w:rsid w:val="00EC49B8"/>
    <w:rsid w:val="00EC4E49"/>
    <w:rsid w:val="00ED6C09"/>
    <w:rsid w:val="00ED77FB"/>
    <w:rsid w:val="00EE45FA"/>
    <w:rsid w:val="00F10E92"/>
    <w:rsid w:val="00F37F60"/>
    <w:rsid w:val="00F66152"/>
    <w:rsid w:val="00F7316F"/>
    <w:rsid w:val="00FB5145"/>
    <w:rsid w:val="00FD6157"/>
    <w:rsid w:val="00FD6F7C"/>
    <w:rsid w:val="00FE647D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F6392"/>
    <w:pPr>
      <w:keepNext/>
      <w:spacing w:before="120" w:after="12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link w:val="BodyText"/>
    <w:rsid w:val="00834487"/>
    <w:rPr>
      <w:rFonts w:ascii="Arial" w:eastAsia="SimSun" w:hAnsi="Arial" w:cs="Arial"/>
      <w:sz w:val="22"/>
      <w:lang w:eastAsia="zh-CN"/>
    </w:rPr>
  </w:style>
  <w:style w:type="character" w:customStyle="1" w:styleId="st">
    <w:name w:val="st"/>
    <w:basedOn w:val="DefaultParagraphFont"/>
    <w:rsid w:val="00834487"/>
  </w:style>
  <w:style w:type="character" w:styleId="Hyperlink">
    <w:name w:val="Hyperlink"/>
    <w:basedOn w:val="DefaultParagraphFont"/>
    <w:rsid w:val="00FE64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E64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F6392"/>
    <w:pPr>
      <w:keepNext/>
      <w:spacing w:before="120" w:after="12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link w:val="BodyText"/>
    <w:rsid w:val="00834487"/>
    <w:rPr>
      <w:rFonts w:ascii="Arial" w:eastAsia="SimSun" w:hAnsi="Arial" w:cs="Arial"/>
      <w:sz w:val="22"/>
      <w:lang w:eastAsia="zh-CN"/>
    </w:rPr>
  </w:style>
  <w:style w:type="character" w:customStyle="1" w:styleId="st">
    <w:name w:val="st"/>
    <w:basedOn w:val="DefaultParagraphFont"/>
    <w:rsid w:val="00834487"/>
  </w:style>
  <w:style w:type="character" w:styleId="Hyperlink">
    <w:name w:val="Hyperlink"/>
    <w:basedOn w:val="DefaultParagraphFont"/>
    <w:rsid w:val="00FE64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E6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docs/mdocs/cws/en/cws_4_bis/cws_4_bis_12-appendix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1071</Words>
  <Characters>5445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CWS/4BIS/12 (en français)</vt:lpstr>
    </vt:vector>
  </TitlesOfParts>
  <Company>WIPO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CWS/4BIS/12 (en français)</dc:title>
  <dc:subject>Proposition pour les Annexes V et VI de la norme ST.96 de l’OMPI</dc:subject>
  <dc:creator>OMPI/WIPO</dc:creator>
  <cp:keywords>CWS</cp:keywords>
  <cp:lastModifiedBy>RODRIGUEZ Geraldine</cp:lastModifiedBy>
  <cp:revision>6</cp:revision>
  <cp:lastPrinted>2016-02-23T09:22:00Z</cp:lastPrinted>
  <dcterms:created xsi:type="dcterms:W3CDTF">2016-02-23T10:57:00Z</dcterms:created>
  <dcterms:modified xsi:type="dcterms:W3CDTF">2016-02-29T15:13:00Z</dcterms:modified>
</cp:coreProperties>
</file>