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94" w:rsidRPr="0001128D" w:rsidRDefault="00C50389" w:rsidP="000B789B">
      <w:pPr>
        <w:pStyle w:val="TitleCAPS"/>
        <w:rPr>
          <w:b/>
          <w:sz w:val="20"/>
          <w:lang w:val="fr-FR"/>
        </w:rPr>
      </w:pPr>
      <w:bookmarkStart w:id="0" w:name="_Toc292122864"/>
      <w:bookmarkStart w:id="1" w:name="_Toc293679783"/>
      <w:bookmarkStart w:id="2" w:name="_Toc295994219"/>
      <w:bookmarkStart w:id="3" w:name="_Toc309651064"/>
      <w:bookmarkStart w:id="4" w:name="_Toc314474197"/>
      <w:bookmarkStart w:id="5" w:name="_Toc317499952"/>
      <w:bookmarkStart w:id="6" w:name="_Toc321297002"/>
      <w:bookmarkStart w:id="7" w:name="_Toc383437130"/>
      <w:bookmarkStart w:id="8" w:name="_Toc383437607"/>
      <w:bookmarkStart w:id="9" w:name="_Toc383444377"/>
      <w:bookmarkStart w:id="10" w:name="_Toc383509989"/>
      <w:r w:rsidRPr="0001128D">
        <w:rPr>
          <w:b/>
          <w:sz w:val="20"/>
          <w:lang w:val="fr-FR"/>
        </w:rPr>
        <w:t>NORME</w:t>
      </w:r>
      <w:r w:rsidR="004B5D94" w:rsidRPr="0001128D">
        <w:rPr>
          <w:b/>
          <w:sz w:val="20"/>
          <w:lang w:val="fr-FR"/>
        </w:rPr>
        <w:t xml:space="preserve"> ST.26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A329F0" w:rsidRPr="0001128D" w:rsidRDefault="00C50389" w:rsidP="004B5D94">
      <w:pPr>
        <w:pStyle w:val="TitleCAPS"/>
        <w:rPr>
          <w:lang w:val="fr-FR"/>
        </w:rPr>
      </w:pPr>
      <w:bookmarkStart w:id="11" w:name="_GoBack"/>
      <w:r w:rsidRPr="0001128D">
        <w:rPr>
          <w:lang w:val="fr-FR"/>
        </w:rPr>
        <w:t xml:space="preserve">recommandation de NORME RELATIVE </w:t>
      </w:r>
      <w:r w:rsidR="00265B44" w:rsidRPr="0001128D">
        <w:rPr>
          <w:lang w:val="fr-FR"/>
        </w:rPr>
        <w:t>À</w:t>
      </w:r>
      <w:r w:rsidRPr="0001128D">
        <w:rPr>
          <w:lang w:val="fr-FR"/>
        </w:rPr>
        <w:t xml:space="preserve"> LA PR</w:t>
      </w:r>
      <w:r w:rsidR="003B5A85" w:rsidRPr="0001128D">
        <w:rPr>
          <w:lang w:val="fr-FR"/>
        </w:rPr>
        <w:t>É</w:t>
      </w:r>
      <w:r w:rsidRPr="0001128D">
        <w:rPr>
          <w:lang w:val="fr-FR"/>
        </w:rPr>
        <w:t>SENTATION DES LISTAGES DES S</w:t>
      </w:r>
      <w:r w:rsidR="003B5A85" w:rsidRPr="0001128D">
        <w:rPr>
          <w:lang w:val="fr-FR"/>
        </w:rPr>
        <w:t>É</w:t>
      </w:r>
      <w:r w:rsidRPr="0001128D">
        <w:rPr>
          <w:lang w:val="fr-FR"/>
        </w:rPr>
        <w:t>QUENCES DE NUCL</w:t>
      </w:r>
      <w:r w:rsidR="003B5A85" w:rsidRPr="0001128D">
        <w:rPr>
          <w:lang w:val="fr-FR"/>
        </w:rPr>
        <w:t>É</w:t>
      </w:r>
      <w:r w:rsidRPr="0001128D">
        <w:rPr>
          <w:lang w:val="fr-FR"/>
        </w:rPr>
        <w:t>OTIDES ET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ACIDES AMIN</w:t>
      </w:r>
      <w:r w:rsidR="003B5A85" w:rsidRPr="0001128D">
        <w:rPr>
          <w:lang w:val="fr-FR"/>
        </w:rPr>
        <w:t>É</w:t>
      </w:r>
      <w:r w:rsidRPr="0001128D">
        <w:rPr>
          <w:lang w:val="fr-FR"/>
        </w:rPr>
        <w:t>S EN LANGAGE XML (</w:t>
      </w:r>
      <w:r w:rsidRPr="0001128D">
        <w:rPr>
          <w:i/>
          <w:lang w:val="fr-FR"/>
        </w:rPr>
        <w:t>EXTENSIBLE MARKUP LANGUAGE</w:t>
      </w:r>
      <w:r w:rsidRPr="0001128D">
        <w:rPr>
          <w:lang w:val="fr-FR"/>
        </w:rPr>
        <w:t>)</w:t>
      </w:r>
    </w:p>
    <w:bookmarkEnd w:id="11"/>
    <w:p w:rsidR="000B789B" w:rsidRPr="0001128D" w:rsidRDefault="00C50389" w:rsidP="000B789B">
      <w:pPr>
        <w:jc w:val="center"/>
        <w:rPr>
          <w:rFonts w:eastAsia="Batang" w:cs="Times New Roman"/>
          <w:sz w:val="17"/>
          <w:lang w:val="fr-FR" w:eastAsia="en-US"/>
        </w:rPr>
      </w:pPr>
      <w:r w:rsidRPr="0001128D">
        <w:rPr>
          <w:rFonts w:eastAsia="Batang" w:cs="Times New Roman"/>
          <w:sz w:val="17"/>
          <w:lang w:val="fr-FR" w:eastAsia="en-US"/>
        </w:rPr>
        <w:t>Version finale</w:t>
      </w:r>
    </w:p>
    <w:p w:rsidR="000B789B" w:rsidRPr="0001128D" w:rsidRDefault="000B789B" w:rsidP="000B789B">
      <w:pPr>
        <w:jc w:val="center"/>
        <w:rPr>
          <w:rFonts w:eastAsia="Batang" w:cs="Times New Roman"/>
          <w:sz w:val="17"/>
          <w:lang w:val="fr-FR" w:eastAsia="en-US"/>
        </w:rPr>
      </w:pPr>
      <w:r w:rsidRPr="0001128D">
        <w:rPr>
          <w:rFonts w:eastAsia="Batang" w:cs="Times New Roman"/>
          <w:i/>
          <w:sz w:val="17"/>
          <w:lang w:val="fr-FR" w:eastAsia="en-US"/>
        </w:rPr>
        <w:t>Propos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>ition</w:t>
      </w:r>
      <w:r w:rsidRPr="0001128D">
        <w:rPr>
          <w:rFonts w:eastAsia="Batang" w:cs="Times New Roman"/>
          <w:i/>
          <w:sz w:val="17"/>
          <w:lang w:val="fr-FR" w:eastAsia="en-US"/>
        </w:rPr>
        <w:t xml:space="preserve"> pr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>ésentée par l</w:t>
      </w:r>
      <w:r w:rsidR="00A329F0" w:rsidRPr="0001128D">
        <w:rPr>
          <w:rFonts w:eastAsia="Batang" w:cs="Times New Roman"/>
          <w:i/>
          <w:sz w:val="17"/>
          <w:lang w:val="fr-FR" w:eastAsia="en-US"/>
        </w:rPr>
        <w:t>’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>équipe d</w:t>
      </w:r>
      <w:r w:rsidR="00A329F0" w:rsidRPr="0001128D">
        <w:rPr>
          <w:rFonts w:eastAsia="Batang" w:cs="Times New Roman"/>
          <w:i/>
          <w:sz w:val="17"/>
          <w:lang w:val="fr-FR" w:eastAsia="en-US"/>
        </w:rPr>
        <w:t>’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>experts SEQL</w:t>
      </w:r>
      <w:r w:rsidRPr="0001128D">
        <w:rPr>
          <w:rFonts w:eastAsia="Batang" w:cs="Times New Roman"/>
          <w:i/>
          <w:sz w:val="17"/>
          <w:lang w:val="fr-FR" w:eastAsia="en-US"/>
        </w:rPr>
        <w:t xml:space="preserve"> 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>pour examen et adoption par</w:t>
      </w:r>
      <w:r w:rsidR="00A329F0" w:rsidRPr="0001128D">
        <w:rPr>
          <w:rFonts w:eastAsia="Batang" w:cs="Times New Roman"/>
          <w:i/>
          <w:sz w:val="17"/>
          <w:lang w:val="fr-FR" w:eastAsia="en-US"/>
        </w:rPr>
        <w:t xml:space="preserve"> le CWS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 xml:space="preserve"> à sa quatrième</w:t>
      </w:r>
      <w:r w:rsidR="00745EE5" w:rsidRPr="0001128D">
        <w:rPr>
          <w:rFonts w:eastAsia="Batang" w:cs="Times New Roman"/>
          <w:i/>
          <w:sz w:val="17"/>
          <w:lang w:val="fr-FR" w:eastAsia="en-US"/>
        </w:rPr>
        <w:t> </w:t>
      </w:r>
      <w:r w:rsidR="00C50389" w:rsidRPr="0001128D">
        <w:rPr>
          <w:rFonts w:eastAsia="Batang" w:cs="Times New Roman"/>
          <w:i/>
          <w:sz w:val="17"/>
          <w:lang w:val="fr-FR" w:eastAsia="en-US"/>
        </w:rPr>
        <w:t>session</w:t>
      </w:r>
    </w:p>
    <w:p w:rsidR="000B789B" w:rsidRPr="0001128D" w:rsidRDefault="000B789B" w:rsidP="000B789B">
      <w:pPr>
        <w:pStyle w:val="List0"/>
        <w:jc w:val="center"/>
        <w:rPr>
          <w:b/>
          <w:bCs/>
          <w:lang w:val="fr-FR" w:eastAsia="zh-CN"/>
        </w:rPr>
      </w:pPr>
    </w:p>
    <w:p w:rsidR="000B789B" w:rsidRPr="0001128D" w:rsidRDefault="000B789B" w:rsidP="000B789B">
      <w:pPr>
        <w:pStyle w:val="TitleCAPS"/>
        <w:jc w:val="left"/>
        <w:rPr>
          <w:caps w:val="0"/>
          <w:lang w:val="fr-FR"/>
        </w:rPr>
      </w:pPr>
    </w:p>
    <w:p w:rsidR="007B2BC8" w:rsidRPr="0001128D" w:rsidRDefault="004B5D94" w:rsidP="007B2BC8">
      <w:pPr>
        <w:widowControl/>
        <w:kinsoku/>
        <w:jc w:val="center"/>
        <w:rPr>
          <w:rFonts w:eastAsia="Batang" w:cs="Times New Roman"/>
          <w:sz w:val="17"/>
          <w:szCs w:val="20"/>
          <w:lang w:val="fr-FR" w:eastAsia="en-US"/>
        </w:rPr>
      </w:pPr>
      <w:bookmarkStart w:id="12" w:name="_Toc157834748"/>
      <w:bookmarkStart w:id="13" w:name="_Toc157834930"/>
      <w:bookmarkStart w:id="14" w:name="_Toc157847266"/>
      <w:bookmarkStart w:id="15" w:name="_Toc158116812"/>
      <w:bookmarkStart w:id="16" w:name="_Toc158117040"/>
      <w:bookmarkStart w:id="17" w:name="_Toc160863763"/>
      <w:bookmarkStart w:id="18" w:name="_Toc185419732"/>
      <w:r w:rsidRPr="0001128D">
        <w:rPr>
          <w:rFonts w:eastAsia="Batang" w:cs="Times New Roman"/>
          <w:sz w:val="17"/>
          <w:szCs w:val="20"/>
          <w:lang w:val="fr-FR" w:eastAsia="en-US"/>
        </w:rPr>
        <w:t xml:space="preserve">TABLE </w:t>
      </w:r>
      <w:bookmarkEnd w:id="12"/>
      <w:bookmarkEnd w:id="13"/>
      <w:bookmarkEnd w:id="14"/>
      <w:bookmarkEnd w:id="15"/>
      <w:bookmarkEnd w:id="16"/>
      <w:bookmarkEnd w:id="17"/>
      <w:bookmarkEnd w:id="18"/>
      <w:r w:rsidR="00C50389" w:rsidRPr="0001128D">
        <w:rPr>
          <w:rFonts w:eastAsia="Batang" w:cs="Times New Roman"/>
          <w:sz w:val="17"/>
          <w:szCs w:val="20"/>
          <w:lang w:val="fr-FR" w:eastAsia="en-US"/>
        </w:rPr>
        <w:t>DES MATIÈRES</w:t>
      </w:r>
    </w:p>
    <w:p w:rsidR="00C145BB" w:rsidRPr="0001128D" w:rsidRDefault="00C145BB" w:rsidP="007B2BC8">
      <w:pPr>
        <w:widowControl/>
        <w:kinsoku/>
        <w:jc w:val="center"/>
        <w:rPr>
          <w:rFonts w:eastAsia="Batang" w:cs="Times New Roman"/>
          <w:sz w:val="17"/>
          <w:szCs w:val="20"/>
          <w:lang w:val="fr-FR" w:eastAsia="en-US"/>
        </w:rPr>
      </w:pPr>
    </w:p>
    <w:p w:rsidR="004B5D94" w:rsidRPr="0001128D" w:rsidRDefault="004B5D94" w:rsidP="007551CC">
      <w:pPr>
        <w:widowControl/>
        <w:tabs>
          <w:tab w:val="center" w:pos="4677"/>
          <w:tab w:val="left" w:pos="8397"/>
        </w:tabs>
        <w:kinsoku/>
        <w:rPr>
          <w:rFonts w:eastAsia="Times New Roman" w:cs="Times New Roman"/>
          <w:sz w:val="17"/>
          <w:szCs w:val="20"/>
          <w:lang w:val="fr-FR" w:eastAsia="en-US"/>
        </w:rPr>
      </w:pPr>
    </w:p>
    <w:p w:rsidR="001E522A" w:rsidRDefault="000E66C8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01128D">
        <w:rPr>
          <w:rFonts w:eastAsia="Batang" w:cs="Times New Roman"/>
          <w:caps/>
          <w:szCs w:val="17"/>
          <w:lang w:val="fr-FR" w:eastAsia="en-US"/>
        </w:rPr>
        <w:fldChar w:fldCharType="begin"/>
      </w:r>
      <w:r w:rsidRPr="0001128D">
        <w:rPr>
          <w:rFonts w:eastAsia="Batang" w:cs="Times New Roman"/>
          <w:caps/>
          <w:szCs w:val="17"/>
          <w:lang w:val="fr-FR" w:eastAsia="en-US"/>
        </w:rPr>
        <w:instrText xml:space="preserve"> TOC \o "1-3" \u </w:instrText>
      </w:r>
      <w:r w:rsidRPr="0001128D">
        <w:rPr>
          <w:rFonts w:eastAsia="Batang" w:cs="Times New Roman"/>
          <w:caps/>
          <w:szCs w:val="17"/>
          <w:lang w:val="fr-FR" w:eastAsia="en-US"/>
        </w:rPr>
        <w:fldChar w:fldCharType="separate"/>
      </w:r>
      <w:r w:rsidR="001E522A" w:rsidRPr="00B5287C">
        <w:rPr>
          <w:rFonts w:eastAsia="Times New Roman" w:cs="Times New Roman"/>
          <w:noProof/>
          <w:lang w:val="fr-FR" w:eastAsia="en-US"/>
        </w:rPr>
        <w:t>INTRODUCTION</w:t>
      </w:r>
      <w:r w:rsidR="001E522A" w:rsidRPr="00407557">
        <w:rPr>
          <w:noProof/>
          <w:lang w:val="fr-CH"/>
        </w:rPr>
        <w:tab/>
      </w:r>
      <w:r w:rsidR="001E522A">
        <w:rPr>
          <w:noProof/>
        </w:rPr>
        <w:fldChar w:fldCharType="begin"/>
      </w:r>
      <w:r w:rsidR="001E522A" w:rsidRPr="00407557">
        <w:rPr>
          <w:noProof/>
          <w:lang w:val="fr-CH"/>
        </w:rPr>
        <w:instrText xml:space="preserve"> PAGEREF _Toc386037643 \h </w:instrText>
      </w:r>
      <w:r w:rsidR="001E522A">
        <w:rPr>
          <w:noProof/>
        </w:rPr>
      </w:r>
      <w:r w:rsidR="001E522A">
        <w:rPr>
          <w:noProof/>
        </w:rPr>
        <w:fldChar w:fldCharType="separate"/>
      </w:r>
      <w:r w:rsidR="0036024C">
        <w:rPr>
          <w:noProof/>
          <w:lang w:val="fr-CH"/>
        </w:rPr>
        <w:t>2</w:t>
      </w:r>
      <w:r w:rsidR="001E522A">
        <w:rPr>
          <w:noProof/>
        </w:rPr>
        <w:fldChar w:fldCharType="end"/>
      </w:r>
    </w:p>
    <w:p w:rsidR="001E522A" w:rsidRDefault="001E522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noProof/>
          <w:lang w:val="fr-FR" w:eastAsia="en-US"/>
        </w:rPr>
        <w:t>DÉFINITIONS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_Toc386037644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2</w:t>
      </w:r>
      <w:r>
        <w:rPr>
          <w:noProof/>
        </w:rPr>
        <w:fldChar w:fldCharType="end"/>
      </w:r>
    </w:p>
    <w:p w:rsidR="001E522A" w:rsidRDefault="001E522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caps/>
          <w:noProof/>
          <w:lang w:val="fr-FR" w:eastAsia="en-US"/>
        </w:rPr>
        <w:t>PORTÉE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_Toc386037645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1E522A" w:rsidRDefault="001E522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noProof/>
          <w:lang w:val="fr-FR" w:eastAsia="en-US"/>
        </w:rPr>
        <w:t>RÉFÉRENCES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_Toc386037646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1E522A" w:rsidRDefault="001E522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noProof/>
          <w:lang w:val="fr-FR" w:eastAsia="en-US"/>
        </w:rPr>
        <w:t>PRÉSENTATION DES SÉQUENCES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_Toc386037647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Séquences de nucléotides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_Toc386037648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Séquences d’acides aminés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_Toc386037649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5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Présentation de cas particuliers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_Toc386037650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7</w:t>
      </w:r>
      <w:r>
        <w:rPr>
          <w:noProof/>
        </w:rPr>
        <w:fldChar w:fldCharType="end"/>
      </w:r>
    </w:p>
    <w:p w:rsidR="001E522A" w:rsidRDefault="001E522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noProof/>
          <w:lang w:val="fr-FR" w:eastAsia="en-US"/>
        </w:rPr>
        <w:t>STRUCTURE DU LISTAGE DE SÉQUENCES EN XML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_Toc386037651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7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Élément racine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_Toc386037652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8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Partie consacrée aux informations générales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_Toc386037653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8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Partie consacrée aux données sur les séquences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_Toc386037654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11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Tableau de caractéristiques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_Toc386037655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13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Clés de caractérisation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_Toc386037656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14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Clés de caractérisation obligatoires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_Toc386037657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14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Emplacement de la caractéristique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_Toc386037658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14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Qualificateurs de caractéristiques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_Toc386037659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16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Qualificateurs de caractéristiques obligatoires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_Toc386037660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16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Éléments des qualificateurs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_Toc386037661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16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Texte libre</w:t>
      </w:r>
      <w:r w:rsidRPr="00407557">
        <w:rPr>
          <w:noProof/>
          <w:lang w:val="fr-CH"/>
        </w:rPr>
        <w:tab/>
      </w:r>
      <w:r>
        <w:rPr>
          <w:noProof/>
        </w:rPr>
        <w:fldChar w:fldCharType="begin"/>
      </w:r>
      <w:r w:rsidRPr="00407557">
        <w:rPr>
          <w:noProof/>
          <w:lang w:val="fr-CH"/>
        </w:rPr>
        <w:instrText xml:space="preserve"> PAGEREF _Toc386037662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  <w:lang w:val="fr-CH"/>
        </w:rPr>
        <w:t>18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Séquences de codage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_Toc386037663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</w:rPr>
        <w:t>18</w:t>
      </w:r>
      <w:r>
        <w:rPr>
          <w:noProof/>
        </w:rPr>
        <w:fldChar w:fldCharType="end"/>
      </w:r>
    </w:p>
    <w:p w:rsidR="001E522A" w:rsidRDefault="001E522A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B5287C">
        <w:rPr>
          <w:rFonts w:eastAsia="Times New Roman" w:cs="Times New Roman"/>
          <w:i/>
          <w:noProof/>
          <w:lang w:val="fr-FR" w:eastAsia="en-US"/>
        </w:rPr>
        <w:t>Variantes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_Toc386037664 \h </w:instrText>
      </w:r>
      <w:r>
        <w:rPr>
          <w:noProof/>
        </w:rPr>
      </w:r>
      <w:r>
        <w:rPr>
          <w:noProof/>
        </w:rPr>
        <w:fldChar w:fldCharType="separate"/>
      </w:r>
      <w:r w:rsidR="0036024C">
        <w:rPr>
          <w:noProof/>
        </w:rPr>
        <w:t>19</w:t>
      </w:r>
      <w:r>
        <w:rPr>
          <w:noProof/>
        </w:rPr>
        <w:fldChar w:fldCharType="end"/>
      </w:r>
    </w:p>
    <w:p w:rsidR="004B5D94" w:rsidRPr="0001128D" w:rsidRDefault="000E66C8" w:rsidP="00C15F4E">
      <w:pPr>
        <w:spacing w:before="60"/>
        <w:ind w:left="170"/>
        <w:rPr>
          <w:sz w:val="17"/>
          <w:szCs w:val="17"/>
          <w:lang w:val="fr-FR"/>
        </w:rPr>
      </w:pPr>
      <w:r w:rsidRPr="0001128D">
        <w:rPr>
          <w:rFonts w:eastAsia="Batang" w:cs="Times New Roman"/>
          <w:caps/>
          <w:sz w:val="17"/>
          <w:szCs w:val="17"/>
          <w:lang w:val="fr-FR" w:eastAsia="en-US"/>
        </w:rPr>
        <w:fldChar w:fldCharType="end"/>
      </w:r>
    </w:p>
    <w:p w:rsidR="004B5D94" w:rsidRPr="0001128D" w:rsidRDefault="004B5D94" w:rsidP="004B5D94">
      <w:pPr>
        <w:widowControl/>
        <w:kinsoku/>
        <w:spacing w:line="360" w:lineRule="auto"/>
        <w:ind w:left="170"/>
        <w:rPr>
          <w:rFonts w:eastAsia="Times New Roman" w:cs="Times New Roman"/>
          <w:b/>
          <w:sz w:val="17"/>
          <w:szCs w:val="20"/>
          <w:lang w:val="fr-FR" w:eastAsia="en-US"/>
        </w:rPr>
      </w:pPr>
      <w:r w:rsidRPr="0001128D">
        <w:rPr>
          <w:rFonts w:eastAsia="Times New Roman" w:cs="Times New Roman"/>
          <w:b/>
          <w:sz w:val="17"/>
          <w:szCs w:val="20"/>
          <w:lang w:val="fr-FR" w:eastAsia="en-US"/>
        </w:rPr>
        <w:t>ANNEXES</w:t>
      </w:r>
    </w:p>
    <w:p w:rsidR="00B66197" w:rsidRPr="0001128D" w:rsidRDefault="00B66197" w:rsidP="001D10FA">
      <w:pPr>
        <w:spacing w:before="60"/>
        <w:ind w:left="170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Annex</w:t>
      </w:r>
      <w:r w:rsidR="002234F9" w:rsidRPr="0001128D">
        <w:rPr>
          <w:sz w:val="17"/>
          <w:szCs w:val="17"/>
          <w:lang w:val="fr-FR"/>
        </w:rPr>
        <w:t>e</w:t>
      </w:r>
      <w:r w:rsidR="001C0CF4" w:rsidRPr="0001128D">
        <w:rPr>
          <w:sz w:val="17"/>
          <w:szCs w:val="17"/>
          <w:lang w:val="fr-FR"/>
        </w:rPr>
        <w:t xml:space="preserve"> I</w:t>
      </w:r>
      <w:r w:rsidRPr="0001128D">
        <w:rPr>
          <w:sz w:val="17"/>
          <w:szCs w:val="17"/>
          <w:lang w:val="fr-FR"/>
        </w:rPr>
        <w:t xml:space="preserve"> </w:t>
      </w:r>
      <w:r w:rsidR="00745EE5" w:rsidRPr="0001128D">
        <w:rPr>
          <w:sz w:val="17"/>
          <w:szCs w:val="17"/>
          <w:lang w:val="fr-FR"/>
        </w:rPr>
        <w:t>–</w:t>
      </w:r>
      <w:r w:rsidRPr="0001128D">
        <w:rPr>
          <w:sz w:val="17"/>
          <w:szCs w:val="17"/>
          <w:lang w:val="fr-FR"/>
        </w:rPr>
        <w:t xml:space="preserve"> </w:t>
      </w:r>
      <w:r w:rsidR="002234F9" w:rsidRPr="0001128D">
        <w:rPr>
          <w:sz w:val="17"/>
          <w:szCs w:val="17"/>
          <w:lang w:val="fr-FR"/>
        </w:rPr>
        <w:t>Vocabulaire contrôlé</w:t>
      </w:r>
    </w:p>
    <w:p w:rsidR="007F59E2" w:rsidRPr="0001128D" w:rsidRDefault="00B66197" w:rsidP="001D10FA">
      <w:pPr>
        <w:spacing w:before="60"/>
        <w:ind w:left="170"/>
        <w:rPr>
          <w:sz w:val="17"/>
          <w:szCs w:val="17"/>
          <w:lang w:val="fr-FR"/>
        </w:rPr>
      </w:pPr>
      <w:bookmarkStart w:id="19" w:name="Annex2"/>
      <w:r w:rsidRPr="0001128D">
        <w:rPr>
          <w:sz w:val="17"/>
          <w:szCs w:val="17"/>
          <w:lang w:val="fr-FR"/>
        </w:rPr>
        <w:t>A</w:t>
      </w:r>
      <w:r w:rsidR="00BF6B9A" w:rsidRPr="0001128D">
        <w:rPr>
          <w:sz w:val="17"/>
          <w:szCs w:val="17"/>
          <w:lang w:val="fr-FR"/>
        </w:rPr>
        <w:t>nnex</w:t>
      </w:r>
      <w:r w:rsidR="002234F9" w:rsidRPr="0001128D">
        <w:rPr>
          <w:sz w:val="17"/>
          <w:szCs w:val="17"/>
          <w:lang w:val="fr-FR"/>
        </w:rPr>
        <w:t>e</w:t>
      </w:r>
      <w:r w:rsidR="00F675AD" w:rsidRPr="0001128D">
        <w:rPr>
          <w:sz w:val="17"/>
          <w:szCs w:val="17"/>
          <w:lang w:val="fr-FR"/>
        </w:rPr>
        <w:t xml:space="preserve"> II</w:t>
      </w:r>
      <w:bookmarkEnd w:id="19"/>
      <w:r w:rsidR="007A1C1F" w:rsidRPr="0001128D">
        <w:rPr>
          <w:sz w:val="17"/>
          <w:szCs w:val="17"/>
          <w:lang w:val="fr-FR"/>
        </w:rPr>
        <w:t xml:space="preserve"> </w:t>
      </w:r>
      <w:r w:rsidR="00745EE5" w:rsidRPr="0001128D">
        <w:rPr>
          <w:sz w:val="17"/>
          <w:szCs w:val="17"/>
          <w:lang w:val="fr-FR"/>
        </w:rPr>
        <w:t>–</w:t>
      </w:r>
      <w:r w:rsidR="004B5D94" w:rsidRPr="0001128D">
        <w:rPr>
          <w:sz w:val="17"/>
          <w:szCs w:val="17"/>
          <w:lang w:val="fr-FR"/>
        </w:rPr>
        <w:t xml:space="preserve"> </w:t>
      </w:r>
      <w:r w:rsidR="0063063E" w:rsidRPr="0001128D">
        <w:rPr>
          <w:sz w:val="17"/>
          <w:szCs w:val="17"/>
          <w:lang w:val="fr-FR"/>
        </w:rPr>
        <w:t>D</w:t>
      </w:r>
      <w:r w:rsidR="002234F9" w:rsidRPr="0001128D">
        <w:rPr>
          <w:sz w:val="17"/>
          <w:szCs w:val="17"/>
          <w:lang w:val="fr-FR"/>
        </w:rPr>
        <w:t>éfinition de type de document</w:t>
      </w:r>
      <w:r w:rsidR="0063063E" w:rsidRPr="0001128D">
        <w:rPr>
          <w:sz w:val="17"/>
          <w:szCs w:val="17"/>
          <w:lang w:val="fr-FR"/>
        </w:rPr>
        <w:t xml:space="preserve"> (DTD)</w:t>
      </w:r>
      <w:r w:rsidR="00815FB7" w:rsidRPr="0001128D">
        <w:rPr>
          <w:sz w:val="17"/>
          <w:szCs w:val="17"/>
          <w:lang w:val="fr-FR"/>
        </w:rPr>
        <w:t xml:space="preserve"> </w:t>
      </w:r>
      <w:r w:rsidR="002234F9" w:rsidRPr="0001128D">
        <w:rPr>
          <w:sz w:val="17"/>
          <w:szCs w:val="17"/>
          <w:lang w:val="fr-FR"/>
        </w:rPr>
        <w:t>pour le listage des séquences</w:t>
      </w:r>
    </w:p>
    <w:p w:rsidR="00A329F0" w:rsidRPr="0001128D" w:rsidRDefault="00B66197" w:rsidP="007B5015">
      <w:pPr>
        <w:spacing w:before="60"/>
        <w:ind w:left="170"/>
        <w:rPr>
          <w:sz w:val="17"/>
          <w:szCs w:val="17"/>
          <w:lang w:val="fr-FR"/>
        </w:rPr>
      </w:pPr>
      <w:bookmarkStart w:id="20" w:name="Annex3"/>
      <w:r w:rsidRPr="0001128D">
        <w:rPr>
          <w:sz w:val="17"/>
          <w:szCs w:val="17"/>
          <w:lang w:val="fr-FR"/>
        </w:rPr>
        <w:t>Annex</w:t>
      </w:r>
      <w:r w:rsidR="002234F9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 xml:space="preserve"> </w:t>
      </w:r>
      <w:r w:rsidR="00F675AD" w:rsidRPr="0001128D">
        <w:rPr>
          <w:sz w:val="17"/>
          <w:szCs w:val="17"/>
          <w:lang w:val="fr-FR"/>
        </w:rPr>
        <w:t>III</w:t>
      </w:r>
      <w:bookmarkEnd w:id="20"/>
      <w:r w:rsidR="00F675AD" w:rsidRPr="0001128D">
        <w:rPr>
          <w:sz w:val="17"/>
          <w:szCs w:val="17"/>
          <w:lang w:val="fr-FR"/>
        </w:rPr>
        <w:t xml:space="preserve"> </w:t>
      </w:r>
      <w:r w:rsidR="00745EE5" w:rsidRPr="0001128D">
        <w:rPr>
          <w:sz w:val="17"/>
          <w:szCs w:val="17"/>
          <w:lang w:val="fr-FR"/>
        </w:rPr>
        <w:t>–</w:t>
      </w:r>
      <w:r w:rsidRPr="0001128D">
        <w:rPr>
          <w:sz w:val="17"/>
          <w:szCs w:val="17"/>
          <w:lang w:val="fr-FR"/>
        </w:rPr>
        <w:t xml:space="preserve"> </w:t>
      </w:r>
      <w:r w:rsidR="002234F9" w:rsidRPr="0001128D">
        <w:rPr>
          <w:sz w:val="17"/>
          <w:szCs w:val="17"/>
          <w:lang w:val="fr-FR"/>
        </w:rPr>
        <w:t>Exemple de listage des séquences</w:t>
      </w:r>
      <w:r w:rsidRPr="0001128D">
        <w:rPr>
          <w:sz w:val="17"/>
          <w:szCs w:val="17"/>
          <w:lang w:val="fr-FR"/>
        </w:rPr>
        <w:t xml:space="preserve"> (</w:t>
      </w:r>
      <w:r w:rsidR="002234F9" w:rsidRPr="0001128D">
        <w:rPr>
          <w:sz w:val="17"/>
          <w:szCs w:val="17"/>
          <w:lang w:val="fr-FR"/>
        </w:rPr>
        <w:t>fichier XML</w:t>
      </w:r>
      <w:r w:rsidRPr="0001128D">
        <w:rPr>
          <w:sz w:val="17"/>
          <w:szCs w:val="17"/>
          <w:lang w:val="fr-FR"/>
        </w:rPr>
        <w:t>)</w:t>
      </w:r>
    </w:p>
    <w:p w:rsidR="007F59E2" w:rsidRPr="0001128D" w:rsidRDefault="00CB5E64" w:rsidP="009C4BFF">
      <w:pPr>
        <w:spacing w:before="60"/>
        <w:ind w:left="170" w:right="-426"/>
        <w:rPr>
          <w:sz w:val="17"/>
          <w:szCs w:val="17"/>
          <w:lang w:val="fr-FR"/>
        </w:rPr>
      </w:pPr>
      <w:bookmarkStart w:id="21" w:name="Annex4"/>
      <w:r w:rsidRPr="0001128D">
        <w:rPr>
          <w:sz w:val="17"/>
          <w:szCs w:val="17"/>
          <w:lang w:val="fr-FR"/>
        </w:rPr>
        <w:t>A</w:t>
      </w:r>
      <w:r w:rsidR="00BF6B9A" w:rsidRPr="0001128D">
        <w:rPr>
          <w:sz w:val="17"/>
          <w:szCs w:val="17"/>
          <w:lang w:val="fr-FR"/>
        </w:rPr>
        <w:t>nnex</w:t>
      </w:r>
      <w:r w:rsidR="002234F9" w:rsidRPr="0001128D">
        <w:rPr>
          <w:sz w:val="17"/>
          <w:szCs w:val="17"/>
          <w:lang w:val="fr-FR"/>
        </w:rPr>
        <w:t>e</w:t>
      </w:r>
      <w:r w:rsidR="00F675AD" w:rsidRPr="0001128D">
        <w:rPr>
          <w:sz w:val="17"/>
          <w:szCs w:val="17"/>
          <w:lang w:val="fr-FR"/>
        </w:rPr>
        <w:t xml:space="preserve"> IV</w:t>
      </w:r>
      <w:bookmarkEnd w:id="21"/>
      <w:r w:rsidR="004B5D94" w:rsidRPr="0001128D">
        <w:rPr>
          <w:sz w:val="17"/>
          <w:szCs w:val="17"/>
          <w:lang w:val="fr-FR"/>
        </w:rPr>
        <w:t xml:space="preserve"> </w:t>
      </w:r>
      <w:r w:rsidR="00745EE5" w:rsidRPr="0001128D">
        <w:rPr>
          <w:sz w:val="17"/>
          <w:szCs w:val="17"/>
          <w:lang w:val="fr-FR"/>
        </w:rPr>
        <w:t>–</w:t>
      </w:r>
      <w:r w:rsidR="004B5D94" w:rsidRPr="0001128D">
        <w:rPr>
          <w:sz w:val="17"/>
          <w:szCs w:val="17"/>
          <w:lang w:val="fr-FR"/>
        </w:rPr>
        <w:t xml:space="preserve"> </w:t>
      </w:r>
      <w:r w:rsidR="002234F9" w:rsidRPr="0001128D">
        <w:rPr>
          <w:sz w:val="17"/>
          <w:szCs w:val="17"/>
          <w:lang w:val="fr-FR"/>
        </w:rPr>
        <w:t>Sous</w:t>
      </w:r>
      <w:r w:rsidR="00265B44" w:rsidRPr="0001128D">
        <w:rPr>
          <w:sz w:val="17"/>
          <w:szCs w:val="17"/>
          <w:lang w:val="fr-FR"/>
        </w:rPr>
        <w:noBreakHyphen/>
      </w:r>
      <w:r w:rsidR="002234F9" w:rsidRPr="0001128D">
        <w:rPr>
          <w:sz w:val="17"/>
          <w:szCs w:val="17"/>
          <w:lang w:val="fr-FR"/>
        </w:rPr>
        <w:t>ensemble de caractères provenant du tableau de codes des caractères latins de base de la norme Unicode</w:t>
      </w:r>
    </w:p>
    <w:p w:rsidR="00774A30" w:rsidRPr="0001128D" w:rsidRDefault="002C71B9" w:rsidP="002C71B9">
      <w:pPr>
        <w:spacing w:before="60"/>
        <w:ind w:left="170"/>
        <w:rPr>
          <w:sz w:val="17"/>
          <w:szCs w:val="17"/>
          <w:lang w:val="fr-FR"/>
        </w:rPr>
      </w:pPr>
      <w:bookmarkStart w:id="22" w:name="Annex5"/>
      <w:r w:rsidRPr="0001128D">
        <w:rPr>
          <w:sz w:val="17"/>
          <w:szCs w:val="17"/>
          <w:lang w:val="fr-FR"/>
        </w:rPr>
        <w:t>Annex</w:t>
      </w:r>
      <w:r w:rsidR="002234F9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 xml:space="preserve"> V</w:t>
      </w:r>
      <w:bookmarkEnd w:id="22"/>
      <w:r w:rsidR="004B5D94" w:rsidRPr="0001128D">
        <w:rPr>
          <w:sz w:val="17"/>
          <w:szCs w:val="17"/>
          <w:lang w:val="fr-FR"/>
        </w:rPr>
        <w:t xml:space="preserve"> </w:t>
      </w:r>
      <w:r w:rsidR="00745EE5" w:rsidRPr="0001128D">
        <w:rPr>
          <w:sz w:val="17"/>
          <w:szCs w:val="17"/>
          <w:lang w:val="fr-FR"/>
        </w:rPr>
        <w:t>–</w:t>
      </w:r>
      <w:r w:rsidR="004B5D94" w:rsidRPr="0001128D">
        <w:rPr>
          <w:sz w:val="17"/>
          <w:szCs w:val="17"/>
          <w:lang w:val="fr-FR"/>
        </w:rPr>
        <w:t xml:space="preserve"> </w:t>
      </w:r>
      <w:r w:rsidR="002234F9" w:rsidRPr="0001128D">
        <w:rPr>
          <w:sz w:val="17"/>
          <w:szCs w:val="17"/>
          <w:lang w:val="fr-FR"/>
        </w:rPr>
        <w:t>Prescriptions supplémentaires en matière d</w:t>
      </w:r>
      <w:r w:rsidR="00A329F0" w:rsidRPr="0001128D">
        <w:rPr>
          <w:sz w:val="17"/>
          <w:szCs w:val="17"/>
          <w:lang w:val="fr-FR"/>
        </w:rPr>
        <w:t>’</w:t>
      </w:r>
      <w:r w:rsidR="002234F9" w:rsidRPr="0001128D">
        <w:rPr>
          <w:sz w:val="17"/>
          <w:szCs w:val="17"/>
          <w:lang w:val="fr-FR"/>
        </w:rPr>
        <w:t>échange de données</w:t>
      </w:r>
      <w:r w:rsidRPr="0001128D">
        <w:rPr>
          <w:sz w:val="17"/>
          <w:szCs w:val="17"/>
          <w:lang w:val="fr-FR"/>
        </w:rPr>
        <w:t xml:space="preserve"> (</w:t>
      </w:r>
      <w:r w:rsidR="002234F9" w:rsidRPr="0001128D">
        <w:rPr>
          <w:sz w:val="17"/>
          <w:szCs w:val="17"/>
          <w:lang w:val="fr-FR"/>
        </w:rPr>
        <w:t>uniquement pour les offices de brevets</w:t>
      </w:r>
      <w:r w:rsidRPr="0001128D">
        <w:rPr>
          <w:sz w:val="17"/>
          <w:szCs w:val="17"/>
          <w:lang w:val="fr-FR"/>
        </w:rPr>
        <w:t>)</w:t>
      </w:r>
    </w:p>
    <w:p w:rsidR="00774A30" w:rsidRPr="0001128D" w:rsidRDefault="00774A30">
      <w:pPr>
        <w:widowControl/>
        <w:kinsoku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br w:type="page"/>
      </w:r>
    </w:p>
    <w:p w:rsidR="00C50389" w:rsidRPr="0001128D" w:rsidRDefault="00C50389" w:rsidP="00C50389">
      <w:pPr>
        <w:pStyle w:val="TitleCAPS"/>
        <w:rPr>
          <w:b/>
          <w:sz w:val="20"/>
          <w:lang w:val="fr-FR"/>
        </w:rPr>
      </w:pPr>
      <w:bookmarkStart w:id="23" w:name="_Toc371330382"/>
      <w:r w:rsidRPr="0001128D">
        <w:rPr>
          <w:b/>
          <w:sz w:val="20"/>
          <w:lang w:val="fr-FR"/>
        </w:rPr>
        <w:lastRenderedPageBreak/>
        <w:t>NORME ST.26</w:t>
      </w:r>
    </w:p>
    <w:p w:rsidR="00A329F0" w:rsidRPr="0001128D" w:rsidRDefault="00C50389" w:rsidP="00C50389">
      <w:pPr>
        <w:pStyle w:val="TitleCAPS"/>
        <w:rPr>
          <w:lang w:val="fr-FR"/>
        </w:rPr>
      </w:pPr>
      <w:r w:rsidRPr="0001128D">
        <w:rPr>
          <w:lang w:val="fr-FR"/>
        </w:rPr>
        <w:t xml:space="preserve">recommandation de NORME RELATIVE </w:t>
      </w:r>
      <w:r w:rsidR="000E66C8" w:rsidRPr="0001128D">
        <w:rPr>
          <w:lang w:val="fr-FR"/>
        </w:rPr>
        <w:t>À</w:t>
      </w:r>
      <w:r w:rsidRPr="0001128D">
        <w:rPr>
          <w:lang w:val="fr-FR"/>
        </w:rPr>
        <w:t xml:space="preserve"> LA PR</w:t>
      </w:r>
      <w:r w:rsidR="00C145BB" w:rsidRPr="0001128D">
        <w:rPr>
          <w:lang w:val="fr-FR"/>
        </w:rPr>
        <w:t>É</w:t>
      </w:r>
      <w:r w:rsidRPr="0001128D">
        <w:rPr>
          <w:lang w:val="fr-FR"/>
        </w:rPr>
        <w:t>SENTATION DES LISTAGES DES S</w:t>
      </w:r>
      <w:r w:rsidR="00C145BB" w:rsidRPr="0001128D">
        <w:rPr>
          <w:lang w:val="fr-FR"/>
        </w:rPr>
        <w:t>É</w:t>
      </w:r>
      <w:r w:rsidRPr="0001128D">
        <w:rPr>
          <w:lang w:val="fr-FR"/>
        </w:rPr>
        <w:t>QUENCES DE NUCL</w:t>
      </w:r>
      <w:r w:rsidR="00C145BB" w:rsidRPr="0001128D">
        <w:rPr>
          <w:lang w:val="fr-FR"/>
        </w:rPr>
        <w:t>É</w:t>
      </w:r>
      <w:r w:rsidRPr="0001128D">
        <w:rPr>
          <w:lang w:val="fr-FR"/>
        </w:rPr>
        <w:t>OTIDES ET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ACIDES AMIN</w:t>
      </w:r>
      <w:r w:rsidR="00C145BB" w:rsidRPr="0001128D">
        <w:rPr>
          <w:lang w:val="fr-FR"/>
        </w:rPr>
        <w:t>É</w:t>
      </w:r>
      <w:r w:rsidRPr="0001128D">
        <w:rPr>
          <w:lang w:val="fr-FR"/>
        </w:rPr>
        <w:t>S EN LANGAGE XML (</w:t>
      </w:r>
      <w:r w:rsidRPr="0001128D">
        <w:rPr>
          <w:i/>
          <w:lang w:val="fr-FR"/>
        </w:rPr>
        <w:t>EXTENSIBLE MARKUP LANGUAGE</w:t>
      </w:r>
      <w:r w:rsidRPr="0001128D">
        <w:rPr>
          <w:lang w:val="fr-FR"/>
        </w:rPr>
        <w:t>)</w:t>
      </w:r>
    </w:p>
    <w:p w:rsidR="00C50389" w:rsidRPr="0001128D" w:rsidRDefault="00C50389" w:rsidP="00C50389">
      <w:pPr>
        <w:jc w:val="center"/>
        <w:rPr>
          <w:rFonts w:eastAsia="Batang" w:cs="Times New Roman"/>
          <w:sz w:val="17"/>
          <w:lang w:val="fr-FR" w:eastAsia="en-US"/>
        </w:rPr>
      </w:pPr>
      <w:r w:rsidRPr="0001128D">
        <w:rPr>
          <w:rFonts w:eastAsia="Batang" w:cs="Times New Roman"/>
          <w:sz w:val="17"/>
          <w:lang w:val="fr-FR" w:eastAsia="en-US"/>
        </w:rPr>
        <w:t>Version finale</w:t>
      </w:r>
    </w:p>
    <w:p w:rsidR="001D1439" w:rsidRPr="0001128D" w:rsidRDefault="00C50389" w:rsidP="00C50389">
      <w:pPr>
        <w:jc w:val="center"/>
        <w:rPr>
          <w:rFonts w:eastAsia="Batang" w:cs="Times New Roman"/>
          <w:sz w:val="17"/>
          <w:lang w:val="fr-FR" w:eastAsia="en-US"/>
        </w:rPr>
      </w:pPr>
      <w:r w:rsidRPr="0001128D">
        <w:rPr>
          <w:rFonts w:eastAsia="Batang" w:cs="Times New Roman"/>
          <w:i/>
          <w:sz w:val="17"/>
          <w:lang w:val="fr-FR" w:eastAsia="en-US"/>
        </w:rPr>
        <w:t>Proposition présentée par l</w:t>
      </w:r>
      <w:r w:rsidR="00A329F0" w:rsidRPr="0001128D">
        <w:rPr>
          <w:rFonts w:eastAsia="Batang" w:cs="Times New Roman"/>
          <w:i/>
          <w:sz w:val="17"/>
          <w:lang w:val="fr-FR" w:eastAsia="en-US"/>
        </w:rPr>
        <w:t>’</w:t>
      </w:r>
      <w:r w:rsidRPr="0001128D">
        <w:rPr>
          <w:rFonts w:eastAsia="Batang" w:cs="Times New Roman"/>
          <w:i/>
          <w:sz w:val="17"/>
          <w:lang w:val="fr-FR" w:eastAsia="en-US"/>
        </w:rPr>
        <w:t>équipe d</w:t>
      </w:r>
      <w:r w:rsidR="00A329F0" w:rsidRPr="0001128D">
        <w:rPr>
          <w:rFonts w:eastAsia="Batang" w:cs="Times New Roman"/>
          <w:i/>
          <w:sz w:val="17"/>
          <w:lang w:val="fr-FR" w:eastAsia="en-US"/>
        </w:rPr>
        <w:t>’</w:t>
      </w:r>
      <w:r w:rsidRPr="0001128D">
        <w:rPr>
          <w:rFonts w:eastAsia="Batang" w:cs="Times New Roman"/>
          <w:i/>
          <w:sz w:val="17"/>
          <w:lang w:val="fr-FR" w:eastAsia="en-US"/>
        </w:rPr>
        <w:t>experts SEQL pour examen et adoption par</w:t>
      </w:r>
      <w:r w:rsidR="00A329F0" w:rsidRPr="0001128D">
        <w:rPr>
          <w:rFonts w:eastAsia="Batang" w:cs="Times New Roman"/>
          <w:i/>
          <w:sz w:val="17"/>
          <w:lang w:val="fr-FR" w:eastAsia="en-US"/>
        </w:rPr>
        <w:t xml:space="preserve"> le CWS</w:t>
      </w:r>
      <w:r w:rsidRPr="0001128D">
        <w:rPr>
          <w:rFonts w:eastAsia="Batang" w:cs="Times New Roman"/>
          <w:i/>
          <w:sz w:val="17"/>
          <w:lang w:val="fr-FR" w:eastAsia="en-US"/>
        </w:rPr>
        <w:t xml:space="preserve"> à sa quatrième</w:t>
      </w:r>
      <w:r w:rsidR="00745EE5" w:rsidRPr="0001128D">
        <w:rPr>
          <w:rFonts w:eastAsia="Batang" w:cs="Times New Roman"/>
          <w:i/>
          <w:sz w:val="17"/>
          <w:lang w:val="fr-FR" w:eastAsia="en-US"/>
        </w:rPr>
        <w:t> </w:t>
      </w:r>
      <w:r w:rsidRPr="0001128D">
        <w:rPr>
          <w:rFonts w:eastAsia="Batang" w:cs="Times New Roman"/>
          <w:i/>
          <w:sz w:val="17"/>
          <w:lang w:val="fr-FR" w:eastAsia="en-US"/>
        </w:rPr>
        <w:t>session</w:t>
      </w:r>
    </w:p>
    <w:p w:rsidR="001D1439" w:rsidRPr="0001128D" w:rsidRDefault="001D1439" w:rsidP="001D1439">
      <w:pPr>
        <w:pStyle w:val="TitleCAPS"/>
        <w:rPr>
          <w:lang w:val="fr-FR"/>
        </w:rPr>
      </w:pPr>
    </w:p>
    <w:p w:rsidR="007F7362" w:rsidRPr="0001128D" w:rsidRDefault="00E16174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fr-FR" w:eastAsia="en-US"/>
        </w:rPr>
      </w:pPr>
      <w:bookmarkStart w:id="24" w:name="_Toc383437131"/>
      <w:bookmarkStart w:id="25" w:name="_Toc383437608"/>
      <w:bookmarkStart w:id="26" w:name="_Toc386037643"/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INTRODUCTION</w:t>
      </w:r>
      <w:bookmarkEnd w:id="23"/>
      <w:bookmarkEnd w:id="24"/>
      <w:bookmarkEnd w:id="25"/>
      <w:bookmarkEnd w:id="26"/>
    </w:p>
    <w:p w:rsidR="007F7362" w:rsidRPr="0001128D" w:rsidRDefault="002F6D34" w:rsidP="0040755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lang w:val="fr-FR"/>
        </w:rPr>
      </w:pPr>
      <w:bookmarkStart w:id="27" w:name="_Ref245295789"/>
      <w:bookmarkStart w:id="28" w:name="_Ref316625625"/>
      <w:r w:rsidRPr="0001128D">
        <w:rPr>
          <w:lang w:val="fr-FR"/>
        </w:rPr>
        <w:t xml:space="preserve">La présente </w:t>
      </w:r>
      <w:r w:rsidRPr="00407557">
        <w:rPr>
          <w:szCs w:val="17"/>
        </w:rPr>
        <w:t>norme</w:t>
      </w:r>
      <w:r w:rsidRPr="0001128D">
        <w:rPr>
          <w:lang w:val="fr-FR"/>
        </w:rPr>
        <w:t xml:space="preserve"> </w:t>
      </w:r>
      <w:r w:rsidR="00492D38" w:rsidRPr="0001128D">
        <w:rPr>
          <w:lang w:val="fr-FR"/>
        </w:rPr>
        <w:t>définit la manière dont des</w:t>
      </w:r>
      <w:r w:rsidRPr="0001128D">
        <w:rPr>
          <w:lang w:val="fr-FR"/>
        </w:rPr>
        <w:t xml:space="preserve"> séquences de nucléotides et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acides aminés</w:t>
      </w:r>
      <w:r w:rsidR="000F0269" w:rsidRPr="0001128D">
        <w:rPr>
          <w:lang w:val="fr-FR"/>
        </w:rPr>
        <w:t xml:space="preserve"> </w:t>
      </w:r>
      <w:r w:rsidR="00492D38" w:rsidRPr="0001128D">
        <w:rPr>
          <w:lang w:val="fr-FR"/>
        </w:rPr>
        <w:t>doivent être divulguées</w:t>
      </w:r>
      <w:r w:rsidR="000F0269" w:rsidRPr="0001128D">
        <w:rPr>
          <w:lang w:val="fr-FR"/>
        </w:rPr>
        <w:t xml:space="preserve"> dans une demande de </w:t>
      </w:r>
      <w:r w:rsidR="00745EE5" w:rsidRPr="0001128D">
        <w:rPr>
          <w:lang w:val="fr-FR"/>
        </w:rPr>
        <w:t>brevet</w:t>
      </w:r>
      <w:r w:rsidR="000F0269" w:rsidRPr="0001128D">
        <w:rPr>
          <w:lang w:val="fr-FR"/>
        </w:rPr>
        <w:t xml:space="preserve"> pour pouvoir être jointes à un listage des séquences.</w:t>
      </w:r>
      <w:r w:rsidR="00745EE5" w:rsidRPr="0001128D">
        <w:rPr>
          <w:lang w:val="fr-FR"/>
        </w:rPr>
        <w:t xml:space="preserve"> </w:t>
      </w:r>
      <w:r w:rsidR="000F0269" w:rsidRPr="0001128D">
        <w:rPr>
          <w:lang w:val="fr-FR"/>
        </w:rPr>
        <w:t xml:space="preserve"> Elle précise les caractéristiques de ces divulgations et la définition de type de document (DTD) à employer lorsque le listage des séquences est effectué au format XML (</w:t>
      </w:r>
      <w:proofErr w:type="spellStart"/>
      <w:r w:rsidR="000F0269" w:rsidRPr="0001128D">
        <w:rPr>
          <w:i/>
          <w:lang w:val="fr-FR"/>
        </w:rPr>
        <w:t>eXtensible</w:t>
      </w:r>
      <w:proofErr w:type="spellEnd"/>
      <w:r w:rsidR="000F0269" w:rsidRPr="0001128D">
        <w:rPr>
          <w:i/>
          <w:lang w:val="fr-FR"/>
        </w:rPr>
        <w:t xml:space="preserve"> </w:t>
      </w:r>
      <w:proofErr w:type="spellStart"/>
      <w:r w:rsidR="000F0269" w:rsidRPr="0001128D">
        <w:rPr>
          <w:i/>
          <w:lang w:val="fr-FR"/>
        </w:rPr>
        <w:t>Markup</w:t>
      </w:r>
      <w:proofErr w:type="spellEnd"/>
      <w:r w:rsidR="000F0269" w:rsidRPr="0001128D">
        <w:rPr>
          <w:i/>
          <w:lang w:val="fr-FR"/>
        </w:rPr>
        <w:t xml:space="preserve"> </w:t>
      </w:r>
      <w:proofErr w:type="spellStart"/>
      <w:r w:rsidR="000F0269" w:rsidRPr="0001128D">
        <w:rPr>
          <w:i/>
          <w:lang w:val="fr-FR"/>
        </w:rPr>
        <w:t>Language</w:t>
      </w:r>
      <w:proofErr w:type="spellEnd"/>
      <w:r w:rsidR="000F0269" w:rsidRPr="0001128D">
        <w:rPr>
          <w:lang w:val="fr-FR"/>
        </w:rPr>
        <w:t>).</w:t>
      </w:r>
      <w:r w:rsidR="00116E95" w:rsidRPr="0001128D">
        <w:rPr>
          <w:lang w:val="fr-FR"/>
        </w:rPr>
        <w:t xml:space="preserve">  </w:t>
      </w:r>
      <w:r w:rsidR="00CB5F3C" w:rsidRPr="0001128D">
        <w:rPr>
          <w:lang w:val="fr-FR"/>
        </w:rPr>
        <w:t>Il est recommandé que les offices de propriété industrielle acceptent tous les listages</w:t>
      </w:r>
      <w:r w:rsidR="00C65721" w:rsidRPr="0001128D">
        <w:rPr>
          <w:lang w:val="fr-FR"/>
        </w:rPr>
        <w:t xml:space="preserve"> de séquences</w:t>
      </w:r>
      <w:r w:rsidR="00CB5F3C" w:rsidRPr="0001128D">
        <w:rPr>
          <w:lang w:val="fr-FR"/>
        </w:rPr>
        <w:t xml:space="preserve"> conformes à cette norme qui sont déposés en tant que partie intégrante d</w:t>
      </w:r>
      <w:r w:rsidR="00A329F0" w:rsidRPr="0001128D">
        <w:rPr>
          <w:lang w:val="fr-FR"/>
        </w:rPr>
        <w:t>’</w:t>
      </w:r>
      <w:r w:rsidR="00CB5F3C" w:rsidRPr="0001128D">
        <w:rPr>
          <w:lang w:val="fr-FR"/>
        </w:rPr>
        <w:t>une demande de brevet ou en relation avec une demande de brevet.</w:t>
      </w:r>
    </w:p>
    <w:p w:rsidR="007F7362" w:rsidRPr="0001128D" w:rsidRDefault="00F86073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Cette norme a pour but</w:t>
      </w:r>
      <w:r w:rsidR="00745EE5" w:rsidRPr="0001128D">
        <w:rPr>
          <w:szCs w:val="17"/>
          <w:lang w:val="fr-FR"/>
        </w:rPr>
        <w:t> </w:t>
      </w:r>
      <w:r w:rsidR="007F7362" w:rsidRPr="0001128D">
        <w:rPr>
          <w:szCs w:val="17"/>
          <w:lang w:val="fr-FR"/>
        </w:rPr>
        <w:t>:</w:t>
      </w:r>
    </w:p>
    <w:p w:rsidR="007F7362" w:rsidRPr="0001128D" w:rsidRDefault="008D0762" w:rsidP="004D7F7B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 xml:space="preserve">de </w:t>
      </w:r>
      <w:r w:rsidR="00C90309" w:rsidRPr="0001128D">
        <w:rPr>
          <w:lang w:val="fr-FR"/>
        </w:rPr>
        <w:t>permettre aux déposants d</w:t>
      </w:r>
      <w:r w:rsidR="00A329F0" w:rsidRPr="0001128D">
        <w:rPr>
          <w:lang w:val="fr-FR"/>
        </w:rPr>
        <w:t>’</w:t>
      </w:r>
      <w:r w:rsidR="00C90309" w:rsidRPr="0001128D">
        <w:rPr>
          <w:lang w:val="fr-FR"/>
        </w:rPr>
        <w:t>établir, dans le cadre d</w:t>
      </w:r>
      <w:r w:rsidR="00A329F0" w:rsidRPr="0001128D">
        <w:rPr>
          <w:lang w:val="fr-FR"/>
        </w:rPr>
        <w:t>’</w:t>
      </w:r>
      <w:r w:rsidR="00C90309" w:rsidRPr="0001128D">
        <w:rPr>
          <w:lang w:val="fr-FR"/>
        </w:rPr>
        <w:t>une demande de brevet, un listage</w:t>
      </w:r>
      <w:r w:rsidR="00C65721" w:rsidRPr="0001128D">
        <w:rPr>
          <w:lang w:val="fr-FR"/>
        </w:rPr>
        <w:t xml:space="preserve"> des séquences</w:t>
      </w:r>
      <w:r w:rsidR="00C90309" w:rsidRPr="0001128D">
        <w:rPr>
          <w:lang w:val="fr-FR"/>
        </w:rPr>
        <w:t xml:space="preserve"> unique qui soit acceptable pour les procédures internationales </w:t>
      </w:r>
      <w:r w:rsidR="004D7F7B" w:rsidRPr="0001128D">
        <w:rPr>
          <w:lang w:val="fr-FR"/>
        </w:rPr>
        <w:t>et nationales ou régionales</w:t>
      </w:r>
      <w:r w:rsidR="00C90309" w:rsidRPr="0001128D">
        <w:rPr>
          <w:lang w:val="fr-FR"/>
        </w:rPr>
        <w:t>;</w:t>
      </w:r>
    </w:p>
    <w:p w:rsidR="007F7362" w:rsidRPr="0001128D" w:rsidRDefault="008D0762" w:rsidP="00837511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</w:t>
      </w:r>
      <w:r w:rsidR="00A329F0" w:rsidRPr="0001128D">
        <w:rPr>
          <w:lang w:val="fr-FR"/>
        </w:rPr>
        <w:t>’</w:t>
      </w:r>
      <w:r w:rsidR="00837511" w:rsidRPr="0001128D">
        <w:rPr>
          <w:lang w:val="fr-FR"/>
        </w:rPr>
        <w:t>accroître la précision et la qualité de la présentation des séquences pour faciliter leur diffusion dans l</w:t>
      </w:r>
      <w:r w:rsidR="00A329F0" w:rsidRPr="0001128D">
        <w:rPr>
          <w:lang w:val="fr-FR"/>
        </w:rPr>
        <w:t>’</w:t>
      </w:r>
      <w:r w:rsidR="00837511" w:rsidRPr="0001128D">
        <w:rPr>
          <w:lang w:val="fr-FR"/>
        </w:rPr>
        <w:t>intérêt des déposants, du public et des examinateurs;</w:t>
      </w:r>
    </w:p>
    <w:p w:rsidR="00837511" w:rsidRPr="0001128D" w:rsidRDefault="00837511" w:rsidP="008B4E62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de faciliter la recherche de données sur ces séquences;  et</w:t>
      </w:r>
    </w:p>
    <w:p w:rsidR="00837511" w:rsidRPr="0001128D" w:rsidRDefault="00743537" w:rsidP="00743537">
      <w:pPr>
        <w:pStyle w:val="List0R"/>
        <w:numPr>
          <w:ilvl w:val="0"/>
          <w:numId w:val="14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de permettre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échange de données sur les séquences sous forme électronique et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incorporation de ces données dans des bases de données informatisées.</w:t>
      </w:r>
    </w:p>
    <w:p w:rsidR="0006326F" w:rsidRPr="0001128D" w:rsidRDefault="00E16174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fr-FR" w:eastAsia="en-US"/>
        </w:rPr>
      </w:pPr>
      <w:bookmarkStart w:id="29" w:name="_Toc371330383"/>
      <w:bookmarkStart w:id="30" w:name="_Toc383437132"/>
      <w:bookmarkStart w:id="31" w:name="_Toc383437609"/>
      <w:bookmarkStart w:id="32" w:name="_Toc386037644"/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D</w:t>
      </w:r>
      <w:r w:rsidR="00623B80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É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FINITIONS</w:t>
      </w:r>
      <w:bookmarkEnd w:id="29"/>
      <w:bookmarkEnd w:id="30"/>
      <w:bookmarkEnd w:id="31"/>
      <w:bookmarkEnd w:id="32"/>
    </w:p>
    <w:p w:rsidR="004500FA" w:rsidRPr="0001128D" w:rsidRDefault="00623B80" w:rsidP="00623B80">
      <w:pPr>
        <w:pStyle w:val="Paragraph"/>
        <w:rPr>
          <w:lang w:val="fr-FR"/>
        </w:rPr>
      </w:pPr>
      <w:r w:rsidRPr="0001128D">
        <w:rPr>
          <w:rFonts w:eastAsia="Times New Roman" w:cs="Times New Roman"/>
          <w:sz w:val="17"/>
          <w:lang w:val="fr-FR" w:eastAsia="en-US"/>
        </w:rPr>
        <w:t>Aux fins de la présente norme</w:t>
      </w:r>
      <w:r w:rsidRPr="0001128D">
        <w:rPr>
          <w:sz w:val="17"/>
          <w:lang w:val="fr-FR"/>
        </w:rPr>
        <w:t>, l</w:t>
      </w:r>
      <w:r w:rsidR="00A329F0" w:rsidRPr="0001128D">
        <w:rPr>
          <w:sz w:val="17"/>
          <w:lang w:val="fr-FR"/>
        </w:rPr>
        <w:t>’</w:t>
      </w:r>
      <w:r w:rsidRPr="0001128D">
        <w:rPr>
          <w:sz w:val="17"/>
          <w:lang w:val="fr-FR"/>
        </w:rPr>
        <w:t>expression</w:t>
      </w:r>
      <w:r w:rsidR="00745EE5" w:rsidRPr="0001128D">
        <w:rPr>
          <w:sz w:val="17"/>
          <w:lang w:val="fr-FR"/>
        </w:rPr>
        <w:t> </w:t>
      </w:r>
      <w:r w:rsidRPr="0001128D">
        <w:rPr>
          <w:sz w:val="17"/>
          <w:lang w:val="fr-FR"/>
        </w:rPr>
        <w:t>:</w:t>
      </w:r>
    </w:p>
    <w:p w:rsidR="004500FA" w:rsidRPr="0001128D" w:rsidRDefault="00745EE5" w:rsidP="00A76BD7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8C1E04" w:rsidRPr="0001128D">
        <w:rPr>
          <w:lang w:val="fr-FR"/>
        </w:rPr>
        <w:t>acide aminé</w:t>
      </w:r>
      <w:r w:rsidRPr="0001128D">
        <w:rPr>
          <w:lang w:val="fr-FR"/>
        </w:rPr>
        <w:t>”</w:t>
      </w:r>
      <w:r w:rsidR="008C1E04" w:rsidRPr="0001128D">
        <w:rPr>
          <w:lang w:val="fr-FR"/>
        </w:rPr>
        <w:t xml:space="preserve"> désigne tout acide aminé pouvant être représenté à l</w:t>
      </w:r>
      <w:r w:rsidR="00A329F0" w:rsidRPr="0001128D">
        <w:rPr>
          <w:lang w:val="fr-FR"/>
        </w:rPr>
        <w:t>’</w:t>
      </w:r>
      <w:r w:rsidR="008C1E04" w:rsidRPr="0001128D">
        <w:rPr>
          <w:lang w:val="fr-FR"/>
        </w:rPr>
        <w:t xml:space="preserve">aide des symboles indiqués dans le tableau I (voir section 3, tableau 3). </w:t>
      </w:r>
      <w:r w:rsidR="006B71CB" w:rsidRPr="0001128D">
        <w:rPr>
          <w:lang w:val="fr-FR"/>
        </w:rPr>
        <w:t xml:space="preserve"> Ces acides aminés comprennent notamment </w:t>
      </w:r>
      <w:r w:rsidR="00ED243B" w:rsidRPr="0001128D">
        <w:rPr>
          <w:lang w:val="fr-FR"/>
        </w:rPr>
        <w:t xml:space="preserve">les </w:t>
      </w:r>
      <w:proofErr w:type="spellStart"/>
      <w:r w:rsidR="00ED243B" w:rsidRPr="0001128D">
        <w:rPr>
          <w:lang w:val="fr-FR"/>
        </w:rPr>
        <w:t>D</w:t>
      </w:r>
      <w:r w:rsidR="00265B44" w:rsidRPr="0001128D">
        <w:rPr>
          <w:lang w:val="fr-FR"/>
        </w:rPr>
        <w:noBreakHyphen/>
      </w:r>
      <w:r w:rsidR="00ED243B" w:rsidRPr="0001128D">
        <w:rPr>
          <w:lang w:val="fr-FR"/>
        </w:rPr>
        <w:t>aminoacides</w:t>
      </w:r>
      <w:proofErr w:type="spellEnd"/>
      <w:r w:rsidR="00ED243B" w:rsidRPr="0001128D">
        <w:rPr>
          <w:lang w:val="fr-FR"/>
        </w:rPr>
        <w:t xml:space="preserve"> et les acides aminés contenant des </w:t>
      </w:r>
      <w:r w:rsidR="00BF3D76" w:rsidRPr="0001128D">
        <w:rPr>
          <w:lang w:val="fr-FR"/>
        </w:rPr>
        <w:t>chaînes latérales modifiées ou synthétiques.  Les acides aminés seront considérés comme des L</w:t>
      </w:r>
      <w:r w:rsidR="00265B44" w:rsidRPr="0001128D">
        <w:rPr>
          <w:lang w:val="fr-FR"/>
        </w:rPr>
        <w:noBreakHyphen/>
      </w:r>
      <w:r w:rsidR="00BF3D76" w:rsidRPr="0001128D">
        <w:rPr>
          <w:lang w:val="fr-FR"/>
        </w:rPr>
        <w:t>aminoacides non modifiés sauf s</w:t>
      </w:r>
      <w:r w:rsidR="00A329F0" w:rsidRPr="0001128D">
        <w:rPr>
          <w:lang w:val="fr-FR"/>
        </w:rPr>
        <w:t>’</w:t>
      </w:r>
      <w:r w:rsidR="00BF3D76" w:rsidRPr="0001128D">
        <w:rPr>
          <w:lang w:val="fr-FR"/>
        </w:rPr>
        <w:t>il est précisé dans leur description qu</w:t>
      </w:r>
      <w:r w:rsidR="00A329F0" w:rsidRPr="0001128D">
        <w:rPr>
          <w:lang w:val="fr-FR"/>
        </w:rPr>
        <w:t>’</w:t>
      </w:r>
      <w:r w:rsidR="00BF3D76" w:rsidRPr="0001128D">
        <w:rPr>
          <w:lang w:val="fr-FR"/>
        </w:rPr>
        <w:t>ils sont modifiés</w:t>
      </w:r>
      <w:r w:rsidR="006F4053" w:rsidRPr="0001128D">
        <w:rPr>
          <w:lang w:val="fr-FR"/>
        </w:rPr>
        <w:t xml:space="preserve"> au sens du </w:t>
      </w:r>
      <w:r w:rsidR="00BA73D2" w:rsidRPr="0001128D">
        <w:rPr>
          <w:lang w:val="fr-FR"/>
        </w:rPr>
        <w:t>paragraphe 29;</w:t>
      </w:r>
    </w:p>
    <w:p w:rsidR="00A76BD7" w:rsidRPr="0001128D" w:rsidRDefault="00745EE5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9A6742" w:rsidRPr="0001128D">
        <w:rPr>
          <w:lang w:val="fr-FR"/>
        </w:rPr>
        <w:t>vocabulaire contrôlé</w:t>
      </w:r>
      <w:r w:rsidRPr="0001128D">
        <w:rPr>
          <w:lang w:val="fr-FR"/>
        </w:rPr>
        <w:t>”</w:t>
      </w:r>
      <w:r w:rsidR="009A6742" w:rsidRPr="0001128D">
        <w:rPr>
          <w:lang w:val="fr-FR"/>
        </w:rPr>
        <w:t xml:space="preserve"> désigne la terminologie employée dans la présente norme, qui doit être reprise dans la description des </w:t>
      </w:r>
      <w:r w:rsidR="00EF089E" w:rsidRPr="0001128D">
        <w:rPr>
          <w:lang w:val="fr-FR"/>
        </w:rPr>
        <w:t>caractéristiques d</w:t>
      </w:r>
      <w:r w:rsidR="00A329F0" w:rsidRPr="0001128D">
        <w:rPr>
          <w:lang w:val="fr-FR"/>
        </w:rPr>
        <w:t>’</w:t>
      </w:r>
      <w:r w:rsidR="00EF089E" w:rsidRPr="0001128D">
        <w:rPr>
          <w:lang w:val="fr-FR"/>
        </w:rPr>
        <w:t>une séquence, c</w:t>
      </w:r>
      <w:r w:rsidR="00A329F0" w:rsidRPr="0001128D">
        <w:rPr>
          <w:lang w:val="fr-FR"/>
        </w:rPr>
        <w:t>’</w:t>
      </w:r>
      <w:r w:rsidR="00EF089E" w:rsidRPr="0001128D">
        <w:rPr>
          <w:lang w:val="fr-FR"/>
        </w:rPr>
        <w:t>est</w:t>
      </w:r>
      <w:r w:rsidR="00265B44" w:rsidRPr="0001128D">
        <w:rPr>
          <w:lang w:val="fr-FR"/>
        </w:rPr>
        <w:noBreakHyphen/>
      </w:r>
      <w:r w:rsidR="00EF089E" w:rsidRPr="0001128D">
        <w:rPr>
          <w:lang w:val="fr-FR"/>
        </w:rPr>
        <w:t>à</w:t>
      </w:r>
      <w:r w:rsidR="00265B44" w:rsidRPr="0001128D">
        <w:rPr>
          <w:lang w:val="fr-FR"/>
        </w:rPr>
        <w:noBreakHyphen/>
      </w:r>
      <w:r w:rsidR="00EF089E" w:rsidRPr="0001128D">
        <w:rPr>
          <w:lang w:val="fr-FR"/>
        </w:rPr>
        <w:t xml:space="preserve">dire dans les </w:t>
      </w:r>
      <w:r w:rsidR="00E5234D" w:rsidRPr="0001128D">
        <w:rPr>
          <w:lang w:val="fr-FR"/>
        </w:rPr>
        <w:t xml:space="preserve">annotations de </w:t>
      </w:r>
      <w:r w:rsidR="00BA73D2" w:rsidRPr="0001128D">
        <w:rPr>
          <w:lang w:val="fr-FR"/>
        </w:rPr>
        <w:t>régions ou de sites présentant un intérêt particulier conformément à l</w:t>
      </w:r>
      <w:r w:rsidR="00A329F0" w:rsidRPr="0001128D">
        <w:rPr>
          <w:lang w:val="fr-FR"/>
        </w:rPr>
        <w:t>’</w:t>
      </w:r>
      <w:r w:rsidR="00BA73D2" w:rsidRPr="0001128D">
        <w:rPr>
          <w:lang w:val="fr-FR"/>
        </w:rPr>
        <w:t>annexe I;</w:t>
      </w:r>
    </w:p>
    <w:p w:rsidR="004500FA" w:rsidRPr="0001128D" w:rsidRDefault="00745EE5" w:rsidP="009E50B4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825553" w:rsidRPr="0001128D">
        <w:rPr>
          <w:lang w:val="fr-FR"/>
        </w:rPr>
        <w:t>séquence délibérément omise</w:t>
      </w:r>
      <w:r w:rsidRPr="0001128D">
        <w:rPr>
          <w:lang w:val="fr-FR"/>
        </w:rPr>
        <w:t>”</w:t>
      </w:r>
      <w:r w:rsidR="001467A8" w:rsidRPr="0001128D">
        <w:rPr>
          <w:lang w:val="fr-FR"/>
        </w:rPr>
        <w:t xml:space="preserve"> ou </w:t>
      </w:r>
      <w:r w:rsidR="00F028D5" w:rsidRPr="0001128D">
        <w:rPr>
          <w:lang w:val="fr-FR"/>
        </w:rPr>
        <w:t>séquence vide</w:t>
      </w:r>
      <w:r w:rsidR="00825553" w:rsidRPr="0001128D">
        <w:rPr>
          <w:lang w:val="fr-FR"/>
        </w:rPr>
        <w:t xml:space="preserve"> désigne </w:t>
      </w:r>
      <w:r w:rsidR="00C23A8B" w:rsidRPr="0001128D">
        <w:rPr>
          <w:lang w:val="fr-FR"/>
        </w:rPr>
        <w:t xml:space="preserve">un espace </w:t>
      </w:r>
      <w:r w:rsidR="00344CDF" w:rsidRPr="0001128D">
        <w:rPr>
          <w:lang w:val="fr-FR"/>
        </w:rPr>
        <w:t>réservé</w:t>
      </w:r>
      <w:r w:rsidR="00237AA2" w:rsidRPr="0001128D">
        <w:rPr>
          <w:lang w:val="fr-FR"/>
        </w:rPr>
        <w:t xml:space="preserve"> qui est</w:t>
      </w:r>
      <w:r w:rsidR="00C23A8B" w:rsidRPr="0001128D">
        <w:rPr>
          <w:lang w:val="fr-FR"/>
        </w:rPr>
        <w:t xml:space="preserve"> destiné à préserver </w:t>
      </w:r>
      <w:r w:rsidR="00344CDF" w:rsidRPr="0001128D">
        <w:rPr>
          <w:lang w:val="fr-FR"/>
        </w:rPr>
        <w:t>la numérotation des séquences dans le listage afin de garantir la cohérence de cette numérotation avec celle des divulgations jointes à la demande</w:t>
      </w:r>
      <w:r w:rsidR="001467A8" w:rsidRPr="0001128D">
        <w:rPr>
          <w:lang w:val="fr-FR"/>
        </w:rPr>
        <w:t>, par exemple lorsqu</w:t>
      </w:r>
      <w:r w:rsidR="00A329F0" w:rsidRPr="0001128D">
        <w:rPr>
          <w:lang w:val="fr-FR"/>
        </w:rPr>
        <w:t>’</w:t>
      </w:r>
      <w:r w:rsidR="001467A8" w:rsidRPr="0001128D">
        <w:rPr>
          <w:lang w:val="fr-FR"/>
        </w:rPr>
        <w:t>une séquence a été supprimée dans la divulgation, pour éviter d</w:t>
      </w:r>
      <w:r w:rsidR="00A329F0" w:rsidRPr="0001128D">
        <w:rPr>
          <w:lang w:val="fr-FR"/>
        </w:rPr>
        <w:t>’</w:t>
      </w:r>
      <w:r w:rsidR="001467A8" w:rsidRPr="0001128D">
        <w:rPr>
          <w:lang w:val="fr-FR"/>
        </w:rPr>
        <w:t>avoir à renuméroter les séquences à la fois dans la</w:t>
      </w:r>
      <w:r w:rsidR="00B65464" w:rsidRPr="0001128D">
        <w:rPr>
          <w:lang w:val="fr-FR"/>
        </w:rPr>
        <w:t xml:space="preserve"> divulgation et dans le listage</w:t>
      </w:r>
      <w:r w:rsidR="00564046" w:rsidRPr="0001128D">
        <w:rPr>
          <w:lang w:val="fr-FR"/>
        </w:rPr>
        <w:t xml:space="preserve"> des séquences</w:t>
      </w:r>
      <w:r w:rsidR="00B65464" w:rsidRPr="0001128D">
        <w:rPr>
          <w:lang w:val="fr-FR"/>
        </w:rPr>
        <w:t>;</w:t>
      </w:r>
    </w:p>
    <w:p w:rsidR="009E50B4" w:rsidRPr="0001128D" w:rsidRDefault="00745EE5" w:rsidP="008B4E62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9E50B4" w:rsidRPr="0001128D">
        <w:rPr>
          <w:lang w:val="fr-FR"/>
        </w:rPr>
        <w:t>nucléotide</w:t>
      </w:r>
      <w:r w:rsidRPr="0001128D">
        <w:rPr>
          <w:lang w:val="fr-FR"/>
        </w:rPr>
        <w:t>”</w:t>
      </w:r>
      <w:r w:rsidR="009E50B4" w:rsidRPr="0001128D">
        <w:rPr>
          <w:lang w:val="fr-FR"/>
        </w:rPr>
        <w:t xml:space="preserve"> </w:t>
      </w:r>
      <w:r w:rsidR="008B758F" w:rsidRPr="0001128D">
        <w:rPr>
          <w:lang w:val="fr-FR"/>
        </w:rPr>
        <w:t xml:space="preserve">désigne tout nucléotide ou </w:t>
      </w:r>
      <w:r w:rsidR="00193E65" w:rsidRPr="0001128D">
        <w:rPr>
          <w:lang w:val="fr-FR"/>
        </w:rPr>
        <w:t>analogue nucléotidique qui peut être représenté à l</w:t>
      </w:r>
      <w:r w:rsidR="00A329F0" w:rsidRPr="0001128D">
        <w:rPr>
          <w:lang w:val="fr-FR"/>
        </w:rPr>
        <w:t>’</w:t>
      </w:r>
      <w:r w:rsidR="00193E65" w:rsidRPr="0001128D">
        <w:rPr>
          <w:lang w:val="fr-FR"/>
        </w:rPr>
        <w:t>aide des symboles indiqués dans l</w:t>
      </w:r>
      <w:r w:rsidR="00A329F0" w:rsidRPr="0001128D">
        <w:rPr>
          <w:lang w:val="fr-FR"/>
        </w:rPr>
        <w:t>’</w:t>
      </w:r>
      <w:r w:rsidR="00193E65" w:rsidRPr="0001128D">
        <w:rPr>
          <w:lang w:val="fr-FR"/>
        </w:rPr>
        <w:t xml:space="preserve">annexe I (voir section 1, tableau 1).  </w:t>
      </w:r>
      <w:r w:rsidR="00B65464" w:rsidRPr="0001128D">
        <w:rPr>
          <w:lang w:val="fr-FR"/>
        </w:rPr>
        <w:t xml:space="preserve">Les nucléotides peuvent notamment contenir </w:t>
      </w:r>
      <w:r w:rsidR="00D026E9" w:rsidRPr="0001128D">
        <w:rPr>
          <w:lang w:val="fr-FR"/>
        </w:rPr>
        <w:t>une base pyrimidique</w:t>
      </w:r>
      <w:r w:rsidR="005B5205" w:rsidRPr="0001128D">
        <w:rPr>
          <w:lang w:val="fr-FR"/>
        </w:rPr>
        <w:t xml:space="preserve"> ou purin</w:t>
      </w:r>
      <w:r w:rsidR="00D026E9" w:rsidRPr="0001128D">
        <w:rPr>
          <w:lang w:val="fr-FR"/>
        </w:rPr>
        <w:t>e</w:t>
      </w:r>
      <w:r w:rsidR="003F5AF7" w:rsidRPr="0001128D">
        <w:rPr>
          <w:lang w:val="fr-FR"/>
        </w:rPr>
        <w:t xml:space="preserve"> modifiée ou synthétique, ou un</w:t>
      </w:r>
      <w:r w:rsidR="00D026E9" w:rsidRPr="0001128D">
        <w:rPr>
          <w:lang w:val="fr-FR"/>
        </w:rPr>
        <w:t xml:space="preserve"> </w:t>
      </w:r>
      <w:r w:rsidR="005B5205" w:rsidRPr="0001128D">
        <w:rPr>
          <w:lang w:val="fr-FR"/>
        </w:rPr>
        <w:t xml:space="preserve">ribose ou </w:t>
      </w:r>
      <w:r w:rsidR="003F5AF7" w:rsidRPr="0001128D">
        <w:rPr>
          <w:lang w:val="fr-FR"/>
        </w:rPr>
        <w:t xml:space="preserve">désoxyribose modifié ou synthétique, et peuvent </w:t>
      </w:r>
      <w:r w:rsidR="00C13937" w:rsidRPr="0001128D">
        <w:rPr>
          <w:lang w:val="fr-FR"/>
        </w:rPr>
        <w:t>être reliés par</w:t>
      </w:r>
      <w:r w:rsidR="006C3790" w:rsidRPr="0001128D">
        <w:rPr>
          <w:lang w:val="fr-FR"/>
        </w:rPr>
        <w:t xml:space="preserve"> </w:t>
      </w:r>
      <w:r w:rsidR="007A0C25" w:rsidRPr="0001128D">
        <w:rPr>
          <w:lang w:val="fr-FR"/>
        </w:rPr>
        <w:t>une liaison inter</w:t>
      </w:r>
      <w:r w:rsidR="00265B44" w:rsidRPr="0001128D">
        <w:rPr>
          <w:lang w:val="fr-FR"/>
        </w:rPr>
        <w:noBreakHyphen/>
      </w:r>
      <w:r w:rsidR="007A0C25" w:rsidRPr="0001128D">
        <w:rPr>
          <w:lang w:val="fr-FR"/>
        </w:rPr>
        <w:t>nucléoside</w:t>
      </w:r>
      <w:r w:rsidR="00CC377E" w:rsidRPr="0001128D">
        <w:rPr>
          <w:lang w:val="fr-FR"/>
        </w:rPr>
        <w:t xml:space="preserve"> de 3</w:t>
      </w:r>
      <w:r w:rsidR="00A329F0" w:rsidRPr="0001128D">
        <w:rPr>
          <w:lang w:val="fr-FR"/>
        </w:rPr>
        <w:t>’</w:t>
      </w:r>
      <w:r w:rsidR="00CC377E" w:rsidRPr="0001128D">
        <w:rPr>
          <w:lang w:val="fr-FR"/>
        </w:rPr>
        <w:t xml:space="preserve"> </w:t>
      </w:r>
      <w:r w:rsidR="007A0C25" w:rsidRPr="0001128D">
        <w:rPr>
          <w:lang w:val="fr-FR"/>
        </w:rPr>
        <w:t>à</w:t>
      </w:r>
      <w:r w:rsidR="00CC377E" w:rsidRPr="0001128D">
        <w:rPr>
          <w:lang w:val="fr-FR"/>
        </w:rPr>
        <w:t xml:space="preserve"> 5</w:t>
      </w:r>
      <w:r w:rsidR="00A329F0" w:rsidRPr="0001128D">
        <w:rPr>
          <w:lang w:val="fr-FR"/>
        </w:rPr>
        <w:t>’</w:t>
      </w:r>
      <w:r w:rsidR="00CC377E" w:rsidRPr="0001128D">
        <w:rPr>
          <w:lang w:val="fr-FR"/>
        </w:rPr>
        <w:t xml:space="preserve"> modifiée ou synthétique</w:t>
      </w:r>
      <w:r w:rsidR="006C3790" w:rsidRPr="0001128D">
        <w:rPr>
          <w:lang w:val="fr-FR"/>
        </w:rPr>
        <w:t xml:space="preserve">, </w:t>
      </w:r>
      <w:r w:rsidR="00AC5412" w:rsidRPr="0001128D">
        <w:rPr>
          <w:lang w:val="fr-FR"/>
        </w:rPr>
        <w:t>c</w:t>
      </w:r>
      <w:r w:rsidR="00A329F0" w:rsidRPr="0001128D">
        <w:rPr>
          <w:lang w:val="fr-FR"/>
        </w:rPr>
        <w:t>’</w:t>
      </w:r>
      <w:r w:rsidR="00A21C49" w:rsidRPr="0001128D">
        <w:rPr>
          <w:lang w:val="fr-FR"/>
        </w:rPr>
        <w:t>est</w:t>
      </w:r>
      <w:r w:rsidR="00265B44" w:rsidRPr="0001128D">
        <w:rPr>
          <w:lang w:val="fr-FR"/>
        </w:rPr>
        <w:noBreakHyphen/>
      </w:r>
      <w:r w:rsidR="00A21C49" w:rsidRPr="0001128D">
        <w:rPr>
          <w:lang w:val="fr-FR"/>
        </w:rPr>
        <w:t>à</w:t>
      </w:r>
      <w:r w:rsidR="00265B44" w:rsidRPr="0001128D">
        <w:rPr>
          <w:lang w:val="fr-FR"/>
        </w:rPr>
        <w:noBreakHyphen/>
      </w:r>
      <w:r w:rsidR="00A21C49" w:rsidRPr="0001128D">
        <w:rPr>
          <w:lang w:val="fr-FR"/>
        </w:rPr>
        <w:t xml:space="preserve">dire </w:t>
      </w:r>
      <w:r w:rsidR="00C2325A" w:rsidRPr="0001128D">
        <w:rPr>
          <w:lang w:val="fr-FR"/>
        </w:rPr>
        <w:t xml:space="preserve">par </w:t>
      </w:r>
      <w:r w:rsidR="00A21C49" w:rsidRPr="0001128D">
        <w:rPr>
          <w:lang w:val="fr-FR"/>
        </w:rPr>
        <w:t>toute fraction chimique assurant la même foncti</w:t>
      </w:r>
      <w:r w:rsidR="001A6550" w:rsidRPr="0001128D">
        <w:rPr>
          <w:lang w:val="fr-FR"/>
        </w:rPr>
        <w:t>on structurelle que la fraction</w:t>
      </w:r>
      <w:r w:rsidR="00DF0141" w:rsidRPr="0001128D">
        <w:rPr>
          <w:lang w:val="fr-FR"/>
        </w:rPr>
        <w:t xml:space="preserve"> phosphate de l</w:t>
      </w:r>
      <w:r w:rsidR="00A329F0" w:rsidRPr="0001128D">
        <w:rPr>
          <w:lang w:val="fr-FR"/>
        </w:rPr>
        <w:t>’</w:t>
      </w:r>
      <w:r w:rsidR="00DF0141" w:rsidRPr="0001128D">
        <w:rPr>
          <w:lang w:val="fr-FR"/>
        </w:rPr>
        <w:t>ADN ou de l</w:t>
      </w:r>
      <w:r w:rsidR="00A329F0" w:rsidRPr="0001128D">
        <w:rPr>
          <w:lang w:val="fr-FR"/>
        </w:rPr>
        <w:t>’</w:t>
      </w:r>
      <w:r w:rsidR="00DF0141" w:rsidRPr="0001128D">
        <w:rPr>
          <w:lang w:val="fr-FR"/>
        </w:rPr>
        <w:t xml:space="preserve">ARN, par exemple la fraction </w:t>
      </w:r>
      <w:proofErr w:type="spellStart"/>
      <w:r w:rsidR="000C5EC7" w:rsidRPr="0001128D">
        <w:rPr>
          <w:lang w:val="fr-FR"/>
        </w:rPr>
        <w:t>phosphorothioate</w:t>
      </w:r>
      <w:proofErr w:type="spellEnd"/>
      <w:r w:rsidR="00A371E5" w:rsidRPr="0001128D">
        <w:rPr>
          <w:lang w:val="fr-FR"/>
        </w:rPr>
        <w:t>;</w:t>
      </w:r>
    </w:p>
    <w:p w:rsidR="004500FA" w:rsidRPr="0001128D" w:rsidRDefault="00745EE5" w:rsidP="004E09C4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A371E5" w:rsidRPr="0001128D">
        <w:rPr>
          <w:lang w:val="fr-FR"/>
        </w:rPr>
        <w:t>résidu</w:t>
      </w:r>
      <w:r w:rsidRPr="0001128D">
        <w:rPr>
          <w:lang w:val="fr-FR"/>
        </w:rPr>
        <w:t>”</w:t>
      </w:r>
      <w:r w:rsidR="00A371E5" w:rsidRPr="0001128D">
        <w:rPr>
          <w:lang w:val="fr-FR"/>
        </w:rPr>
        <w:t xml:space="preserve"> désigne tout nucléotide ou acide aminé individuel dans une séquence;</w:t>
      </w:r>
    </w:p>
    <w:p w:rsidR="004500FA" w:rsidRPr="0001128D" w:rsidRDefault="00745EE5" w:rsidP="004E09C4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4E09C4" w:rsidRPr="0001128D">
        <w:rPr>
          <w:lang w:val="fr-FR"/>
        </w:rPr>
        <w:t>numéro d</w:t>
      </w:r>
      <w:r w:rsidR="00A329F0" w:rsidRPr="0001128D">
        <w:rPr>
          <w:lang w:val="fr-FR"/>
        </w:rPr>
        <w:t>’</w:t>
      </w:r>
      <w:r w:rsidR="004E09C4" w:rsidRPr="0001128D">
        <w:rPr>
          <w:lang w:val="fr-FR"/>
        </w:rPr>
        <w:t>identification de séquence</w:t>
      </w:r>
      <w:r w:rsidRPr="0001128D">
        <w:rPr>
          <w:lang w:val="fr-FR"/>
        </w:rPr>
        <w:t>”</w:t>
      </w:r>
      <w:r w:rsidR="004E09C4" w:rsidRPr="0001128D">
        <w:rPr>
          <w:lang w:val="fr-FR"/>
        </w:rPr>
        <w:t xml:space="preserve"> désigne un numéro unique (nombre entier) attribué à chaque séquence du listage;</w:t>
      </w:r>
    </w:p>
    <w:p w:rsidR="00D71A11" w:rsidRPr="0001128D" w:rsidRDefault="00745EE5" w:rsidP="00D71A11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4E09C4" w:rsidRPr="0001128D">
        <w:rPr>
          <w:lang w:val="fr-FR"/>
        </w:rPr>
        <w:t>listage de</w:t>
      </w:r>
      <w:r w:rsidR="00A80530" w:rsidRPr="0001128D">
        <w:rPr>
          <w:lang w:val="fr-FR"/>
        </w:rPr>
        <w:t>s</w:t>
      </w:r>
      <w:r w:rsidR="004E09C4" w:rsidRPr="0001128D">
        <w:rPr>
          <w:lang w:val="fr-FR"/>
        </w:rPr>
        <w:t xml:space="preserve"> séquences</w:t>
      </w:r>
      <w:r w:rsidRPr="0001128D">
        <w:rPr>
          <w:lang w:val="fr-FR"/>
        </w:rPr>
        <w:t>”</w:t>
      </w:r>
      <w:r w:rsidR="004E09C4" w:rsidRPr="0001128D">
        <w:rPr>
          <w:lang w:val="fr-FR"/>
        </w:rPr>
        <w:t xml:space="preserve"> désigne </w:t>
      </w:r>
      <w:r w:rsidR="00CA5DC4" w:rsidRPr="0001128D">
        <w:rPr>
          <w:lang w:val="fr-FR"/>
        </w:rPr>
        <w:t>une partie de la description</w:t>
      </w:r>
      <w:r w:rsidR="00D71A11" w:rsidRPr="0001128D">
        <w:rPr>
          <w:lang w:val="fr-FR"/>
        </w:rPr>
        <w:t>,</w:t>
      </w:r>
      <w:r w:rsidR="00CA5DC4" w:rsidRPr="0001128D">
        <w:rPr>
          <w:lang w:val="fr-FR"/>
        </w:rPr>
        <w:t xml:space="preserve"> d</w:t>
      </w:r>
      <w:r w:rsidR="00D71A11" w:rsidRPr="0001128D">
        <w:rPr>
          <w:lang w:val="fr-FR"/>
        </w:rPr>
        <w:t>ans</w:t>
      </w:r>
      <w:r w:rsidR="00CA5DC4" w:rsidRPr="0001128D">
        <w:rPr>
          <w:lang w:val="fr-FR"/>
        </w:rPr>
        <w:t xml:space="preserve"> la </w:t>
      </w:r>
      <w:r w:rsidR="00D71A11" w:rsidRPr="0001128D">
        <w:rPr>
          <w:lang w:val="fr-FR"/>
        </w:rPr>
        <w:t xml:space="preserve">demande de </w:t>
      </w:r>
      <w:r w:rsidRPr="0001128D">
        <w:rPr>
          <w:lang w:val="fr-FR"/>
        </w:rPr>
        <w:t>brevet</w:t>
      </w:r>
      <w:r w:rsidR="00D71A11" w:rsidRPr="0001128D">
        <w:rPr>
          <w:lang w:val="fr-FR"/>
        </w:rPr>
        <w:t xml:space="preserve"> déposée ou dans un document déposé ap</w:t>
      </w:r>
      <w:r w:rsidR="00A80530" w:rsidRPr="0001128D">
        <w:rPr>
          <w:lang w:val="fr-FR"/>
        </w:rPr>
        <w:t xml:space="preserve">rès la demande, qui présente </w:t>
      </w:r>
      <w:r w:rsidR="00E7068A" w:rsidRPr="0001128D">
        <w:rPr>
          <w:lang w:val="fr-FR"/>
        </w:rPr>
        <w:t>la ou les séquences</w:t>
      </w:r>
      <w:r w:rsidR="00D71A11" w:rsidRPr="0001128D">
        <w:rPr>
          <w:lang w:val="fr-FR"/>
        </w:rPr>
        <w:t xml:space="preserve"> </w:t>
      </w:r>
      <w:r w:rsidR="00A80530" w:rsidRPr="0001128D">
        <w:rPr>
          <w:lang w:val="fr-FR"/>
        </w:rPr>
        <w:t xml:space="preserve">de nucléotides et/ou </w:t>
      </w:r>
      <w:r w:rsidR="00D71A11" w:rsidRPr="0001128D">
        <w:rPr>
          <w:lang w:val="fr-FR"/>
        </w:rPr>
        <w:t>d</w:t>
      </w:r>
      <w:r w:rsidR="00A329F0" w:rsidRPr="0001128D">
        <w:rPr>
          <w:lang w:val="fr-FR"/>
        </w:rPr>
        <w:t>’</w:t>
      </w:r>
      <w:r w:rsidR="00D71A11" w:rsidRPr="0001128D">
        <w:rPr>
          <w:lang w:val="fr-FR"/>
        </w:rPr>
        <w:t>acides aminés divulgué</w:t>
      </w:r>
      <w:r w:rsidR="00A80530" w:rsidRPr="0001128D">
        <w:rPr>
          <w:lang w:val="fr-FR"/>
        </w:rPr>
        <w:t>e</w:t>
      </w:r>
      <w:r w:rsidR="00D71A11" w:rsidRPr="0001128D">
        <w:rPr>
          <w:lang w:val="fr-FR"/>
        </w:rPr>
        <w:t>s, ainsi que toute autre description complémentaire</w:t>
      </w:r>
      <w:r w:rsidR="004864C9" w:rsidRPr="0001128D">
        <w:rPr>
          <w:lang w:val="fr-FR"/>
        </w:rPr>
        <w:t>;</w:t>
      </w:r>
    </w:p>
    <w:p w:rsidR="007B0C3F" w:rsidRPr="0001128D" w:rsidRDefault="00745EE5" w:rsidP="00D64555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4864C9" w:rsidRPr="0001128D">
        <w:rPr>
          <w:lang w:val="fr-FR"/>
        </w:rPr>
        <w:t>spécialement défini</w:t>
      </w:r>
      <w:r w:rsidRPr="0001128D">
        <w:rPr>
          <w:lang w:val="fr-FR"/>
        </w:rPr>
        <w:t>”</w:t>
      </w:r>
      <w:r w:rsidR="004864C9" w:rsidRPr="0001128D">
        <w:rPr>
          <w:lang w:val="fr-FR"/>
        </w:rPr>
        <w:t xml:space="preserve"> désigne tout nucléotide différent de ceux qui sont représentés par le symbole </w:t>
      </w:r>
      <w:r w:rsidRPr="0001128D">
        <w:rPr>
          <w:lang w:val="fr-FR"/>
        </w:rPr>
        <w:t>“</w:t>
      </w:r>
      <w:r w:rsidR="004864C9" w:rsidRPr="0001128D">
        <w:rPr>
          <w:lang w:val="fr-FR"/>
        </w:rPr>
        <w:t>n</w:t>
      </w:r>
      <w:r w:rsidRPr="0001128D">
        <w:rPr>
          <w:lang w:val="fr-FR"/>
        </w:rPr>
        <w:t>”</w:t>
      </w:r>
      <w:r w:rsidR="004864C9" w:rsidRPr="0001128D">
        <w:rPr>
          <w:lang w:val="fr-FR"/>
        </w:rPr>
        <w:t xml:space="preserve"> et tout acide aminé différent de ceux qui sont représentés par le symbole </w:t>
      </w:r>
      <w:r w:rsidRPr="0001128D">
        <w:rPr>
          <w:lang w:val="fr-FR"/>
        </w:rPr>
        <w:t>“</w:t>
      </w:r>
      <w:r w:rsidR="004864C9" w:rsidRPr="0001128D">
        <w:rPr>
          <w:lang w:val="fr-FR"/>
        </w:rPr>
        <w:t>X</w:t>
      </w:r>
      <w:r w:rsidRPr="0001128D">
        <w:rPr>
          <w:lang w:val="fr-FR"/>
        </w:rPr>
        <w:t>”</w:t>
      </w:r>
      <w:r w:rsidR="004864C9" w:rsidRPr="0001128D">
        <w:rPr>
          <w:lang w:val="fr-FR"/>
        </w:rPr>
        <w:t xml:space="preserve"> dans</w:t>
      </w:r>
      <w:r w:rsidR="00D64555" w:rsidRPr="0001128D">
        <w:rPr>
          <w:lang w:val="fr-FR"/>
        </w:rPr>
        <w:t xml:space="preserve"> </w:t>
      </w:r>
      <w:r w:rsidR="004864C9" w:rsidRPr="0001128D">
        <w:rPr>
          <w:lang w:val="fr-FR"/>
        </w:rPr>
        <w:t>l</w:t>
      </w:r>
      <w:r w:rsidR="00A329F0" w:rsidRPr="0001128D">
        <w:rPr>
          <w:lang w:val="fr-FR"/>
        </w:rPr>
        <w:t>’</w:t>
      </w:r>
      <w:r w:rsidR="004864C9" w:rsidRPr="0001128D">
        <w:rPr>
          <w:lang w:val="fr-FR"/>
        </w:rPr>
        <w:t>annexe I;</w:t>
      </w:r>
    </w:p>
    <w:p w:rsidR="007F7362" w:rsidRPr="0001128D" w:rsidRDefault="00745EE5" w:rsidP="00D64555">
      <w:pPr>
        <w:pStyle w:val="List0R"/>
        <w:numPr>
          <w:ilvl w:val="0"/>
          <w:numId w:val="15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“</w:t>
      </w:r>
      <w:r w:rsidR="00D64555" w:rsidRPr="0001128D">
        <w:rPr>
          <w:lang w:val="fr-FR"/>
        </w:rPr>
        <w:t>inconnu</w:t>
      </w:r>
      <w:r w:rsidRPr="0001128D">
        <w:rPr>
          <w:lang w:val="fr-FR"/>
        </w:rPr>
        <w:t>”</w:t>
      </w:r>
      <w:r w:rsidR="00D64555" w:rsidRPr="0001128D">
        <w:rPr>
          <w:lang w:val="fr-FR"/>
        </w:rPr>
        <w:t>, pour un nucléotide ou un acide aminé, signifie qu</w:t>
      </w:r>
      <w:r w:rsidR="00A329F0" w:rsidRPr="0001128D">
        <w:rPr>
          <w:lang w:val="fr-FR"/>
        </w:rPr>
        <w:t>’</w:t>
      </w:r>
      <w:r w:rsidR="00D64555" w:rsidRPr="0001128D">
        <w:rPr>
          <w:lang w:val="fr-FR"/>
        </w:rPr>
        <w:t>un seul nucléotide ou acide aminé est présent mais que son identité est inconnue ou non divulguée.</w:t>
      </w:r>
    </w:p>
    <w:p w:rsidR="00911826" w:rsidRPr="0001128D" w:rsidRDefault="00280F12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fr-FR" w:eastAsia="en-US"/>
        </w:rPr>
      </w:pPr>
      <w:bookmarkStart w:id="33" w:name="_Toc386037645"/>
      <w:r w:rsidRPr="0001128D"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fr-FR" w:eastAsia="en-US"/>
        </w:rPr>
        <w:lastRenderedPageBreak/>
        <w:t>PORTÉE</w:t>
      </w:r>
      <w:bookmarkEnd w:id="33"/>
    </w:p>
    <w:p w:rsidR="00911826" w:rsidRPr="0001128D" w:rsidRDefault="00280F12" w:rsidP="00773B18">
      <w:pPr>
        <w:pStyle w:val="Paragraph"/>
        <w:tabs>
          <w:tab w:val="left" w:pos="567"/>
        </w:tabs>
        <w:ind w:left="0" w:firstLine="0"/>
        <w:rPr>
          <w:sz w:val="17"/>
          <w:lang w:val="fr-FR"/>
        </w:rPr>
      </w:pPr>
      <w:r w:rsidRPr="0001128D">
        <w:rPr>
          <w:sz w:val="17"/>
          <w:lang w:val="fr-FR"/>
        </w:rPr>
        <w:t xml:space="preserve">La présente norme définit les exigences en matière de </w:t>
      </w:r>
      <w:r w:rsidRPr="0001128D">
        <w:rPr>
          <w:rFonts w:eastAsia="Times New Roman" w:cs="Times New Roman"/>
          <w:sz w:val="17"/>
          <w:lang w:val="fr-FR" w:eastAsia="en-US"/>
        </w:rPr>
        <w:t>présentation des listages des séquences de nucléotides et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Pr="0001128D">
        <w:rPr>
          <w:rFonts w:eastAsia="Times New Roman" w:cs="Times New Roman"/>
          <w:sz w:val="17"/>
          <w:lang w:val="fr-FR" w:eastAsia="en-US"/>
        </w:rPr>
        <w:t>acides aminés pour les séquences divulguées dans les demandes de brevet.</w:t>
      </w:r>
    </w:p>
    <w:p w:rsidR="00911826" w:rsidRPr="0001128D" w:rsidRDefault="00773B18" w:rsidP="00280F12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Un listage des séquences conforme à cette norme (ci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 xml:space="preserve">après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listage des séquences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>) contient une partie consacrée aux informations générales et une partie destinée aux données des séquences.</w:t>
      </w:r>
      <w:r w:rsidR="002B0E00" w:rsidRPr="0001128D">
        <w:rPr>
          <w:szCs w:val="17"/>
          <w:lang w:val="fr-FR"/>
        </w:rPr>
        <w:t xml:space="preserve"> </w:t>
      </w:r>
      <w:r w:rsidR="00D56835" w:rsidRPr="0001128D">
        <w:rPr>
          <w:szCs w:val="17"/>
          <w:lang w:val="fr-FR"/>
        </w:rPr>
        <w:t xml:space="preserve"> Le listage des séquences doit être présenté </w:t>
      </w:r>
      <w:r w:rsidR="006E476B" w:rsidRPr="0001128D">
        <w:rPr>
          <w:szCs w:val="17"/>
          <w:lang w:val="fr-FR"/>
        </w:rPr>
        <w:t xml:space="preserve">dans un fichier unique </w:t>
      </w:r>
      <w:r w:rsidR="00BA38CC" w:rsidRPr="0001128D">
        <w:rPr>
          <w:szCs w:val="17"/>
          <w:lang w:val="fr-FR"/>
        </w:rPr>
        <w:t>qui doit être au</w:t>
      </w:r>
      <w:r w:rsidR="006E476B" w:rsidRPr="0001128D">
        <w:rPr>
          <w:szCs w:val="17"/>
          <w:lang w:val="fr-FR"/>
        </w:rPr>
        <w:t xml:space="preserve"> format XML </w:t>
      </w:r>
      <w:r w:rsidR="00BA38CC" w:rsidRPr="0001128D">
        <w:rPr>
          <w:szCs w:val="17"/>
          <w:lang w:val="fr-FR"/>
        </w:rPr>
        <w:t xml:space="preserve">et être </w:t>
      </w:r>
      <w:r w:rsidR="006E476B" w:rsidRPr="0001128D">
        <w:rPr>
          <w:szCs w:val="17"/>
          <w:lang w:val="fr-FR"/>
        </w:rPr>
        <w:t>conforme à la définition de type de document (DTD) présentée dans l</w:t>
      </w:r>
      <w:r w:rsidR="00A329F0" w:rsidRPr="0001128D">
        <w:rPr>
          <w:szCs w:val="17"/>
          <w:lang w:val="fr-FR"/>
        </w:rPr>
        <w:t>’</w:t>
      </w:r>
      <w:r w:rsidR="00BA38CC" w:rsidRPr="0001128D">
        <w:rPr>
          <w:szCs w:val="17"/>
          <w:lang w:val="fr-FR"/>
        </w:rPr>
        <w:t xml:space="preserve">annexe II.  </w:t>
      </w:r>
      <w:r w:rsidR="00861F1A" w:rsidRPr="0001128D">
        <w:rPr>
          <w:szCs w:val="17"/>
          <w:lang w:val="fr-FR"/>
        </w:rPr>
        <w:t>Les informations bibliographiques figurant dans la partie consacrée aux informations générale</w:t>
      </w:r>
      <w:r w:rsidR="00D23F03" w:rsidRPr="0001128D">
        <w:rPr>
          <w:szCs w:val="17"/>
          <w:lang w:val="fr-FR"/>
        </w:rPr>
        <w:t>s</w:t>
      </w:r>
      <w:r w:rsidR="00861F1A" w:rsidRPr="0001128D">
        <w:rPr>
          <w:szCs w:val="17"/>
          <w:lang w:val="fr-FR"/>
        </w:rPr>
        <w:t xml:space="preserve"> sont uniquement destinées à associer le listage des séquences à la demande de brevet pour laquelle </w:t>
      </w:r>
      <w:r w:rsidR="00453B6C" w:rsidRPr="0001128D">
        <w:rPr>
          <w:szCs w:val="17"/>
          <w:lang w:val="fr-FR"/>
        </w:rPr>
        <w:t>le listage</w:t>
      </w:r>
      <w:r w:rsidR="00861F1A" w:rsidRPr="0001128D">
        <w:rPr>
          <w:szCs w:val="17"/>
          <w:lang w:val="fr-FR"/>
        </w:rPr>
        <w:t xml:space="preserve"> a été </w:t>
      </w:r>
      <w:r w:rsidR="00453B6C" w:rsidRPr="0001128D">
        <w:rPr>
          <w:szCs w:val="17"/>
          <w:lang w:val="fr-FR"/>
        </w:rPr>
        <w:t xml:space="preserve">communiqué.  </w:t>
      </w:r>
      <w:r w:rsidR="00F05E97" w:rsidRPr="0001128D">
        <w:rPr>
          <w:szCs w:val="17"/>
          <w:lang w:val="fr-FR"/>
        </w:rPr>
        <w:t>La partie consacrée aux données des séquences se compose d</w:t>
      </w:r>
      <w:r w:rsidR="00A329F0" w:rsidRPr="0001128D">
        <w:rPr>
          <w:szCs w:val="17"/>
          <w:lang w:val="fr-FR"/>
        </w:rPr>
        <w:t>’</w:t>
      </w:r>
      <w:r w:rsidR="00F05E97" w:rsidRPr="0001128D">
        <w:rPr>
          <w:szCs w:val="17"/>
          <w:lang w:val="fr-FR"/>
        </w:rPr>
        <w:t>un ou plusieurs</w:t>
      </w:r>
      <w:r w:rsidR="00343136" w:rsidRPr="0001128D">
        <w:rPr>
          <w:szCs w:val="17"/>
          <w:lang w:val="fr-FR"/>
        </w:rPr>
        <w:t xml:space="preserve"> éléments de données</w:t>
      </w:r>
      <w:r w:rsidR="008D03A8" w:rsidRPr="0001128D">
        <w:rPr>
          <w:szCs w:val="17"/>
          <w:lang w:val="fr-FR"/>
        </w:rPr>
        <w:t>,</w:t>
      </w:r>
      <w:r w:rsidR="00F05E97" w:rsidRPr="0001128D">
        <w:rPr>
          <w:szCs w:val="17"/>
          <w:lang w:val="fr-FR"/>
        </w:rPr>
        <w:t xml:space="preserve"> chacun d</w:t>
      </w:r>
      <w:r w:rsidR="00A329F0" w:rsidRPr="0001128D">
        <w:rPr>
          <w:szCs w:val="17"/>
          <w:lang w:val="fr-FR"/>
        </w:rPr>
        <w:t>’</w:t>
      </w:r>
      <w:r w:rsidR="00F05E97" w:rsidRPr="0001128D">
        <w:rPr>
          <w:szCs w:val="17"/>
          <w:lang w:val="fr-FR"/>
        </w:rPr>
        <w:t xml:space="preserve">eux contenant des informations sur une </w:t>
      </w:r>
      <w:r w:rsidR="00970277" w:rsidRPr="0001128D">
        <w:rPr>
          <w:szCs w:val="17"/>
          <w:lang w:val="fr-FR"/>
        </w:rPr>
        <w:t xml:space="preserve">seule </w:t>
      </w:r>
      <w:r w:rsidR="00F05E97" w:rsidRPr="0001128D">
        <w:rPr>
          <w:szCs w:val="17"/>
          <w:lang w:val="fr-FR"/>
        </w:rPr>
        <w:t xml:space="preserve">séquence. </w:t>
      </w:r>
      <w:r w:rsidR="00343136" w:rsidRPr="0001128D">
        <w:rPr>
          <w:szCs w:val="17"/>
          <w:lang w:val="fr-FR"/>
        </w:rPr>
        <w:t xml:space="preserve"> </w:t>
      </w:r>
      <w:r w:rsidR="00A30447" w:rsidRPr="0001128D">
        <w:rPr>
          <w:szCs w:val="17"/>
          <w:lang w:val="fr-FR"/>
        </w:rPr>
        <w:t>Ces éléments</w:t>
      </w:r>
      <w:r w:rsidR="00D37F6A" w:rsidRPr="0001128D">
        <w:rPr>
          <w:szCs w:val="17"/>
          <w:lang w:val="fr-FR"/>
        </w:rPr>
        <w:t xml:space="preserve"> de données des séquences</w:t>
      </w:r>
      <w:r w:rsidR="00A30447" w:rsidRPr="0001128D">
        <w:rPr>
          <w:szCs w:val="17"/>
          <w:lang w:val="fr-FR"/>
        </w:rPr>
        <w:t xml:space="preserve"> comportent différentes </w:t>
      </w:r>
      <w:r w:rsidR="00D37F6A" w:rsidRPr="0001128D">
        <w:rPr>
          <w:szCs w:val="17"/>
          <w:lang w:val="fr-FR"/>
        </w:rPr>
        <w:t>clés de caractérisation</w:t>
      </w:r>
      <w:r w:rsidR="002815DA" w:rsidRPr="0001128D">
        <w:rPr>
          <w:szCs w:val="17"/>
          <w:lang w:val="fr-FR"/>
        </w:rPr>
        <w:t xml:space="preserve"> et des qualificateurs</w:t>
      </w:r>
      <w:r w:rsidR="002A6B53" w:rsidRPr="0001128D">
        <w:rPr>
          <w:szCs w:val="17"/>
          <w:lang w:val="fr-FR"/>
        </w:rPr>
        <w:t xml:space="preserve"> ultérieurs </w:t>
      </w:r>
      <w:r w:rsidR="003D666D" w:rsidRPr="0001128D">
        <w:rPr>
          <w:szCs w:val="17"/>
          <w:lang w:val="fr-FR"/>
        </w:rPr>
        <w:t>conformes aux exigences</w:t>
      </w:r>
      <w:r w:rsidR="002A6B53" w:rsidRPr="0001128D">
        <w:rPr>
          <w:szCs w:val="17"/>
          <w:lang w:val="fr-FR"/>
        </w:rPr>
        <w:t xml:space="preserve"> de la </w:t>
      </w:r>
      <w:r w:rsidR="00DA01A9" w:rsidRPr="0001128D">
        <w:rPr>
          <w:szCs w:val="17"/>
          <w:lang w:val="fr-FR"/>
        </w:rPr>
        <w:t xml:space="preserve">Collaboration internationale sur les bases de données de séquences de nucléotides (INSDC) </w:t>
      </w:r>
      <w:r w:rsidR="003D666D" w:rsidRPr="0001128D">
        <w:rPr>
          <w:szCs w:val="17"/>
          <w:lang w:val="fr-FR"/>
        </w:rPr>
        <w:t>et d</w:t>
      </w:r>
      <w:r w:rsidR="00A329F0" w:rsidRPr="0001128D">
        <w:rPr>
          <w:szCs w:val="17"/>
          <w:lang w:val="fr-FR"/>
        </w:rPr>
        <w:t>’</w:t>
      </w:r>
      <w:proofErr w:type="spellStart"/>
      <w:r w:rsidR="003D666D" w:rsidRPr="0001128D">
        <w:rPr>
          <w:szCs w:val="17"/>
          <w:lang w:val="fr-FR"/>
        </w:rPr>
        <w:t>UniProt</w:t>
      </w:r>
      <w:proofErr w:type="spellEnd"/>
      <w:r w:rsidR="003D666D" w:rsidRPr="0001128D">
        <w:rPr>
          <w:szCs w:val="17"/>
          <w:lang w:val="fr-FR"/>
        </w:rPr>
        <w:t>.</w:t>
      </w:r>
    </w:p>
    <w:p w:rsidR="00275C21" w:rsidRPr="0001128D" w:rsidRDefault="00FC0F7A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34" w:name="_Ref371509339"/>
      <w:r w:rsidRPr="0001128D">
        <w:rPr>
          <w:szCs w:val="17"/>
          <w:lang w:val="fr-FR"/>
        </w:rPr>
        <w:t>Aux fins de la présente norme, une séquence doit être intégrée dans un listage si elle est divulguée dans n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importe quelle partie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demande de brevet</w:t>
      </w:r>
      <w:r w:rsidR="00792243" w:rsidRPr="0001128D">
        <w:rPr>
          <w:szCs w:val="17"/>
          <w:lang w:val="fr-FR"/>
        </w:rPr>
        <w:t xml:space="preserve"> par l</w:t>
      </w:r>
      <w:r w:rsidR="00A329F0" w:rsidRPr="0001128D">
        <w:rPr>
          <w:szCs w:val="17"/>
          <w:lang w:val="fr-FR"/>
        </w:rPr>
        <w:t>’</w:t>
      </w:r>
      <w:r w:rsidR="00792243" w:rsidRPr="0001128D">
        <w:rPr>
          <w:szCs w:val="17"/>
          <w:lang w:val="fr-FR"/>
        </w:rPr>
        <w:t>é</w:t>
      </w:r>
      <w:r w:rsidR="00AC4CAB" w:rsidRPr="0001128D">
        <w:rPr>
          <w:szCs w:val="17"/>
          <w:lang w:val="fr-FR"/>
        </w:rPr>
        <w:t>numération de ses résidus, et s</w:t>
      </w:r>
      <w:r w:rsidR="00A329F0" w:rsidRPr="0001128D">
        <w:rPr>
          <w:szCs w:val="17"/>
          <w:lang w:val="fr-FR"/>
        </w:rPr>
        <w:t>’</w:t>
      </w:r>
      <w:r w:rsidR="00AC4CAB" w:rsidRPr="0001128D">
        <w:rPr>
          <w:szCs w:val="17"/>
          <w:lang w:val="fr-FR"/>
        </w:rPr>
        <w:t>il s</w:t>
      </w:r>
      <w:r w:rsidR="00A329F0" w:rsidRPr="0001128D">
        <w:rPr>
          <w:szCs w:val="17"/>
          <w:lang w:val="fr-FR"/>
        </w:rPr>
        <w:t>’</w:t>
      </w:r>
      <w:r w:rsidR="00AC4CAB" w:rsidRPr="0001128D">
        <w:rPr>
          <w:szCs w:val="17"/>
          <w:lang w:val="fr-FR"/>
        </w:rPr>
        <w:t>agit</w:t>
      </w:r>
      <w:r w:rsidR="00745EE5" w:rsidRPr="0001128D">
        <w:rPr>
          <w:szCs w:val="17"/>
          <w:lang w:val="fr-FR"/>
        </w:rPr>
        <w:t> </w:t>
      </w:r>
      <w:r w:rsidR="00792243" w:rsidRPr="0001128D">
        <w:rPr>
          <w:szCs w:val="17"/>
          <w:lang w:val="fr-FR"/>
        </w:rPr>
        <w:t>:</w:t>
      </w:r>
    </w:p>
    <w:bookmarkEnd w:id="34"/>
    <w:p w:rsidR="00D34579" w:rsidRPr="0001128D" w:rsidRDefault="00D34579" w:rsidP="008B4E62">
      <w:pPr>
        <w:pStyle w:val="List0R"/>
        <w:numPr>
          <w:ilvl w:val="0"/>
          <w:numId w:val="16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une séquence non ramifiée ou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une partie linéaire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 xml:space="preserve">une séquence ramifiée contenant au moins </w:t>
      </w:r>
      <w:r w:rsidR="00745EE5" w:rsidRPr="0001128D">
        <w:rPr>
          <w:lang w:val="fr-FR"/>
        </w:rPr>
        <w:t>10 </w:t>
      </w:r>
      <w:r w:rsidRPr="0001128D">
        <w:rPr>
          <w:lang w:val="fr-FR"/>
        </w:rPr>
        <w:t xml:space="preserve">nucléotides </w:t>
      </w:r>
      <w:r w:rsidR="000F2671" w:rsidRPr="0001128D">
        <w:rPr>
          <w:lang w:val="fr-FR"/>
        </w:rPr>
        <w:t xml:space="preserve">définis de manière spécifique, </w:t>
      </w:r>
      <w:r w:rsidR="00DA4FC4" w:rsidRPr="0001128D">
        <w:rPr>
          <w:lang w:val="fr-FR"/>
        </w:rPr>
        <w:t>et dont les nucléotides adjacents ont des liaisons de 3</w:t>
      </w:r>
      <w:r w:rsidR="00A329F0" w:rsidRPr="0001128D">
        <w:rPr>
          <w:lang w:val="fr-FR"/>
        </w:rPr>
        <w:t>’</w:t>
      </w:r>
      <w:r w:rsidR="00DA4FC4" w:rsidRPr="0001128D">
        <w:rPr>
          <w:lang w:val="fr-FR"/>
        </w:rPr>
        <w:t xml:space="preserve"> à 5</w:t>
      </w:r>
      <w:r w:rsidR="00A329F0" w:rsidRPr="0001128D">
        <w:rPr>
          <w:lang w:val="fr-FR"/>
        </w:rPr>
        <w:t>’</w:t>
      </w:r>
      <w:r w:rsidR="00DA4FC4" w:rsidRPr="0001128D">
        <w:rPr>
          <w:lang w:val="fr-FR"/>
        </w:rPr>
        <w:t xml:space="preserve"> (ou de 5</w:t>
      </w:r>
      <w:r w:rsidR="00A329F0" w:rsidRPr="0001128D">
        <w:rPr>
          <w:lang w:val="fr-FR"/>
        </w:rPr>
        <w:t>’</w:t>
      </w:r>
      <w:r w:rsidR="00DA4FC4" w:rsidRPr="0001128D">
        <w:rPr>
          <w:lang w:val="fr-FR"/>
        </w:rPr>
        <w:t xml:space="preserve"> à 3</w:t>
      </w:r>
      <w:r w:rsidR="00A329F0" w:rsidRPr="0001128D">
        <w:rPr>
          <w:lang w:val="fr-FR"/>
        </w:rPr>
        <w:t>’</w:t>
      </w:r>
      <w:r w:rsidR="00DA4FC4" w:rsidRPr="0001128D">
        <w:rPr>
          <w:lang w:val="fr-FR"/>
        </w:rPr>
        <w:t>), ou</w:t>
      </w:r>
    </w:p>
    <w:p w:rsidR="00C07135" w:rsidRPr="0001128D" w:rsidRDefault="00C07135" w:rsidP="008B4E62">
      <w:pPr>
        <w:pStyle w:val="List0R"/>
        <w:numPr>
          <w:ilvl w:val="0"/>
          <w:numId w:val="16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une séquence non ramifiée ou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une partie linéaire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une séquence ramifiée contenant au moins quatre</w:t>
      </w:r>
      <w:r w:rsidR="00745EE5" w:rsidRPr="0001128D">
        <w:rPr>
          <w:lang w:val="fr-FR"/>
        </w:rPr>
        <w:t> </w:t>
      </w:r>
      <w:r w:rsidRPr="0001128D">
        <w:rPr>
          <w:lang w:val="fr-FR"/>
        </w:rPr>
        <w:t xml:space="preserve">acides aminés définis de manière spécifique, et dont les acides aminés adjacents </w:t>
      </w:r>
      <w:r w:rsidR="009D5F54" w:rsidRPr="0001128D">
        <w:rPr>
          <w:lang w:val="fr-FR"/>
        </w:rPr>
        <w:t>ont des liaisons peptidiques.</w:t>
      </w:r>
    </w:p>
    <w:p w:rsidR="00DE704C" w:rsidRPr="0001128D" w:rsidRDefault="00FB6AB4" w:rsidP="009D5F54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Un listage des séquences ne doit contenir aucune séquence comportant moins de </w:t>
      </w:r>
      <w:r w:rsidR="00745EE5" w:rsidRPr="0001128D">
        <w:rPr>
          <w:szCs w:val="17"/>
          <w:lang w:val="fr-FR"/>
        </w:rPr>
        <w:t>10 </w:t>
      </w:r>
      <w:r w:rsidRPr="0001128D">
        <w:rPr>
          <w:szCs w:val="17"/>
          <w:lang w:val="fr-FR"/>
        </w:rPr>
        <w:t>nucléotides définis de manière spécifique ou moins de quatre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acides aminés définis de manière spécifique.</w:t>
      </w:r>
    </w:p>
    <w:p w:rsidR="00DE704C" w:rsidRPr="0001128D" w:rsidRDefault="00E16174" w:rsidP="001B4F8F">
      <w:pPr>
        <w:pStyle w:val="Heading2"/>
        <w:keepLines/>
        <w:widowControl/>
        <w:kinsoku/>
        <w:spacing w:before="170" w:after="170"/>
        <w:rPr>
          <w:sz w:val="17"/>
          <w:szCs w:val="17"/>
          <w:lang w:val="fr-FR"/>
        </w:rPr>
      </w:pPr>
      <w:bookmarkStart w:id="35" w:name="_Toc371330385"/>
      <w:bookmarkStart w:id="36" w:name="_Toc383437134"/>
      <w:bookmarkStart w:id="37" w:name="_Toc383437611"/>
      <w:bookmarkStart w:id="38" w:name="_Toc386037646"/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R</w:t>
      </w:r>
      <w:r w:rsidR="00E1249A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É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F</w:t>
      </w:r>
      <w:r w:rsidR="00E1249A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É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RENCES</w:t>
      </w:r>
      <w:bookmarkEnd w:id="35"/>
      <w:bookmarkEnd w:id="36"/>
      <w:bookmarkEnd w:id="37"/>
      <w:bookmarkEnd w:id="38"/>
    </w:p>
    <w:p w:rsidR="00DE704C" w:rsidRPr="0001128D" w:rsidRDefault="0023002F" w:rsidP="006A093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Les normes et ressources suivantes sont pertinentes à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égard de la présente norme</w:t>
      </w:r>
      <w:r w:rsidR="00745EE5" w:rsidRPr="0001128D">
        <w:rPr>
          <w:szCs w:val="17"/>
          <w:lang w:val="fr-FR"/>
        </w:rPr>
        <w:t> </w:t>
      </w:r>
      <w:r w:rsidR="00DE704C" w:rsidRPr="0001128D">
        <w:rPr>
          <w:szCs w:val="17"/>
          <w:lang w:val="fr-FR"/>
        </w:rPr>
        <w:t>:</w:t>
      </w:r>
    </w:p>
    <w:p w:rsidR="00D57571" w:rsidRPr="0001128D" w:rsidRDefault="00D57571" w:rsidP="00D57571">
      <w:pPr>
        <w:pStyle w:val="List0R"/>
        <w:tabs>
          <w:tab w:val="left" w:pos="3119"/>
        </w:tabs>
        <w:ind w:firstLine="0"/>
        <w:contextualSpacing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Collaboration internationale sur les </w:t>
      </w:r>
      <w:r w:rsidR="009B047F" w:rsidRPr="0001128D">
        <w:rPr>
          <w:lang w:val="fr-FR"/>
        </w:rPr>
        <w:br/>
      </w:r>
      <w:r w:rsidRPr="0001128D">
        <w:rPr>
          <w:szCs w:val="17"/>
          <w:lang w:val="fr-FR"/>
        </w:rPr>
        <w:t>bases de données de séquences</w:t>
      </w:r>
    </w:p>
    <w:p w:rsidR="00A4217D" w:rsidRPr="0001128D" w:rsidRDefault="00D57571" w:rsidP="007A01FE">
      <w:pPr>
        <w:pStyle w:val="List0R"/>
        <w:tabs>
          <w:tab w:val="left" w:pos="3119"/>
        </w:tabs>
        <w:ind w:firstLine="0"/>
        <w:rPr>
          <w:lang w:val="fr-FR"/>
        </w:rPr>
      </w:pPr>
      <w:proofErr w:type="gramStart"/>
      <w:r w:rsidRPr="0001128D">
        <w:rPr>
          <w:szCs w:val="17"/>
          <w:lang w:val="fr-FR"/>
        </w:rPr>
        <w:t>de</w:t>
      </w:r>
      <w:proofErr w:type="gramEnd"/>
      <w:r w:rsidRPr="0001128D">
        <w:rPr>
          <w:szCs w:val="17"/>
          <w:lang w:val="fr-FR"/>
        </w:rPr>
        <w:t xml:space="preserve"> nucléotides (INSDC)</w:t>
      </w:r>
      <w:r w:rsidR="007A01FE" w:rsidRPr="0001128D">
        <w:rPr>
          <w:lang w:val="fr-FR"/>
        </w:rPr>
        <w:t xml:space="preserve"> </w:t>
      </w:r>
      <w:r w:rsidR="007A01FE" w:rsidRPr="0001128D">
        <w:rPr>
          <w:lang w:val="fr-FR"/>
        </w:rPr>
        <w:tab/>
      </w:r>
      <w:hyperlink r:id="rId10" w:history="1">
        <w:r w:rsidR="00A4217D" w:rsidRPr="0001128D">
          <w:rPr>
            <w:rStyle w:val="Hyperlink"/>
            <w:rFonts w:eastAsia="Batang"/>
            <w:noProof w:val="0"/>
            <w:lang w:val="fr-FR"/>
          </w:rPr>
          <w:t>http://www.in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s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dc.org/</w:t>
        </w:r>
      </w:hyperlink>
      <w:r w:rsidR="00A4217D" w:rsidRPr="0001128D">
        <w:rPr>
          <w:lang w:val="fr-FR"/>
        </w:rPr>
        <w:t>;</w:t>
      </w:r>
    </w:p>
    <w:p w:rsidR="00A4217D" w:rsidRPr="0001128D" w:rsidRDefault="00D57571" w:rsidP="007A01FE">
      <w:pPr>
        <w:pStyle w:val="List0R"/>
        <w:tabs>
          <w:tab w:val="left" w:pos="3119"/>
        </w:tabs>
        <w:ind w:firstLine="0"/>
        <w:rPr>
          <w:lang w:val="fr-FR"/>
        </w:rPr>
      </w:pPr>
      <w:r w:rsidRPr="0001128D">
        <w:rPr>
          <w:lang w:val="fr-FR"/>
        </w:rPr>
        <w:t>Norme ISO 639</w:t>
      </w:r>
      <w:r w:rsidR="00BA0881">
        <w:rPr>
          <w:rFonts w:ascii="MS Gothic" w:hAnsi="MS Gothic" w:cs="MS Gothic"/>
          <w:lang w:val="fr-FR"/>
        </w:rPr>
        <w:t>-</w:t>
      </w:r>
      <w:r w:rsidRPr="0001128D">
        <w:rPr>
          <w:lang w:val="fr-FR"/>
        </w:rPr>
        <w:t xml:space="preserve">1 </w:t>
      </w:r>
      <w:r w:rsidRPr="0001128D">
        <w:rPr>
          <w:rFonts w:cs="Arial"/>
          <w:lang w:val="fr-FR"/>
        </w:rPr>
        <w:t>–</w:t>
      </w:r>
      <w:r w:rsidRPr="0001128D">
        <w:rPr>
          <w:lang w:val="fr-FR"/>
        </w:rPr>
        <w:t xml:space="preserve"> Codes pour </w:t>
      </w:r>
      <w:r w:rsidR="009B047F" w:rsidRPr="0001128D">
        <w:rPr>
          <w:lang w:val="fr-FR"/>
        </w:rPr>
        <w:br/>
      </w:r>
      <w:r w:rsidRPr="0001128D">
        <w:rPr>
          <w:lang w:val="fr-FR"/>
        </w:rPr>
        <w:t>la repr</w:t>
      </w:r>
      <w:r w:rsidRPr="0001128D">
        <w:rPr>
          <w:rFonts w:cs="Arial"/>
          <w:lang w:val="fr-FR"/>
        </w:rPr>
        <w:t>é</w:t>
      </w:r>
      <w:r w:rsidRPr="0001128D">
        <w:rPr>
          <w:lang w:val="fr-FR"/>
        </w:rPr>
        <w:t>sentation des noms de langue</w:t>
      </w:r>
      <w:r w:rsidR="007A01FE" w:rsidRPr="0001128D">
        <w:rPr>
          <w:lang w:val="fr-FR"/>
        </w:rPr>
        <w:t xml:space="preserve"> </w:t>
      </w:r>
      <w:r w:rsidR="007A01FE" w:rsidRPr="0001128D">
        <w:rPr>
          <w:lang w:val="fr-FR"/>
        </w:rPr>
        <w:tab/>
      </w:r>
      <w:r w:rsidRPr="0001128D">
        <w:rPr>
          <w:lang w:val="fr-FR"/>
        </w:rPr>
        <w:t>Partie 1</w:t>
      </w:r>
      <w:r w:rsidR="00745EE5" w:rsidRPr="0001128D">
        <w:rPr>
          <w:lang w:val="fr-FR"/>
        </w:rPr>
        <w:t> </w:t>
      </w:r>
      <w:r w:rsidRPr="0001128D">
        <w:rPr>
          <w:lang w:val="fr-FR"/>
        </w:rPr>
        <w:t>: Code Alpha2</w:t>
      </w:r>
      <w:r w:rsidR="00CC2160" w:rsidRPr="0001128D">
        <w:rPr>
          <w:lang w:val="fr-FR"/>
        </w:rPr>
        <w:t>;</w:t>
      </w:r>
    </w:p>
    <w:p w:rsidR="00A4217D" w:rsidRPr="0001128D" w:rsidRDefault="00D57571" w:rsidP="00CD3B82">
      <w:pPr>
        <w:pStyle w:val="List0R"/>
        <w:tabs>
          <w:tab w:val="left" w:pos="1134"/>
        </w:tabs>
        <w:ind w:left="3119" w:hanging="3119"/>
        <w:rPr>
          <w:lang w:val="fr-FR"/>
        </w:rPr>
      </w:pPr>
      <w:r w:rsidRPr="0001128D">
        <w:rPr>
          <w:lang w:val="fr-FR"/>
        </w:rPr>
        <w:t xml:space="preserve">Consortium </w:t>
      </w:r>
      <w:proofErr w:type="spellStart"/>
      <w:r w:rsidR="006839B7" w:rsidRPr="0001128D">
        <w:rPr>
          <w:lang w:val="fr-FR"/>
        </w:rPr>
        <w:t>UniProt</w:t>
      </w:r>
      <w:proofErr w:type="spellEnd"/>
      <w:r w:rsidR="00CD3B82" w:rsidRPr="0001128D">
        <w:rPr>
          <w:lang w:val="fr-FR"/>
        </w:rPr>
        <w:tab/>
      </w:r>
      <w:hyperlink r:id="rId11" w:history="1">
        <w:r w:rsidR="00A4217D" w:rsidRPr="0001128D">
          <w:rPr>
            <w:rStyle w:val="Hyperlink"/>
            <w:rFonts w:eastAsia="Batang"/>
            <w:noProof w:val="0"/>
            <w:lang w:val="fr-FR"/>
          </w:rPr>
          <w:t>http://ww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w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.</w:t>
        </w:r>
        <w:r w:rsidR="00A4217D" w:rsidRPr="00217096">
          <w:rPr>
            <w:rStyle w:val="Hyperlink"/>
            <w:rFonts w:eastAsia="Batang"/>
            <w:noProof w:val="0"/>
            <w:lang w:val="fr-CH"/>
          </w:rPr>
          <w:t>uniprot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.org/</w:t>
        </w:r>
      </w:hyperlink>
      <w:r w:rsidR="00A4217D" w:rsidRPr="0001128D">
        <w:rPr>
          <w:lang w:val="fr-FR"/>
        </w:rPr>
        <w:t>;</w:t>
      </w:r>
    </w:p>
    <w:p w:rsidR="00A4217D" w:rsidRPr="0001128D" w:rsidRDefault="00D57571" w:rsidP="00CD3B82">
      <w:pPr>
        <w:pStyle w:val="List0R"/>
        <w:tabs>
          <w:tab w:val="left" w:pos="1134"/>
        </w:tabs>
        <w:ind w:left="3119" w:hanging="3119"/>
        <w:rPr>
          <w:lang w:val="fr-FR"/>
        </w:rPr>
      </w:pPr>
      <w:r w:rsidRPr="0001128D">
        <w:rPr>
          <w:lang w:val="fr-FR"/>
        </w:rPr>
        <w:t xml:space="preserve">Norme du </w:t>
      </w:r>
      <w:r w:rsidR="00A4217D" w:rsidRPr="0001128D">
        <w:rPr>
          <w:lang w:val="fr-FR"/>
        </w:rPr>
        <w:t>W3C</w:t>
      </w:r>
      <w:r w:rsidRPr="0001128D">
        <w:rPr>
          <w:lang w:val="fr-FR"/>
        </w:rPr>
        <w:t xml:space="preserve"> sur</w:t>
      </w:r>
      <w:r w:rsidR="00A329F0" w:rsidRPr="0001128D">
        <w:rPr>
          <w:lang w:val="fr-FR"/>
        </w:rPr>
        <w:t xml:space="preserve"> le XML</w:t>
      </w:r>
      <w:r w:rsidR="00A4217D" w:rsidRPr="0001128D">
        <w:rPr>
          <w:lang w:val="fr-FR"/>
        </w:rPr>
        <w:t xml:space="preserve"> 1.0</w:t>
      </w:r>
      <w:r w:rsidR="00CD3B82" w:rsidRPr="0001128D">
        <w:rPr>
          <w:lang w:val="fr-FR"/>
        </w:rPr>
        <w:t xml:space="preserve"> </w:t>
      </w:r>
      <w:r w:rsidR="00CD3B82" w:rsidRPr="0001128D">
        <w:rPr>
          <w:lang w:val="fr-FR"/>
        </w:rPr>
        <w:tab/>
      </w:r>
      <w:hyperlink r:id="rId12" w:history="1">
        <w:r w:rsidR="00A4217D" w:rsidRPr="0001128D">
          <w:rPr>
            <w:rStyle w:val="Hyperlink"/>
            <w:rFonts w:eastAsia="Batang"/>
            <w:noProof w:val="0"/>
            <w:lang w:val="fr-FR"/>
          </w:rPr>
          <w:t>http://ww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w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.</w:t>
        </w:r>
        <w:r w:rsidR="00A4217D" w:rsidRPr="00217096">
          <w:rPr>
            <w:rStyle w:val="Hyperlink"/>
            <w:rFonts w:eastAsia="Batang"/>
            <w:noProof w:val="0"/>
          </w:rPr>
          <w:t>w3</w:t>
        </w:r>
        <w:r w:rsidR="00A4217D" w:rsidRPr="0001128D">
          <w:rPr>
            <w:rStyle w:val="Hyperlink"/>
            <w:rFonts w:eastAsia="Batang"/>
            <w:noProof w:val="0"/>
            <w:lang w:val="fr-FR"/>
          </w:rPr>
          <w:t>.org/</w:t>
        </w:r>
      </w:hyperlink>
      <w:r w:rsidR="00CC2160" w:rsidRPr="0001128D">
        <w:rPr>
          <w:lang w:val="fr-FR"/>
        </w:rPr>
        <w:t>;</w:t>
      </w:r>
    </w:p>
    <w:p w:rsidR="00E849F0" w:rsidRPr="0001128D" w:rsidRDefault="00D57571" w:rsidP="00CD3B82">
      <w:pPr>
        <w:pStyle w:val="List0R"/>
        <w:tabs>
          <w:tab w:val="left" w:pos="1134"/>
        </w:tabs>
        <w:ind w:left="3119" w:hanging="3119"/>
        <w:rPr>
          <w:lang w:val="fr-FR"/>
        </w:rPr>
      </w:pPr>
      <w:r w:rsidRPr="0001128D">
        <w:rPr>
          <w:lang w:val="fr-FR"/>
        </w:rPr>
        <w:t>Norme</w:t>
      </w:r>
      <w:r w:rsidR="00CD3B82" w:rsidRPr="0001128D">
        <w:rPr>
          <w:lang w:val="fr-FR"/>
        </w:rPr>
        <w:t xml:space="preserve"> </w:t>
      </w:r>
      <w:hyperlink r:id="rId13" w:history="1">
        <w:r w:rsidR="00CD3B82" w:rsidRPr="0001128D">
          <w:rPr>
            <w:rStyle w:val="Hyperlink"/>
            <w:noProof w:val="0"/>
            <w:lang w:val="fr-FR"/>
          </w:rPr>
          <w:t>ST</w:t>
        </w:r>
        <w:r w:rsidR="00CD3B82" w:rsidRPr="0001128D">
          <w:rPr>
            <w:rStyle w:val="Hyperlink"/>
            <w:noProof w:val="0"/>
            <w:lang w:val="fr-FR"/>
          </w:rPr>
          <w:t>.</w:t>
        </w:r>
        <w:r w:rsidR="00CD3B82" w:rsidRPr="0001128D">
          <w:rPr>
            <w:rStyle w:val="Hyperlink"/>
            <w:noProof w:val="0"/>
            <w:lang w:val="fr-FR"/>
          </w:rPr>
          <w:t>2</w:t>
        </w:r>
      </w:hyperlink>
      <w:r w:rsidRPr="0001128D">
        <w:rPr>
          <w:lang w:val="fr-FR"/>
        </w:rPr>
        <w:t xml:space="preserve"> de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OMPI</w:t>
      </w:r>
      <w:r w:rsidR="00CD3B82" w:rsidRPr="0001128D">
        <w:rPr>
          <w:lang w:val="fr-FR"/>
        </w:rPr>
        <w:tab/>
      </w:r>
      <w:r w:rsidR="00274F2C" w:rsidRPr="0001128D">
        <w:rPr>
          <w:lang w:val="fr-FR"/>
        </w:rPr>
        <w:t>Indication normalisée des dates à l</w:t>
      </w:r>
      <w:r w:rsidR="00A329F0" w:rsidRPr="0001128D">
        <w:rPr>
          <w:lang w:val="fr-FR"/>
        </w:rPr>
        <w:t>’</w:t>
      </w:r>
      <w:r w:rsidR="00274F2C" w:rsidRPr="0001128D">
        <w:rPr>
          <w:lang w:val="fr-FR"/>
        </w:rPr>
        <w:t>aide du calendrier grégorien;</w:t>
      </w:r>
    </w:p>
    <w:p w:rsidR="00DE704C" w:rsidRPr="0001128D" w:rsidRDefault="00D57571" w:rsidP="00CD3B82">
      <w:pPr>
        <w:pStyle w:val="List0R"/>
        <w:tabs>
          <w:tab w:val="left" w:pos="1134"/>
        </w:tabs>
        <w:ind w:left="3119" w:hanging="3119"/>
        <w:rPr>
          <w:lang w:val="fr-FR"/>
        </w:rPr>
      </w:pPr>
      <w:r w:rsidRPr="0001128D">
        <w:rPr>
          <w:lang w:val="fr-FR"/>
        </w:rPr>
        <w:t xml:space="preserve">Norme </w:t>
      </w:r>
      <w:hyperlink r:id="rId14" w:history="1">
        <w:r w:rsidR="005D611A" w:rsidRPr="0001128D">
          <w:rPr>
            <w:rStyle w:val="Hyperlink"/>
            <w:noProof w:val="0"/>
            <w:lang w:val="fr-FR"/>
          </w:rPr>
          <w:t>ST.</w:t>
        </w:r>
        <w:r w:rsidR="005D611A" w:rsidRPr="0001128D">
          <w:rPr>
            <w:rStyle w:val="Hyperlink"/>
            <w:noProof w:val="0"/>
            <w:lang w:val="fr-FR"/>
          </w:rPr>
          <w:t>3</w:t>
        </w:r>
      </w:hyperlink>
      <w:r w:rsidRPr="0001128D">
        <w:rPr>
          <w:lang w:val="fr-FR"/>
        </w:rPr>
        <w:t xml:space="preserve"> de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OMPI</w:t>
      </w:r>
      <w:r w:rsidR="00CD3B82" w:rsidRPr="0001128D">
        <w:rPr>
          <w:lang w:val="fr-FR"/>
        </w:rPr>
        <w:tab/>
      </w:r>
      <w:r w:rsidR="00274F2C" w:rsidRPr="0001128D">
        <w:rPr>
          <w:lang w:val="fr-FR"/>
        </w:rPr>
        <w:t>Codes à deux</w:t>
      </w:r>
      <w:r w:rsidR="00745EE5" w:rsidRPr="0001128D">
        <w:rPr>
          <w:lang w:val="fr-FR"/>
        </w:rPr>
        <w:t> </w:t>
      </w:r>
      <w:r w:rsidR="00274F2C" w:rsidRPr="0001128D">
        <w:rPr>
          <w:lang w:val="fr-FR"/>
        </w:rPr>
        <w:t>lettres pour la représentation des États, autres entités et organisations intergouvernementales.</w:t>
      </w:r>
    </w:p>
    <w:p w:rsidR="00051415" w:rsidRPr="0001128D" w:rsidRDefault="00D57571" w:rsidP="00CD3B82">
      <w:pPr>
        <w:pStyle w:val="List0R"/>
        <w:tabs>
          <w:tab w:val="left" w:pos="1134"/>
        </w:tabs>
        <w:ind w:left="3119" w:hanging="3119"/>
        <w:rPr>
          <w:lang w:val="fr-FR"/>
        </w:rPr>
      </w:pPr>
      <w:r w:rsidRPr="0001128D">
        <w:rPr>
          <w:lang w:val="fr-FR"/>
        </w:rPr>
        <w:t xml:space="preserve">Norme </w:t>
      </w:r>
      <w:hyperlink r:id="rId15" w:history="1">
        <w:r w:rsidR="00CD3B82" w:rsidRPr="0001128D">
          <w:rPr>
            <w:rStyle w:val="Hyperlink"/>
            <w:noProof w:val="0"/>
            <w:lang w:val="fr-FR"/>
          </w:rPr>
          <w:t>ST.</w:t>
        </w:r>
        <w:r w:rsidR="00CD3B82" w:rsidRPr="00217096">
          <w:rPr>
            <w:rStyle w:val="Hyperlink"/>
            <w:noProof w:val="0"/>
          </w:rPr>
          <w:t>1</w:t>
        </w:r>
        <w:r w:rsidR="00CD3B82" w:rsidRPr="00217096">
          <w:rPr>
            <w:rStyle w:val="Hyperlink"/>
            <w:noProof w:val="0"/>
          </w:rPr>
          <w:t>6</w:t>
        </w:r>
      </w:hyperlink>
      <w:r w:rsidRPr="0001128D">
        <w:rPr>
          <w:lang w:val="fr-FR"/>
        </w:rPr>
        <w:t xml:space="preserve"> de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OMPI</w:t>
      </w:r>
      <w:r w:rsidR="00CD3B82" w:rsidRPr="0001128D">
        <w:rPr>
          <w:lang w:val="fr-FR"/>
        </w:rPr>
        <w:tab/>
      </w:r>
      <w:r w:rsidR="00274F2C" w:rsidRPr="0001128D">
        <w:rPr>
          <w:lang w:val="fr-FR"/>
        </w:rPr>
        <w:t>Identification de différents types de documents de brevet;</w:t>
      </w:r>
    </w:p>
    <w:p w:rsidR="00A329F0" w:rsidRPr="0001128D" w:rsidRDefault="00D57571" w:rsidP="00CD3B82">
      <w:pPr>
        <w:pStyle w:val="List0R"/>
        <w:tabs>
          <w:tab w:val="left" w:pos="1134"/>
        </w:tabs>
        <w:ind w:left="3119" w:hanging="3119"/>
        <w:rPr>
          <w:lang w:val="fr-FR"/>
        </w:rPr>
      </w:pPr>
      <w:r w:rsidRPr="0001128D">
        <w:rPr>
          <w:lang w:val="fr-FR"/>
        </w:rPr>
        <w:t xml:space="preserve">Norme </w:t>
      </w:r>
      <w:hyperlink r:id="rId16" w:history="1">
        <w:r w:rsidR="005D611A" w:rsidRPr="0001128D">
          <w:rPr>
            <w:rStyle w:val="Hyperlink"/>
            <w:noProof w:val="0"/>
            <w:lang w:val="fr-FR"/>
          </w:rPr>
          <w:t>ST.2</w:t>
        </w:r>
        <w:r w:rsidR="005D611A" w:rsidRPr="0001128D">
          <w:rPr>
            <w:rStyle w:val="Hyperlink"/>
            <w:noProof w:val="0"/>
            <w:lang w:val="fr-FR"/>
          </w:rPr>
          <w:t>5</w:t>
        </w:r>
      </w:hyperlink>
      <w:r w:rsidRPr="0001128D">
        <w:rPr>
          <w:lang w:val="fr-FR"/>
        </w:rPr>
        <w:t xml:space="preserve"> de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OMPI</w:t>
      </w:r>
      <w:r w:rsidR="00CD3B82" w:rsidRPr="0001128D">
        <w:rPr>
          <w:lang w:val="fr-FR"/>
        </w:rPr>
        <w:tab/>
      </w:r>
      <w:r w:rsidR="00274F2C" w:rsidRPr="0001128D">
        <w:rPr>
          <w:lang w:val="fr-FR"/>
        </w:rPr>
        <w:t>Présentation des listages des séquences de nucléotides et d</w:t>
      </w:r>
      <w:r w:rsidR="00A329F0" w:rsidRPr="0001128D">
        <w:rPr>
          <w:lang w:val="fr-FR"/>
        </w:rPr>
        <w:t>’</w:t>
      </w:r>
      <w:r w:rsidR="00274F2C" w:rsidRPr="0001128D">
        <w:rPr>
          <w:lang w:val="fr-FR"/>
        </w:rPr>
        <w:t>acides aminés</w:t>
      </w:r>
      <w:r w:rsidR="00CC2160" w:rsidRPr="0001128D">
        <w:rPr>
          <w:lang w:val="fr-FR"/>
        </w:rPr>
        <w:t>.</w:t>
      </w:r>
    </w:p>
    <w:p w:rsidR="007D53DB" w:rsidRPr="0001128D" w:rsidRDefault="00BF5D0A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fr-FR" w:eastAsia="en-US"/>
        </w:rPr>
      </w:pPr>
      <w:bookmarkStart w:id="39" w:name="_Toc383437135"/>
      <w:bookmarkStart w:id="40" w:name="_Toc383437612"/>
      <w:bookmarkStart w:id="41" w:name="_Toc386037647"/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PR</w:t>
      </w:r>
      <w:r w:rsidR="00412183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É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 xml:space="preserve">SENTATION </w:t>
      </w:r>
      <w:r w:rsidR="00412183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DES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 xml:space="preserve"> S</w:t>
      </w:r>
      <w:r w:rsidR="00412183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É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QUENCES</w:t>
      </w:r>
      <w:bookmarkEnd w:id="39"/>
      <w:bookmarkEnd w:id="40"/>
      <w:bookmarkEnd w:id="41"/>
    </w:p>
    <w:p w:rsidR="00412183" w:rsidRPr="0001128D" w:rsidRDefault="00E24161" w:rsidP="00034BBD">
      <w:pPr>
        <w:pStyle w:val="Paragraph"/>
        <w:ind w:left="0" w:firstLine="0"/>
        <w:rPr>
          <w:lang w:val="fr-FR"/>
        </w:rPr>
      </w:pPr>
      <w:bookmarkStart w:id="42" w:name="_Ref371513458"/>
      <w:r w:rsidRPr="0001128D">
        <w:rPr>
          <w:rFonts w:eastAsia="Times New Roman" w:cs="Times New Roman"/>
          <w:sz w:val="17"/>
          <w:lang w:val="fr-FR" w:eastAsia="en-US"/>
        </w:rPr>
        <w:t>À chaque séquence doit être attribué un numéro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Pr="0001128D">
        <w:rPr>
          <w:rFonts w:eastAsia="Times New Roman" w:cs="Times New Roman"/>
          <w:sz w:val="17"/>
          <w:lang w:val="fr-FR" w:eastAsia="en-US"/>
        </w:rPr>
        <w:t xml:space="preserve">identification de séquence distinct. </w:t>
      </w:r>
      <w:r w:rsidR="009779DB" w:rsidRPr="0001128D">
        <w:rPr>
          <w:rFonts w:eastAsia="Times New Roman" w:cs="Times New Roman"/>
          <w:sz w:val="17"/>
          <w:lang w:val="fr-FR" w:eastAsia="en-US"/>
        </w:rPr>
        <w:t xml:space="preserve"> </w:t>
      </w:r>
      <w:r w:rsidR="00034BBD" w:rsidRPr="0001128D">
        <w:rPr>
          <w:rFonts w:eastAsia="Times New Roman" w:cs="Times New Roman"/>
          <w:sz w:val="17"/>
          <w:lang w:val="fr-FR" w:eastAsia="en-US"/>
        </w:rPr>
        <w:t xml:space="preserve">Ces numéros doivent commencer par le chiffre 1 et être incrémentés de manière consécutive par des nombres entiers. </w:t>
      </w:r>
      <w:r w:rsidR="009779DB" w:rsidRPr="0001128D">
        <w:rPr>
          <w:rFonts w:eastAsia="Times New Roman" w:cs="Times New Roman"/>
          <w:sz w:val="17"/>
          <w:lang w:val="fr-FR" w:eastAsia="en-US"/>
        </w:rPr>
        <w:t xml:space="preserve"> </w:t>
      </w:r>
      <w:r w:rsidR="00DB66FB" w:rsidRPr="0001128D">
        <w:rPr>
          <w:rFonts w:eastAsia="Times New Roman" w:cs="Times New Roman"/>
          <w:sz w:val="17"/>
          <w:lang w:val="fr-FR" w:eastAsia="en-US"/>
        </w:rPr>
        <w:t>Si aucune séquence ne correspond à un numéro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DB66FB" w:rsidRPr="0001128D">
        <w:rPr>
          <w:rFonts w:eastAsia="Times New Roman" w:cs="Times New Roman"/>
          <w:sz w:val="17"/>
          <w:lang w:val="fr-FR" w:eastAsia="en-US"/>
        </w:rPr>
        <w:t xml:space="preserve">identification donné, par exemple en cas de séquence délibérément omise, </w:t>
      </w:r>
      <w:r w:rsidR="003D30D9" w:rsidRPr="0001128D">
        <w:rPr>
          <w:rFonts w:eastAsia="Times New Roman" w:cs="Times New Roman"/>
          <w:sz w:val="17"/>
          <w:lang w:val="fr-FR" w:eastAsia="en-US"/>
        </w:rPr>
        <w:t>il convient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3D30D9" w:rsidRPr="0001128D">
        <w:rPr>
          <w:rFonts w:eastAsia="Times New Roman" w:cs="Times New Roman"/>
          <w:sz w:val="17"/>
          <w:lang w:val="fr-FR" w:eastAsia="en-US"/>
        </w:rPr>
        <w:t xml:space="preserve">insérer la chaîne de caractères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3D30D9" w:rsidRPr="0001128D">
        <w:rPr>
          <w:rFonts w:eastAsia="Times New Roman" w:cs="Times New Roman"/>
          <w:sz w:val="17"/>
          <w:lang w:val="fr-FR" w:eastAsia="en-US"/>
        </w:rPr>
        <w:t>000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3D30D9" w:rsidRPr="0001128D">
        <w:rPr>
          <w:rFonts w:eastAsia="Times New Roman" w:cs="Times New Roman"/>
          <w:sz w:val="17"/>
          <w:lang w:val="fr-FR" w:eastAsia="en-US"/>
        </w:rPr>
        <w:t xml:space="preserve"> à la place de la séquence (voir le paragraphe 58).  </w:t>
      </w:r>
      <w:r w:rsidR="00F82A98" w:rsidRPr="0001128D">
        <w:rPr>
          <w:rFonts w:eastAsia="Times New Roman" w:cs="Times New Roman"/>
          <w:sz w:val="17"/>
          <w:lang w:val="fr-FR" w:eastAsia="en-US"/>
        </w:rPr>
        <w:t>Le nombre total de séquences doit être indiqué dans le listage des séquences et doit être égal au nombre total de numéros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F82A98" w:rsidRPr="0001128D">
        <w:rPr>
          <w:rFonts w:eastAsia="Times New Roman" w:cs="Times New Roman"/>
          <w:sz w:val="17"/>
          <w:lang w:val="fr-FR" w:eastAsia="en-US"/>
        </w:rPr>
        <w:t>identification de séquence, que ces numéros soient suivis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F82A98" w:rsidRPr="0001128D">
        <w:rPr>
          <w:rFonts w:eastAsia="Times New Roman" w:cs="Times New Roman"/>
          <w:sz w:val="17"/>
          <w:lang w:val="fr-FR" w:eastAsia="en-US"/>
        </w:rPr>
        <w:t xml:space="preserve">une séquence ou de la chaîne de caractères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F82A98" w:rsidRPr="0001128D">
        <w:rPr>
          <w:rFonts w:eastAsia="Times New Roman" w:cs="Times New Roman"/>
          <w:sz w:val="17"/>
          <w:lang w:val="fr-FR" w:eastAsia="en-US"/>
        </w:rPr>
        <w:t>000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F82A98" w:rsidRPr="0001128D">
        <w:rPr>
          <w:rFonts w:eastAsia="Times New Roman" w:cs="Times New Roman"/>
          <w:sz w:val="17"/>
          <w:lang w:val="fr-FR" w:eastAsia="en-US"/>
        </w:rPr>
        <w:t>.</w:t>
      </w:r>
    </w:p>
    <w:p w:rsidR="007D53DB" w:rsidRPr="0001128D" w:rsidRDefault="00ED2BAB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43" w:name="_Toc386037648"/>
      <w:bookmarkEnd w:id="42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Séquences de nucléotides</w:t>
      </w:r>
      <w:bookmarkEnd w:id="43"/>
    </w:p>
    <w:p w:rsidR="00ED2BAB" w:rsidRPr="0001128D" w:rsidRDefault="00E060B9" w:rsidP="00E060B9">
      <w:pPr>
        <w:pStyle w:val="Paragraph"/>
        <w:ind w:left="0" w:firstLine="0"/>
        <w:rPr>
          <w:lang w:val="fr-FR"/>
        </w:rPr>
      </w:pPr>
      <w:r w:rsidRPr="0001128D">
        <w:rPr>
          <w:rFonts w:eastAsia="Times New Roman" w:cs="Times New Roman"/>
          <w:sz w:val="17"/>
          <w:lang w:val="fr-FR" w:eastAsia="en-US"/>
        </w:rPr>
        <w:t>Toute séquence de nucléotides doit être représentée par un seul brin de codage, dans le sens 5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265B44" w:rsidRPr="0001128D">
        <w:rPr>
          <w:rFonts w:eastAsia="Times New Roman" w:cs="Times New Roman"/>
          <w:sz w:val="17"/>
          <w:lang w:val="fr-FR" w:eastAsia="en-US"/>
        </w:rPr>
        <w:noBreakHyphen/>
      </w:r>
      <w:r w:rsidRPr="0001128D">
        <w:rPr>
          <w:rFonts w:eastAsia="Times New Roman" w:cs="Times New Roman"/>
          <w:sz w:val="17"/>
          <w:lang w:val="fr-FR" w:eastAsia="en-US"/>
        </w:rPr>
        <w:t>3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Pr="0001128D">
        <w:rPr>
          <w:rFonts w:eastAsia="Times New Roman" w:cs="Times New Roman"/>
          <w:sz w:val="17"/>
          <w:lang w:val="fr-FR" w:eastAsia="en-US"/>
        </w:rPr>
        <w:t xml:space="preserve"> et de gauche à droite.  Les désignations 5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Pr="0001128D">
        <w:rPr>
          <w:rFonts w:eastAsia="Times New Roman" w:cs="Times New Roman"/>
          <w:sz w:val="17"/>
          <w:lang w:val="fr-FR" w:eastAsia="en-US"/>
        </w:rPr>
        <w:t xml:space="preserve"> et 3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Pr="0001128D">
        <w:rPr>
          <w:rFonts w:eastAsia="Times New Roman" w:cs="Times New Roman"/>
          <w:sz w:val="17"/>
          <w:lang w:val="fr-FR" w:eastAsia="en-US"/>
        </w:rPr>
        <w:t xml:space="preserve"> ne doivent pas apparaître dans la séquence.  Toute séquence de nucléotides représentée par deux</w:t>
      </w:r>
      <w:r w:rsidR="00745EE5" w:rsidRPr="0001128D">
        <w:rPr>
          <w:rFonts w:eastAsia="Times New Roman" w:cs="Times New Roman"/>
          <w:sz w:val="17"/>
          <w:lang w:val="fr-FR" w:eastAsia="en-US"/>
        </w:rPr>
        <w:t> </w:t>
      </w:r>
      <w:r w:rsidRPr="0001128D">
        <w:rPr>
          <w:rFonts w:eastAsia="Times New Roman" w:cs="Times New Roman"/>
          <w:sz w:val="17"/>
          <w:lang w:val="fr-FR" w:eastAsia="en-US"/>
        </w:rPr>
        <w:t>brins de codage et divulguée par énumération des résidus des deux</w:t>
      </w:r>
      <w:r w:rsidR="00745EE5" w:rsidRPr="0001128D">
        <w:rPr>
          <w:rFonts w:eastAsia="Times New Roman" w:cs="Times New Roman"/>
          <w:sz w:val="17"/>
          <w:lang w:val="fr-FR" w:eastAsia="en-US"/>
        </w:rPr>
        <w:t> </w:t>
      </w:r>
      <w:r w:rsidRPr="0001128D">
        <w:rPr>
          <w:rFonts w:eastAsia="Times New Roman" w:cs="Times New Roman"/>
          <w:sz w:val="17"/>
          <w:lang w:val="fr-FR" w:eastAsia="en-US"/>
        </w:rPr>
        <w:t>brins doit être présentée sous la forme</w:t>
      </w:r>
      <w:r w:rsidR="00745EE5" w:rsidRPr="0001128D">
        <w:rPr>
          <w:rFonts w:eastAsia="Times New Roman" w:cs="Times New Roman"/>
          <w:sz w:val="17"/>
          <w:lang w:val="fr-FR" w:eastAsia="en-US"/>
        </w:rPr>
        <w:t> </w:t>
      </w:r>
      <w:r w:rsidRPr="0001128D">
        <w:rPr>
          <w:rFonts w:eastAsia="Times New Roman" w:cs="Times New Roman"/>
          <w:sz w:val="17"/>
          <w:lang w:val="fr-FR" w:eastAsia="en-US"/>
        </w:rPr>
        <w:t>:</w:t>
      </w:r>
    </w:p>
    <w:p w:rsidR="00632466" w:rsidRPr="0001128D" w:rsidRDefault="00E060B9" w:rsidP="00610B36">
      <w:pPr>
        <w:pStyle w:val="List0R"/>
        <w:numPr>
          <w:ilvl w:val="0"/>
          <w:numId w:val="18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une seule séquence ou de deux</w:t>
      </w:r>
      <w:r w:rsidR="00745EE5" w:rsidRPr="0001128D">
        <w:rPr>
          <w:lang w:val="fr-FR"/>
        </w:rPr>
        <w:t> </w:t>
      </w:r>
      <w:r w:rsidRPr="0001128D">
        <w:rPr>
          <w:lang w:val="fr-FR"/>
        </w:rPr>
        <w:t xml:space="preserve">séquences distinctes, </w:t>
      </w:r>
      <w:r w:rsidR="00610B36" w:rsidRPr="0001128D">
        <w:rPr>
          <w:lang w:val="fr-FR"/>
        </w:rPr>
        <w:t>chacune disposant de son propre numéro d</w:t>
      </w:r>
      <w:r w:rsidR="00A329F0" w:rsidRPr="0001128D">
        <w:rPr>
          <w:lang w:val="fr-FR"/>
        </w:rPr>
        <w:t>’</w:t>
      </w:r>
      <w:r w:rsidR="00610B36" w:rsidRPr="0001128D">
        <w:rPr>
          <w:lang w:val="fr-FR"/>
        </w:rPr>
        <w:t>identification de séquence, si les deux</w:t>
      </w:r>
      <w:r w:rsidR="00745EE5" w:rsidRPr="0001128D">
        <w:rPr>
          <w:lang w:val="fr-FR"/>
        </w:rPr>
        <w:t> </w:t>
      </w:r>
      <w:r w:rsidR="00610B36" w:rsidRPr="0001128D">
        <w:rPr>
          <w:lang w:val="fr-FR"/>
        </w:rPr>
        <w:t>brins distincts sont entièrement complémentaires l</w:t>
      </w:r>
      <w:r w:rsidR="00A329F0" w:rsidRPr="0001128D">
        <w:rPr>
          <w:lang w:val="fr-FR"/>
        </w:rPr>
        <w:t>’</w:t>
      </w:r>
      <w:r w:rsidR="00610B36" w:rsidRPr="0001128D">
        <w:rPr>
          <w:lang w:val="fr-FR"/>
        </w:rPr>
        <w:t>un de l</w:t>
      </w:r>
      <w:r w:rsidR="00A329F0" w:rsidRPr="0001128D">
        <w:rPr>
          <w:lang w:val="fr-FR"/>
        </w:rPr>
        <w:t>’</w:t>
      </w:r>
      <w:r w:rsidR="00610B36" w:rsidRPr="0001128D">
        <w:rPr>
          <w:lang w:val="fr-FR"/>
        </w:rPr>
        <w:t>autre;</w:t>
      </w:r>
      <w:r w:rsidR="00745EE5" w:rsidRPr="0001128D">
        <w:rPr>
          <w:lang w:val="fr-FR"/>
        </w:rPr>
        <w:t xml:space="preserve"> </w:t>
      </w:r>
      <w:r w:rsidR="00610B36" w:rsidRPr="0001128D">
        <w:rPr>
          <w:lang w:val="fr-FR"/>
        </w:rPr>
        <w:t xml:space="preserve"> ou</w:t>
      </w:r>
    </w:p>
    <w:p w:rsidR="00632466" w:rsidRPr="0001128D" w:rsidRDefault="00610B36" w:rsidP="00610B36">
      <w:pPr>
        <w:pStyle w:val="List0R"/>
        <w:numPr>
          <w:ilvl w:val="0"/>
          <w:numId w:val="18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de deux</w:t>
      </w:r>
      <w:r w:rsidR="00745EE5" w:rsidRPr="0001128D">
        <w:rPr>
          <w:lang w:val="fr-FR"/>
        </w:rPr>
        <w:t> </w:t>
      </w:r>
      <w:r w:rsidRPr="0001128D">
        <w:rPr>
          <w:lang w:val="fr-FR"/>
        </w:rPr>
        <w:t>séquences distinctes, chacune disposant de son propre numéro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identification de séquence, si les deux</w:t>
      </w:r>
      <w:r w:rsidR="00745EE5" w:rsidRPr="0001128D">
        <w:rPr>
          <w:lang w:val="fr-FR"/>
        </w:rPr>
        <w:t> </w:t>
      </w:r>
      <w:r w:rsidRPr="0001128D">
        <w:rPr>
          <w:lang w:val="fr-FR"/>
        </w:rPr>
        <w:t>brins ne sont pas entièrement complémentaires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un de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autre.</w:t>
      </w:r>
    </w:p>
    <w:p w:rsidR="00632466" w:rsidRPr="0001128D" w:rsidRDefault="00F710AB" w:rsidP="00610B36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lastRenderedPageBreak/>
        <w:t xml:space="preserve">La numérotation des positions des nucléotides </w:t>
      </w:r>
      <w:r w:rsidRPr="0001128D">
        <w:rPr>
          <w:lang w:val="fr-FR"/>
        </w:rPr>
        <w:t>doit commencer par la première base de la séquence, qui portera le numéro</w:t>
      </w:r>
      <w:r w:rsidR="002E4047">
        <w:rPr>
          <w:lang w:val="fr-FR"/>
        </w:rPr>
        <w:t> </w:t>
      </w:r>
      <w:r w:rsidRPr="0001128D">
        <w:rPr>
          <w:lang w:val="fr-FR"/>
        </w:rPr>
        <w:t>1.  Elle doit être continue dans toute la séquence dans le sen</w:t>
      </w:r>
      <w:r w:rsidR="00DA5286" w:rsidRPr="0001128D">
        <w:rPr>
          <w:lang w:val="fr-FR"/>
        </w:rPr>
        <w:t>s 5</w:t>
      </w:r>
      <w:r w:rsidR="00A329F0" w:rsidRPr="0001128D">
        <w:rPr>
          <w:lang w:val="fr-FR"/>
        </w:rPr>
        <w:t>’</w:t>
      </w:r>
      <w:r w:rsidR="00265B44" w:rsidRPr="0001128D">
        <w:rPr>
          <w:lang w:val="fr-FR"/>
        </w:rPr>
        <w:noBreakHyphen/>
      </w:r>
      <w:r w:rsidR="00DA5286" w:rsidRPr="0001128D">
        <w:rPr>
          <w:lang w:val="fr-FR"/>
        </w:rPr>
        <w:t>3</w:t>
      </w:r>
      <w:r w:rsidR="00A329F0" w:rsidRPr="0001128D">
        <w:rPr>
          <w:lang w:val="fr-FR"/>
        </w:rPr>
        <w:t>’</w:t>
      </w:r>
      <w:r w:rsidR="00DA5286" w:rsidRPr="0001128D">
        <w:rPr>
          <w:lang w:val="fr-FR"/>
        </w:rPr>
        <w:t>.</w:t>
      </w:r>
    </w:p>
    <w:p w:rsidR="00632466" w:rsidRPr="0001128D" w:rsidRDefault="00381C73" w:rsidP="00DA5286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Cette méthode de numérotation des séquences de nucléotides </w:t>
      </w:r>
      <w:r w:rsidRPr="0001128D">
        <w:rPr>
          <w:lang w:val="fr-FR"/>
        </w:rPr>
        <w:t>s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applique aussi aux séquences de nucléotides de configuration circulaire</w:t>
      </w:r>
      <w:r w:rsidR="00E279A2" w:rsidRPr="0001128D">
        <w:rPr>
          <w:lang w:val="fr-FR"/>
        </w:rPr>
        <w:t>.  Dans ce cas, le déposant doit choisir le nucléotide correspondant au premier numéro.</w:t>
      </w:r>
    </w:p>
    <w:p w:rsidR="0056486D" w:rsidRPr="0001128D" w:rsidRDefault="002F102F" w:rsidP="002F102F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Tous les nucléotides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séquence doivent être </w:t>
      </w:r>
      <w:r w:rsidRPr="0001128D">
        <w:rPr>
          <w:lang w:val="fr-FR"/>
        </w:rPr>
        <w:t>représentés à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aide des symboles indiqués dans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 xml:space="preserve">annexe I (voir section 1, tableau 1).  </w:t>
      </w:r>
      <w:r w:rsidR="0048718D" w:rsidRPr="0001128D">
        <w:rPr>
          <w:lang w:val="fr-FR"/>
        </w:rPr>
        <w:t xml:space="preserve">Seules </w:t>
      </w:r>
      <w:r w:rsidR="005859A6" w:rsidRPr="0001128D">
        <w:rPr>
          <w:lang w:val="fr-FR"/>
        </w:rPr>
        <w:t>l</w:t>
      </w:r>
      <w:r w:rsidR="0048718D" w:rsidRPr="0001128D">
        <w:rPr>
          <w:lang w:val="fr-FR"/>
        </w:rPr>
        <w:t xml:space="preserve">es lettres minuscules sont autorisées.  </w:t>
      </w:r>
      <w:r w:rsidR="0056486D" w:rsidRPr="0001128D">
        <w:rPr>
          <w:lang w:val="fr-FR"/>
        </w:rPr>
        <w:t>Tout symbole employé pour représenter un nucléotide ne peut être l</w:t>
      </w:r>
      <w:r w:rsidR="00A329F0" w:rsidRPr="0001128D">
        <w:rPr>
          <w:lang w:val="fr-FR"/>
        </w:rPr>
        <w:t>’</w:t>
      </w:r>
      <w:r w:rsidR="0056486D" w:rsidRPr="0001128D">
        <w:rPr>
          <w:lang w:val="fr-FR"/>
        </w:rPr>
        <w:t>équivalent que d</w:t>
      </w:r>
      <w:r w:rsidR="00A329F0" w:rsidRPr="0001128D">
        <w:rPr>
          <w:lang w:val="fr-FR"/>
        </w:rPr>
        <w:t>’</w:t>
      </w:r>
      <w:r w:rsidR="0056486D" w:rsidRPr="0001128D">
        <w:rPr>
          <w:lang w:val="fr-FR"/>
        </w:rPr>
        <w:t>un seul résidu.</w:t>
      </w:r>
    </w:p>
    <w:p w:rsidR="00632466" w:rsidRPr="0001128D" w:rsidRDefault="0056486D" w:rsidP="0056486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Le symbole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t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désigne la thymine dans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ADN et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uracile dans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ARN.</w:t>
      </w:r>
      <w:r w:rsidR="00F636CA" w:rsidRPr="0001128D">
        <w:rPr>
          <w:szCs w:val="17"/>
          <w:lang w:val="fr-FR"/>
        </w:rPr>
        <w:t xml:space="preserve">  L</w:t>
      </w:r>
      <w:r w:rsidR="00A329F0" w:rsidRPr="0001128D">
        <w:rPr>
          <w:szCs w:val="17"/>
          <w:lang w:val="fr-FR"/>
        </w:rPr>
        <w:t>’</w:t>
      </w:r>
      <w:r w:rsidR="00F636CA" w:rsidRPr="0001128D">
        <w:rPr>
          <w:szCs w:val="17"/>
          <w:lang w:val="fr-FR"/>
        </w:rPr>
        <w:t>uracile dans de l</w:t>
      </w:r>
      <w:r w:rsidR="00A329F0" w:rsidRPr="0001128D">
        <w:rPr>
          <w:szCs w:val="17"/>
          <w:lang w:val="fr-FR"/>
        </w:rPr>
        <w:t>’</w:t>
      </w:r>
      <w:r w:rsidR="00F636CA" w:rsidRPr="0001128D">
        <w:rPr>
          <w:szCs w:val="17"/>
          <w:lang w:val="fr-FR"/>
        </w:rPr>
        <w:t>ADN ou la thymine dans de l</w:t>
      </w:r>
      <w:r w:rsidR="00A329F0" w:rsidRPr="0001128D">
        <w:rPr>
          <w:szCs w:val="17"/>
          <w:lang w:val="fr-FR"/>
        </w:rPr>
        <w:t>’</w:t>
      </w:r>
      <w:r w:rsidR="00F636CA" w:rsidRPr="0001128D">
        <w:rPr>
          <w:szCs w:val="17"/>
          <w:lang w:val="fr-FR"/>
        </w:rPr>
        <w:t>ARN sont considérés comme des nucléotides modifiés et doivent être accompagnés d</w:t>
      </w:r>
      <w:r w:rsidR="00A329F0" w:rsidRPr="0001128D">
        <w:rPr>
          <w:szCs w:val="17"/>
          <w:lang w:val="fr-FR"/>
        </w:rPr>
        <w:t>’</w:t>
      </w:r>
      <w:r w:rsidR="00F636CA" w:rsidRPr="0001128D">
        <w:rPr>
          <w:szCs w:val="17"/>
          <w:lang w:val="fr-FR"/>
        </w:rPr>
        <w:t xml:space="preserve">une description supplémentaire </w:t>
      </w:r>
      <w:r w:rsidR="00BA565D" w:rsidRPr="0001128D">
        <w:rPr>
          <w:szCs w:val="17"/>
          <w:lang w:val="fr-FR"/>
        </w:rPr>
        <w:t>au sens du</w:t>
      </w:r>
      <w:r w:rsidR="00F636CA" w:rsidRPr="0001128D">
        <w:rPr>
          <w:szCs w:val="17"/>
          <w:lang w:val="fr-FR"/>
        </w:rPr>
        <w:t xml:space="preserve"> paragraphe</w:t>
      </w:r>
      <w:r w:rsidR="00F727C7" w:rsidRPr="0001128D">
        <w:rPr>
          <w:szCs w:val="17"/>
          <w:lang w:val="fr-FR"/>
        </w:rPr>
        <w:t> </w:t>
      </w:r>
      <w:r w:rsidR="00F636CA" w:rsidRPr="0001128D">
        <w:rPr>
          <w:szCs w:val="17"/>
          <w:lang w:val="fr-FR"/>
        </w:rPr>
        <w:t>18.</w:t>
      </w:r>
    </w:p>
    <w:p w:rsidR="003A7C22" w:rsidRPr="0001128D" w:rsidRDefault="0002395B" w:rsidP="00A6559E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44" w:name="_Ref371508266"/>
      <w:r w:rsidRPr="0001128D">
        <w:rPr>
          <w:szCs w:val="17"/>
          <w:lang w:val="fr-FR"/>
        </w:rPr>
        <w:t>Lorsqu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il convient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employer un symbole ambigu (représentant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 xml:space="preserve">bases possibles ou plus), il faut choisir le symbole le plus restrictif. </w:t>
      </w:r>
      <w:r w:rsidR="001B15C5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 xml:space="preserve">Si par exemple une base dans une position quelconque </w:t>
      </w:r>
      <w:r w:rsidR="00D14BEA">
        <w:rPr>
          <w:szCs w:val="17"/>
          <w:lang w:val="fr-FR"/>
        </w:rPr>
        <w:t>pouvait</w:t>
      </w:r>
      <w:r w:rsidRPr="0001128D">
        <w:rPr>
          <w:szCs w:val="17"/>
          <w:lang w:val="fr-FR"/>
        </w:rPr>
        <w:t xml:space="preserve"> être désignée par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a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g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, il faut employer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r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</w:t>
      </w:r>
      <w:r w:rsidR="00E539D7" w:rsidRPr="0001128D">
        <w:rPr>
          <w:szCs w:val="17"/>
          <w:lang w:val="fr-FR"/>
        </w:rPr>
        <w:t>au lieu de</w:t>
      </w:r>
      <w:r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”.</w:t>
      </w:r>
      <w:r w:rsidRPr="0001128D">
        <w:rPr>
          <w:szCs w:val="17"/>
          <w:lang w:val="fr-FR"/>
        </w:rPr>
        <w:t xml:space="preserve">  </w:t>
      </w:r>
      <w:r w:rsidR="002A6076" w:rsidRPr="0001128D">
        <w:rPr>
          <w:szCs w:val="17"/>
          <w:lang w:val="fr-FR"/>
        </w:rPr>
        <w:t xml:space="preserve">Le symbole </w:t>
      </w:r>
      <w:r w:rsidR="00745EE5" w:rsidRPr="0001128D">
        <w:rPr>
          <w:szCs w:val="17"/>
          <w:lang w:val="fr-FR"/>
        </w:rPr>
        <w:t>“</w:t>
      </w:r>
      <w:r w:rsidR="002A6076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="002A6076" w:rsidRPr="0001128D">
        <w:rPr>
          <w:szCs w:val="17"/>
          <w:lang w:val="fr-FR"/>
        </w:rPr>
        <w:t xml:space="preserve"> sera considéré comme équivalent à l</w:t>
      </w:r>
      <w:r w:rsidR="00A329F0" w:rsidRPr="0001128D">
        <w:rPr>
          <w:szCs w:val="17"/>
          <w:lang w:val="fr-FR"/>
        </w:rPr>
        <w:t>’</w:t>
      </w:r>
      <w:r w:rsidR="002A6076" w:rsidRPr="0001128D">
        <w:rPr>
          <w:szCs w:val="17"/>
          <w:lang w:val="fr-FR"/>
        </w:rPr>
        <w:t xml:space="preserve">un des symboles </w:t>
      </w:r>
      <w:r w:rsidR="00745EE5" w:rsidRPr="0001128D">
        <w:rPr>
          <w:szCs w:val="17"/>
          <w:lang w:val="fr-FR"/>
        </w:rPr>
        <w:t>“</w:t>
      </w:r>
      <w:r w:rsidR="002A6076" w:rsidRPr="0001128D">
        <w:rPr>
          <w:szCs w:val="17"/>
          <w:lang w:val="fr-FR"/>
        </w:rPr>
        <w:t>a</w:t>
      </w:r>
      <w:r w:rsidR="00745EE5" w:rsidRPr="0001128D">
        <w:rPr>
          <w:szCs w:val="17"/>
          <w:lang w:val="fr-FR"/>
        </w:rPr>
        <w:t>”</w:t>
      </w:r>
      <w:r w:rsidR="002A607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2A6076" w:rsidRPr="0001128D">
        <w:rPr>
          <w:szCs w:val="17"/>
          <w:lang w:val="fr-FR"/>
        </w:rPr>
        <w:t>c</w:t>
      </w:r>
      <w:r w:rsidR="00745EE5" w:rsidRPr="0001128D">
        <w:rPr>
          <w:szCs w:val="17"/>
          <w:lang w:val="fr-FR"/>
        </w:rPr>
        <w:t>”</w:t>
      </w:r>
      <w:r w:rsidR="002A607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2A6076" w:rsidRPr="0001128D">
        <w:rPr>
          <w:szCs w:val="17"/>
          <w:lang w:val="fr-FR"/>
        </w:rPr>
        <w:t>g</w:t>
      </w:r>
      <w:r w:rsidR="00745EE5" w:rsidRPr="0001128D">
        <w:rPr>
          <w:szCs w:val="17"/>
          <w:lang w:val="fr-FR"/>
        </w:rPr>
        <w:t>”</w:t>
      </w:r>
      <w:r w:rsidR="002A6076"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="002A6076" w:rsidRPr="0001128D">
        <w:rPr>
          <w:szCs w:val="17"/>
          <w:lang w:val="fr-FR"/>
        </w:rPr>
        <w:t>t/u</w:t>
      </w:r>
      <w:r w:rsidR="00745EE5" w:rsidRPr="0001128D">
        <w:rPr>
          <w:szCs w:val="17"/>
          <w:lang w:val="fr-FR"/>
        </w:rPr>
        <w:t>”</w:t>
      </w:r>
      <w:r w:rsidR="002A6076" w:rsidRPr="0001128D">
        <w:rPr>
          <w:szCs w:val="17"/>
          <w:lang w:val="fr-FR"/>
        </w:rPr>
        <w:t>, sauf s</w:t>
      </w:r>
      <w:r w:rsidR="00A329F0" w:rsidRPr="0001128D">
        <w:rPr>
          <w:szCs w:val="17"/>
          <w:lang w:val="fr-FR"/>
        </w:rPr>
        <w:t>’</w:t>
      </w:r>
      <w:r w:rsidR="002A6076" w:rsidRPr="0001128D">
        <w:rPr>
          <w:szCs w:val="17"/>
          <w:lang w:val="fr-FR"/>
        </w:rPr>
        <w:t>il est accompagné d</w:t>
      </w:r>
      <w:r w:rsidR="00A329F0" w:rsidRPr="0001128D">
        <w:rPr>
          <w:szCs w:val="17"/>
          <w:lang w:val="fr-FR"/>
        </w:rPr>
        <w:t>’</w:t>
      </w:r>
      <w:r w:rsidR="002A6076" w:rsidRPr="0001128D">
        <w:rPr>
          <w:szCs w:val="17"/>
          <w:lang w:val="fr-FR"/>
        </w:rPr>
        <w:t xml:space="preserve">une description supplémentaire </w:t>
      </w:r>
      <w:r w:rsidR="00EB2AEE" w:rsidRPr="0001128D">
        <w:rPr>
          <w:szCs w:val="17"/>
          <w:lang w:val="fr-FR"/>
        </w:rPr>
        <w:t>au sens d</w:t>
      </w:r>
      <w:r w:rsidR="002E4047">
        <w:rPr>
          <w:szCs w:val="17"/>
          <w:lang w:val="fr-FR"/>
        </w:rPr>
        <w:t>es paragraphes 16 et 17 ou </w:t>
      </w:r>
      <w:r w:rsidR="00F13050" w:rsidRPr="0001128D">
        <w:rPr>
          <w:szCs w:val="17"/>
          <w:lang w:val="fr-FR"/>
        </w:rPr>
        <w:t xml:space="preserve">20.  Ce symbole </w:t>
      </w:r>
      <w:r w:rsidR="00745EE5" w:rsidRPr="0001128D">
        <w:rPr>
          <w:szCs w:val="17"/>
          <w:lang w:val="fr-FR"/>
        </w:rPr>
        <w:t>“</w:t>
      </w:r>
      <w:r w:rsidR="00F13050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="00F13050" w:rsidRPr="0001128D">
        <w:rPr>
          <w:szCs w:val="17"/>
          <w:lang w:val="fr-FR"/>
        </w:rPr>
        <w:t xml:space="preserve"> ne peut être employé que pour représenter un nucléotide.  </w:t>
      </w:r>
      <w:r w:rsidR="00FD153C" w:rsidRPr="0001128D">
        <w:rPr>
          <w:szCs w:val="17"/>
          <w:lang w:val="fr-FR"/>
        </w:rPr>
        <w:t xml:space="preserve">Il peut représenter un seul nucléotide modifié ou </w:t>
      </w:r>
      <w:r w:rsidR="00745EE5" w:rsidRPr="0001128D">
        <w:rPr>
          <w:szCs w:val="17"/>
          <w:lang w:val="fr-FR"/>
        </w:rPr>
        <w:t>“</w:t>
      </w:r>
      <w:r w:rsidR="00FD153C" w:rsidRPr="0001128D">
        <w:rPr>
          <w:szCs w:val="17"/>
          <w:lang w:val="fr-FR"/>
        </w:rPr>
        <w:t>inconnu</w:t>
      </w:r>
      <w:r w:rsidR="00745EE5" w:rsidRPr="0001128D">
        <w:rPr>
          <w:szCs w:val="17"/>
          <w:lang w:val="fr-FR"/>
        </w:rPr>
        <w:t>”</w:t>
      </w:r>
      <w:r w:rsidR="00FD153C" w:rsidRPr="0001128D">
        <w:rPr>
          <w:szCs w:val="17"/>
          <w:lang w:val="fr-FR"/>
        </w:rPr>
        <w:t xml:space="preserve"> s</w:t>
      </w:r>
      <w:r w:rsidR="00A329F0" w:rsidRPr="0001128D">
        <w:rPr>
          <w:szCs w:val="17"/>
          <w:lang w:val="fr-FR"/>
        </w:rPr>
        <w:t>’</w:t>
      </w:r>
      <w:r w:rsidR="00FD153C" w:rsidRPr="0001128D">
        <w:rPr>
          <w:szCs w:val="17"/>
          <w:lang w:val="fr-FR"/>
        </w:rPr>
        <w:t>il est accompagné d</w:t>
      </w:r>
      <w:r w:rsidR="00A329F0" w:rsidRPr="0001128D">
        <w:rPr>
          <w:szCs w:val="17"/>
          <w:lang w:val="fr-FR"/>
        </w:rPr>
        <w:t>’</w:t>
      </w:r>
      <w:r w:rsidR="00FD153C" w:rsidRPr="0001128D">
        <w:rPr>
          <w:szCs w:val="17"/>
          <w:lang w:val="fr-FR"/>
        </w:rPr>
        <w:t>une description supplémentaire au s</w:t>
      </w:r>
      <w:r w:rsidR="002E4047">
        <w:rPr>
          <w:szCs w:val="17"/>
          <w:lang w:val="fr-FR"/>
        </w:rPr>
        <w:t>ens des paragraphes 16 et 17 ou </w:t>
      </w:r>
      <w:r w:rsidR="00FD153C" w:rsidRPr="0001128D">
        <w:rPr>
          <w:szCs w:val="17"/>
          <w:lang w:val="fr-FR"/>
        </w:rPr>
        <w:t>20.</w:t>
      </w:r>
      <w:bookmarkEnd w:id="44"/>
    </w:p>
    <w:p w:rsidR="003A7C22" w:rsidRPr="0001128D" w:rsidRDefault="0057746C" w:rsidP="0057746C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45" w:name="_Ref371507586"/>
      <w:r w:rsidRPr="0001128D">
        <w:rPr>
          <w:szCs w:val="17"/>
          <w:lang w:val="fr-FR"/>
        </w:rPr>
        <w:t>Les nucléotides modifiés doivent être représentés dans la séquence comme les bases non modifiées correspondantes, c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est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à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 xml:space="preserve">dire par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a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c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g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ou</w:t>
      </w:r>
      <w:r w:rsidR="002E4047">
        <w:rPr>
          <w:szCs w:val="17"/>
          <w:lang w:val="fr-FR"/>
        </w:rPr>
        <w:t> 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t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chaque fois que possible.  Tout nucléotide modifié </w:t>
      </w:r>
      <w:r w:rsidR="00C8347B" w:rsidRPr="0001128D">
        <w:rPr>
          <w:szCs w:val="17"/>
          <w:lang w:val="fr-FR"/>
        </w:rPr>
        <w:t>apparaissant</w:t>
      </w:r>
      <w:r w:rsidRPr="0001128D">
        <w:rPr>
          <w:szCs w:val="17"/>
          <w:lang w:val="fr-FR"/>
        </w:rPr>
        <w:t xml:space="preserve"> dans une séquence et ne </w:t>
      </w:r>
      <w:r w:rsidR="00C8347B" w:rsidRPr="0001128D">
        <w:rPr>
          <w:szCs w:val="17"/>
          <w:lang w:val="fr-FR"/>
        </w:rPr>
        <w:t>pouvant</w:t>
      </w:r>
      <w:r w:rsidRPr="0001128D">
        <w:rPr>
          <w:szCs w:val="17"/>
          <w:lang w:val="fr-FR"/>
        </w:rPr>
        <w:t xml:space="preserve"> être représenté </w:t>
      </w:r>
      <w:r w:rsidR="00503F30" w:rsidRPr="0001128D">
        <w:rPr>
          <w:szCs w:val="17"/>
          <w:lang w:val="fr-FR"/>
        </w:rPr>
        <w:t>à l</w:t>
      </w:r>
      <w:r w:rsidR="00A329F0" w:rsidRPr="0001128D">
        <w:rPr>
          <w:szCs w:val="17"/>
          <w:lang w:val="fr-FR"/>
        </w:rPr>
        <w:t>’</w:t>
      </w:r>
      <w:r w:rsidR="00503F30" w:rsidRPr="0001128D">
        <w:rPr>
          <w:szCs w:val="17"/>
          <w:lang w:val="fr-FR"/>
        </w:rPr>
        <w:t>aide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 autre symbole </w:t>
      </w:r>
      <w:r w:rsidR="00503F30" w:rsidRPr="0001128D">
        <w:rPr>
          <w:szCs w:val="17"/>
          <w:lang w:val="fr-FR"/>
        </w:rPr>
        <w:t>indiqué dans</w:t>
      </w:r>
      <w:r w:rsidRPr="0001128D">
        <w:rPr>
          <w:szCs w:val="17"/>
          <w:lang w:val="fr-FR"/>
        </w:rPr>
        <w:t xml:space="preserve">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annexe I (voir section 1, tableau 1), comme par exemple un nucléotide n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existant pas à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état naturel, </w:t>
      </w:r>
      <w:r w:rsidR="002B1375" w:rsidRPr="0001128D">
        <w:rPr>
          <w:szCs w:val="17"/>
          <w:lang w:val="fr-FR"/>
        </w:rPr>
        <w:t xml:space="preserve">doit être représenté par le symbole </w:t>
      </w:r>
      <w:r w:rsidR="00745EE5" w:rsidRPr="0001128D">
        <w:rPr>
          <w:szCs w:val="17"/>
          <w:lang w:val="fr-FR"/>
        </w:rPr>
        <w:t>“</w:t>
      </w:r>
      <w:r w:rsidR="002B1375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”.</w:t>
      </w:r>
      <w:r w:rsidR="002B1375" w:rsidRPr="0001128D">
        <w:rPr>
          <w:szCs w:val="17"/>
          <w:lang w:val="fr-FR"/>
        </w:rPr>
        <w:t xml:space="preserve">  </w:t>
      </w:r>
      <w:r w:rsidR="00C10C59" w:rsidRPr="0001128D">
        <w:rPr>
          <w:szCs w:val="17"/>
          <w:lang w:val="fr-FR"/>
        </w:rPr>
        <w:t xml:space="preserve">Lorsque ce symbole </w:t>
      </w:r>
      <w:r w:rsidR="00745EE5" w:rsidRPr="0001128D">
        <w:rPr>
          <w:szCs w:val="17"/>
          <w:lang w:val="fr-FR"/>
        </w:rPr>
        <w:t>“</w:t>
      </w:r>
      <w:r w:rsidR="00C10C59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="00C10C59" w:rsidRPr="0001128D">
        <w:rPr>
          <w:szCs w:val="17"/>
          <w:lang w:val="fr-FR"/>
        </w:rPr>
        <w:t xml:space="preserve"> est employé pour représenter un nucléotide modifié, il n</w:t>
      </w:r>
      <w:r w:rsidR="00A329F0" w:rsidRPr="0001128D">
        <w:rPr>
          <w:szCs w:val="17"/>
          <w:lang w:val="fr-FR"/>
        </w:rPr>
        <w:t>’</w:t>
      </w:r>
      <w:r w:rsidR="00C10C59" w:rsidRPr="0001128D">
        <w:rPr>
          <w:szCs w:val="17"/>
          <w:lang w:val="fr-FR"/>
        </w:rPr>
        <w:t>est l</w:t>
      </w:r>
      <w:r w:rsidR="00A329F0" w:rsidRPr="0001128D">
        <w:rPr>
          <w:szCs w:val="17"/>
          <w:lang w:val="fr-FR"/>
        </w:rPr>
        <w:t>’</w:t>
      </w:r>
      <w:r w:rsidR="00C10C59" w:rsidRPr="0001128D">
        <w:rPr>
          <w:szCs w:val="17"/>
          <w:lang w:val="fr-FR"/>
        </w:rPr>
        <w:t>équivalent que d</w:t>
      </w:r>
      <w:r w:rsidR="00A329F0" w:rsidRPr="0001128D">
        <w:rPr>
          <w:szCs w:val="17"/>
          <w:lang w:val="fr-FR"/>
        </w:rPr>
        <w:t>’</w:t>
      </w:r>
      <w:r w:rsidR="00C10C59" w:rsidRPr="0001128D">
        <w:rPr>
          <w:szCs w:val="17"/>
          <w:lang w:val="fr-FR"/>
        </w:rPr>
        <w:t>un seul résidu.</w:t>
      </w:r>
      <w:bookmarkEnd w:id="45"/>
    </w:p>
    <w:p w:rsidR="003A7C22" w:rsidRPr="0001128D" w:rsidRDefault="00832DB0" w:rsidP="00D5214F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46" w:name="_Ref371508056"/>
      <w:r w:rsidRPr="0001128D">
        <w:rPr>
          <w:szCs w:val="17"/>
          <w:lang w:val="fr-FR"/>
        </w:rPr>
        <w:t>Tout nucléotide modifié doit être accompagné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description supplémentaire dans le tableau de caractéristiques (voir le</w:t>
      </w:r>
      <w:r w:rsidR="00E51D55" w:rsidRPr="0001128D">
        <w:rPr>
          <w:szCs w:val="17"/>
          <w:lang w:val="fr-FR"/>
        </w:rPr>
        <w:t xml:space="preserve">s paragraphes 59 et suivants) </w:t>
      </w:r>
      <w:r w:rsidR="00B00FB1" w:rsidRPr="0001128D">
        <w:rPr>
          <w:szCs w:val="17"/>
          <w:lang w:val="fr-FR"/>
        </w:rPr>
        <w:t>comportant la clé</w:t>
      </w:r>
      <w:r w:rsidR="00E51D55" w:rsidRPr="0001128D">
        <w:rPr>
          <w:szCs w:val="17"/>
          <w:lang w:val="fr-FR"/>
        </w:rPr>
        <w:t xml:space="preserve"> de caractérisation </w:t>
      </w:r>
      <w:r w:rsidR="00745EE5" w:rsidRPr="0001128D">
        <w:rPr>
          <w:szCs w:val="17"/>
          <w:lang w:val="fr-FR"/>
        </w:rPr>
        <w:t>“</w:t>
      </w:r>
      <w:proofErr w:type="spellStart"/>
      <w:r w:rsidR="00E51D55" w:rsidRPr="0001128D">
        <w:rPr>
          <w:szCs w:val="17"/>
          <w:lang w:val="fr-FR"/>
        </w:rPr>
        <w:t>modified_base</w:t>
      </w:r>
      <w:proofErr w:type="spellEnd"/>
      <w:r w:rsidR="00745EE5" w:rsidRPr="0001128D">
        <w:rPr>
          <w:szCs w:val="17"/>
          <w:lang w:val="fr-FR"/>
        </w:rPr>
        <w:t>”</w:t>
      </w:r>
      <w:r w:rsidR="00516944" w:rsidRPr="0001128D">
        <w:rPr>
          <w:szCs w:val="17"/>
          <w:lang w:val="fr-FR"/>
        </w:rPr>
        <w:t xml:space="preserve"> et le qualificateur</w:t>
      </w:r>
      <w:r w:rsidR="00E51D55" w:rsidRPr="0001128D">
        <w:rPr>
          <w:szCs w:val="17"/>
          <w:lang w:val="fr-FR"/>
        </w:rPr>
        <w:t xml:space="preserve"> obligatoire </w:t>
      </w:r>
      <w:r w:rsidR="00745EE5" w:rsidRPr="0001128D">
        <w:rPr>
          <w:szCs w:val="17"/>
          <w:lang w:val="fr-FR"/>
        </w:rPr>
        <w:t>“</w:t>
      </w:r>
      <w:proofErr w:type="spellStart"/>
      <w:r w:rsidR="00E51D55" w:rsidRPr="0001128D">
        <w:rPr>
          <w:szCs w:val="17"/>
          <w:lang w:val="fr-FR"/>
        </w:rPr>
        <w:t>mod_base</w:t>
      </w:r>
      <w:proofErr w:type="spellEnd"/>
      <w:r w:rsidR="00745EE5" w:rsidRPr="0001128D">
        <w:rPr>
          <w:szCs w:val="17"/>
          <w:lang w:val="fr-FR"/>
        </w:rPr>
        <w:t xml:space="preserve">”. </w:t>
      </w:r>
      <w:r w:rsidR="00C05327" w:rsidRPr="0001128D">
        <w:rPr>
          <w:szCs w:val="17"/>
          <w:lang w:val="fr-FR"/>
        </w:rPr>
        <w:t xml:space="preserve"> La valeur qualificati</w:t>
      </w:r>
      <w:r w:rsidR="00F66C5E" w:rsidRPr="0001128D">
        <w:rPr>
          <w:szCs w:val="17"/>
          <w:lang w:val="fr-FR"/>
        </w:rPr>
        <w:t>ve</w:t>
      </w:r>
      <w:r w:rsidR="00E51D55" w:rsidRPr="0001128D">
        <w:rPr>
          <w:szCs w:val="17"/>
          <w:lang w:val="fr-FR"/>
        </w:rPr>
        <w:t xml:space="preserve"> </w:t>
      </w:r>
      <w:r w:rsidR="00C05327" w:rsidRPr="0001128D">
        <w:rPr>
          <w:szCs w:val="17"/>
          <w:lang w:val="fr-FR"/>
        </w:rPr>
        <w:t>ne peut être constituée que d</w:t>
      </w:r>
      <w:r w:rsidR="00A329F0" w:rsidRPr="0001128D">
        <w:rPr>
          <w:szCs w:val="17"/>
          <w:lang w:val="fr-FR"/>
        </w:rPr>
        <w:t>’</w:t>
      </w:r>
      <w:r w:rsidR="00E51D55" w:rsidRPr="0001128D">
        <w:rPr>
          <w:szCs w:val="17"/>
          <w:lang w:val="fr-FR"/>
        </w:rPr>
        <w:t>une seule abréviation issue de l</w:t>
      </w:r>
      <w:r w:rsidR="00A329F0" w:rsidRPr="0001128D">
        <w:rPr>
          <w:szCs w:val="17"/>
          <w:lang w:val="fr-FR"/>
        </w:rPr>
        <w:t>’</w:t>
      </w:r>
      <w:r w:rsidR="00E51D55" w:rsidRPr="0001128D">
        <w:rPr>
          <w:szCs w:val="17"/>
          <w:lang w:val="fr-FR"/>
        </w:rPr>
        <w:t>annexe I (voir section 2, tableau 2).</w:t>
      </w:r>
      <w:r w:rsidR="0023622E" w:rsidRPr="0001128D">
        <w:rPr>
          <w:szCs w:val="17"/>
          <w:lang w:val="fr-FR"/>
        </w:rPr>
        <w:t xml:space="preserve">  </w:t>
      </w:r>
      <w:r w:rsidR="00730FBB" w:rsidRPr="0001128D">
        <w:rPr>
          <w:szCs w:val="17"/>
          <w:lang w:val="fr-FR"/>
        </w:rPr>
        <w:t xml:space="preserve">Si cette </w:t>
      </w:r>
      <w:r w:rsidR="00B00FB1" w:rsidRPr="0001128D">
        <w:rPr>
          <w:szCs w:val="17"/>
          <w:lang w:val="fr-FR"/>
        </w:rPr>
        <w:t xml:space="preserve">abréviation est </w:t>
      </w:r>
      <w:r w:rsidR="00745EE5" w:rsidRPr="0001128D">
        <w:rPr>
          <w:szCs w:val="17"/>
          <w:lang w:val="fr-FR"/>
        </w:rPr>
        <w:t>“</w:t>
      </w:r>
      <w:r w:rsidR="00B00FB1" w:rsidRPr="0001128D">
        <w:rPr>
          <w:szCs w:val="17"/>
          <w:lang w:val="fr-FR"/>
        </w:rPr>
        <w:t>OTHER</w:t>
      </w:r>
      <w:r w:rsidR="00745EE5" w:rsidRPr="0001128D">
        <w:rPr>
          <w:szCs w:val="17"/>
          <w:lang w:val="fr-FR"/>
        </w:rPr>
        <w:t>”</w:t>
      </w:r>
      <w:r w:rsidR="00B00FB1" w:rsidRPr="0001128D">
        <w:rPr>
          <w:szCs w:val="17"/>
          <w:lang w:val="fr-FR"/>
        </w:rPr>
        <w:t xml:space="preserve">, le nom complet non abrégé de la base modifiée doit </w:t>
      </w:r>
      <w:r w:rsidR="00516944" w:rsidRPr="0001128D">
        <w:rPr>
          <w:szCs w:val="17"/>
          <w:lang w:val="fr-FR"/>
        </w:rPr>
        <w:t>être indiqué dans un qualificateur</w:t>
      </w:r>
      <w:r w:rsidR="00C05327" w:rsidRPr="0001128D">
        <w:rPr>
          <w:szCs w:val="17"/>
          <w:lang w:val="fr-FR"/>
        </w:rPr>
        <w:t xml:space="preserve"> </w:t>
      </w:r>
      <w:r w:rsidR="00B00FB1" w:rsidRPr="0001128D">
        <w:rPr>
          <w:szCs w:val="17"/>
          <w:lang w:val="fr-FR"/>
        </w:rPr>
        <w:t xml:space="preserve">de type </w:t>
      </w:r>
      <w:r w:rsidR="00745EE5" w:rsidRPr="0001128D">
        <w:rPr>
          <w:szCs w:val="17"/>
          <w:lang w:val="fr-FR"/>
        </w:rPr>
        <w:t>“</w:t>
      </w:r>
      <w:r w:rsidR="00B00FB1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”.</w:t>
      </w:r>
      <w:r w:rsidR="00F66C5E" w:rsidRPr="0001128D">
        <w:rPr>
          <w:szCs w:val="17"/>
          <w:lang w:val="fr-FR"/>
        </w:rPr>
        <w:t xml:space="preserve">  </w:t>
      </w:r>
      <w:r w:rsidR="00876D6D" w:rsidRPr="0001128D">
        <w:rPr>
          <w:szCs w:val="17"/>
          <w:lang w:val="fr-FR"/>
        </w:rPr>
        <w:t xml:space="preserve">Les abréviations </w:t>
      </w:r>
      <w:r w:rsidR="003339C3" w:rsidRPr="0001128D">
        <w:rPr>
          <w:szCs w:val="17"/>
          <w:lang w:val="fr-FR"/>
        </w:rPr>
        <w:t>(</w:t>
      </w:r>
      <w:r w:rsidR="00876D6D" w:rsidRPr="0001128D">
        <w:rPr>
          <w:szCs w:val="17"/>
          <w:lang w:val="fr-FR"/>
        </w:rPr>
        <w:t>ou les noms complets</w:t>
      </w:r>
      <w:r w:rsidR="003339C3" w:rsidRPr="0001128D">
        <w:rPr>
          <w:szCs w:val="17"/>
          <w:lang w:val="fr-FR"/>
        </w:rPr>
        <w:t>)</w:t>
      </w:r>
      <w:r w:rsidR="00876D6D" w:rsidRPr="0001128D">
        <w:rPr>
          <w:szCs w:val="17"/>
          <w:lang w:val="fr-FR"/>
        </w:rPr>
        <w:t xml:space="preserve"> </w:t>
      </w:r>
      <w:r w:rsidR="00D14BEA">
        <w:rPr>
          <w:szCs w:val="17"/>
          <w:lang w:val="fr-FR"/>
        </w:rPr>
        <w:t>indiquées</w:t>
      </w:r>
      <w:r w:rsidR="00876D6D" w:rsidRPr="0001128D">
        <w:rPr>
          <w:szCs w:val="17"/>
          <w:lang w:val="fr-FR"/>
        </w:rPr>
        <w:t xml:space="preserve"> </w:t>
      </w:r>
      <w:r w:rsidR="00503F30" w:rsidRPr="0001128D">
        <w:rPr>
          <w:szCs w:val="17"/>
          <w:lang w:val="fr-FR"/>
        </w:rPr>
        <w:t>dans</w:t>
      </w:r>
      <w:r w:rsidR="00876D6D" w:rsidRPr="0001128D">
        <w:rPr>
          <w:szCs w:val="17"/>
          <w:lang w:val="fr-FR"/>
        </w:rPr>
        <w:t xml:space="preserve"> l</w:t>
      </w:r>
      <w:r w:rsidR="00A329F0" w:rsidRPr="0001128D">
        <w:rPr>
          <w:szCs w:val="17"/>
          <w:lang w:val="fr-FR"/>
        </w:rPr>
        <w:t>’</w:t>
      </w:r>
      <w:r w:rsidR="00876D6D" w:rsidRPr="0001128D">
        <w:rPr>
          <w:szCs w:val="17"/>
          <w:lang w:val="fr-FR"/>
        </w:rPr>
        <w:t xml:space="preserve">annexe I (voir section 2, tableau 2) qui sont </w:t>
      </w:r>
      <w:r w:rsidR="00D14BEA">
        <w:rPr>
          <w:szCs w:val="17"/>
          <w:lang w:val="fr-FR"/>
        </w:rPr>
        <w:t>mentionnées</w:t>
      </w:r>
      <w:r w:rsidR="00876D6D" w:rsidRPr="0001128D">
        <w:rPr>
          <w:szCs w:val="17"/>
          <w:lang w:val="fr-FR"/>
        </w:rPr>
        <w:t xml:space="preserve"> ci</w:t>
      </w:r>
      <w:r w:rsidR="00265B44" w:rsidRPr="0001128D">
        <w:rPr>
          <w:szCs w:val="17"/>
          <w:lang w:val="fr-FR"/>
        </w:rPr>
        <w:noBreakHyphen/>
      </w:r>
      <w:r w:rsidR="00876D6D" w:rsidRPr="0001128D">
        <w:rPr>
          <w:szCs w:val="17"/>
          <w:lang w:val="fr-FR"/>
        </w:rPr>
        <w:t xml:space="preserve">dessus ne doivent pas être </w:t>
      </w:r>
      <w:r w:rsidR="00D14BEA">
        <w:rPr>
          <w:szCs w:val="17"/>
          <w:lang w:val="fr-FR"/>
        </w:rPr>
        <w:t>employées</w:t>
      </w:r>
      <w:r w:rsidR="00876D6D" w:rsidRPr="0001128D">
        <w:rPr>
          <w:szCs w:val="17"/>
          <w:lang w:val="fr-FR"/>
        </w:rPr>
        <w:t xml:space="preserve"> dans la séquence elle</w:t>
      </w:r>
      <w:r w:rsidR="00265B44" w:rsidRPr="0001128D">
        <w:rPr>
          <w:szCs w:val="17"/>
          <w:lang w:val="fr-FR"/>
        </w:rPr>
        <w:noBreakHyphen/>
      </w:r>
      <w:r w:rsidR="00876D6D" w:rsidRPr="0001128D">
        <w:rPr>
          <w:szCs w:val="17"/>
          <w:lang w:val="fr-FR"/>
        </w:rPr>
        <w:t>même.</w:t>
      </w:r>
      <w:bookmarkEnd w:id="46"/>
    </w:p>
    <w:p w:rsidR="003A7C22" w:rsidRPr="0001128D" w:rsidRDefault="00A217EB" w:rsidP="00A217E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47" w:name="_Ref371501104"/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uracile dans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ADN ou la thymine dans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ARN sont considérés comme des nucléotides modifiés et doivent être représentés dans la séquence par un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t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et être accompagnés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description supplémentaire dans le tableau de caractéristiques.  Cette description doit comporter la clé de caractérisation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modified_base</w:t>
      </w:r>
      <w:proofErr w:type="spellEnd"/>
      <w:r w:rsidR="00745EE5" w:rsidRPr="0001128D">
        <w:rPr>
          <w:szCs w:val="17"/>
          <w:lang w:val="fr-FR"/>
        </w:rPr>
        <w:t>”</w:t>
      </w:r>
      <w:r w:rsidR="00026CD7" w:rsidRPr="0001128D">
        <w:rPr>
          <w:szCs w:val="17"/>
          <w:lang w:val="fr-FR"/>
        </w:rPr>
        <w:t>, le qualificateur</w:t>
      </w:r>
      <w:r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mod_base</w:t>
      </w:r>
      <w:proofErr w:type="spellEnd"/>
      <w:r w:rsidR="00745EE5" w:rsidRPr="0001128D">
        <w:rPr>
          <w:szCs w:val="17"/>
          <w:lang w:val="fr-FR"/>
        </w:rPr>
        <w:t>”</w:t>
      </w:r>
      <w:r w:rsidR="00026CD7" w:rsidRPr="0001128D">
        <w:rPr>
          <w:szCs w:val="17"/>
          <w:lang w:val="fr-FR"/>
        </w:rPr>
        <w:t xml:space="preserve"> dont la </w:t>
      </w:r>
      <w:r w:rsidRPr="0001128D">
        <w:rPr>
          <w:szCs w:val="17"/>
          <w:lang w:val="fr-FR"/>
        </w:rPr>
        <w:t xml:space="preserve">valeur </w:t>
      </w:r>
      <w:r w:rsidR="00026CD7" w:rsidRPr="0001128D">
        <w:rPr>
          <w:szCs w:val="17"/>
          <w:lang w:val="fr-FR"/>
        </w:rPr>
        <w:t>doit être</w:t>
      </w:r>
      <w:r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OTHER</w:t>
      </w:r>
      <w:r w:rsidR="00745EE5" w:rsidRPr="0001128D">
        <w:rPr>
          <w:szCs w:val="17"/>
          <w:lang w:val="fr-FR"/>
        </w:rPr>
        <w:t>”</w:t>
      </w:r>
      <w:r w:rsidR="00026CD7" w:rsidRPr="0001128D">
        <w:rPr>
          <w:szCs w:val="17"/>
          <w:lang w:val="fr-FR"/>
        </w:rPr>
        <w:t>,</w:t>
      </w:r>
      <w:r w:rsidRPr="0001128D">
        <w:rPr>
          <w:szCs w:val="17"/>
          <w:lang w:val="fr-FR"/>
        </w:rPr>
        <w:t xml:space="preserve"> et </w:t>
      </w:r>
      <w:r w:rsidR="00026CD7" w:rsidRPr="0001128D">
        <w:rPr>
          <w:szCs w:val="17"/>
          <w:lang w:val="fr-FR"/>
        </w:rPr>
        <w:t>un qualificateur de</w:t>
      </w:r>
      <w:r w:rsidRPr="0001128D">
        <w:rPr>
          <w:szCs w:val="17"/>
          <w:lang w:val="fr-FR"/>
        </w:rPr>
        <w:t xml:space="preserve"> type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026CD7" w:rsidRPr="0001128D">
        <w:rPr>
          <w:szCs w:val="17"/>
          <w:lang w:val="fr-FR"/>
        </w:rPr>
        <w:t xml:space="preserve"> dont la valeur doit être respectivement </w:t>
      </w:r>
      <w:r w:rsidR="00745EE5" w:rsidRPr="0001128D">
        <w:rPr>
          <w:szCs w:val="17"/>
          <w:lang w:val="fr-FR"/>
        </w:rPr>
        <w:t>“</w:t>
      </w:r>
      <w:proofErr w:type="spellStart"/>
      <w:r w:rsidR="00026CD7" w:rsidRPr="0001128D">
        <w:rPr>
          <w:szCs w:val="17"/>
          <w:lang w:val="fr-FR"/>
        </w:rPr>
        <w:t>uracil</w:t>
      </w:r>
      <w:proofErr w:type="spellEnd"/>
      <w:r w:rsidR="00745EE5" w:rsidRPr="0001128D">
        <w:rPr>
          <w:szCs w:val="17"/>
          <w:lang w:val="fr-FR"/>
        </w:rPr>
        <w:t>”</w:t>
      </w:r>
      <w:r w:rsidR="00026CD7"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="00026CD7" w:rsidRPr="0001128D">
        <w:rPr>
          <w:szCs w:val="17"/>
          <w:lang w:val="fr-FR"/>
        </w:rPr>
        <w:t>thymine</w:t>
      </w:r>
      <w:r w:rsidR="00745EE5" w:rsidRPr="0001128D">
        <w:rPr>
          <w:szCs w:val="17"/>
          <w:lang w:val="fr-FR"/>
        </w:rPr>
        <w:t>”</w:t>
      </w:r>
      <w:r w:rsidR="00026CD7" w:rsidRPr="0001128D">
        <w:rPr>
          <w:szCs w:val="17"/>
          <w:lang w:val="fr-FR"/>
        </w:rPr>
        <w:t>.</w:t>
      </w:r>
      <w:bookmarkEnd w:id="47"/>
    </w:p>
    <w:p w:rsidR="003A7C22" w:rsidRPr="0001128D" w:rsidRDefault="007F1844" w:rsidP="00800B8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Les exemples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illustrent la manière dont des nucléotides modifiés doivent être présentés pour être conformes aux paragraphes 16 et 17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3A7C22" w:rsidRPr="0001128D" w:rsidRDefault="003A7C22" w:rsidP="003A7C22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</w:t>
      </w:r>
      <w:r w:rsidR="007F1844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1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7F1844" w:rsidRPr="0001128D">
        <w:rPr>
          <w:sz w:val="17"/>
          <w:szCs w:val="17"/>
          <w:lang w:val="fr-FR"/>
        </w:rPr>
        <w:t xml:space="preserve">Nucléotide modifié représenté par une abréviation </w:t>
      </w:r>
      <w:r w:rsidR="00503F30" w:rsidRPr="0001128D">
        <w:rPr>
          <w:sz w:val="17"/>
          <w:szCs w:val="17"/>
          <w:lang w:val="fr-FR"/>
        </w:rPr>
        <w:t>indiquée</w:t>
      </w:r>
      <w:r w:rsidR="007F1844" w:rsidRPr="0001128D">
        <w:rPr>
          <w:sz w:val="17"/>
          <w:szCs w:val="17"/>
          <w:lang w:val="fr-FR"/>
        </w:rPr>
        <w:t xml:space="preserve"> dans l</w:t>
      </w:r>
      <w:r w:rsidR="00A329F0" w:rsidRPr="0001128D">
        <w:rPr>
          <w:sz w:val="17"/>
          <w:szCs w:val="17"/>
          <w:lang w:val="fr-FR"/>
        </w:rPr>
        <w:t>’</w:t>
      </w:r>
      <w:r w:rsidR="007F1844" w:rsidRPr="0001128D">
        <w:rPr>
          <w:sz w:val="17"/>
          <w:szCs w:val="17"/>
          <w:lang w:val="fr-FR"/>
        </w:rPr>
        <w:t>a</w:t>
      </w:r>
      <w:r w:rsidR="00DD739C" w:rsidRPr="0001128D">
        <w:rPr>
          <w:sz w:val="17"/>
          <w:szCs w:val="17"/>
          <w:lang w:val="fr-FR"/>
        </w:rPr>
        <w:t>nnex</w:t>
      </w:r>
      <w:r w:rsidR="007F1844" w:rsidRPr="0001128D">
        <w:rPr>
          <w:sz w:val="17"/>
          <w:szCs w:val="17"/>
          <w:lang w:val="fr-FR"/>
        </w:rPr>
        <w:t>e </w:t>
      </w:r>
      <w:r w:rsidR="00DD739C" w:rsidRPr="0001128D">
        <w:rPr>
          <w:sz w:val="17"/>
          <w:szCs w:val="17"/>
          <w:lang w:val="fr-FR"/>
        </w:rPr>
        <w:t xml:space="preserve">I </w:t>
      </w:r>
      <w:r w:rsidRPr="0001128D">
        <w:rPr>
          <w:sz w:val="17"/>
          <w:szCs w:val="17"/>
          <w:lang w:val="fr-FR"/>
        </w:rPr>
        <w:t>(</w:t>
      </w:r>
      <w:r w:rsidR="007F1844" w:rsidRPr="0001128D">
        <w:rPr>
          <w:sz w:val="17"/>
          <w:szCs w:val="17"/>
          <w:lang w:val="fr-FR"/>
        </w:rPr>
        <w:t>voir s</w:t>
      </w:r>
      <w:r w:rsidR="00C75B31" w:rsidRPr="0001128D">
        <w:rPr>
          <w:sz w:val="17"/>
          <w:szCs w:val="17"/>
          <w:lang w:val="fr-FR"/>
        </w:rPr>
        <w:t>ection</w:t>
      </w:r>
      <w:r w:rsidR="00745EE5" w:rsidRPr="0001128D">
        <w:rPr>
          <w:sz w:val="17"/>
          <w:szCs w:val="17"/>
          <w:lang w:val="fr-FR"/>
        </w:rPr>
        <w:t> </w:t>
      </w:r>
      <w:r w:rsidR="00C75B31" w:rsidRPr="0001128D">
        <w:rPr>
          <w:sz w:val="17"/>
          <w:szCs w:val="17"/>
          <w:lang w:val="fr-FR"/>
        </w:rPr>
        <w:t xml:space="preserve">2, </w:t>
      </w:r>
      <w:r w:rsidR="007F1844" w:rsidRPr="0001128D">
        <w:rPr>
          <w:sz w:val="17"/>
          <w:szCs w:val="17"/>
          <w:lang w:val="fr-FR"/>
        </w:rPr>
        <w:t>t</w:t>
      </w:r>
      <w:r w:rsidRPr="0001128D">
        <w:rPr>
          <w:sz w:val="17"/>
          <w:szCs w:val="17"/>
          <w:lang w:val="fr-FR"/>
        </w:rPr>
        <w:t>able</w:t>
      </w:r>
      <w:r w:rsidR="007F1844" w:rsidRPr="0001128D">
        <w:rPr>
          <w:sz w:val="17"/>
          <w:szCs w:val="17"/>
          <w:lang w:val="fr-FR"/>
        </w:rPr>
        <w:t>au </w:t>
      </w:r>
      <w:r w:rsidRPr="0001128D">
        <w:rPr>
          <w:sz w:val="17"/>
          <w:szCs w:val="17"/>
          <w:lang w:val="fr-FR"/>
        </w:rPr>
        <w:t>2)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modified_base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&gt;15&lt;/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mod_base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A7C22" w:rsidRPr="0001128D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A7C22" w:rsidRPr="0001128D" w:rsidRDefault="003A7C2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A7C22" w:rsidRPr="0001128D" w:rsidRDefault="00D93B49" w:rsidP="003A7C22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Exe</w:t>
      </w:r>
      <w:r w:rsidR="003A7C22" w:rsidRPr="0001128D">
        <w:rPr>
          <w:sz w:val="17"/>
          <w:szCs w:val="17"/>
          <w:lang w:val="fr-FR"/>
        </w:rPr>
        <w:t>mple 2</w:t>
      </w:r>
      <w:r w:rsidR="00745EE5" w:rsidRPr="0001128D">
        <w:rPr>
          <w:sz w:val="17"/>
          <w:szCs w:val="17"/>
          <w:lang w:val="fr-FR"/>
        </w:rPr>
        <w:t> :</w:t>
      </w:r>
      <w:r w:rsidR="003A7C22" w:rsidRPr="0001128D">
        <w:rPr>
          <w:sz w:val="17"/>
          <w:szCs w:val="17"/>
          <w:lang w:val="fr-FR"/>
        </w:rPr>
        <w:t xml:space="preserve"> </w:t>
      </w:r>
      <w:r w:rsidRPr="0001128D">
        <w:rPr>
          <w:sz w:val="17"/>
          <w:szCs w:val="17"/>
          <w:lang w:val="fr-FR"/>
        </w:rPr>
        <w:t>Nucléotide modifié représenté par</w:t>
      </w:r>
      <w:r w:rsidR="00782E42" w:rsidRPr="0001128D">
        <w:rPr>
          <w:sz w:val="17"/>
          <w:szCs w:val="17"/>
          <w:lang w:val="fr-FR"/>
        </w:rPr>
        <w:t xml:space="preserve"> la valeur </w:t>
      </w:r>
      <w:r w:rsidR="00745EE5" w:rsidRPr="0001128D">
        <w:rPr>
          <w:sz w:val="17"/>
          <w:szCs w:val="17"/>
          <w:lang w:val="fr-FR"/>
        </w:rPr>
        <w:t>“</w:t>
      </w:r>
      <w:r w:rsidR="003A7C22" w:rsidRPr="0001128D">
        <w:rPr>
          <w:sz w:val="17"/>
          <w:szCs w:val="17"/>
          <w:lang w:val="fr-FR"/>
        </w:rPr>
        <w:t>OTHER</w:t>
      </w:r>
      <w:r w:rsidR="00745EE5" w:rsidRPr="0001128D">
        <w:rPr>
          <w:sz w:val="17"/>
          <w:szCs w:val="17"/>
          <w:lang w:val="fr-FR"/>
        </w:rPr>
        <w:t>”</w:t>
      </w:r>
      <w:r w:rsidRPr="0001128D">
        <w:rPr>
          <w:sz w:val="17"/>
          <w:szCs w:val="17"/>
          <w:lang w:val="fr-FR"/>
        </w:rPr>
        <w:t xml:space="preserve"> </w:t>
      </w:r>
      <w:r w:rsidR="00503F30" w:rsidRPr="0001128D">
        <w:rPr>
          <w:sz w:val="17"/>
          <w:szCs w:val="17"/>
          <w:lang w:val="fr-FR"/>
        </w:rPr>
        <w:t>indiquée</w:t>
      </w:r>
      <w:r w:rsidRPr="0001128D">
        <w:rPr>
          <w:sz w:val="17"/>
          <w:szCs w:val="17"/>
          <w:lang w:val="fr-FR"/>
        </w:rPr>
        <w:t xml:space="preserve"> dans l</w:t>
      </w:r>
      <w:r w:rsidR="00A329F0" w:rsidRPr="0001128D">
        <w:rPr>
          <w:sz w:val="17"/>
          <w:szCs w:val="17"/>
          <w:lang w:val="fr-FR"/>
        </w:rPr>
        <w:t>’</w:t>
      </w:r>
      <w:r w:rsidRPr="0001128D">
        <w:rPr>
          <w:sz w:val="17"/>
          <w:szCs w:val="17"/>
          <w:lang w:val="fr-FR"/>
        </w:rPr>
        <w:t>annexe I (voir section</w:t>
      </w:r>
      <w:r w:rsidR="00745EE5" w:rsidRPr="0001128D">
        <w:rPr>
          <w:sz w:val="17"/>
          <w:szCs w:val="17"/>
          <w:lang w:val="fr-FR"/>
        </w:rPr>
        <w:t> </w:t>
      </w:r>
      <w:r w:rsidRPr="0001128D">
        <w:rPr>
          <w:sz w:val="17"/>
          <w:szCs w:val="17"/>
          <w:lang w:val="fr-FR"/>
        </w:rPr>
        <w:t>2, tableau 2)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modified_base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&gt;4&lt;/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mod_base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&gt;OTHER&lt;/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&gt;xanthine&lt;/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1021D" w:rsidRPr="0001128D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C33D5E" w:rsidRDefault="0031021D" w:rsidP="00C33D5E">
      <w:pPr>
        <w:widowControl/>
        <w:kinsoku/>
        <w:ind w:left="567"/>
        <w:rPr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  <w:r w:rsidR="00C33D5E">
        <w:rPr>
          <w:lang w:val="fr-FR" w:eastAsia="en-US"/>
        </w:rPr>
        <w:br w:type="page"/>
      </w:r>
    </w:p>
    <w:p w:rsidR="0031021D" w:rsidRPr="0001128D" w:rsidRDefault="002234F9" w:rsidP="00782E42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48" w:name="_Ref371605098"/>
      <w:r w:rsidRPr="0001128D">
        <w:rPr>
          <w:szCs w:val="17"/>
          <w:lang w:val="fr-FR"/>
        </w:rPr>
        <w:lastRenderedPageBreak/>
        <w:t xml:space="preserve">Tout nucléotide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inconnu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</w:t>
      </w:r>
      <w:r w:rsidR="00854DFE" w:rsidRPr="0001128D">
        <w:rPr>
          <w:szCs w:val="17"/>
          <w:lang w:val="fr-FR"/>
        </w:rPr>
        <w:t xml:space="preserve">doit être représenté par le symbole </w:t>
      </w:r>
      <w:r w:rsidR="00745EE5" w:rsidRPr="0001128D">
        <w:rPr>
          <w:szCs w:val="17"/>
          <w:lang w:val="fr-FR"/>
        </w:rPr>
        <w:t>“</w:t>
      </w:r>
      <w:r w:rsidR="00854DFE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="00854DFE" w:rsidRPr="0001128D">
        <w:rPr>
          <w:szCs w:val="17"/>
          <w:lang w:val="fr-FR"/>
        </w:rPr>
        <w:t xml:space="preserve"> dans la séquence.  Un nucléotide </w:t>
      </w:r>
      <w:r w:rsidR="00745EE5" w:rsidRPr="0001128D">
        <w:rPr>
          <w:szCs w:val="17"/>
          <w:lang w:val="fr-FR"/>
        </w:rPr>
        <w:t>“</w:t>
      </w:r>
      <w:r w:rsidR="00854DFE" w:rsidRPr="0001128D">
        <w:rPr>
          <w:szCs w:val="17"/>
          <w:lang w:val="fr-FR"/>
        </w:rPr>
        <w:t>inconnu</w:t>
      </w:r>
      <w:r w:rsidR="00745EE5" w:rsidRPr="0001128D">
        <w:rPr>
          <w:szCs w:val="17"/>
          <w:lang w:val="fr-FR"/>
        </w:rPr>
        <w:t>”</w:t>
      </w:r>
      <w:r w:rsidR="00854DFE" w:rsidRPr="0001128D">
        <w:rPr>
          <w:szCs w:val="17"/>
          <w:lang w:val="fr-FR"/>
        </w:rPr>
        <w:t xml:space="preserve"> doit en outre être accompagné d</w:t>
      </w:r>
      <w:r w:rsidR="00A329F0" w:rsidRPr="0001128D">
        <w:rPr>
          <w:szCs w:val="17"/>
          <w:lang w:val="fr-FR"/>
        </w:rPr>
        <w:t>’</w:t>
      </w:r>
      <w:r w:rsidR="00854DFE" w:rsidRPr="0001128D">
        <w:rPr>
          <w:szCs w:val="17"/>
          <w:lang w:val="fr-FR"/>
        </w:rPr>
        <w:t xml:space="preserve">une description supplémentaire dans le tableau de caractéristiques (voir les paragraphes 60 et suivants) comportant la clé de caractérisation </w:t>
      </w:r>
      <w:r w:rsidR="00745EE5" w:rsidRPr="0001128D">
        <w:rPr>
          <w:szCs w:val="17"/>
          <w:lang w:val="fr-FR"/>
        </w:rPr>
        <w:t>“</w:t>
      </w:r>
      <w:proofErr w:type="spellStart"/>
      <w:r w:rsidR="00854DFE" w:rsidRPr="0001128D">
        <w:rPr>
          <w:szCs w:val="17"/>
          <w:lang w:val="fr-FR"/>
        </w:rPr>
        <w:t>unsure</w:t>
      </w:r>
      <w:proofErr w:type="spellEnd"/>
      <w:r w:rsidR="00745EE5" w:rsidRPr="0001128D">
        <w:rPr>
          <w:szCs w:val="17"/>
          <w:lang w:val="fr-FR"/>
        </w:rPr>
        <w:t>”.</w:t>
      </w:r>
      <w:r w:rsidR="00854DFE" w:rsidRPr="0001128D">
        <w:rPr>
          <w:szCs w:val="17"/>
          <w:lang w:val="fr-FR"/>
        </w:rPr>
        <w:t xml:space="preserve">  Le symbole </w:t>
      </w:r>
      <w:r w:rsidR="00745EE5" w:rsidRPr="0001128D">
        <w:rPr>
          <w:szCs w:val="17"/>
          <w:lang w:val="fr-FR"/>
        </w:rPr>
        <w:t>“</w:t>
      </w:r>
      <w:r w:rsidR="00854DFE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="00854DFE" w:rsidRPr="0001128D">
        <w:rPr>
          <w:szCs w:val="17"/>
          <w:lang w:val="fr-FR"/>
        </w:rPr>
        <w:t xml:space="preserve"> ne peut être l</w:t>
      </w:r>
      <w:r w:rsidR="00A329F0" w:rsidRPr="0001128D">
        <w:rPr>
          <w:szCs w:val="17"/>
          <w:lang w:val="fr-FR"/>
        </w:rPr>
        <w:t>’</w:t>
      </w:r>
      <w:r w:rsidR="00854DFE" w:rsidRPr="0001128D">
        <w:rPr>
          <w:szCs w:val="17"/>
          <w:lang w:val="fr-FR"/>
        </w:rPr>
        <w:t>équivalent que d</w:t>
      </w:r>
      <w:r w:rsidR="00A329F0" w:rsidRPr="0001128D">
        <w:rPr>
          <w:szCs w:val="17"/>
          <w:lang w:val="fr-FR"/>
        </w:rPr>
        <w:t>’</w:t>
      </w:r>
      <w:r w:rsidR="00854DFE" w:rsidRPr="0001128D">
        <w:rPr>
          <w:szCs w:val="17"/>
          <w:lang w:val="fr-FR"/>
        </w:rPr>
        <w:t>un seul résidu.</w:t>
      </w:r>
      <w:bookmarkEnd w:id="48"/>
    </w:p>
    <w:p w:rsidR="0031021D" w:rsidRPr="0001128D" w:rsidRDefault="00ED0C4F" w:rsidP="00854DFE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49" w:name="_Ref371507601"/>
      <w:r w:rsidRPr="0001128D">
        <w:rPr>
          <w:szCs w:val="17"/>
          <w:lang w:val="fr-FR"/>
        </w:rPr>
        <w:t xml:space="preserve">Toute région contenant un nombre connu de résidus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a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c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g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t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auxquels la même description s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applique peut faire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objet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description commune au moyen de la syntaxe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x</w:t>
      </w:r>
      <w:proofErr w:type="gramStart"/>
      <w:r w:rsidRPr="0001128D">
        <w:rPr>
          <w:szCs w:val="17"/>
          <w:lang w:val="fr-FR"/>
        </w:rPr>
        <w:t>..</w:t>
      </w:r>
      <w:proofErr w:type="gramEnd"/>
      <w:r w:rsidRPr="0001128D">
        <w:rPr>
          <w:szCs w:val="17"/>
          <w:lang w:val="fr-FR"/>
        </w:rPr>
        <w:t>y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</w:t>
      </w:r>
      <w:r w:rsidR="00D05B5A" w:rsidRPr="0001128D">
        <w:rPr>
          <w:szCs w:val="17"/>
          <w:lang w:val="fr-FR"/>
        </w:rPr>
        <w:t>dans le descripteur d</w:t>
      </w:r>
      <w:r w:rsidR="00A329F0" w:rsidRPr="0001128D">
        <w:rPr>
          <w:szCs w:val="17"/>
          <w:lang w:val="fr-FR"/>
        </w:rPr>
        <w:t>’</w:t>
      </w:r>
      <w:r w:rsidR="00D05B5A" w:rsidRPr="0001128D">
        <w:rPr>
          <w:szCs w:val="17"/>
          <w:lang w:val="fr-FR"/>
        </w:rPr>
        <w:t>emplacement de l</w:t>
      </w:r>
      <w:r w:rsidR="00A329F0" w:rsidRPr="0001128D">
        <w:rPr>
          <w:szCs w:val="17"/>
          <w:lang w:val="fr-FR"/>
        </w:rPr>
        <w:t>’</w:t>
      </w:r>
      <w:r w:rsidR="00D05B5A" w:rsidRPr="0001128D">
        <w:rPr>
          <w:szCs w:val="17"/>
          <w:lang w:val="fr-FR"/>
        </w:rPr>
        <w:t xml:space="preserve">élément </w:t>
      </w:r>
      <w:proofErr w:type="spellStart"/>
      <w:r w:rsidR="00D05B5A" w:rsidRPr="0001128D">
        <w:rPr>
          <w:rFonts w:ascii="Courier New" w:hAnsi="Courier New"/>
          <w:lang w:val="fr-FR"/>
        </w:rPr>
        <w:t>INSDFeature_location</w:t>
      </w:r>
      <w:proofErr w:type="spellEnd"/>
      <w:r w:rsidR="00D05B5A" w:rsidRPr="0001128D">
        <w:rPr>
          <w:rFonts w:ascii="Courier New" w:hAnsi="Courier New"/>
          <w:lang w:val="fr-FR"/>
        </w:rPr>
        <w:t xml:space="preserve"> </w:t>
      </w:r>
      <w:r w:rsidR="00D05B5A" w:rsidRPr="0001128D">
        <w:rPr>
          <w:szCs w:val="17"/>
          <w:lang w:val="fr-FR"/>
        </w:rPr>
        <w:t>(voir les paragraphes 65 à 72).  On trouvera des détails sur la présentation des va</w:t>
      </w:r>
      <w:r w:rsidR="000F0445" w:rsidRPr="0001128D">
        <w:rPr>
          <w:szCs w:val="17"/>
          <w:lang w:val="fr-FR"/>
        </w:rPr>
        <w:t>riant</w:t>
      </w:r>
      <w:r w:rsidR="00AF6B1D" w:rsidRPr="0001128D">
        <w:rPr>
          <w:szCs w:val="17"/>
          <w:lang w:val="fr-FR"/>
        </w:rPr>
        <w:t>e</w:t>
      </w:r>
      <w:r w:rsidR="00D05B5A" w:rsidRPr="0001128D">
        <w:rPr>
          <w:szCs w:val="17"/>
          <w:lang w:val="fr-FR"/>
        </w:rPr>
        <w:t xml:space="preserve">s de séquence, par exemple </w:t>
      </w:r>
      <w:r w:rsidR="000F0445" w:rsidRPr="0001128D">
        <w:rPr>
          <w:szCs w:val="17"/>
          <w:lang w:val="fr-FR"/>
        </w:rPr>
        <w:t xml:space="preserve">des suppressions, des </w:t>
      </w:r>
      <w:r w:rsidR="00D2542E" w:rsidRPr="0001128D">
        <w:rPr>
          <w:szCs w:val="17"/>
          <w:lang w:val="fr-FR"/>
        </w:rPr>
        <w:t>adjonction</w:t>
      </w:r>
      <w:r w:rsidR="000F0445" w:rsidRPr="0001128D">
        <w:rPr>
          <w:szCs w:val="17"/>
          <w:lang w:val="fr-FR"/>
        </w:rPr>
        <w:t xml:space="preserve">s ou des </w:t>
      </w:r>
      <w:r w:rsidR="00B513F5" w:rsidRPr="0001128D">
        <w:rPr>
          <w:szCs w:val="17"/>
          <w:lang w:val="fr-FR"/>
        </w:rPr>
        <w:t>remplacements</w:t>
      </w:r>
      <w:r w:rsidR="000F0445" w:rsidRPr="0001128D">
        <w:rPr>
          <w:szCs w:val="17"/>
          <w:lang w:val="fr-FR"/>
        </w:rPr>
        <w:t>, aux paragraphes 92 à 97.</w:t>
      </w:r>
      <w:bookmarkEnd w:id="49"/>
    </w:p>
    <w:p w:rsidR="0031021D" w:rsidRPr="0001128D" w:rsidRDefault="008B1AB1" w:rsidP="000F0445">
      <w:pPr>
        <w:pStyle w:val="List0"/>
        <w:keepNext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exemple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 la présentation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région de nucléotides modifiés faisant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objet de la même description au sens du paragraphe 21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="00645612" w:rsidRPr="00917901">
        <w:rPr>
          <w:rFonts w:ascii="Courier New" w:eastAsia="Batang" w:hAnsi="Courier New" w:cs="Times New Roman"/>
          <w:sz w:val="17"/>
          <w:szCs w:val="20"/>
          <w:lang w:eastAsia="en-US"/>
        </w:rPr>
        <w:t>modified_base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&gt;358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..485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1021D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mod_base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&gt;OTHER&lt;/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F4A77" w:rsidRPr="00917901" w:rsidRDefault="0064561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</w:p>
    <w:p w:rsidR="00A329F0" w:rsidRPr="00917901" w:rsidRDefault="00DF4A77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="0031021D"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="0031021D"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="0031021D"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="00FD2870" w:rsidRPr="00917901">
        <w:rPr>
          <w:rFonts w:ascii="Courier New" w:eastAsia="Batang" w:hAnsi="Courier New" w:cs="Times New Roman"/>
          <w:sz w:val="17"/>
          <w:szCs w:val="20"/>
          <w:lang w:eastAsia="en-US"/>
        </w:rPr>
        <w:t>isoguanine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1021D" w:rsidRPr="0001128D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1021D" w:rsidRPr="0001128D" w:rsidRDefault="0031021D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31021D" w:rsidRPr="0001128D" w:rsidRDefault="008B1AB1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50" w:name="_Toc386037649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Séquences d</w:t>
      </w:r>
      <w:r w:rsidR="00A329F0"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’</w:t>
      </w:r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acides aminés</w:t>
      </w:r>
      <w:bookmarkEnd w:id="50"/>
    </w:p>
    <w:p w:rsidR="008B1AB1" w:rsidRPr="0001128D" w:rsidRDefault="009E457D" w:rsidP="009E457D">
      <w:pPr>
        <w:pStyle w:val="Paragraph"/>
        <w:ind w:left="0" w:firstLine="0"/>
        <w:rPr>
          <w:lang w:val="fr-FR"/>
        </w:rPr>
      </w:pPr>
      <w:r w:rsidRPr="0001128D">
        <w:rPr>
          <w:rFonts w:eastAsia="Times New Roman" w:cs="Times New Roman"/>
          <w:sz w:val="17"/>
          <w:lang w:val="fr-FR" w:eastAsia="en-US"/>
        </w:rPr>
        <w:t>Les acides aminés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Pr="0001128D">
        <w:rPr>
          <w:rFonts w:eastAsia="Times New Roman" w:cs="Times New Roman"/>
          <w:sz w:val="17"/>
          <w:lang w:val="fr-FR" w:eastAsia="en-US"/>
        </w:rPr>
        <w:t>une séquence protéi</w:t>
      </w:r>
      <w:r w:rsidR="00B24F18" w:rsidRPr="0001128D">
        <w:rPr>
          <w:rFonts w:eastAsia="Times New Roman" w:cs="Times New Roman"/>
          <w:sz w:val="17"/>
          <w:lang w:val="fr-FR" w:eastAsia="en-US"/>
        </w:rPr>
        <w:t>ni</w:t>
      </w:r>
      <w:r w:rsidRPr="0001128D">
        <w:rPr>
          <w:rFonts w:eastAsia="Times New Roman" w:cs="Times New Roman"/>
          <w:sz w:val="17"/>
          <w:lang w:val="fr-FR" w:eastAsia="en-US"/>
        </w:rPr>
        <w:t xml:space="preserve">que ou peptidique doivent être énumérés dans le sens </w:t>
      </w:r>
      <w:proofErr w:type="spellStart"/>
      <w:r w:rsidRPr="0001128D">
        <w:rPr>
          <w:rFonts w:eastAsia="Times New Roman" w:cs="Times New Roman"/>
          <w:sz w:val="17"/>
          <w:lang w:val="fr-FR" w:eastAsia="en-US"/>
        </w:rPr>
        <w:t>amino</w:t>
      </w:r>
      <w:r w:rsidR="00265B44" w:rsidRPr="0001128D">
        <w:rPr>
          <w:rFonts w:eastAsia="Times New Roman" w:cs="Times New Roman"/>
          <w:sz w:val="17"/>
          <w:lang w:val="fr-FR" w:eastAsia="en-US"/>
        </w:rPr>
        <w:noBreakHyphen/>
      </w:r>
      <w:r w:rsidRPr="0001128D">
        <w:rPr>
          <w:rFonts w:eastAsia="Times New Roman" w:cs="Times New Roman"/>
          <w:sz w:val="17"/>
          <w:lang w:val="fr-FR" w:eastAsia="en-US"/>
        </w:rPr>
        <w:t>carboxy</w:t>
      </w:r>
      <w:proofErr w:type="spellEnd"/>
      <w:r w:rsidRPr="0001128D">
        <w:rPr>
          <w:rFonts w:eastAsia="Times New Roman" w:cs="Times New Roman"/>
          <w:sz w:val="17"/>
          <w:lang w:val="fr-FR" w:eastAsia="en-US"/>
        </w:rPr>
        <w:t xml:space="preserve"> et de gauche à droite.  </w:t>
      </w:r>
      <w:r w:rsidR="00311B25" w:rsidRPr="0001128D">
        <w:rPr>
          <w:rFonts w:eastAsia="Times New Roman" w:cs="Times New Roman"/>
          <w:sz w:val="17"/>
          <w:lang w:val="fr-FR" w:eastAsia="en-US"/>
        </w:rPr>
        <w:t xml:space="preserve">Les groupes </w:t>
      </w:r>
      <w:proofErr w:type="spellStart"/>
      <w:r w:rsidR="00311B25" w:rsidRPr="0001128D">
        <w:rPr>
          <w:rFonts w:eastAsia="Times New Roman" w:cs="Times New Roman"/>
          <w:sz w:val="17"/>
          <w:lang w:val="fr-FR" w:eastAsia="en-US"/>
        </w:rPr>
        <w:t>amino</w:t>
      </w:r>
      <w:proofErr w:type="spellEnd"/>
      <w:r w:rsidR="00311B25" w:rsidRPr="0001128D">
        <w:rPr>
          <w:rFonts w:eastAsia="Times New Roman" w:cs="Times New Roman"/>
          <w:sz w:val="17"/>
          <w:lang w:val="fr-FR" w:eastAsia="en-US"/>
        </w:rPr>
        <w:t xml:space="preserve"> et </w:t>
      </w:r>
      <w:proofErr w:type="spellStart"/>
      <w:r w:rsidR="00311B25" w:rsidRPr="0001128D">
        <w:rPr>
          <w:rFonts w:eastAsia="Times New Roman" w:cs="Times New Roman"/>
          <w:sz w:val="17"/>
          <w:lang w:val="fr-FR" w:eastAsia="en-US"/>
        </w:rPr>
        <w:t>carboxy</w:t>
      </w:r>
      <w:proofErr w:type="spellEnd"/>
      <w:r w:rsidR="00311B25" w:rsidRPr="0001128D">
        <w:rPr>
          <w:rFonts w:eastAsia="Times New Roman" w:cs="Times New Roman"/>
          <w:sz w:val="17"/>
          <w:lang w:val="fr-FR" w:eastAsia="en-US"/>
        </w:rPr>
        <w:t xml:space="preserve"> ne doivent pas être représentés dans la séquence.</w:t>
      </w:r>
    </w:p>
    <w:p w:rsidR="00831A96" w:rsidRPr="0001128D" w:rsidRDefault="00311B25" w:rsidP="00311B25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La numérotation des positions des acides aminés doit commencer au premier acide aminé de la séquence, numéroté 1, en tenant compte des </w:t>
      </w:r>
      <w:r w:rsidRPr="0001128D">
        <w:rPr>
          <w:lang w:val="fr-FR"/>
        </w:rPr>
        <w:t xml:space="preserve">acides aminés précédant la protéine mature, par exemple les </w:t>
      </w:r>
      <w:proofErr w:type="spellStart"/>
      <w:r w:rsidRPr="0001128D">
        <w:rPr>
          <w:lang w:val="fr-FR"/>
        </w:rPr>
        <w:t>préséquences</w:t>
      </w:r>
      <w:proofErr w:type="spellEnd"/>
      <w:r w:rsidRPr="0001128D">
        <w:rPr>
          <w:lang w:val="fr-FR"/>
        </w:rPr>
        <w:t xml:space="preserve">, les </w:t>
      </w:r>
      <w:proofErr w:type="spellStart"/>
      <w:r w:rsidRPr="0001128D">
        <w:rPr>
          <w:lang w:val="fr-FR"/>
        </w:rPr>
        <w:t>proséquences</w:t>
      </w:r>
      <w:proofErr w:type="spellEnd"/>
      <w:r w:rsidRPr="0001128D">
        <w:rPr>
          <w:lang w:val="fr-FR"/>
        </w:rPr>
        <w:t xml:space="preserve"> et les pré</w:t>
      </w:r>
      <w:r w:rsidR="00265B44" w:rsidRPr="0001128D">
        <w:rPr>
          <w:lang w:val="fr-FR"/>
        </w:rPr>
        <w:noBreakHyphen/>
      </w:r>
      <w:proofErr w:type="spellStart"/>
      <w:r w:rsidRPr="0001128D">
        <w:rPr>
          <w:lang w:val="fr-FR"/>
        </w:rPr>
        <w:t>proséquences</w:t>
      </w:r>
      <w:proofErr w:type="spellEnd"/>
      <w:r w:rsidRPr="0001128D">
        <w:rPr>
          <w:lang w:val="fr-FR"/>
        </w:rPr>
        <w:t xml:space="preserve"> ainsi que les séquences signal.  Elle doit être continue sur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 xml:space="preserve">ensemble de la séquence dans le sens </w:t>
      </w:r>
      <w:proofErr w:type="spellStart"/>
      <w:r w:rsidRPr="0001128D">
        <w:rPr>
          <w:lang w:val="fr-FR"/>
        </w:rPr>
        <w:t>amino</w:t>
      </w:r>
      <w:r w:rsidR="00265B44" w:rsidRPr="0001128D">
        <w:rPr>
          <w:lang w:val="fr-FR"/>
        </w:rPr>
        <w:noBreakHyphen/>
      </w:r>
      <w:r w:rsidRPr="0001128D">
        <w:rPr>
          <w:lang w:val="fr-FR"/>
        </w:rPr>
        <w:t>carboxy</w:t>
      </w:r>
      <w:proofErr w:type="spellEnd"/>
      <w:r w:rsidRPr="0001128D">
        <w:rPr>
          <w:lang w:val="fr-FR"/>
        </w:rPr>
        <w:t>.</w:t>
      </w:r>
    </w:p>
    <w:p w:rsidR="00831A96" w:rsidRPr="0001128D" w:rsidRDefault="00477563" w:rsidP="00311B25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Tous les acides aminés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séquence doivent être représentés </w:t>
      </w:r>
      <w:r w:rsidR="00CC6FDB" w:rsidRPr="0001128D">
        <w:rPr>
          <w:szCs w:val="17"/>
          <w:lang w:val="fr-FR"/>
        </w:rPr>
        <w:t>à l</w:t>
      </w:r>
      <w:r w:rsidR="00A329F0" w:rsidRPr="0001128D">
        <w:rPr>
          <w:szCs w:val="17"/>
          <w:lang w:val="fr-FR"/>
        </w:rPr>
        <w:t>’</w:t>
      </w:r>
      <w:r w:rsidR="00CC6FDB" w:rsidRPr="0001128D">
        <w:rPr>
          <w:szCs w:val="17"/>
          <w:lang w:val="fr-FR"/>
        </w:rPr>
        <w:t>aide</w:t>
      </w:r>
      <w:r w:rsidRPr="0001128D">
        <w:rPr>
          <w:szCs w:val="17"/>
          <w:lang w:val="fr-FR"/>
        </w:rPr>
        <w:t xml:space="preserve"> des symboles</w:t>
      </w:r>
      <w:r w:rsidR="0017252B" w:rsidRPr="0001128D">
        <w:rPr>
          <w:szCs w:val="17"/>
          <w:lang w:val="fr-FR"/>
        </w:rPr>
        <w:t xml:space="preserve"> </w:t>
      </w:r>
      <w:r w:rsidR="00CC6FDB" w:rsidRPr="0001128D">
        <w:rPr>
          <w:szCs w:val="17"/>
          <w:lang w:val="fr-FR"/>
        </w:rPr>
        <w:t>indiqués dans</w:t>
      </w:r>
      <w:r w:rsidR="0017252B" w:rsidRPr="0001128D">
        <w:rPr>
          <w:szCs w:val="17"/>
          <w:lang w:val="fr-FR"/>
        </w:rPr>
        <w:t xml:space="preserve"> l</w:t>
      </w:r>
      <w:r w:rsidR="00A329F0" w:rsidRPr="0001128D">
        <w:rPr>
          <w:szCs w:val="17"/>
          <w:lang w:val="fr-FR"/>
        </w:rPr>
        <w:t>’</w:t>
      </w:r>
      <w:r w:rsidR="0017252B" w:rsidRPr="0001128D">
        <w:rPr>
          <w:szCs w:val="17"/>
          <w:lang w:val="fr-FR"/>
        </w:rPr>
        <w:t xml:space="preserve">annexe I (voir section 3, tableau 3). </w:t>
      </w:r>
      <w:r w:rsidR="00745EE5" w:rsidRPr="0001128D">
        <w:rPr>
          <w:szCs w:val="17"/>
          <w:lang w:val="fr-FR"/>
        </w:rPr>
        <w:t xml:space="preserve"> </w:t>
      </w:r>
      <w:r w:rsidR="00503F30" w:rsidRPr="0001128D">
        <w:rPr>
          <w:lang w:val="fr-FR"/>
        </w:rPr>
        <w:t xml:space="preserve">Seules </w:t>
      </w:r>
      <w:r w:rsidR="00BC2BAB" w:rsidRPr="0001128D">
        <w:rPr>
          <w:lang w:val="fr-FR"/>
        </w:rPr>
        <w:t>l</w:t>
      </w:r>
      <w:r w:rsidR="00503F30" w:rsidRPr="0001128D">
        <w:rPr>
          <w:lang w:val="fr-FR"/>
        </w:rPr>
        <w:t xml:space="preserve">es lettres majuscules sont autorisées.  Tout symbole employé pour représenter un </w:t>
      </w:r>
      <w:r w:rsidR="001A0DDD" w:rsidRPr="0001128D">
        <w:rPr>
          <w:lang w:val="fr-FR"/>
        </w:rPr>
        <w:t>acide aminé</w:t>
      </w:r>
      <w:r w:rsidR="00503F30" w:rsidRPr="0001128D">
        <w:rPr>
          <w:lang w:val="fr-FR"/>
        </w:rPr>
        <w:t xml:space="preserve"> ne peut être l</w:t>
      </w:r>
      <w:r w:rsidR="00A329F0" w:rsidRPr="0001128D">
        <w:rPr>
          <w:lang w:val="fr-FR"/>
        </w:rPr>
        <w:t>’</w:t>
      </w:r>
      <w:r w:rsidR="00503F30" w:rsidRPr="0001128D">
        <w:rPr>
          <w:lang w:val="fr-FR"/>
        </w:rPr>
        <w:t>équivalent que d</w:t>
      </w:r>
      <w:r w:rsidR="00A329F0" w:rsidRPr="0001128D">
        <w:rPr>
          <w:lang w:val="fr-FR"/>
        </w:rPr>
        <w:t>’</w:t>
      </w:r>
      <w:r w:rsidR="00503F30" w:rsidRPr="0001128D">
        <w:rPr>
          <w:lang w:val="fr-FR"/>
        </w:rPr>
        <w:t>un seul résidu.</w:t>
      </w:r>
    </w:p>
    <w:p w:rsidR="00B90AB3" w:rsidRPr="0001128D" w:rsidRDefault="006610CA" w:rsidP="00B90AB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1" w:name="_Ref373139436"/>
      <w:r w:rsidRPr="0001128D">
        <w:rPr>
          <w:szCs w:val="17"/>
          <w:lang w:val="fr-FR"/>
        </w:rPr>
        <w:t>Lorsqu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il convient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employer un symbole ambigu (représentant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 xml:space="preserve">acides aminés possibles ou plus), il faut choisir le symbole le plus restrictif.  Si par exemple un acide aminé dans une position quelconque </w:t>
      </w:r>
      <w:r w:rsidR="006A08DA">
        <w:rPr>
          <w:szCs w:val="17"/>
          <w:lang w:val="fr-FR"/>
        </w:rPr>
        <w:t>pouvait</w:t>
      </w:r>
      <w:r w:rsidRPr="0001128D">
        <w:rPr>
          <w:szCs w:val="17"/>
          <w:lang w:val="fr-FR"/>
        </w:rPr>
        <w:t xml:space="preserve"> être </w:t>
      </w:r>
      <w:r w:rsidR="0018469B" w:rsidRPr="0001128D">
        <w:rPr>
          <w:szCs w:val="17"/>
          <w:lang w:val="fr-FR"/>
        </w:rPr>
        <w:t xml:space="preserve">de </w:t>
      </w: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acide aspartique ou </w:t>
      </w:r>
      <w:r w:rsidR="0018469B" w:rsidRPr="0001128D">
        <w:rPr>
          <w:szCs w:val="17"/>
          <w:lang w:val="fr-FR"/>
        </w:rPr>
        <w:t xml:space="preserve">de </w:t>
      </w: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asparagine, </w:t>
      </w:r>
      <w:r w:rsidR="009557B7" w:rsidRPr="0001128D">
        <w:rPr>
          <w:szCs w:val="17"/>
          <w:lang w:val="fr-FR"/>
        </w:rPr>
        <w:t xml:space="preserve">il faut employer le symbole </w:t>
      </w:r>
      <w:r w:rsidR="00745EE5" w:rsidRPr="0001128D">
        <w:rPr>
          <w:szCs w:val="17"/>
          <w:lang w:val="fr-FR"/>
        </w:rPr>
        <w:t>“</w:t>
      </w:r>
      <w:r w:rsidR="009557B7" w:rsidRPr="0001128D">
        <w:rPr>
          <w:szCs w:val="17"/>
          <w:lang w:val="fr-FR"/>
        </w:rPr>
        <w:t>B</w:t>
      </w:r>
      <w:r w:rsidR="00745EE5" w:rsidRPr="0001128D">
        <w:rPr>
          <w:szCs w:val="17"/>
          <w:lang w:val="fr-FR"/>
        </w:rPr>
        <w:t>”</w:t>
      </w:r>
      <w:r w:rsidR="009557B7" w:rsidRPr="0001128D">
        <w:rPr>
          <w:szCs w:val="17"/>
          <w:lang w:val="fr-FR"/>
        </w:rPr>
        <w:t xml:space="preserve"> </w:t>
      </w:r>
      <w:r w:rsidR="00E539D7" w:rsidRPr="0001128D">
        <w:rPr>
          <w:szCs w:val="17"/>
          <w:lang w:val="fr-FR"/>
        </w:rPr>
        <w:t>au lieu</w:t>
      </w:r>
      <w:r w:rsidR="009557B7" w:rsidRPr="0001128D">
        <w:rPr>
          <w:szCs w:val="17"/>
          <w:lang w:val="fr-FR"/>
        </w:rPr>
        <w:t xml:space="preserve"> </w:t>
      </w:r>
      <w:r w:rsidR="00E539D7" w:rsidRPr="0001128D">
        <w:rPr>
          <w:szCs w:val="17"/>
          <w:lang w:val="fr-FR"/>
        </w:rPr>
        <w:t>de</w:t>
      </w:r>
      <w:r w:rsidR="009557B7"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="009557B7"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”.</w:t>
      </w:r>
      <w:r w:rsidR="009557B7" w:rsidRPr="0001128D">
        <w:rPr>
          <w:szCs w:val="17"/>
          <w:lang w:val="fr-FR"/>
        </w:rPr>
        <w:t xml:space="preserve">  </w:t>
      </w:r>
      <w:r w:rsidR="008277D6" w:rsidRPr="0001128D">
        <w:rPr>
          <w:szCs w:val="17"/>
          <w:lang w:val="fr-FR"/>
        </w:rPr>
        <w:t xml:space="preserve">Le symbole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 ne sera pas considéré comme équivalent à l</w:t>
      </w:r>
      <w:r w:rsidR="00A329F0" w:rsidRPr="0001128D">
        <w:rPr>
          <w:szCs w:val="17"/>
          <w:lang w:val="fr-FR"/>
        </w:rPr>
        <w:t>’</w:t>
      </w:r>
      <w:r w:rsidR="008277D6" w:rsidRPr="0001128D">
        <w:rPr>
          <w:szCs w:val="17"/>
          <w:lang w:val="fr-FR"/>
        </w:rPr>
        <w:t xml:space="preserve">un des symboles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A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R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D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C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Q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E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G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H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I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L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K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M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F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P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O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S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U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T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W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,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Y</w:t>
      </w:r>
      <w:r w:rsidR="00745EE5" w:rsidRPr="0001128D">
        <w:rPr>
          <w:szCs w:val="17"/>
          <w:lang w:val="fr-FR"/>
        </w:rPr>
        <w:t>”</w:t>
      </w:r>
      <w:r w:rsidR="008277D6" w:rsidRPr="0001128D">
        <w:rPr>
          <w:szCs w:val="17"/>
          <w:lang w:val="fr-FR"/>
        </w:rPr>
        <w:t xml:space="preserve"> o</w:t>
      </w:r>
      <w:r w:rsidR="006213FA" w:rsidRPr="0001128D">
        <w:rPr>
          <w:szCs w:val="17"/>
          <w:lang w:val="fr-FR"/>
        </w:rPr>
        <w:t>u</w:t>
      </w:r>
      <w:r w:rsidR="008277D6"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="008277D6" w:rsidRPr="0001128D">
        <w:rPr>
          <w:szCs w:val="17"/>
          <w:lang w:val="fr-FR"/>
        </w:rPr>
        <w:t>V</w:t>
      </w:r>
      <w:r w:rsidR="00745EE5" w:rsidRPr="0001128D">
        <w:rPr>
          <w:szCs w:val="17"/>
          <w:lang w:val="fr-FR"/>
        </w:rPr>
        <w:t>”</w:t>
      </w:r>
      <w:r w:rsidR="007831A7" w:rsidRPr="0001128D">
        <w:rPr>
          <w:szCs w:val="17"/>
          <w:lang w:val="fr-FR"/>
        </w:rPr>
        <w:t>, sauf s</w:t>
      </w:r>
      <w:r w:rsidR="00A329F0" w:rsidRPr="0001128D">
        <w:rPr>
          <w:szCs w:val="17"/>
          <w:lang w:val="fr-FR"/>
        </w:rPr>
        <w:t>’</w:t>
      </w:r>
      <w:r w:rsidR="007831A7" w:rsidRPr="0001128D">
        <w:rPr>
          <w:szCs w:val="17"/>
          <w:lang w:val="fr-FR"/>
        </w:rPr>
        <w:t>il est accompagné d</w:t>
      </w:r>
      <w:r w:rsidR="00A329F0" w:rsidRPr="0001128D">
        <w:rPr>
          <w:szCs w:val="17"/>
          <w:lang w:val="fr-FR"/>
        </w:rPr>
        <w:t>’</w:t>
      </w:r>
      <w:r w:rsidR="007831A7" w:rsidRPr="0001128D">
        <w:rPr>
          <w:szCs w:val="17"/>
          <w:lang w:val="fr-FR"/>
        </w:rPr>
        <w:t xml:space="preserve">une description supplémentaire au sens des paragraphes 28 à 30 ou 31 à 33.  </w:t>
      </w:r>
      <w:r w:rsidR="0015521C" w:rsidRPr="0001128D">
        <w:rPr>
          <w:szCs w:val="17"/>
          <w:lang w:val="fr-FR"/>
        </w:rPr>
        <w:t xml:space="preserve">Le symbole </w:t>
      </w:r>
      <w:r w:rsidR="00745EE5" w:rsidRPr="0001128D">
        <w:rPr>
          <w:szCs w:val="17"/>
          <w:lang w:val="fr-FR"/>
        </w:rPr>
        <w:t>“</w:t>
      </w:r>
      <w:r w:rsidR="0015521C"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="0015521C" w:rsidRPr="0001128D">
        <w:rPr>
          <w:szCs w:val="17"/>
          <w:lang w:val="fr-FR"/>
        </w:rPr>
        <w:t xml:space="preserve"> ne peut être employé que pour représenter un acide aminé.  </w:t>
      </w:r>
      <w:r w:rsidR="00E223E0" w:rsidRPr="0001128D">
        <w:rPr>
          <w:szCs w:val="17"/>
          <w:lang w:val="fr-FR"/>
        </w:rPr>
        <w:t>Il peut représenter un seul acide aminé s</w:t>
      </w:r>
      <w:r w:rsidR="00A329F0" w:rsidRPr="0001128D">
        <w:rPr>
          <w:szCs w:val="17"/>
          <w:lang w:val="fr-FR"/>
        </w:rPr>
        <w:t>’</w:t>
      </w:r>
      <w:r w:rsidR="00E223E0" w:rsidRPr="0001128D">
        <w:rPr>
          <w:szCs w:val="17"/>
          <w:lang w:val="fr-FR"/>
        </w:rPr>
        <w:t>il est accompagné d</w:t>
      </w:r>
      <w:r w:rsidR="00A329F0" w:rsidRPr="0001128D">
        <w:rPr>
          <w:szCs w:val="17"/>
          <w:lang w:val="fr-FR"/>
        </w:rPr>
        <w:t>’</w:t>
      </w:r>
      <w:r w:rsidR="00E223E0" w:rsidRPr="0001128D">
        <w:rPr>
          <w:szCs w:val="17"/>
          <w:lang w:val="fr-FR"/>
        </w:rPr>
        <w:t>une description supplémentaire</w:t>
      </w:r>
      <w:r w:rsidR="004D258C" w:rsidRPr="0001128D">
        <w:rPr>
          <w:szCs w:val="17"/>
          <w:lang w:val="fr-FR"/>
        </w:rPr>
        <w:t xml:space="preserve"> au sens des paragraphes 28 à 30 ou 31 à 33.  </w:t>
      </w:r>
      <w:r w:rsidR="00B90AB3" w:rsidRPr="0001128D">
        <w:rPr>
          <w:szCs w:val="17"/>
          <w:lang w:val="fr-FR"/>
        </w:rPr>
        <w:t>On trouvera des détails sur la présentation des variant</w:t>
      </w:r>
      <w:r w:rsidR="00AF6B1D" w:rsidRPr="0001128D">
        <w:rPr>
          <w:szCs w:val="17"/>
          <w:lang w:val="fr-FR"/>
        </w:rPr>
        <w:t>e</w:t>
      </w:r>
      <w:r w:rsidR="00B90AB3" w:rsidRPr="0001128D">
        <w:rPr>
          <w:szCs w:val="17"/>
          <w:lang w:val="fr-FR"/>
        </w:rPr>
        <w:t xml:space="preserve">s de séquence, par exemple des suppressions, des </w:t>
      </w:r>
      <w:r w:rsidR="00D2542E" w:rsidRPr="0001128D">
        <w:rPr>
          <w:szCs w:val="17"/>
          <w:lang w:val="fr-FR"/>
        </w:rPr>
        <w:t>adjonction</w:t>
      </w:r>
      <w:r w:rsidR="00B90AB3" w:rsidRPr="0001128D">
        <w:rPr>
          <w:szCs w:val="17"/>
          <w:lang w:val="fr-FR"/>
        </w:rPr>
        <w:t xml:space="preserve">s ou des </w:t>
      </w:r>
      <w:r w:rsidR="0088282F" w:rsidRPr="0001128D">
        <w:rPr>
          <w:szCs w:val="17"/>
          <w:lang w:val="fr-FR"/>
        </w:rPr>
        <w:t>remplacement</w:t>
      </w:r>
      <w:r w:rsidR="00B90AB3" w:rsidRPr="0001128D">
        <w:rPr>
          <w:szCs w:val="17"/>
          <w:lang w:val="fr-FR"/>
        </w:rPr>
        <w:t>s, aux paragraphes 92 à 97.</w:t>
      </w:r>
    </w:p>
    <w:p w:rsidR="001B3524" w:rsidRPr="0001128D" w:rsidRDefault="004D07C5" w:rsidP="00B90AB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2" w:name="_Ref371509018"/>
      <w:bookmarkEnd w:id="51"/>
      <w:r w:rsidRPr="0001128D">
        <w:rPr>
          <w:szCs w:val="17"/>
          <w:lang w:val="fr-FR"/>
        </w:rPr>
        <w:t>Les séquences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acides aminés séparées par un ou plusieurs espaces blancs ou symboles </w:t>
      </w:r>
      <w:r w:rsidR="00100448" w:rsidRPr="0001128D">
        <w:rPr>
          <w:lang w:val="fr-FR"/>
        </w:rPr>
        <w:t xml:space="preserve">internes de fin (par exemple </w:t>
      </w:r>
      <w:r w:rsidR="00745EE5" w:rsidRPr="0001128D">
        <w:rPr>
          <w:lang w:val="fr-FR"/>
        </w:rPr>
        <w:t>“</w:t>
      </w:r>
      <w:r w:rsidR="00100448" w:rsidRPr="0001128D">
        <w:rPr>
          <w:lang w:val="fr-FR"/>
        </w:rPr>
        <w:t>Ter</w:t>
      </w:r>
      <w:r w:rsidR="00745EE5" w:rsidRPr="0001128D">
        <w:rPr>
          <w:lang w:val="fr-FR"/>
        </w:rPr>
        <w:t>”</w:t>
      </w:r>
      <w:r w:rsidR="00100448" w:rsidRPr="0001128D">
        <w:rPr>
          <w:lang w:val="fr-FR"/>
        </w:rPr>
        <w:t>, l</w:t>
      </w:r>
      <w:r w:rsidR="00A329F0" w:rsidRPr="0001128D">
        <w:rPr>
          <w:lang w:val="fr-FR"/>
        </w:rPr>
        <w:t>’</w:t>
      </w:r>
      <w:r w:rsidR="00100448" w:rsidRPr="0001128D">
        <w:rPr>
          <w:lang w:val="fr-FR"/>
        </w:rPr>
        <w:t xml:space="preserve">astérisque ou le point) </w:t>
      </w:r>
      <w:r w:rsidR="002A2394" w:rsidRPr="0001128D">
        <w:rPr>
          <w:lang w:val="fr-FR"/>
        </w:rPr>
        <w:t xml:space="preserve">doivent </w:t>
      </w:r>
      <w:r w:rsidR="00100448" w:rsidRPr="0001128D">
        <w:rPr>
          <w:lang w:val="fr-FR"/>
        </w:rPr>
        <w:t>être présentée</w:t>
      </w:r>
      <w:r w:rsidR="002A2394" w:rsidRPr="0001128D">
        <w:rPr>
          <w:lang w:val="fr-FR"/>
        </w:rPr>
        <w:t>s</w:t>
      </w:r>
      <w:r w:rsidR="00100448" w:rsidRPr="0001128D">
        <w:rPr>
          <w:lang w:val="fr-FR"/>
        </w:rPr>
        <w:t xml:space="preserve"> comme </w:t>
      </w:r>
      <w:r w:rsidR="002A2394" w:rsidRPr="0001128D">
        <w:rPr>
          <w:lang w:val="fr-FR"/>
        </w:rPr>
        <w:t xml:space="preserve">des </w:t>
      </w:r>
      <w:r w:rsidR="00100448" w:rsidRPr="0001128D">
        <w:rPr>
          <w:lang w:val="fr-FR"/>
        </w:rPr>
        <w:t>séquence</w:t>
      </w:r>
      <w:r w:rsidR="002A2394" w:rsidRPr="0001128D">
        <w:rPr>
          <w:lang w:val="fr-FR"/>
        </w:rPr>
        <w:t>s</w:t>
      </w:r>
      <w:r w:rsidR="00100448" w:rsidRPr="0001128D">
        <w:rPr>
          <w:lang w:val="fr-FR"/>
        </w:rPr>
        <w:t xml:space="preserve"> distincte</w:t>
      </w:r>
      <w:r w:rsidR="002A2394" w:rsidRPr="0001128D">
        <w:rPr>
          <w:lang w:val="fr-FR"/>
        </w:rPr>
        <w:t>s</w:t>
      </w:r>
      <w:r w:rsidR="00B95EBE" w:rsidRPr="0001128D">
        <w:rPr>
          <w:lang w:val="fr-FR"/>
        </w:rPr>
        <w:t xml:space="preserve"> pour chaque séquence </w:t>
      </w:r>
      <w:r w:rsidR="00D4440F" w:rsidRPr="0001128D">
        <w:rPr>
          <w:lang w:val="fr-FR"/>
        </w:rPr>
        <w:t>qui contient</w:t>
      </w:r>
      <w:r w:rsidR="00B95EBE" w:rsidRPr="0001128D">
        <w:rPr>
          <w:lang w:val="fr-FR"/>
        </w:rPr>
        <w:t xml:space="preserve"> au moins quatre</w:t>
      </w:r>
      <w:r w:rsidR="00745EE5" w:rsidRPr="0001128D">
        <w:rPr>
          <w:lang w:val="fr-FR"/>
        </w:rPr>
        <w:t> </w:t>
      </w:r>
      <w:r w:rsidR="00B95EBE" w:rsidRPr="0001128D">
        <w:rPr>
          <w:lang w:val="fr-FR"/>
        </w:rPr>
        <w:t>acides aminés définis de manière spécifique</w:t>
      </w:r>
      <w:r w:rsidR="002358F5" w:rsidRPr="0001128D">
        <w:rPr>
          <w:lang w:val="fr-FR"/>
        </w:rPr>
        <w:t xml:space="preserve"> et </w:t>
      </w:r>
      <w:r w:rsidR="00D4440F" w:rsidRPr="0001128D">
        <w:rPr>
          <w:lang w:val="fr-FR"/>
        </w:rPr>
        <w:t xml:space="preserve">qui est </w:t>
      </w:r>
      <w:r w:rsidR="00F82C68" w:rsidRPr="0001128D">
        <w:rPr>
          <w:szCs w:val="17"/>
          <w:lang w:val="fr-FR"/>
        </w:rPr>
        <w:t>visée par le</w:t>
      </w:r>
      <w:r w:rsidR="002358F5" w:rsidRPr="0001128D">
        <w:rPr>
          <w:lang w:val="fr-FR"/>
        </w:rPr>
        <w:t xml:space="preserve"> paragraphe 6.  </w:t>
      </w:r>
      <w:r w:rsidR="00384245" w:rsidRPr="0001128D">
        <w:rPr>
          <w:lang w:val="fr-FR"/>
        </w:rPr>
        <w:t>Chacune de ces séquences distinctes doit être présentée, dans le listage des séquences, avec son propre numéro d</w:t>
      </w:r>
      <w:r w:rsidR="00A329F0" w:rsidRPr="0001128D">
        <w:rPr>
          <w:lang w:val="fr-FR"/>
        </w:rPr>
        <w:t>’</w:t>
      </w:r>
      <w:r w:rsidR="00384245" w:rsidRPr="0001128D">
        <w:rPr>
          <w:lang w:val="fr-FR"/>
        </w:rPr>
        <w:t>identification de séquence et uniquement à l</w:t>
      </w:r>
      <w:r w:rsidR="00A329F0" w:rsidRPr="0001128D">
        <w:rPr>
          <w:lang w:val="fr-FR"/>
        </w:rPr>
        <w:t>’</w:t>
      </w:r>
      <w:r w:rsidR="00384245" w:rsidRPr="0001128D">
        <w:rPr>
          <w:lang w:val="fr-FR"/>
        </w:rPr>
        <w:t>aide des symboles indiqués dans l</w:t>
      </w:r>
      <w:r w:rsidR="00A329F0" w:rsidRPr="0001128D">
        <w:rPr>
          <w:lang w:val="fr-FR"/>
        </w:rPr>
        <w:t>’</w:t>
      </w:r>
      <w:r w:rsidR="00384245" w:rsidRPr="0001128D">
        <w:rPr>
          <w:lang w:val="fr-FR"/>
        </w:rPr>
        <w:t xml:space="preserve">annexe I (voir section 3, tableau 3).  </w:t>
      </w:r>
      <w:r w:rsidR="00FB2AD5" w:rsidRPr="0001128D">
        <w:rPr>
          <w:lang w:val="fr-FR"/>
        </w:rPr>
        <w:t xml:space="preserve">Les </w:t>
      </w:r>
      <w:r w:rsidR="00FB2AD5" w:rsidRPr="0001128D">
        <w:rPr>
          <w:szCs w:val="17"/>
          <w:lang w:val="fr-FR"/>
        </w:rPr>
        <w:t xml:space="preserve">symboles </w:t>
      </w:r>
      <w:r w:rsidR="00FB2AD5" w:rsidRPr="0001128D">
        <w:rPr>
          <w:lang w:val="fr-FR"/>
        </w:rPr>
        <w:t>de fin et les espaces blancs ne doivent pas être employés dans les séqu</w:t>
      </w:r>
      <w:r w:rsidR="00024161" w:rsidRPr="0001128D">
        <w:rPr>
          <w:lang w:val="fr-FR"/>
        </w:rPr>
        <w:t>ences figurant dans un listage</w:t>
      </w:r>
      <w:r w:rsidR="00FB2AD5" w:rsidRPr="0001128D">
        <w:rPr>
          <w:lang w:val="fr-FR"/>
        </w:rPr>
        <w:t>.</w:t>
      </w:r>
      <w:bookmarkEnd w:id="52"/>
    </w:p>
    <w:p w:rsidR="00024161" w:rsidRPr="0001128D" w:rsidRDefault="00B175D0" w:rsidP="00F26B8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3" w:name="_Ref371509649"/>
      <w:r w:rsidRPr="0001128D">
        <w:rPr>
          <w:szCs w:val="17"/>
          <w:lang w:val="fr-FR"/>
        </w:rPr>
        <w:t>Les acides aminés modifiés, y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 xml:space="preserve">compris les </w:t>
      </w:r>
      <w:proofErr w:type="spellStart"/>
      <w:r w:rsidRPr="0001128D">
        <w:rPr>
          <w:szCs w:val="17"/>
          <w:lang w:val="fr-FR"/>
        </w:rPr>
        <w:t>D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aminoacides</w:t>
      </w:r>
      <w:proofErr w:type="spellEnd"/>
      <w:r w:rsidRPr="0001128D">
        <w:rPr>
          <w:szCs w:val="17"/>
          <w:lang w:val="fr-FR"/>
        </w:rPr>
        <w:t xml:space="preserve">, </w:t>
      </w:r>
      <w:r w:rsidR="00F26B87" w:rsidRPr="0001128D">
        <w:rPr>
          <w:szCs w:val="17"/>
          <w:lang w:val="fr-FR"/>
        </w:rPr>
        <w:t>doivent être représentés dans la séquence comme les acides aminés non modifiés correspondants chaque fois que possible.  Tout acide aminé modifié apparaissant dans une séquence et ne pouvant être représenté à l</w:t>
      </w:r>
      <w:r w:rsidR="00A329F0" w:rsidRPr="0001128D">
        <w:rPr>
          <w:szCs w:val="17"/>
          <w:lang w:val="fr-FR"/>
        </w:rPr>
        <w:t>’</w:t>
      </w:r>
      <w:r w:rsidR="00F26B87" w:rsidRPr="0001128D">
        <w:rPr>
          <w:szCs w:val="17"/>
          <w:lang w:val="fr-FR"/>
        </w:rPr>
        <w:t>aide d</w:t>
      </w:r>
      <w:r w:rsidR="00A329F0" w:rsidRPr="0001128D">
        <w:rPr>
          <w:szCs w:val="17"/>
          <w:lang w:val="fr-FR"/>
        </w:rPr>
        <w:t>’</w:t>
      </w:r>
      <w:r w:rsidR="00F26B87" w:rsidRPr="0001128D">
        <w:rPr>
          <w:szCs w:val="17"/>
          <w:lang w:val="fr-FR"/>
        </w:rPr>
        <w:t>un autre symbole indiqué dans l</w:t>
      </w:r>
      <w:r w:rsidR="00A329F0" w:rsidRPr="0001128D">
        <w:rPr>
          <w:szCs w:val="17"/>
          <w:lang w:val="fr-FR"/>
        </w:rPr>
        <w:t>’</w:t>
      </w:r>
      <w:r w:rsidR="00F26B87" w:rsidRPr="0001128D">
        <w:rPr>
          <w:szCs w:val="17"/>
          <w:lang w:val="fr-FR"/>
        </w:rPr>
        <w:t xml:space="preserve">annexe I (voir section 3, tableau 3), doit être représenté par le symbole </w:t>
      </w:r>
      <w:r w:rsidR="00745EE5" w:rsidRPr="0001128D">
        <w:rPr>
          <w:szCs w:val="17"/>
          <w:lang w:val="fr-FR"/>
        </w:rPr>
        <w:t>“</w:t>
      </w:r>
      <w:r w:rsidR="00F26B87"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”.</w:t>
      </w:r>
      <w:r w:rsidR="00F26B87" w:rsidRPr="0001128D">
        <w:rPr>
          <w:szCs w:val="17"/>
          <w:lang w:val="fr-FR"/>
        </w:rPr>
        <w:t xml:space="preserve">  Ce symbole </w:t>
      </w:r>
      <w:r w:rsidR="00745EE5" w:rsidRPr="0001128D">
        <w:rPr>
          <w:szCs w:val="17"/>
          <w:lang w:val="fr-FR"/>
        </w:rPr>
        <w:t>“</w:t>
      </w:r>
      <w:r w:rsidR="00F26B87"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="00F26B87" w:rsidRPr="0001128D">
        <w:rPr>
          <w:szCs w:val="17"/>
          <w:lang w:val="fr-FR"/>
        </w:rPr>
        <w:t xml:space="preserve"> n</w:t>
      </w:r>
      <w:r w:rsidR="00A329F0" w:rsidRPr="0001128D">
        <w:rPr>
          <w:szCs w:val="17"/>
          <w:lang w:val="fr-FR"/>
        </w:rPr>
        <w:t>’</w:t>
      </w:r>
      <w:r w:rsidR="00F26B87" w:rsidRPr="0001128D">
        <w:rPr>
          <w:szCs w:val="17"/>
          <w:lang w:val="fr-FR"/>
        </w:rPr>
        <w:t>est l</w:t>
      </w:r>
      <w:r w:rsidR="00A329F0" w:rsidRPr="0001128D">
        <w:rPr>
          <w:szCs w:val="17"/>
          <w:lang w:val="fr-FR"/>
        </w:rPr>
        <w:t>’</w:t>
      </w:r>
      <w:r w:rsidR="00F26B87" w:rsidRPr="0001128D">
        <w:rPr>
          <w:szCs w:val="17"/>
          <w:lang w:val="fr-FR"/>
        </w:rPr>
        <w:t>équivalent que d</w:t>
      </w:r>
      <w:r w:rsidR="00A329F0" w:rsidRPr="0001128D">
        <w:rPr>
          <w:szCs w:val="17"/>
          <w:lang w:val="fr-FR"/>
        </w:rPr>
        <w:t>’</w:t>
      </w:r>
      <w:r w:rsidR="00F26B87" w:rsidRPr="0001128D">
        <w:rPr>
          <w:szCs w:val="17"/>
          <w:lang w:val="fr-FR"/>
        </w:rPr>
        <w:t>un seul résidu.</w:t>
      </w:r>
    </w:p>
    <w:p w:rsidR="00F26B87" w:rsidRPr="0001128D" w:rsidRDefault="00580D60" w:rsidP="00577AD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4" w:name="_Ref371500628"/>
      <w:bookmarkEnd w:id="53"/>
      <w:r w:rsidRPr="0001128D">
        <w:rPr>
          <w:szCs w:val="17"/>
          <w:lang w:val="fr-FR"/>
        </w:rPr>
        <w:t>Tout acide aminé modifié doit être accompagné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description supplémentaire dans le tableau de caractéristiques (voir les paragraphes 60 et suivants)</w:t>
      </w:r>
      <w:r w:rsidR="005A2E81" w:rsidRPr="0001128D">
        <w:rPr>
          <w:szCs w:val="17"/>
          <w:lang w:val="fr-FR"/>
        </w:rPr>
        <w:t xml:space="preserve">.  </w:t>
      </w:r>
      <w:r w:rsidR="00526EEC" w:rsidRPr="0001128D">
        <w:rPr>
          <w:szCs w:val="17"/>
          <w:lang w:val="fr-FR"/>
        </w:rPr>
        <w:t>Il convient d</w:t>
      </w:r>
      <w:r w:rsidR="00A329F0" w:rsidRPr="0001128D">
        <w:rPr>
          <w:szCs w:val="17"/>
          <w:lang w:val="fr-FR"/>
        </w:rPr>
        <w:t>’</w:t>
      </w:r>
      <w:r w:rsidR="00526EEC" w:rsidRPr="0001128D">
        <w:rPr>
          <w:szCs w:val="17"/>
          <w:lang w:val="fr-FR"/>
        </w:rPr>
        <w:t xml:space="preserve">employer la clé de caractérisation </w:t>
      </w:r>
      <w:r w:rsidR="00745EE5" w:rsidRPr="0001128D">
        <w:rPr>
          <w:szCs w:val="17"/>
          <w:lang w:val="fr-FR"/>
        </w:rPr>
        <w:t>“</w:t>
      </w:r>
      <w:r w:rsidR="00526EEC" w:rsidRPr="0001128D">
        <w:rPr>
          <w:szCs w:val="17"/>
          <w:lang w:val="fr-FR"/>
        </w:rPr>
        <w:t>MOD_RES</w:t>
      </w:r>
      <w:r w:rsidR="00745EE5" w:rsidRPr="0001128D">
        <w:rPr>
          <w:szCs w:val="17"/>
          <w:lang w:val="fr-FR"/>
        </w:rPr>
        <w:t>”</w:t>
      </w:r>
      <w:r w:rsidR="00526EEC" w:rsidRPr="0001128D">
        <w:rPr>
          <w:szCs w:val="17"/>
          <w:lang w:val="fr-FR"/>
        </w:rPr>
        <w:t xml:space="preserve"> </w:t>
      </w:r>
      <w:r w:rsidR="00EF2C49" w:rsidRPr="0001128D">
        <w:rPr>
          <w:lang w:val="fr-FR"/>
        </w:rPr>
        <w:t xml:space="preserve">et le </w:t>
      </w:r>
      <w:r w:rsidR="00EF2C49" w:rsidRPr="0001128D">
        <w:rPr>
          <w:szCs w:val="17"/>
          <w:lang w:val="fr-FR"/>
        </w:rPr>
        <w:t xml:space="preserve">qualificateur </w:t>
      </w:r>
      <w:r w:rsidR="00745EE5" w:rsidRPr="0001128D">
        <w:rPr>
          <w:szCs w:val="17"/>
          <w:lang w:val="fr-FR"/>
        </w:rPr>
        <w:t>“</w:t>
      </w:r>
      <w:r w:rsidR="00EF2C49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BA0881">
        <w:rPr>
          <w:szCs w:val="17"/>
          <w:lang w:val="fr-FR"/>
        </w:rPr>
        <w:t xml:space="preserve"> </w:t>
      </w:r>
      <w:r w:rsidR="00526EEC" w:rsidRPr="0001128D">
        <w:rPr>
          <w:szCs w:val="17"/>
          <w:lang w:val="fr-FR"/>
        </w:rPr>
        <w:t xml:space="preserve">pour les acides aminés modifiés </w:t>
      </w:r>
      <w:r w:rsidR="00526EEC" w:rsidRPr="0001128D">
        <w:rPr>
          <w:lang w:val="fr-FR"/>
        </w:rPr>
        <w:t>après traduction</w:t>
      </w:r>
      <w:r w:rsidR="00EF2C49" w:rsidRPr="0001128D">
        <w:rPr>
          <w:lang w:val="fr-FR"/>
        </w:rPr>
        <w:t>,</w:t>
      </w:r>
      <w:r w:rsidR="006B6007" w:rsidRPr="0001128D">
        <w:rPr>
          <w:lang w:val="fr-FR"/>
        </w:rPr>
        <w:t xml:space="preserve"> </w:t>
      </w:r>
      <w:r w:rsidR="006B6007" w:rsidRPr="0001128D">
        <w:rPr>
          <w:szCs w:val="17"/>
          <w:lang w:val="fr-FR"/>
        </w:rPr>
        <w:t xml:space="preserve">et la clé de caractérisation </w:t>
      </w:r>
      <w:r w:rsidR="00745EE5" w:rsidRPr="0001128D">
        <w:rPr>
          <w:szCs w:val="17"/>
          <w:lang w:val="fr-FR"/>
        </w:rPr>
        <w:t>“</w:t>
      </w:r>
      <w:r w:rsidR="006B6007" w:rsidRPr="0001128D">
        <w:rPr>
          <w:szCs w:val="17"/>
          <w:lang w:val="fr-FR"/>
        </w:rPr>
        <w:t>SITE</w:t>
      </w:r>
      <w:r w:rsidR="00745EE5" w:rsidRPr="0001128D">
        <w:rPr>
          <w:szCs w:val="17"/>
          <w:lang w:val="fr-FR"/>
        </w:rPr>
        <w:t>”</w:t>
      </w:r>
      <w:r w:rsidR="006B6007" w:rsidRPr="0001128D">
        <w:rPr>
          <w:szCs w:val="17"/>
          <w:lang w:val="fr-FR"/>
        </w:rPr>
        <w:t xml:space="preserve"> </w:t>
      </w:r>
      <w:r w:rsidR="00EF2C49" w:rsidRPr="0001128D">
        <w:rPr>
          <w:szCs w:val="17"/>
          <w:lang w:val="fr-FR"/>
        </w:rPr>
        <w:t xml:space="preserve">ainsi que le qualificateur </w:t>
      </w:r>
      <w:r w:rsidR="00745EE5" w:rsidRPr="0001128D">
        <w:rPr>
          <w:szCs w:val="17"/>
          <w:lang w:val="fr-FR"/>
        </w:rPr>
        <w:t>“</w:t>
      </w:r>
      <w:r w:rsidR="00EF2C49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EF2C49" w:rsidRPr="0001128D">
        <w:rPr>
          <w:szCs w:val="17"/>
          <w:lang w:val="fr-FR"/>
        </w:rPr>
        <w:t xml:space="preserve"> </w:t>
      </w:r>
      <w:r w:rsidR="006B6007" w:rsidRPr="0001128D">
        <w:rPr>
          <w:szCs w:val="17"/>
          <w:lang w:val="fr-FR"/>
        </w:rPr>
        <w:t xml:space="preserve">pour </w:t>
      </w:r>
      <w:r w:rsidR="00EF2C49" w:rsidRPr="0001128D">
        <w:rPr>
          <w:szCs w:val="17"/>
          <w:lang w:val="fr-FR"/>
        </w:rPr>
        <w:t xml:space="preserve">les </w:t>
      </w:r>
      <w:r w:rsidR="006B6007" w:rsidRPr="0001128D">
        <w:rPr>
          <w:szCs w:val="17"/>
          <w:lang w:val="fr-FR"/>
        </w:rPr>
        <w:t>autres acides aminés modifiés</w:t>
      </w:r>
      <w:r w:rsidR="00EF2C49" w:rsidRPr="0001128D">
        <w:rPr>
          <w:szCs w:val="17"/>
          <w:lang w:val="fr-FR"/>
        </w:rPr>
        <w:t>.</w:t>
      </w:r>
      <w:r w:rsidR="006B6007" w:rsidRPr="0001128D">
        <w:rPr>
          <w:szCs w:val="17"/>
          <w:lang w:val="fr-FR"/>
        </w:rPr>
        <w:t xml:space="preserve">  </w:t>
      </w:r>
      <w:r w:rsidR="0020523D" w:rsidRPr="0001128D">
        <w:rPr>
          <w:szCs w:val="17"/>
          <w:lang w:val="fr-FR"/>
        </w:rPr>
        <w:t xml:space="preserve">La valeur du qualificateur </w:t>
      </w:r>
      <w:r w:rsidR="00745EE5" w:rsidRPr="0001128D">
        <w:rPr>
          <w:szCs w:val="17"/>
          <w:lang w:val="fr-FR"/>
        </w:rPr>
        <w:t>“</w:t>
      </w:r>
      <w:r w:rsidR="0020523D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20523D" w:rsidRPr="0001128D">
        <w:rPr>
          <w:szCs w:val="17"/>
          <w:lang w:val="fr-FR"/>
        </w:rPr>
        <w:t xml:space="preserve"> doit être soit une abréviation indiquée dans l</w:t>
      </w:r>
      <w:r w:rsidR="00A329F0" w:rsidRPr="0001128D">
        <w:rPr>
          <w:szCs w:val="17"/>
          <w:lang w:val="fr-FR"/>
        </w:rPr>
        <w:t>’</w:t>
      </w:r>
      <w:r w:rsidR="0020523D" w:rsidRPr="0001128D">
        <w:rPr>
          <w:szCs w:val="17"/>
          <w:lang w:val="fr-FR"/>
        </w:rPr>
        <w:t>annexe I (voir section 4, tableau 4), soit le nom complet non abrégé de l</w:t>
      </w:r>
      <w:r w:rsidR="00A329F0" w:rsidRPr="0001128D">
        <w:rPr>
          <w:szCs w:val="17"/>
          <w:lang w:val="fr-FR"/>
        </w:rPr>
        <w:t>’</w:t>
      </w:r>
      <w:r w:rsidR="0020523D" w:rsidRPr="0001128D">
        <w:rPr>
          <w:szCs w:val="17"/>
          <w:lang w:val="fr-FR"/>
        </w:rPr>
        <w:t xml:space="preserve">acide aminé modifié.  </w:t>
      </w:r>
      <w:r w:rsidR="009A196A" w:rsidRPr="0001128D">
        <w:rPr>
          <w:szCs w:val="17"/>
          <w:lang w:val="fr-FR"/>
        </w:rPr>
        <w:t>Les abréviations indiquées dans le tableau 4 précité ou les noms complets non abrégés ne doivent pas être employés dans la séquence elle</w:t>
      </w:r>
      <w:r w:rsidR="00265B44" w:rsidRPr="0001128D">
        <w:rPr>
          <w:szCs w:val="17"/>
          <w:lang w:val="fr-FR"/>
        </w:rPr>
        <w:noBreakHyphen/>
      </w:r>
      <w:r w:rsidR="009A196A" w:rsidRPr="0001128D">
        <w:rPr>
          <w:szCs w:val="17"/>
          <w:lang w:val="fr-FR"/>
        </w:rPr>
        <w:t>même.</w:t>
      </w:r>
    </w:p>
    <w:p w:rsidR="001B3524" w:rsidRPr="0001128D" w:rsidRDefault="00C5045A" w:rsidP="00C5045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5" w:name="_Ref371509035"/>
      <w:bookmarkEnd w:id="54"/>
      <w:r w:rsidRPr="0001128D">
        <w:rPr>
          <w:szCs w:val="17"/>
          <w:lang w:val="fr-FR"/>
        </w:rPr>
        <w:t>Les exemples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illustrent la manière dont des acides aminés modifiés doivent être présentés pour être conformes au paragraphe 29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  <w:bookmarkEnd w:id="55"/>
    </w:p>
    <w:p w:rsidR="001B3524" w:rsidRPr="0001128D" w:rsidRDefault="001B3524" w:rsidP="00577ADD">
      <w:pPr>
        <w:pStyle w:val="ParagraphNo"/>
        <w:keepNext/>
        <w:keepLines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lastRenderedPageBreak/>
        <w:t>Ex</w:t>
      </w:r>
      <w:r w:rsidR="00C5045A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1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C5045A" w:rsidRPr="0001128D">
        <w:rPr>
          <w:sz w:val="17"/>
          <w:szCs w:val="17"/>
          <w:lang w:val="fr-FR"/>
        </w:rPr>
        <w:t>Acide aminé modifié après traduction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&gt;MOD_RES&lt;/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&gt;3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Hyp&lt;/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1B3524" w:rsidRPr="0001128D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1B3524" w:rsidRPr="0001128D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1B3524" w:rsidRPr="0001128D" w:rsidRDefault="001B3524" w:rsidP="001B3524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</w:t>
      </w:r>
      <w:r w:rsidR="006A08DA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2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C5045A" w:rsidRPr="0001128D">
        <w:rPr>
          <w:sz w:val="17"/>
          <w:szCs w:val="17"/>
          <w:lang w:val="fr-FR"/>
        </w:rPr>
        <w:t>Acide aminé modifié différemment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&gt;SITE&lt;/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Orn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3524" w:rsidRPr="00917901" w:rsidRDefault="001B3524" w:rsidP="001B3524">
      <w:pPr>
        <w:pStyle w:val="ParagraphNo"/>
        <w:rPr>
          <w:sz w:val="17"/>
          <w:szCs w:val="17"/>
        </w:rPr>
      </w:pPr>
      <w:proofErr w:type="spellStart"/>
      <w:r w:rsidRPr="00917901">
        <w:rPr>
          <w:sz w:val="17"/>
          <w:szCs w:val="17"/>
        </w:rPr>
        <w:t>Ex</w:t>
      </w:r>
      <w:r w:rsidR="00C5045A" w:rsidRPr="00917901">
        <w:rPr>
          <w:sz w:val="17"/>
          <w:szCs w:val="17"/>
        </w:rPr>
        <w:t>e</w:t>
      </w:r>
      <w:r w:rsidRPr="00917901">
        <w:rPr>
          <w:sz w:val="17"/>
          <w:szCs w:val="17"/>
        </w:rPr>
        <w:t>mple</w:t>
      </w:r>
      <w:proofErr w:type="spellEnd"/>
      <w:r w:rsidRPr="00917901">
        <w:rPr>
          <w:sz w:val="17"/>
          <w:szCs w:val="17"/>
        </w:rPr>
        <w:t xml:space="preserve"> </w:t>
      </w:r>
      <w:proofErr w:type="gramStart"/>
      <w:r w:rsidRPr="00917901">
        <w:rPr>
          <w:sz w:val="17"/>
          <w:szCs w:val="17"/>
        </w:rPr>
        <w:t>3</w:t>
      </w:r>
      <w:r w:rsidR="00745EE5" w:rsidRPr="00917901">
        <w:rPr>
          <w:sz w:val="17"/>
          <w:szCs w:val="17"/>
        </w:rPr>
        <w:t> :</w:t>
      </w:r>
      <w:proofErr w:type="gramEnd"/>
      <w:r w:rsidR="00C5045A" w:rsidRPr="00917901">
        <w:rPr>
          <w:sz w:val="17"/>
          <w:szCs w:val="17"/>
        </w:rPr>
        <w:t xml:space="preserve"> D</w:t>
      </w:r>
      <w:r w:rsidR="00265B44" w:rsidRPr="00917901">
        <w:rPr>
          <w:sz w:val="17"/>
          <w:szCs w:val="17"/>
        </w:rPr>
        <w:noBreakHyphen/>
      </w:r>
      <w:proofErr w:type="spellStart"/>
      <w:r w:rsidR="00C5045A" w:rsidRPr="00917901">
        <w:rPr>
          <w:sz w:val="17"/>
          <w:szCs w:val="17"/>
        </w:rPr>
        <w:t>amino</w:t>
      </w:r>
      <w:r w:rsidRPr="00917901">
        <w:rPr>
          <w:sz w:val="17"/>
          <w:szCs w:val="17"/>
        </w:rPr>
        <w:t>acid</w:t>
      </w:r>
      <w:r w:rsidR="00C5045A" w:rsidRPr="00917901">
        <w:rPr>
          <w:sz w:val="17"/>
          <w:szCs w:val="17"/>
        </w:rPr>
        <w:t>e</w:t>
      </w:r>
      <w:proofErr w:type="spellEnd"/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&gt;SITE&lt;/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&gt;9&lt;/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&gt;D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Arginine&lt;/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1B3524" w:rsidRPr="0001128D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1B3524" w:rsidRPr="0001128D" w:rsidRDefault="001B352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  <w:bookmarkStart w:id="56" w:name="_Ref371509060"/>
    </w:p>
    <w:p w:rsidR="002048C0" w:rsidRPr="0001128D" w:rsidRDefault="006551E7" w:rsidP="00212DDE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Tout acide aminé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inconnu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autre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qui n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est pas visé par le paragraphe 28 doit être représenté par le symbole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dans la séquence.  Le symbole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ne peut être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équivalent que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seul résidu.</w:t>
      </w:r>
      <w:bookmarkEnd w:id="56"/>
    </w:p>
    <w:p w:rsidR="002048C0" w:rsidRPr="0001128D" w:rsidRDefault="001E5AD3" w:rsidP="006551E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7" w:name="_Ref371509762"/>
      <w:r w:rsidRPr="0001128D">
        <w:rPr>
          <w:szCs w:val="17"/>
          <w:lang w:val="fr-FR"/>
        </w:rPr>
        <w:t xml:space="preserve">Tout acide aminé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inconnu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désigné par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doit être accompagné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description supplémentaire dans le tableau de caractéristiques (voir paragraphes 60 et suivants) </w:t>
      </w:r>
      <w:r w:rsidR="003D16EC" w:rsidRPr="0001128D">
        <w:rPr>
          <w:szCs w:val="17"/>
          <w:lang w:val="fr-FR"/>
        </w:rPr>
        <w:t xml:space="preserve">comportant la clé de caractérisation </w:t>
      </w:r>
      <w:r w:rsidR="00745EE5" w:rsidRPr="0001128D">
        <w:rPr>
          <w:szCs w:val="17"/>
          <w:lang w:val="fr-FR"/>
        </w:rPr>
        <w:t>“</w:t>
      </w:r>
      <w:r w:rsidR="003D16EC" w:rsidRPr="0001128D">
        <w:rPr>
          <w:szCs w:val="17"/>
          <w:lang w:val="fr-FR"/>
        </w:rPr>
        <w:t>UNSURE</w:t>
      </w:r>
      <w:r w:rsidR="00745EE5" w:rsidRPr="0001128D">
        <w:rPr>
          <w:szCs w:val="17"/>
          <w:lang w:val="fr-FR"/>
        </w:rPr>
        <w:t>”</w:t>
      </w:r>
      <w:r w:rsidR="003D16EC" w:rsidRPr="0001128D">
        <w:rPr>
          <w:szCs w:val="17"/>
          <w:lang w:val="fr-FR"/>
        </w:rPr>
        <w:t xml:space="preserve"> et éventuellement le qualificateur </w:t>
      </w:r>
      <w:r w:rsidR="00745EE5" w:rsidRPr="0001128D">
        <w:rPr>
          <w:szCs w:val="17"/>
          <w:lang w:val="fr-FR"/>
        </w:rPr>
        <w:t>“</w:t>
      </w:r>
      <w:r w:rsidR="003D16EC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”.</w:t>
      </w:r>
      <w:r w:rsidR="003D16EC" w:rsidRPr="0001128D">
        <w:rPr>
          <w:szCs w:val="17"/>
          <w:lang w:val="fr-FR"/>
        </w:rPr>
        <w:t xml:space="preserve">  </w:t>
      </w:r>
      <w:r w:rsidR="00BE5D5A" w:rsidRPr="0001128D">
        <w:rPr>
          <w:szCs w:val="17"/>
          <w:lang w:val="fr-FR"/>
        </w:rPr>
        <w:t xml:space="preserve">Tout acide aminé </w:t>
      </w:r>
      <w:r w:rsidR="00745EE5" w:rsidRPr="0001128D">
        <w:rPr>
          <w:szCs w:val="17"/>
          <w:lang w:val="fr-FR"/>
        </w:rPr>
        <w:t>“</w:t>
      </w:r>
      <w:r w:rsidR="00BE5D5A" w:rsidRPr="0001128D">
        <w:rPr>
          <w:szCs w:val="17"/>
          <w:lang w:val="fr-FR"/>
        </w:rPr>
        <w:t>autre</w:t>
      </w:r>
      <w:r w:rsidR="00745EE5" w:rsidRPr="0001128D">
        <w:rPr>
          <w:szCs w:val="17"/>
          <w:lang w:val="fr-FR"/>
        </w:rPr>
        <w:t>”</w:t>
      </w:r>
      <w:r w:rsidR="00BE5D5A" w:rsidRPr="0001128D">
        <w:rPr>
          <w:szCs w:val="17"/>
          <w:lang w:val="fr-FR"/>
        </w:rPr>
        <w:t xml:space="preserve"> désigné par </w:t>
      </w:r>
      <w:r w:rsidR="00745EE5" w:rsidRPr="0001128D">
        <w:rPr>
          <w:szCs w:val="17"/>
          <w:lang w:val="fr-FR"/>
        </w:rPr>
        <w:t>“</w:t>
      </w:r>
      <w:r w:rsidR="00BE5D5A"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="00BE5D5A" w:rsidRPr="0001128D">
        <w:rPr>
          <w:szCs w:val="17"/>
          <w:lang w:val="fr-FR"/>
        </w:rPr>
        <w:t xml:space="preserve"> doit être accompagné d</w:t>
      </w:r>
      <w:r w:rsidR="00A329F0" w:rsidRPr="0001128D">
        <w:rPr>
          <w:szCs w:val="17"/>
          <w:lang w:val="fr-FR"/>
        </w:rPr>
        <w:t>’</w:t>
      </w:r>
      <w:r w:rsidR="00BE5D5A" w:rsidRPr="0001128D">
        <w:rPr>
          <w:szCs w:val="17"/>
          <w:lang w:val="fr-FR"/>
        </w:rPr>
        <w:t xml:space="preserve">une description supplémentaire comportant la clé de caractérisation </w:t>
      </w:r>
      <w:r w:rsidR="00745EE5" w:rsidRPr="0001128D">
        <w:rPr>
          <w:szCs w:val="17"/>
          <w:lang w:val="fr-FR"/>
        </w:rPr>
        <w:t>“</w:t>
      </w:r>
      <w:r w:rsidR="00BE5D5A" w:rsidRPr="0001128D">
        <w:rPr>
          <w:szCs w:val="17"/>
          <w:lang w:val="fr-FR"/>
        </w:rPr>
        <w:t>SITE</w:t>
      </w:r>
      <w:r w:rsidR="00745EE5" w:rsidRPr="0001128D">
        <w:rPr>
          <w:szCs w:val="17"/>
          <w:lang w:val="fr-FR"/>
        </w:rPr>
        <w:t>”</w:t>
      </w:r>
      <w:r w:rsidR="00BE5D5A"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="00BE5D5A" w:rsidRPr="0001128D">
        <w:rPr>
          <w:szCs w:val="17"/>
          <w:lang w:val="fr-FR"/>
        </w:rPr>
        <w:t>MOD_RES</w:t>
      </w:r>
      <w:r w:rsidR="00745EE5" w:rsidRPr="0001128D">
        <w:rPr>
          <w:szCs w:val="17"/>
          <w:lang w:val="fr-FR"/>
        </w:rPr>
        <w:t>”</w:t>
      </w:r>
      <w:r w:rsidR="00BE5D5A" w:rsidRPr="0001128D">
        <w:rPr>
          <w:szCs w:val="17"/>
          <w:lang w:val="fr-FR"/>
        </w:rPr>
        <w:t xml:space="preserve">, selon le cas, ainsi que le qualificateur </w:t>
      </w:r>
      <w:r w:rsidR="00745EE5" w:rsidRPr="0001128D">
        <w:rPr>
          <w:szCs w:val="17"/>
          <w:lang w:val="fr-FR"/>
        </w:rPr>
        <w:t>“</w:t>
      </w:r>
      <w:r w:rsidR="00BE5D5A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800754" w:rsidRPr="0001128D">
        <w:rPr>
          <w:szCs w:val="17"/>
          <w:lang w:val="fr-FR"/>
        </w:rPr>
        <w:t xml:space="preserve"> </w:t>
      </w:r>
      <w:r w:rsidR="00BE5D5A" w:rsidRPr="0001128D">
        <w:rPr>
          <w:szCs w:val="17"/>
          <w:lang w:val="fr-FR"/>
        </w:rPr>
        <w:t>avec le nom complet non abrégé de l</w:t>
      </w:r>
      <w:r w:rsidR="00A329F0" w:rsidRPr="0001128D">
        <w:rPr>
          <w:szCs w:val="17"/>
          <w:lang w:val="fr-FR"/>
        </w:rPr>
        <w:t>’</w:t>
      </w:r>
      <w:r w:rsidR="00BE5D5A" w:rsidRPr="0001128D">
        <w:rPr>
          <w:szCs w:val="17"/>
          <w:lang w:val="fr-FR"/>
        </w:rPr>
        <w:t xml:space="preserve">acide aminé </w:t>
      </w:r>
      <w:r w:rsidR="00745EE5" w:rsidRPr="0001128D">
        <w:rPr>
          <w:szCs w:val="17"/>
          <w:lang w:val="fr-FR"/>
        </w:rPr>
        <w:t>“</w:t>
      </w:r>
      <w:r w:rsidR="00BE5D5A" w:rsidRPr="0001128D">
        <w:rPr>
          <w:szCs w:val="17"/>
          <w:lang w:val="fr-FR"/>
        </w:rPr>
        <w:t>autre</w:t>
      </w:r>
      <w:r w:rsidR="00745EE5" w:rsidRPr="0001128D">
        <w:rPr>
          <w:szCs w:val="17"/>
          <w:lang w:val="fr-FR"/>
        </w:rPr>
        <w:t>”</w:t>
      </w:r>
      <w:r w:rsidR="00BE5D5A" w:rsidRPr="0001128D">
        <w:rPr>
          <w:szCs w:val="17"/>
          <w:lang w:val="fr-FR"/>
        </w:rPr>
        <w:t>.</w:t>
      </w:r>
      <w:bookmarkEnd w:id="57"/>
    </w:p>
    <w:p w:rsidR="00845176" w:rsidRPr="0001128D" w:rsidRDefault="001B6964" w:rsidP="002048C0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58" w:name="_Ref371509135"/>
      <w:r w:rsidRPr="0001128D">
        <w:rPr>
          <w:szCs w:val="17"/>
          <w:lang w:val="fr-FR"/>
        </w:rPr>
        <w:t>Les exemples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 xml:space="preserve">après illustrent la manière dont des acides aminés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inconnus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autres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doivent être présentés pour être conformes aux paragraphes 31 et 32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  <w:bookmarkEnd w:id="58"/>
    </w:p>
    <w:p w:rsidR="002048C0" w:rsidRPr="0001128D" w:rsidRDefault="002048C0" w:rsidP="002048C0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</w:t>
      </w:r>
      <w:r w:rsidR="001B6964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1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1B6964" w:rsidRPr="0001128D">
        <w:rPr>
          <w:sz w:val="17"/>
          <w:szCs w:val="17"/>
          <w:lang w:val="fr-FR"/>
        </w:rPr>
        <w:t xml:space="preserve">Acide aminé </w:t>
      </w:r>
      <w:r w:rsidR="00745EE5" w:rsidRPr="0001128D">
        <w:rPr>
          <w:sz w:val="17"/>
          <w:szCs w:val="17"/>
          <w:lang w:val="fr-FR"/>
        </w:rPr>
        <w:t>“</w:t>
      </w:r>
      <w:r w:rsidR="001B6964" w:rsidRPr="0001128D">
        <w:rPr>
          <w:sz w:val="17"/>
          <w:szCs w:val="17"/>
          <w:lang w:val="fr-FR"/>
        </w:rPr>
        <w:t>inconnu</w:t>
      </w:r>
      <w:r w:rsidR="00745EE5" w:rsidRPr="0001128D">
        <w:rPr>
          <w:sz w:val="17"/>
          <w:szCs w:val="17"/>
          <w:lang w:val="fr-FR"/>
        </w:rPr>
        <w:t>”</w:t>
      </w:r>
    </w:p>
    <w:p w:rsidR="00A329F0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&gt;UNSURE&lt;/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&gt;A or V&lt;/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2048C0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D3C46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2048C0" w:rsidRPr="0001128D" w:rsidRDefault="001B6964" w:rsidP="007D3C46">
      <w:pPr>
        <w:pStyle w:val="ParagraphNo"/>
        <w:keepLines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Exemple 2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Acide aminé </w:t>
      </w:r>
      <w:r w:rsidR="00745EE5" w:rsidRPr="0001128D">
        <w:rPr>
          <w:sz w:val="17"/>
          <w:szCs w:val="17"/>
          <w:lang w:val="fr-FR"/>
        </w:rPr>
        <w:t>“</w:t>
      </w:r>
      <w:r w:rsidRPr="0001128D">
        <w:rPr>
          <w:sz w:val="17"/>
          <w:szCs w:val="17"/>
          <w:lang w:val="fr-FR"/>
        </w:rPr>
        <w:t>autre</w:t>
      </w:r>
      <w:r w:rsidR="00745EE5" w:rsidRPr="0001128D">
        <w:rPr>
          <w:sz w:val="17"/>
          <w:szCs w:val="17"/>
          <w:lang w:val="fr-FR"/>
        </w:rPr>
        <w:t>”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&gt;SITE&lt;/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   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>   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       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           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Homoserine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2048C0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2048C0" w:rsidRPr="0001128D" w:rsidRDefault="002048C0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</w:p>
    <w:p w:rsidR="00095159" w:rsidRPr="0001128D" w:rsidRDefault="00095159" w:rsidP="00F6112A">
      <w:pPr>
        <w:pStyle w:val="List0"/>
        <w:keepLines w:val="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Toute région contenant un nombre connu de résidus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contigus auxquels la même description s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applique peut faire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objet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description commune au moyen de la syntaxe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x</w:t>
      </w:r>
      <w:proofErr w:type="gramStart"/>
      <w:r w:rsidRPr="0001128D">
        <w:rPr>
          <w:szCs w:val="17"/>
          <w:lang w:val="fr-FR"/>
        </w:rPr>
        <w:t>..</w:t>
      </w:r>
      <w:proofErr w:type="gramEnd"/>
      <w:r w:rsidRPr="0001128D">
        <w:rPr>
          <w:szCs w:val="17"/>
          <w:lang w:val="fr-FR"/>
        </w:rPr>
        <w:t>y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dans le descripteur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INSDFeature_location</w:t>
      </w:r>
      <w:proofErr w:type="spellEnd"/>
      <w:r w:rsidRPr="0001128D">
        <w:rPr>
          <w:rFonts w:ascii="Courier New" w:hAnsi="Courier New"/>
          <w:lang w:val="fr-FR"/>
        </w:rPr>
        <w:t xml:space="preserve"> </w:t>
      </w:r>
      <w:r w:rsidRPr="0001128D">
        <w:rPr>
          <w:szCs w:val="17"/>
          <w:lang w:val="fr-FR"/>
        </w:rPr>
        <w:t>(voir les paragraphes 65 à 71).  On trouvera des détails sur la présentation des variant</w:t>
      </w:r>
      <w:r w:rsidR="00AF6B1D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s de séquence, par exemple des suppressions, des </w:t>
      </w:r>
      <w:r w:rsidR="00D2542E" w:rsidRPr="0001128D">
        <w:rPr>
          <w:szCs w:val="17"/>
          <w:lang w:val="fr-FR"/>
        </w:rPr>
        <w:t>adjonction</w:t>
      </w:r>
      <w:r w:rsidRPr="0001128D">
        <w:rPr>
          <w:szCs w:val="17"/>
          <w:lang w:val="fr-FR"/>
        </w:rPr>
        <w:t xml:space="preserve">s ou des </w:t>
      </w:r>
      <w:r w:rsidR="0088282F" w:rsidRPr="0001128D">
        <w:rPr>
          <w:szCs w:val="17"/>
          <w:lang w:val="fr-FR"/>
        </w:rPr>
        <w:t>remplacement</w:t>
      </w:r>
      <w:r w:rsidRPr="0001128D">
        <w:rPr>
          <w:szCs w:val="17"/>
          <w:lang w:val="fr-FR"/>
        </w:rPr>
        <w:t>s, aux paragraphes 92 à 97.</w:t>
      </w:r>
    </w:p>
    <w:p w:rsidR="00541400" w:rsidRPr="0001128D" w:rsidRDefault="00541400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59" w:name="_Toc371330389"/>
      <w:bookmarkStart w:id="60" w:name="_Toc383437138"/>
      <w:bookmarkStart w:id="61" w:name="_Toc383437615"/>
      <w:bookmarkStart w:id="62" w:name="_Toc386037650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Pr</w:t>
      </w:r>
      <w:r w:rsidR="00095159"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é</w:t>
      </w:r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 xml:space="preserve">sentation </w:t>
      </w:r>
      <w:bookmarkEnd w:id="59"/>
      <w:bookmarkEnd w:id="60"/>
      <w:bookmarkEnd w:id="61"/>
      <w:r w:rsidR="00095159"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de cas particuliers</w:t>
      </w:r>
      <w:bookmarkEnd w:id="62"/>
    </w:p>
    <w:p w:rsidR="003F5C7B" w:rsidRPr="0001128D" w:rsidRDefault="0039275C" w:rsidP="00BB63FC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Toute séquence divulguée par énumération de ses résidus qui est construite comme une séquence continue et unique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ou plusieurs segments non contigus provenant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</w:t>
      </w:r>
      <w:r w:rsidR="00AF5961" w:rsidRPr="0001128D">
        <w:rPr>
          <w:szCs w:val="17"/>
          <w:lang w:val="fr-FR"/>
        </w:rPr>
        <w:t xml:space="preserve">séquence </w:t>
      </w:r>
      <w:r w:rsidRPr="0001128D">
        <w:rPr>
          <w:szCs w:val="17"/>
          <w:lang w:val="fr-FR"/>
        </w:rPr>
        <w:t xml:space="preserve">plus grande ou de segments provenant de différentes séquences doit être </w:t>
      </w:r>
      <w:r w:rsidR="0018732A" w:rsidRPr="0001128D">
        <w:rPr>
          <w:szCs w:val="17"/>
          <w:lang w:val="fr-FR"/>
        </w:rPr>
        <w:t>ajoutée au</w:t>
      </w:r>
      <w:r w:rsidR="00F9149D" w:rsidRPr="0001128D">
        <w:rPr>
          <w:szCs w:val="17"/>
          <w:lang w:val="fr-FR"/>
        </w:rPr>
        <w:t xml:space="preserve"> listage des séquences </w:t>
      </w:r>
      <w:r w:rsidR="00B91732" w:rsidRPr="0001128D">
        <w:rPr>
          <w:szCs w:val="17"/>
          <w:lang w:val="fr-FR"/>
        </w:rPr>
        <w:t>comme une séquence unique avec u</w:t>
      </w:r>
      <w:r w:rsidR="00F9149D" w:rsidRPr="0001128D">
        <w:rPr>
          <w:szCs w:val="17"/>
          <w:lang w:val="fr-FR"/>
        </w:rPr>
        <w:t>n numéro d</w:t>
      </w:r>
      <w:r w:rsidR="00A329F0" w:rsidRPr="0001128D">
        <w:rPr>
          <w:szCs w:val="17"/>
          <w:lang w:val="fr-FR"/>
        </w:rPr>
        <w:t>’</w:t>
      </w:r>
      <w:r w:rsidR="00F9149D" w:rsidRPr="0001128D">
        <w:rPr>
          <w:szCs w:val="17"/>
          <w:lang w:val="fr-FR"/>
        </w:rPr>
        <w:t>identification</w:t>
      </w:r>
      <w:r w:rsidR="00325100" w:rsidRPr="0001128D">
        <w:rPr>
          <w:szCs w:val="17"/>
          <w:lang w:val="fr-FR"/>
        </w:rPr>
        <w:t xml:space="preserve"> de séquence</w:t>
      </w:r>
      <w:r w:rsidR="00F9149D" w:rsidRPr="0001128D">
        <w:rPr>
          <w:szCs w:val="17"/>
          <w:lang w:val="fr-FR"/>
        </w:rPr>
        <w:t xml:space="preserve"> unique.</w:t>
      </w:r>
    </w:p>
    <w:p w:rsidR="00493BC8" w:rsidRPr="0001128D" w:rsidRDefault="007209A1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Toute séquence divulguée par énumération de ses résidus qui contient des régions de résidus énumérés de manière spécifique et séparés par une ou plusieurs régions de résidus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n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X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contigus </w:t>
      </w:r>
      <w:r w:rsidR="00AC5E4C" w:rsidRPr="0001128D">
        <w:rPr>
          <w:szCs w:val="17"/>
          <w:lang w:val="fr-FR"/>
        </w:rPr>
        <w:t>(voir respectivement les paragraphes 15 et 26)</w:t>
      </w:r>
      <w:r w:rsidR="008849FD" w:rsidRPr="0001128D">
        <w:rPr>
          <w:szCs w:val="17"/>
          <w:lang w:val="fr-FR"/>
        </w:rPr>
        <w:t xml:space="preserve">, et pour laquelle le nombre exact de résidus dans chaque région est divulgué, doit être </w:t>
      </w:r>
      <w:r w:rsidR="0018732A" w:rsidRPr="0001128D">
        <w:rPr>
          <w:szCs w:val="17"/>
          <w:lang w:val="fr-FR"/>
        </w:rPr>
        <w:t>ajoutée au</w:t>
      </w:r>
      <w:r w:rsidR="008849FD" w:rsidRPr="0001128D">
        <w:rPr>
          <w:szCs w:val="17"/>
          <w:lang w:val="fr-FR"/>
        </w:rPr>
        <w:t xml:space="preserve"> listage des séquences comme une séquence unique avec un numéro d</w:t>
      </w:r>
      <w:r w:rsidR="00A329F0" w:rsidRPr="0001128D">
        <w:rPr>
          <w:szCs w:val="17"/>
          <w:lang w:val="fr-FR"/>
        </w:rPr>
        <w:t>’</w:t>
      </w:r>
      <w:r w:rsidR="008849FD" w:rsidRPr="0001128D">
        <w:rPr>
          <w:szCs w:val="17"/>
          <w:lang w:val="fr-FR"/>
        </w:rPr>
        <w:t>identification de séquence unique.</w:t>
      </w:r>
    </w:p>
    <w:p w:rsidR="008A6637" w:rsidRPr="0001128D" w:rsidRDefault="00531B15" w:rsidP="006423B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Toute séquence divulguée par énumération de ses résidus qui contient des régions de résidus énumérés de manière spécifique et séparés par un</w:t>
      </w:r>
      <w:r w:rsidR="00D73E07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 ou plusieurs</w:t>
      </w:r>
      <w:r w:rsidR="001A2343" w:rsidRPr="0001128D">
        <w:rPr>
          <w:szCs w:val="17"/>
          <w:lang w:val="fr-FR"/>
        </w:rPr>
        <w:t xml:space="preserve"> </w:t>
      </w:r>
      <w:r w:rsidR="00D73E07" w:rsidRPr="0001128D">
        <w:rPr>
          <w:szCs w:val="17"/>
          <w:lang w:val="fr-FR"/>
        </w:rPr>
        <w:t xml:space="preserve">brèches </w:t>
      </w:r>
      <w:r w:rsidR="001A2343" w:rsidRPr="0001128D">
        <w:rPr>
          <w:szCs w:val="17"/>
          <w:lang w:val="fr-FR"/>
        </w:rPr>
        <w:t>composé</w:t>
      </w:r>
      <w:r w:rsidR="00D73E07" w:rsidRPr="0001128D">
        <w:rPr>
          <w:szCs w:val="17"/>
          <w:lang w:val="fr-FR"/>
        </w:rPr>
        <w:t>e</w:t>
      </w:r>
      <w:r w:rsidR="001A2343" w:rsidRPr="0001128D">
        <w:rPr>
          <w:szCs w:val="17"/>
          <w:lang w:val="fr-FR"/>
        </w:rPr>
        <w:t>s d</w:t>
      </w:r>
      <w:r w:rsidR="00A329F0" w:rsidRPr="0001128D">
        <w:rPr>
          <w:szCs w:val="17"/>
          <w:lang w:val="fr-FR"/>
        </w:rPr>
        <w:t>’</w:t>
      </w:r>
      <w:r w:rsidR="001A2343" w:rsidRPr="0001128D">
        <w:rPr>
          <w:szCs w:val="17"/>
          <w:lang w:val="fr-FR"/>
        </w:rPr>
        <w:t>un nombre inconnu ou non divulgué de résidus</w:t>
      </w:r>
      <w:r w:rsidR="006423BA" w:rsidRPr="0001128D">
        <w:rPr>
          <w:szCs w:val="17"/>
          <w:lang w:val="fr-FR"/>
        </w:rPr>
        <w:t xml:space="preserve"> doit être insérée dans le listage des séquences comme</w:t>
      </w:r>
      <w:r w:rsidR="00643BF2" w:rsidRPr="0001128D">
        <w:rPr>
          <w:szCs w:val="17"/>
          <w:lang w:val="fr-FR"/>
        </w:rPr>
        <w:t xml:space="preserve"> une série</w:t>
      </w:r>
      <w:r w:rsidR="006423BA" w:rsidRPr="0001128D">
        <w:rPr>
          <w:szCs w:val="17"/>
          <w:lang w:val="fr-FR"/>
        </w:rPr>
        <w:t xml:space="preserve"> </w:t>
      </w:r>
      <w:r w:rsidR="00643BF2" w:rsidRPr="0001128D">
        <w:rPr>
          <w:szCs w:val="17"/>
          <w:lang w:val="fr-FR"/>
        </w:rPr>
        <w:t>de</w:t>
      </w:r>
      <w:r w:rsidR="006423BA" w:rsidRPr="0001128D">
        <w:rPr>
          <w:szCs w:val="17"/>
          <w:lang w:val="fr-FR"/>
        </w:rPr>
        <w:t xml:space="preserve"> séquences distinctes</w:t>
      </w:r>
      <w:r w:rsidR="00643BF2" w:rsidRPr="0001128D">
        <w:rPr>
          <w:szCs w:val="17"/>
          <w:lang w:val="fr-FR"/>
        </w:rPr>
        <w:t xml:space="preserve">.  </w:t>
      </w:r>
      <w:r w:rsidR="00C21A97" w:rsidRPr="0001128D">
        <w:rPr>
          <w:szCs w:val="17"/>
          <w:lang w:val="fr-FR"/>
        </w:rPr>
        <w:t>Chacune de ces séquences distinctes doit comporter une région de résidus énumérés de manière spécifique et disposer de son propre numéro d</w:t>
      </w:r>
      <w:r w:rsidR="00A329F0" w:rsidRPr="0001128D">
        <w:rPr>
          <w:szCs w:val="17"/>
          <w:lang w:val="fr-FR"/>
        </w:rPr>
        <w:t>’</w:t>
      </w:r>
      <w:r w:rsidR="00C21A97" w:rsidRPr="0001128D">
        <w:rPr>
          <w:szCs w:val="17"/>
          <w:lang w:val="fr-FR"/>
        </w:rPr>
        <w:t xml:space="preserve">identification de séquence.  </w:t>
      </w:r>
      <w:r w:rsidR="00545726" w:rsidRPr="0001128D">
        <w:rPr>
          <w:szCs w:val="17"/>
          <w:lang w:val="fr-FR"/>
        </w:rPr>
        <w:t xml:space="preserve">Le nombre de séquences distinctes doit ainsi être égal au nombre de régions de résidus énumérés de manière spécifique.  </w:t>
      </w:r>
      <w:r w:rsidR="00DA7F9F" w:rsidRPr="0001128D">
        <w:rPr>
          <w:szCs w:val="17"/>
          <w:lang w:val="fr-FR"/>
        </w:rPr>
        <w:t xml:space="preserve">Les séquences contenant des </w:t>
      </w:r>
      <w:r w:rsidR="00D73E07" w:rsidRPr="0001128D">
        <w:rPr>
          <w:szCs w:val="17"/>
          <w:lang w:val="fr-FR"/>
        </w:rPr>
        <w:t>brèches</w:t>
      </w:r>
      <w:r w:rsidR="00DA7F9F" w:rsidRPr="0001128D">
        <w:rPr>
          <w:szCs w:val="17"/>
          <w:lang w:val="fr-FR"/>
        </w:rPr>
        <w:t xml:space="preserve"> composé</w:t>
      </w:r>
      <w:r w:rsidR="00D73E07" w:rsidRPr="0001128D">
        <w:rPr>
          <w:szCs w:val="17"/>
          <w:lang w:val="fr-FR"/>
        </w:rPr>
        <w:t>e</w:t>
      </w:r>
      <w:r w:rsidR="00DA7F9F" w:rsidRPr="0001128D">
        <w:rPr>
          <w:szCs w:val="17"/>
          <w:lang w:val="fr-FR"/>
        </w:rPr>
        <w:t>s d</w:t>
      </w:r>
      <w:r w:rsidR="00A329F0" w:rsidRPr="0001128D">
        <w:rPr>
          <w:szCs w:val="17"/>
          <w:lang w:val="fr-FR"/>
        </w:rPr>
        <w:t>’</w:t>
      </w:r>
      <w:r w:rsidR="00DA7F9F" w:rsidRPr="0001128D">
        <w:rPr>
          <w:szCs w:val="17"/>
          <w:lang w:val="fr-FR"/>
        </w:rPr>
        <w:t xml:space="preserve">un nombre inconnu ou non divulgué de résidus ne doivent pas être </w:t>
      </w:r>
      <w:r w:rsidR="0018732A" w:rsidRPr="0001128D">
        <w:rPr>
          <w:szCs w:val="17"/>
          <w:lang w:val="fr-FR"/>
        </w:rPr>
        <w:t xml:space="preserve">ajoutées au </w:t>
      </w:r>
      <w:r w:rsidR="00DA7F9F" w:rsidRPr="0001128D">
        <w:rPr>
          <w:szCs w:val="17"/>
          <w:lang w:val="fr-FR"/>
        </w:rPr>
        <w:t>listage des séquences en tant que séquences uniques.</w:t>
      </w:r>
    </w:p>
    <w:p w:rsidR="003F5C7B" w:rsidRPr="0001128D" w:rsidRDefault="00BF5D0A" w:rsidP="001B4F8F">
      <w:pPr>
        <w:pStyle w:val="Heading2"/>
        <w:keepLines/>
        <w:widowControl/>
        <w:kinsoku/>
        <w:spacing w:before="170" w:after="170"/>
        <w:rPr>
          <w:rFonts w:eastAsia="Times New Roman" w:cs="Times New Roman"/>
          <w:bCs w:val="0"/>
          <w:i w:val="0"/>
          <w:iCs w:val="0"/>
          <w:caps/>
          <w:sz w:val="17"/>
          <w:szCs w:val="20"/>
          <w:lang w:val="fr-FR" w:eastAsia="en-US"/>
        </w:rPr>
      </w:pPr>
      <w:bookmarkStart w:id="63" w:name="_Toc371330390"/>
      <w:bookmarkStart w:id="64" w:name="_Toc383437139"/>
      <w:bookmarkStart w:id="65" w:name="_Toc383437616"/>
      <w:bookmarkStart w:id="66" w:name="_Toc386037651"/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 xml:space="preserve">STRUCTURE </w:t>
      </w:r>
      <w:r w:rsidR="00B11432"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>DU LISTAGE DE SÉQUENCES EN</w:t>
      </w:r>
      <w:r w:rsidRPr="0001128D">
        <w:rPr>
          <w:rFonts w:eastAsia="Times New Roman" w:cs="Times New Roman"/>
          <w:bCs w:val="0"/>
          <w:i w:val="0"/>
          <w:iCs w:val="0"/>
          <w:sz w:val="17"/>
          <w:szCs w:val="20"/>
          <w:lang w:val="fr-FR" w:eastAsia="en-US"/>
        </w:rPr>
        <w:t xml:space="preserve"> XML</w:t>
      </w:r>
      <w:bookmarkEnd w:id="63"/>
      <w:bookmarkEnd w:id="64"/>
      <w:bookmarkEnd w:id="65"/>
      <w:bookmarkEnd w:id="66"/>
    </w:p>
    <w:p w:rsidR="00B11432" w:rsidRPr="0001128D" w:rsidRDefault="00FB07E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En application du paragraphe 5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dessus,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instance XML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fichier de listage des séquences conforme à la présente norme se compose des éléments suivants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A329F0" w:rsidRPr="0001128D" w:rsidRDefault="00FB07EA" w:rsidP="00FB07EA">
      <w:pPr>
        <w:pStyle w:val="List0R"/>
        <w:numPr>
          <w:ilvl w:val="0"/>
          <w:numId w:val="19"/>
        </w:numPr>
        <w:tabs>
          <w:tab w:val="left" w:pos="1134"/>
        </w:tabs>
        <w:ind w:left="0" w:firstLine="567"/>
        <w:rPr>
          <w:szCs w:val="17"/>
          <w:lang w:val="fr-FR"/>
        </w:rPr>
      </w:pPr>
      <w:r w:rsidRPr="0001128D">
        <w:rPr>
          <w:szCs w:val="17"/>
          <w:lang w:val="fr-FR"/>
        </w:rPr>
        <w:t>une partie consacrée aux informations générales, qui contient des informations sur la demande de brevet à laquelle se rapporte le listage des séquences;  et</w:t>
      </w:r>
    </w:p>
    <w:p w:rsidR="007A3CB6" w:rsidRPr="0001128D" w:rsidRDefault="00F12D0A" w:rsidP="00F12D0A">
      <w:pPr>
        <w:pStyle w:val="List0R"/>
        <w:numPr>
          <w:ilvl w:val="0"/>
          <w:numId w:val="19"/>
        </w:numPr>
        <w:tabs>
          <w:tab w:val="left" w:pos="1134"/>
        </w:tabs>
        <w:ind w:left="0" w:firstLine="567"/>
        <w:rPr>
          <w:szCs w:val="17"/>
          <w:lang w:val="fr-FR"/>
        </w:rPr>
      </w:pPr>
      <w:r w:rsidRPr="0001128D">
        <w:rPr>
          <w:szCs w:val="17"/>
          <w:lang w:val="fr-FR"/>
        </w:rPr>
        <w:t>une partie consacrée aux données des séquences, qui contient un ou plusieurs éléments de données sur les séquences, chacun de ces éléments contenant des informations sur une seule séquence.</w:t>
      </w:r>
    </w:p>
    <w:p w:rsidR="00A329F0" w:rsidRPr="0001128D" w:rsidRDefault="00F12D0A" w:rsidP="00D402C5">
      <w:pPr>
        <w:pStyle w:val="ParagraphList"/>
        <w:numPr>
          <w:ilvl w:val="0"/>
          <w:numId w:val="0"/>
        </w:numPr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 xml:space="preserve">On trouvera un exemple </w:t>
      </w:r>
      <w:r w:rsidR="00226D9E" w:rsidRPr="0001128D">
        <w:rPr>
          <w:sz w:val="17"/>
          <w:szCs w:val="17"/>
          <w:lang w:val="fr-FR"/>
        </w:rPr>
        <w:t>de listage de</w:t>
      </w:r>
      <w:r w:rsidRPr="0001128D">
        <w:rPr>
          <w:sz w:val="17"/>
          <w:szCs w:val="17"/>
          <w:lang w:val="fr-FR"/>
        </w:rPr>
        <w:t xml:space="preserve"> séquences dans l</w:t>
      </w:r>
      <w:r w:rsidR="00A329F0" w:rsidRPr="0001128D">
        <w:rPr>
          <w:sz w:val="17"/>
          <w:szCs w:val="17"/>
          <w:lang w:val="fr-FR"/>
        </w:rPr>
        <w:t>’</w:t>
      </w:r>
      <w:r w:rsidRPr="0001128D">
        <w:rPr>
          <w:sz w:val="17"/>
          <w:szCs w:val="17"/>
          <w:lang w:val="fr-FR"/>
        </w:rPr>
        <w:t>a</w:t>
      </w:r>
      <w:r w:rsidR="00DD739C" w:rsidRPr="0001128D">
        <w:rPr>
          <w:sz w:val="17"/>
          <w:szCs w:val="17"/>
          <w:lang w:val="fr-FR"/>
        </w:rPr>
        <w:t>nnex</w:t>
      </w:r>
      <w:r w:rsidRPr="0001128D">
        <w:rPr>
          <w:sz w:val="17"/>
          <w:szCs w:val="17"/>
          <w:lang w:val="fr-FR"/>
        </w:rPr>
        <w:t>e </w:t>
      </w:r>
      <w:r w:rsidR="00DD739C" w:rsidRPr="0001128D">
        <w:rPr>
          <w:sz w:val="17"/>
          <w:szCs w:val="17"/>
          <w:lang w:val="fr-FR"/>
        </w:rPr>
        <w:t>III</w:t>
      </w:r>
      <w:r w:rsidR="007A3CB6" w:rsidRPr="0001128D">
        <w:rPr>
          <w:sz w:val="17"/>
          <w:szCs w:val="17"/>
          <w:lang w:val="fr-FR"/>
        </w:rPr>
        <w:t>.</w:t>
      </w:r>
    </w:p>
    <w:p w:rsidR="00413154" w:rsidRPr="0001128D" w:rsidRDefault="00226D9E" w:rsidP="00F12D0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 listage des séquences doit être présenté au format XML 1.0 en employant</w:t>
      </w:r>
      <w:r w:rsidR="00A329F0" w:rsidRPr="0001128D">
        <w:rPr>
          <w:szCs w:val="17"/>
          <w:lang w:val="fr-FR"/>
        </w:rPr>
        <w:t xml:space="preserve"> la DTD</w:t>
      </w:r>
      <w:r w:rsidRPr="0001128D">
        <w:rPr>
          <w:szCs w:val="17"/>
          <w:lang w:val="fr-FR"/>
        </w:rPr>
        <w:t xml:space="preserve"> définie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</w:t>
      </w:r>
      <w:r w:rsidR="00EB7C3B" w:rsidRPr="0001128D">
        <w:rPr>
          <w:szCs w:val="17"/>
          <w:lang w:val="fr-FR"/>
        </w:rPr>
        <w:t xml:space="preserve">exe II intitulée </w:t>
      </w:r>
      <w:r w:rsidR="00745EE5" w:rsidRPr="0001128D">
        <w:rPr>
          <w:szCs w:val="17"/>
          <w:lang w:val="fr-FR"/>
        </w:rPr>
        <w:t>“</w:t>
      </w:r>
      <w:r w:rsidR="00EB7C3B" w:rsidRPr="0001128D">
        <w:rPr>
          <w:szCs w:val="17"/>
          <w:lang w:val="fr-FR"/>
        </w:rPr>
        <w:t>Définition de</w:t>
      </w:r>
      <w:r w:rsidRPr="0001128D">
        <w:rPr>
          <w:szCs w:val="17"/>
          <w:lang w:val="fr-FR"/>
        </w:rPr>
        <w:t xml:space="preserve"> type de document pour le listage des séquences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>.</w:t>
      </w:r>
    </w:p>
    <w:p w:rsidR="00BF46FC" w:rsidRPr="0001128D" w:rsidRDefault="00226D9E" w:rsidP="008B4E62">
      <w:pPr>
        <w:pStyle w:val="List0R"/>
        <w:numPr>
          <w:ilvl w:val="0"/>
          <w:numId w:val="20"/>
        </w:numPr>
        <w:tabs>
          <w:tab w:val="left" w:pos="1134"/>
        </w:tabs>
        <w:ind w:left="0" w:firstLine="567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La première ligne </w:t>
      </w:r>
      <w:r w:rsidR="00322830" w:rsidRPr="0001128D">
        <w:rPr>
          <w:szCs w:val="17"/>
          <w:lang w:val="fr-FR"/>
        </w:rPr>
        <w:t>de l</w:t>
      </w:r>
      <w:r w:rsidR="00A329F0" w:rsidRPr="0001128D">
        <w:rPr>
          <w:szCs w:val="17"/>
          <w:lang w:val="fr-FR"/>
        </w:rPr>
        <w:t>’</w:t>
      </w:r>
      <w:r w:rsidR="00322830" w:rsidRPr="0001128D">
        <w:rPr>
          <w:szCs w:val="17"/>
          <w:lang w:val="fr-FR"/>
        </w:rPr>
        <w:t xml:space="preserve">instance </w:t>
      </w:r>
      <w:r w:rsidR="00BF46FC" w:rsidRPr="0001128D">
        <w:rPr>
          <w:szCs w:val="17"/>
          <w:lang w:val="fr-FR"/>
        </w:rPr>
        <w:t xml:space="preserve">XML </w:t>
      </w:r>
      <w:r w:rsidRPr="0001128D">
        <w:rPr>
          <w:szCs w:val="17"/>
          <w:lang w:val="fr-FR"/>
        </w:rPr>
        <w:t>doit contenir la déclaration du format</w:t>
      </w:r>
      <w:r w:rsidR="00D878A9" w:rsidRPr="0001128D">
        <w:rPr>
          <w:szCs w:val="17"/>
          <w:lang w:val="fr-FR"/>
        </w:rPr>
        <w:t xml:space="preserve"> XML</w:t>
      </w:r>
      <w:r w:rsidR="00745EE5" w:rsidRPr="0001128D">
        <w:rPr>
          <w:szCs w:val="17"/>
          <w:lang w:val="fr-FR"/>
        </w:rPr>
        <w:t> </w:t>
      </w:r>
      <w:r w:rsidR="00BF46FC" w:rsidRPr="0001128D">
        <w:rPr>
          <w:szCs w:val="17"/>
          <w:lang w:val="fr-FR"/>
        </w:rPr>
        <w:t>:</w:t>
      </w:r>
    </w:p>
    <w:p w:rsidR="003515E9" w:rsidRPr="0001128D" w:rsidRDefault="003515E9" w:rsidP="00094A3D">
      <w:pPr>
        <w:ind w:left="567"/>
        <w:rPr>
          <w:rFonts w:ascii="Courier New" w:hAnsi="Courier New"/>
          <w:sz w:val="17"/>
          <w:lang w:val="fr-FR"/>
        </w:rPr>
      </w:pPr>
      <w:proofErr w:type="gramStart"/>
      <w:r w:rsidRPr="0001128D">
        <w:rPr>
          <w:rFonts w:ascii="Courier New" w:hAnsi="Courier New"/>
          <w:sz w:val="17"/>
          <w:lang w:val="fr-FR"/>
        </w:rPr>
        <w:t>&lt;?</w:t>
      </w:r>
      <w:proofErr w:type="spellStart"/>
      <w:r w:rsidRPr="0001128D">
        <w:rPr>
          <w:rFonts w:ascii="Courier New" w:hAnsi="Courier New"/>
          <w:sz w:val="17"/>
          <w:lang w:val="fr-FR"/>
        </w:rPr>
        <w:t>xml</w:t>
      </w:r>
      <w:proofErr w:type="spellEnd"/>
      <w:proofErr w:type="gramEnd"/>
      <w:r w:rsidRPr="0001128D">
        <w:rPr>
          <w:rFonts w:ascii="Courier New" w:hAnsi="Courier New"/>
          <w:sz w:val="17"/>
          <w:lang w:val="fr-FR"/>
        </w:rPr>
        <w:t xml:space="preserve"> version=</w:t>
      </w:r>
      <w:r w:rsidR="007B0C3F" w:rsidRPr="0001128D">
        <w:rPr>
          <w:rFonts w:ascii="Courier New" w:hAnsi="Courier New"/>
          <w:sz w:val="17"/>
          <w:lang w:val="fr-FR"/>
        </w:rPr>
        <w:t>“</w:t>
      </w:r>
      <w:r w:rsidRPr="0001128D">
        <w:rPr>
          <w:rFonts w:ascii="Courier New" w:hAnsi="Courier New"/>
          <w:sz w:val="17"/>
          <w:lang w:val="fr-FR"/>
        </w:rPr>
        <w:t>1.0</w:t>
      </w:r>
      <w:r w:rsidR="007B0C3F" w:rsidRPr="0001128D">
        <w:rPr>
          <w:rFonts w:ascii="Courier New" w:hAnsi="Courier New"/>
          <w:sz w:val="17"/>
          <w:lang w:val="fr-FR"/>
        </w:rPr>
        <w:t>”</w:t>
      </w:r>
      <w:r w:rsidRPr="0001128D">
        <w:rPr>
          <w:rFonts w:ascii="Courier New" w:hAnsi="Courier New"/>
          <w:sz w:val="17"/>
          <w:lang w:val="fr-FR"/>
        </w:rPr>
        <w:t xml:space="preserve"> </w:t>
      </w:r>
      <w:proofErr w:type="spellStart"/>
      <w:r w:rsidRPr="0001128D">
        <w:rPr>
          <w:rFonts w:ascii="Courier New" w:hAnsi="Courier New"/>
          <w:sz w:val="17"/>
          <w:lang w:val="fr-FR"/>
        </w:rPr>
        <w:t>encoding</w:t>
      </w:r>
      <w:proofErr w:type="spellEnd"/>
      <w:r w:rsidRPr="0001128D">
        <w:rPr>
          <w:rFonts w:ascii="Courier New" w:hAnsi="Courier New"/>
          <w:sz w:val="17"/>
          <w:lang w:val="fr-FR"/>
        </w:rPr>
        <w:t>=</w:t>
      </w:r>
      <w:r w:rsidR="007B0C3F" w:rsidRPr="0001128D">
        <w:rPr>
          <w:rFonts w:ascii="Courier New" w:hAnsi="Courier New"/>
          <w:sz w:val="17"/>
          <w:lang w:val="fr-FR"/>
        </w:rPr>
        <w:t>“</w:t>
      </w:r>
      <w:r w:rsidRPr="0001128D">
        <w:rPr>
          <w:rFonts w:ascii="Courier New" w:hAnsi="Courier New"/>
          <w:sz w:val="17"/>
          <w:lang w:val="fr-FR"/>
        </w:rPr>
        <w:t>UTF</w:t>
      </w:r>
      <w:r w:rsidR="00265B44" w:rsidRPr="0001128D">
        <w:rPr>
          <w:rFonts w:ascii="Courier New" w:hAnsi="Courier New"/>
          <w:sz w:val="17"/>
          <w:lang w:val="fr-FR"/>
        </w:rPr>
        <w:noBreakHyphen/>
      </w:r>
      <w:r w:rsidRPr="0001128D">
        <w:rPr>
          <w:rFonts w:ascii="Courier New" w:hAnsi="Courier New"/>
          <w:sz w:val="17"/>
          <w:lang w:val="fr-FR"/>
        </w:rPr>
        <w:t>8</w:t>
      </w:r>
      <w:r w:rsidR="007B0C3F" w:rsidRPr="0001128D">
        <w:rPr>
          <w:rFonts w:ascii="Courier New" w:hAnsi="Courier New"/>
          <w:sz w:val="17"/>
          <w:lang w:val="fr-FR"/>
        </w:rPr>
        <w:t>”</w:t>
      </w:r>
      <w:r w:rsidRPr="0001128D">
        <w:rPr>
          <w:rFonts w:ascii="Courier New" w:hAnsi="Courier New"/>
          <w:sz w:val="17"/>
          <w:lang w:val="fr-FR"/>
        </w:rPr>
        <w:t>?&gt;.</w:t>
      </w:r>
    </w:p>
    <w:p w:rsidR="000F4EB2" w:rsidRPr="0001128D" w:rsidRDefault="000F4EB2" w:rsidP="00094A3D">
      <w:pPr>
        <w:ind w:left="567"/>
        <w:rPr>
          <w:sz w:val="17"/>
          <w:lang w:val="fr-FR"/>
        </w:rPr>
      </w:pPr>
    </w:p>
    <w:p w:rsidR="003C0734" w:rsidRPr="0001128D" w:rsidRDefault="00226D9E" w:rsidP="008B4E62">
      <w:pPr>
        <w:pStyle w:val="List0R"/>
        <w:numPr>
          <w:ilvl w:val="0"/>
          <w:numId w:val="20"/>
        </w:numPr>
        <w:tabs>
          <w:tab w:val="left" w:pos="1134"/>
        </w:tabs>
        <w:ind w:left="0" w:firstLine="567"/>
        <w:rPr>
          <w:szCs w:val="17"/>
          <w:lang w:val="fr-FR"/>
        </w:rPr>
      </w:pPr>
      <w:bookmarkStart w:id="67" w:name="_Ref380782129"/>
      <w:r w:rsidRPr="0001128D">
        <w:rPr>
          <w:szCs w:val="17"/>
          <w:lang w:val="fr-FR"/>
        </w:rPr>
        <w:t>La deuxième</w:t>
      </w:r>
      <w:r w:rsidR="00AE1B7B" w:rsidRPr="0001128D">
        <w:rPr>
          <w:szCs w:val="17"/>
          <w:lang w:val="fr-FR"/>
        </w:rPr>
        <w:t xml:space="preserve"> ligne </w:t>
      </w:r>
      <w:r w:rsidR="00322830" w:rsidRPr="0001128D">
        <w:rPr>
          <w:szCs w:val="17"/>
          <w:lang w:val="fr-FR"/>
        </w:rPr>
        <w:t>de l</w:t>
      </w:r>
      <w:r w:rsidR="00A329F0" w:rsidRPr="0001128D">
        <w:rPr>
          <w:szCs w:val="17"/>
          <w:lang w:val="fr-FR"/>
        </w:rPr>
        <w:t>’</w:t>
      </w:r>
      <w:r w:rsidR="00322830" w:rsidRPr="0001128D">
        <w:rPr>
          <w:szCs w:val="17"/>
          <w:lang w:val="fr-FR"/>
        </w:rPr>
        <w:t>instance</w:t>
      </w:r>
      <w:r w:rsidRPr="0001128D">
        <w:rPr>
          <w:szCs w:val="17"/>
          <w:lang w:val="fr-FR"/>
        </w:rPr>
        <w:t xml:space="preserve"> XML doit contenir</w:t>
      </w:r>
      <w:r w:rsidR="00D878A9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une déclaration d</w:t>
      </w:r>
      <w:r w:rsidR="00307B72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 type de document</w:t>
      </w:r>
      <w:r w:rsidR="003B4723" w:rsidRPr="0001128D">
        <w:rPr>
          <w:szCs w:val="17"/>
          <w:lang w:val="fr-FR"/>
        </w:rPr>
        <w:t xml:space="preserve"> (</w:t>
      </w:r>
      <w:r w:rsidR="00D878A9" w:rsidRPr="0001128D">
        <w:rPr>
          <w:szCs w:val="17"/>
          <w:lang w:val="fr-FR"/>
        </w:rPr>
        <w:t>DOCTYPE</w:t>
      </w:r>
      <w:r w:rsidR="003B4723" w:rsidRPr="0001128D">
        <w:rPr>
          <w:szCs w:val="17"/>
          <w:lang w:val="fr-FR"/>
        </w:rPr>
        <w:t>)</w:t>
      </w:r>
      <w:r w:rsidR="00745EE5" w:rsidRPr="0001128D">
        <w:rPr>
          <w:szCs w:val="17"/>
          <w:lang w:val="fr-FR"/>
        </w:rPr>
        <w:t> :</w:t>
      </w:r>
      <w:bookmarkEnd w:id="67"/>
    </w:p>
    <w:p w:rsidR="00661E32" w:rsidRPr="00917901" w:rsidRDefault="002943D1" w:rsidP="00094A3D">
      <w:pPr>
        <w:ind w:left="567"/>
        <w:rPr>
          <w:rFonts w:ascii="Courier New" w:hAnsi="Courier New"/>
          <w:sz w:val="17"/>
        </w:rPr>
      </w:pPr>
      <w:proofErr w:type="gramStart"/>
      <w:r w:rsidRPr="00917901">
        <w:rPr>
          <w:rFonts w:ascii="Courier New" w:hAnsi="Courier New"/>
          <w:sz w:val="17"/>
        </w:rPr>
        <w:t>&lt;!DOCTYPE</w:t>
      </w:r>
      <w:proofErr w:type="gramEnd"/>
      <w:r w:rsidRPr="00917901">
        <w:rPr>
          <w:rFonts w:ascii="Courier New" w:hAnsi="Courier New"/>
          <w:sz w:val="17"/>
        </w:rPr>
        <w:t xml:space="preserve"> ST26SequenceListing PUBLIC </w:t>
      </w:r>
      <w:r w:rsidR="007B0C3F" w:rsidRPr="00917901">
        <w:rPr>
          <w:rFonts w:ascii="Courier New" w:hAnsi="Courier New"/>
          <w:sz w:val="17"/>
        </w:rPr>
        <w:t>“</w:t>
      </w:r>
      <w:r w:rsidR="00265B44" w:rsidRPr="00917901">
        <w:rPr>
          <w:rFonts w:ascii="Courier New" w:hAnsi="Courier New"/>
          <w:sz w:val="17"/>
        </w:rPr>
        <w:noBreakHyphen/>
      </w:r>
      <w:r w:rsidRPr="00917901">
        <w:rPr>
          <w:rFonts w:ascii="Courier New" w:hAnsi="Courier New"/>
          <w:sz w:val="17"/>
        </w:rPr>
        <w:t>//WIPO//DTD Sequence Listing 1.0//EN</w:t>
      </w:r>
      <w:r w:rsidR="007B0C3F" w:rsidRPr="00917901">
        <w:rPr>
          <w:rFonts w:ascii="Courier New" w:hAnsi="Courier New"/>
          <w:sz w:val="17"/>
        </w:rPr>
        <w:t>”</w:t>
      </w:r>
      <w:r w:rsidRPr="00917901">
        <w:rPr>
          <w:rFonts w:ascii="Courier New" w:hAnsi="Courier New"/>
          <w:sz w:val="17"/>
        </w:rPr>
        <w:t xml:space="preserve"> </w:t>
      </w:r>
      <w:r w:rsidR="007B0C3F" w:rsidRPr="00917901">
        <w:rPr>
          <w:rFonts w:ascii="Courier New" w:hAnsi="Courier New"/>
          <w:sz w:val="17"/>
        </w:rPr>
        <w:t>“</w:t>
      </w:r>
      <w:r w:rsidRPr="00917901">
        <w:rPr>
          <w:rFonts w:ascii="Courier New" w:hAnsi="Courier New"/>
          <w:sz w:val="17"/>
        </w:rPr>
        <w:t>ST26SequenceListing_V1_0.dtd</w:t>
      </w:r>
      <w:r w:rsidR="007B0C3F" w:rsidRPr="00917901">
        <w:rPr>
          <w:rFonts w:ascii="Courier New" w:hAnsi="Courier New"/>
          <w:sz w:val="17"/>
        </w:rPr>
        <w:t>”</w:t>
      </w:r>
      <w:r w:rsidRPr="00917901">
        <w:rPr>
          <w:rFonts w:ascii="Courier New" w:hAnsi="Courier New"/>
          <w:sz w:val="17"/>
        </w:rPr>
        <w:t>&gt;</w:t>
      </w:r>
      <w:r w:rsidR="001F3091" w:rsidRPr="00917901">
        <w:rPr>
          <w:rFonts w:ascii="Courier New" w:hAnsi="Courier New"/>
          <w:sz w:val="17"/>
        </w:rPr>
        <w:t>.</w:t>
      </w:r>
    </w:p>
    <w:p w:rsidR="00094A3D" w:rsidRPr="00917901" w:rsidRDefault="00094A3D" w:rsidP="00094A3D">
      <w:pPr>
        <w:ind w:left="567"/>
        <w:rPr>
          <w:sz w:val="17"/>
        </w:rPr>
      </w:pPr>
    </w:p>
    <w:p w:rsidR="00FB6E3B" w:rsidRPr="0001128D" w:rsidRDefault="00D9045B" w:rsidP="00226D9E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68" w:name="_Ref371513124"/>
      <w:r w:rsidRPr="0001128D">
        <w:rPr>
          <w:szCs w:val="17"/>
          <w:lang w:val="fr-FR"/>
        </w:rPr>
        <w:t>L</w:t>
      </w:r>
      <w:r w:rsidR="00213024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 listage des séquences au format électronique doit </w:t>
      </w:r>
      <w:r w:rsidR="00C22B48" w:rsidRPr="0001128D">
        <w:rPr>
          <w:szCs w:val="17"/>
          <w:lang w:val="fr-FR"/>
        </w:rPr>
        <w:t xml:space="preserve">être </w:t>
      </w:r>
      <w:r w:rsidR="00213024" w:rsidRPr="0001128D">
        <w:rPr>
          <w:szCs w:val="17"/>
          <w:lang w:val="fr-FR"/>
        </w:rPr>
        <w:t xml:space="preserve">entièrement </w:t>
      </w:r>
      <w:r w:rsidR="00C22B48" w:rsidRPr="0001128D">
        <w:rPr>
          <w:szCs w:val="17"/>
          <w:lang w:val="fr-FR"/>
        </w:rPr>
        <w:t xml:space="preserve">contenu </w:t>
      </w:r>
      <w:r w:rsidRPr="0001128D">
        <w:rPr>
          <w:szCs w:val="17"/>
          <w:lang w:val="fr-FR"/>
        </w:rPr>
        <w:t>dans un seul fichier.  Celui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ci doit être codé selon la norme Unicode UTF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8, avec les restrictions suivantes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  <w:bookmarkEnd w:id="68"/>
    </w:p>
    <w:p w:rsidR="00B15B13" w:rsidRPr="0001128D" w:rsidRDefault="00B15B13" w:rsidP="008B4E62">
      <w:pPr>
        <w:pStyle w:val="List0R"/>
        <w:numPr>
          <w:ilvl w:val="0"/>
          <w:numId w:val="21"/>
        </w:numPr>
        <w:tabs>
          <w:tab w:val="left" w:pos="1134"/>
        </w:tabs>
        <w:ind w:left="0" w:firstLine="567"/>
        <w:rPr>
          <w:lang w:val="fr-FR"/>
        </w:rPr>
      </w:pPr>
      <w:bookmarkStart w:id="69" w:name="_Ref371513135"/>
      <w:r w:rsidRPr="0001128D">
        <w:rPr>
          <w:lang w:val="fr-FR"/>
        </w:rPr>
        <w:t xml:space="preserve">les informations figurant dans les éléments </w:t>
      </w:r>
      <w:proofErr w:type="spellStart"/>
      <w:r w:rsidRPr="0001128D">
        <w:rPr>
          <w:rFonts w:ascii="Courier New" w:hAnsi="Courier New"/>
          <w:lang w:val="fr-FR"/>
        </w:rPr>
        <w:t>ApplicantName</w:t>
      </w:r>
      <w:proofErr w:type="spellEnd"/>
      <w:r w:rsidRPr="0001128D">
        <w:rPr>
          <w:lang w:val="fr-FR"/>
        </w:rPr>
        <w:t xml:space="preserve">, </w:t>
      </w:r>
      <w:proofErr w:type="spellStart"/>
      <w:r w:rsidRPr="0001128D">
        <w:rPr>
          <w:rFonts w:ascii="Courier New" w:hAnsi="Courier New"/>
          <w:lang w:val="fr-FR"/>
        </w:rPr>
        <w:t>InventorName</w:t>
      </w:r>
      <w:proofErr w:type="spellEnd"/>
      <w:r w:rsidRPr="0001128D">
        <w:rPr>
          <w:lang w:val="fr-FR"/>
        </w:rPr>
        <w:t xml:space="preserve"> et </w:t>
      </w:r>
      <w:proofErr w:type="spellStart"/>
      <w:r w:rsidRPr="0001128D">
        <w:rPr>
          <w:rFonts w:ascii="Courier New" w:hAnsi="Courier New"/>
          <w:lang w:val="fr-FR"/>
        </w:rPr>
        <w:t>InventionTitle</w:t>
      </w:r>
      <w:proofErr w:type="spellEnd"/>
      <w:r w:rsidRPr="0001128D">
        <w:rPr>
          <w:lang w:val="fr-FR"/>
        </w:rPr>
        <w:t xml:space="preserve"> dans la partie consacrée aux informations générales peuvent comporter n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importe quel caractère Unicode à l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exception des caractères réservés, qui doivent être remplacés selon la méthode décrite au paragraphe 41;</w:t>
      </w:r>
    </w:p>
    <w:p w:rsidR="00FB6E3B" w:rsidRPr="0001128D" w:rsidRDefault="00B15B13" w:rsidP="00B15B13">
      <w:pPr>
        <w:pStyle w:val="List0R"/>
        <w:numPr>
          <w:ilvl w:val="0"/>
          <w:numId w:val="21"/>
        </w:numPr>
        <w:tabs>
          <w:tab w:val="left" w:pos="1134"/>
        </w:tabs>
        <w:ind w:left="0" w:firstLine="567"/>
        <w:rPr>
          <w:lang w:val="fr-FR"/>
        </w:rPr>
      </w:pPr>
      <w:bookmarkStart w:id="70" w:name="_Ref371513189"/>
      <w:bookmarkEnd w:id="69"/>
      <w:r w:rsidRPr="0001128D">
        <w:rPr>
          <w:lang w:val="fr-FR"/>
        </w:rPr>
        <w:t>les informations figurant dans tous les autres éléments de la partie consacrée aux informations générales et dans tous les éléments de la partie sur les données des séquences</w:t>
      </w:r>
      <w:bookmarkEnd w:id="70"/>
    </w:p>
    <w:p w:rsidR="009A7B6C" w:rsidRPr="0001128D" w:rsidRDefault="00B15B13" w:rsidP="009A7B6C">
      <w:pPr>
        <w:pStyle w:val="ListParagraph"/>
        <w:numPr>
          <w:ilvl w:val="1"/>
          <w:numId w:val="8"/>
        </w:numPr>
        <w:rPr>
          <w:sz w:val="17"/>
          <w:szCs w:val="17"/>
          <w:lang w:val="fr-FR"/>
        </w:rPr>
      </w:pPr>
      <w:r w:rsidRPr="0001128D">
        <w:rPr>
          <w:sz w:val="17"/>
          <w:lang w:val="fr-FR"/>
        </w:rPr>
        <w:t xml:space="preserve">doivent être composées de caractères imprimables </w:t>
      </w:r>
      <w:r w:rsidR="009A7B6C" w:rsidRPr="0001128D">
        <w:rPr>
          <w:sz w:val="17"/>
          <w:lang w:val="fr-FR"/>
        </w:rPr>
        <w:t>(y</w:t>
      </w:r>
      <w:r w:rsidR="00745EE5" w:rsidRPr="0001128D">
        <w:rPr>
          <w:sz w:val="17"/>
          <w:lang w:val="fr-FR"/>
        </w:rPr>
        <w:t> </w:t>
      </w:r>
      <w:r w:rsidR="009A7B6C" w:rsidRPr="0001128D">
        <w:rPr>
          <w:sz w:val="17"/>
          <w:lang w:val="fr-FR"/>
        </w:rPr>
        <w:t>compris le caractère d</w:t>
      </w:r>
      <w:r w:rsidR="00A329F0" w:rsidRPr="0001128D">
        <w:rPr>
          <w:sz w:val="17"/>
          <w:lang w:val="fr-FR"/>
        </w:rPr>
        <w:t>’</w:t>
      </w:r>
      <w:r w:rsidR="009A7B6C" w:rsidRPr="0001128D">
        <w:rPr>
          <w:sz w:val="17"/>
          <w:lang w:val="fr-FR"/>
        </w:rPr>
        <w:t xml:space="preserve">espace) indiqués dans le tableau de codes des caractères latins de base de la norme Unicode, </w:t>
      </w:r>
      <w:r w:rsidR="009A7B6C" w:rsidRPr="0001128D">
        <w:rPr>
          <w:sz w:val="17"/>
          <w:szCs w:val="17"/>
          <w:lang w:val="fr-FR"/>
        </w:rPr>
        <w:t>à l</w:t>
      </w:r>
      <w:r w:rsidR="00A329F0" w:rsidRPr="0001128D">
        <w:rPr>
          <w:sz w:val="17"/>
          <w:szCs w:val="17"/>
          <w:lang w:val="fr-FR"/>
        </w:rPr>
        <w:t>’</w:t>
      </w:r>
      <w:r w:rsidR="009A7B6C" w:rsidRPr="0001128D">
        <w:rPr>
          <w:sz w:val="17"/>
          <w:szCs w:val="17"/>
          <w:lang w:val="fr-FR"/>
        </w:rPr>
        <w:t>exception des caractères réservés, qui doivent être remplacés selon la méthode décrite au paragraphe</w:t>
      </w:r>
      <w:r w:rsidR="00745EE5" w:rsidRPr="0001128D">
        <w:rPr>
          <w:sz w:val="17"/>
          <w:szCs w:val="17"/>
          <w:lang w:val="fr-FR"/>
        </w:rPr>
        <w:t> </w:t>
      </w:r>
      <w:r w:rsidR="009A7B6C" w:rsidRPr="0001128D">
        <w:rPr>
          <w:sz w:val="17"/>
          <w:szCs w:val="17"/>
          <w:lang w:val="fr-FR"/>
        </w:rPr>
        <w:t>41 (c</w:t>
      </w:r>
      <w:r w:rsidR="00A329F0" w:rsidRPr="0001128D">
        <w:rPr>
          <w:sz w:val="17"/>
          <w:szCs w:val="17"/>
          <w:lang w:val="fr-FR"/>
        </w:rPr>
        <w:t>’</w:t>
      </w:r>
      <w:r w:rsidR="009A7B6C" w:rsidRPr="0001128D">
        <w:rPr>
          <w:sz w:val="17"/>
          <w:szCs w:val="17"/>
          <w:lang w:val="fr-FR"/>
        </w:rPr>
        <w:t>est</w:t>
      </w:r>
      <w:r w:rsidR="00265B44" w:rsidRPr="0001128D">
        <w:rPr>
          <w:sz w:val="17"/>
          <w:szCs w:val="17"/>
          <w:lang w:val="fr-FR"/>
        </w:rPr>
        <w:noBreakHyphen/>
      </w:r>
      <w:r w:rsidR="009A7B6C" w:rsidRPr="0001128D">
        <w:rPr>
          <w:sz w:val="17"/>
          <w:szCs w:val="17"/>
          <w:lang w:val="fr-FR"/>
        </w:rPr>
        <w:t>à</w:t>
      </w:r>
      <w:r w:rsidR="00265B44" w:rsidRPr="0001128D">
        <w:rPr>
          <w:sz w:val="17"/>
          <w:szCs w:val="17"/>
          <w:lang w:val="fr-FR"/>
        </w:rPr>
        <w:noBreakHyphen/>
      </w:r>
      <w:r w:rsidR="009A7B6C" w:rsidRPr="0001128D">
        <w:rPr>
          <w:sz w:val="17"/>
          <w:szCs w:val="17"/>
          <w:lang w:val="fr-FR"/>
        </w:rPr>
        <w:t xml:space="preserve">dire que ces caractères sont limités aux </w:t>
      </w:r>
      <w:r w:rsidR="00364D71" w:rsidRPr="0001128D">
        <w:rPr>
          <w:sz w:val="17"/>
          <w:szCs w:val="17"/>
          <w:lang w:val="fr-FR"/>
        </w:rPr>
        <w:t xml:space="preserve">points de </w:t>
      </w:r>
      <w:r w:rsidR="009A7B6C" w:rsidRPr="0001128D">
        <w:rPr>
          <w:sz w:val="17"/>
          <w:szCs w:val="17"/>
          <w:lang w:val="fr-FR"/>
        </w:rPr>
        <w:t>codes Unicode</w:t>
      </w:r>
      <w:r w:rsidR="00745EE5" w:rsidRPr="0001128D">
        <w:rPr>
          <w:sz w:val="17"/>
          <w:szCs w:val="17"/>
          <w:lang w:val="fr-FR"/>
        </w:rPr>
        <w:t> </w:t>
      </w:r>
      <w:r w:rsidR="00364D71" w:rsidRPr="0001128D">
        <w:rPr>
          <w:sz w:val="17"/>
          <w:lang w:val="fr-FR"/>
        </w:rPr>
        <w:t>0020, 0021, 0023 jusqu</w:t>
      </w:r>
      <w:r w:rsidR="00A329F0" w:rsidRPr="0001128D">
        <w:rPr>
          <w:sz w:val="17"/>
          <w:lang w:val="fr-FR"/>
        </w:rPr>
        <w:t>’</w:t>
      </w:r>
      <w:r w:rsidR="00364D71" w:rsidRPr="0001128D">
        <w:rPr>
          <w:sz w:val="17"/>
          <w:lang w:val="fr-FR"/>
        </w:rPr>
        <w:t>à 0026, 0028 jusqu</w:t>
      </w:r>
      <w:r w:rsidR="00A329F0" w:rsidRPr="0001128D">
        <w:rPr>
          <w:sz w:val="17"/>
          <w:lang w:val="fr-FR"/>
        </w:rPr>
        <w:t>’</w:t>
      </w:r>
      <w:r w:rsidR="00364D71" w:rsidRPr="0001128D">
        <w:rPr>
          <w:sz w:val="17"/>
          <w:lang w:val="fr-FR"/>
        </w:rPr>
        <w:t>à 003B, 003D, et 003F jusqu</w:t>
      </w:r>
      <w:r w:rsidR="00A329F0" w:rsidRPr="0001128D">
        <w:rPr>
          <w:sz w:val="17"/>
          <w:lang w:val="fr-FR"/>
        </w:rPr>
        <w:t>’</w:t>
      </w:r>
      <w:r w:rsidR="00364D71" w:rsidRPr="0001128D">
        <w:rPr>
          <w:sz w:val="17"/>
          <w:lang w:val="fr-FR"/>
        </w:rPr>
        <w:t>à 007E – voir l</w:t>
      </w:r>
      <w:r w:rsidR="00A329F0" w:rsidRPr="0001128D">
        <w:rPr>
          <w:sz w:val="17"/>
          <w:lang w:val="fr-FR"/>
        </w:rPr>
        <w:t>’</w:t>
      </w:r>
      <w:r w:rsidR="00364D71" w:rsidRPr="0001128D">
        <w:rPr>
          <w:sz w:val="17"/>
          <w:lang w:val="fr-FR"/>
        </w:rPr>
        <w:t>annexe IV), et</w:t>
      </w:r>
    </w:p>
    <w:p w:rsidR="00DE37BA" w:rsidRPr="0001128D" w:rsidRDefault="003A3A66" w:rsidP="00284828">
      <w:pPr>
        <w:pStyle w:val="Paragraph"/>
        <w:numPr>
          <w:ilvl w:val="1"/>
          <w:numId w:val="8"/>
        </w:numPr>
        <w:rPr>
          <w:sz w:val="17"/>
          <w:lang w:val="fr-FR"/>
        </w:rPr>
      </w:pPr>
      <w:r w:rsidRPr="0001128D">
        <w:rPr>
          <w:sz w:val="17"/>
          <w:lang w:val="fr-FR"/>
        </w:rPr>
        <w:lastRenderedPageBreak/>
        <w:t>les seul</w:t>
      </w:r>
      <w:r w:rsidR="00364D71" w:rsidRPr="0001128D">
        <w:rPr>
          <w:sz w:val="17"/>
          <w:lang w:val="fr-FR"/>
        </w:rPr>
        <w:t>es entités de caractères autorisées sont les entités prédéfinies</w:t>
      </w:r>
      <w:r w:rsidRPr="0001128D">
        <w:rPr>
          <w:sz w:val="17"/>
          <w:lang w:val="fr-FR"/>
        </w:rPr>
        <w:t xml:space="preserve"> prévues au paragraphe 41.</w:t>
      </w:r>
    </w:p>
    <w:p w:rsidR="00FB6E3B" w:rsidRPr="0001128D" w:rsidRDefault="009C7DC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71" w:name="_Ref371518303"/>
      <w:r w:rsidRPr="0001128D">
        <w:rPr>
          <w:szCs w:val="17"/>
          <w:lang w:val="fr-FR"/>
        </w:rPr>
        <w:t xml:space="preserve">Dans </w:t>
      </w:r>
      <w:r w:rsidR="00322830"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="00322830" w:rsidRPr="0001128D">
        <w:rPr>
          <w:szCs w:val="17"/>
          <w:lang w:val="fr-FR"/>
        </w:rPr>
        <w:t>instance</w:t>
      </w:r>
      <w:r w:rsidRPr="0001128D">
        <w:rPr>
          <w:szCs w:val="17"/>
          <w:lang w:val="fr-FR"/>
        </w:rPr>
        <w:t xml:space="preserve"> </w:t>
      </w:r>
      <w:r w:rsidR="00D442E6" w:rsidRPr="0001128D">
        <w:rPr>
          <w:szCs w:val="17"/>
          <w:lang w:val="fr-FR"/>
        </w:rPr>
        <w:t xml:space="preserve">XML </w:t>
      </w:r>
      <w:r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listage des séquences</w:t>
      </w:r>
      <w:r w:rsidR="00D442E6" w:rsidRPr="0001128D">
        <w:rPr>
          <w:szCs w:val="17"/>
          <w:lang w:val="fr-FR"/>
        </w:rPr>
        <w:t xml:space="preserve">, </w:t>
      </w:r>
      <w:r w:rsidRPr="0001128D">
        <w:rPr>
          <w:szCs w:val="17"/>
          <w:lang w:val="fr-FR"/>
        </w:rPr>
        <w:t>les caractères réservés suivants doivent être remplacés par les entités prédéfinies correspondantes lorsqu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ils sont employés pour renseigner la valeur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attribut ou le contenu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élément</w:t>
      </w:r>
      <w:r w:rsidR="00745EE5" w:rsidRPr="0001128D">
        <w:rPr>
          <w:szCs w:val="17"/>
          <w:lang w:val="fr-FR"/>
        </w:rPr>
        <w:t> </w:t>
      </w:r>
      <w:r w:rsidR="00D442E6" w:rsidRPr="0001128D">
        <w:rPr>
          <w:szCs w:val="17"/>
          <w:lang w:val="fr-FR"/>
        </w:rPr>
        <w:t>:</w:t>
      </w:r>
      <w:bookmarkEnd w:id="7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2903"/>
      </w:tblGrid>
      <w:tr w:rsidR="00D442E6" w:rsidRPr="0001128D" w:rsidTr="00D35F12">
        <w:trPr>
          <w:jc w:val="center"/>
        </w:trPr>
        <w:tc>
          <w:tcPr>
            <w:tcW w:w="2707" w:type="dxa"/>
            <w:shd w:val="clear" w:color="auto" w:fill="D9D9D9" w:themeFill="background1" w:themeFillShade="D9"/>
          </w:tcPr>
          <w:p w:rsidR="00D442E6" w:rsidRPr="0001128D" w:rsidRDefault="00D402C5" w:rsidP="009C7DC7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szCs w:val="17"/>
                <w:lang w:val="fr-FR"/>
              </w:rPr>
              <w:br w:type="page"/>
            </w:r>
            <w:r w:rsidR="009C7DC7" w:rsidRPr="0001128D">
              <w:rPr>
                <w:b/>
                <w:bCs/>
                <w:sz w:val="17"/>
                <w:szCs w:val="17"/>
                <w:lang w:val="fr-FR"/>
              </w:rPr>
              <w:t>Caractère réservé</w:t>
            </w:r>
          </w:p>
        </w:tc>
        <w:tc>
          <w:tcPr>
            <w:tcW w:w="2903" w:type="dxa"/>
            <w:shd w:val="clear" w:color="auto" w:fill="D9D9D9" w:themeFill="background1" w:themeFillShade="D9"/>
          </w:tcPr>
          <w:p w:rsidR="00D442E6" w:rsidRPr="0001128D" w:rsidRDefault="009C7DC7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Entités prédéfinies</w:t>
            </w:r>
          </w:p>
          <w:p w:rsidR="00D442E6" w:rsidRPr="0001128D" w:rsidRDefault="00D442E6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</w:tr>
      <w:tr w:rsidR="00D442E6" w:rsidRPr="0001128D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&lt;</w:t>
            </w:r>
          </w:p>
        </w:tc>
        <w:tc>
          <w:tcPr>
            <w:tcW w:w="2903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iCs/>
                <w:sz w:val="17"/>
                <w:szCs w:val="17"/>
                <w:lang w:val="fr-FR"/>
              </w:rPr>
            </w:pPr>
            <w:r w:rsidRPr="0001128D">
              <w:rPr>
                <w:iCs/>
                <w:sz w:val="17"/>
                <w:szCs w:val="17"/>
                <w:lang w:val="fr-FR"/>
              </w:rPr>
              <w:t>&amp;</w:t>
            </w:r>
            <w:proofErr w:type="spellStart"/>
            <w:r w:rsidRPr="0001128D">
              <w:rPr>
                <w:iCs/>
                <w:sz w:val="17"/>
                <w:szCs w:val="17"/>
                <w:lang w:val="fr-FR"/>
              </w:rPr>
              <w:t>lt</w:t>
            </w:r>
            <w:proofErr w:type="spellEnd"/>
            <w:r w:rsidRPr="0001128D">
              <w:rPr>
                <w:iCs/>
                <w:sz w:val="17"/>
                <w:szCs w:val="17"/>
                <w:lang w:val="fr-FR"/>
              </w:rPr>
              <w:t>;</w:t>
            </w:r>
          </w:p>
        </w:tc>
      </w:tr>
      <w:tr w:rsidR="00D442E6" w:rsidRPr="0001128D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rStyle w:val="CodeChar"/>
                <w:rFonts w:ascii="Arial" w:hAnsi="Arial" w:cs="Arial"/>
                <w:color w:val="FFFFFF"/>
                <w:sz w:val="17"/>
                <w:shd w:val="clear" w:color="auto" w:fill="606060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&gt;</w:t>
            </w:r>
          </w:p>
        </w:tc>
        <w:tc>
          <w:tcPr>
            <w:tcW w:w="2903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iCs/>
                <w:sz w:val="17"/>
                <w:szCs w:val="17"/>
                <w:lang w:val="fr-FR"/>
              </w:rPr>
            </w:pPr>
            <w:r w:rsidRPr="0001128D">
              <w:rPr>
                <w:iCs/>
                <w:sz w:val="17"/>
                <w:szCs w:val="17"/>
                <w:lang w:val="fr-FR"/>
              </w:rPr>
              <w:t>&amp;gt;</w:t>
            </w:r>
          </w:p>
        </w:tc>
      </w:tr>
      <w:tr w:rsidR="00D442E6" w:rsidRPr="0001128D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rStyle w:val="CodeChar"/>
                <w:rFonts w:ascii="Arial" w:hAnsi="Arial" w:cs="Arial"/>
                <w:color w:val="FFFFFF"/>
                <w:sz w:val="17"/>
                <w:shd w:val="clear" w:color="auto" w:fill="606060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&amp;</w:t>
            </w:r>
          </w:p>
        </w:tc>
        <w:tc>
          <w:tcPr>
            <w:tcW w:w="2903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&amp;</w:t>
            </w:r>
            <w:proofErr w:type="spellStart"/>
            <w:r w:rsidRPr="0001128D">
              <w:rPr>
                <w:sz w:val="17"/>
                <w:szCs w:val="17"/>
                <w:lang w:val="fr-FR"/>
              </w:rPr>
              <w:t>amp</w:t>
            </w:r>
            <w:proofErr w:type="spellEnd"/>
            <w:r w:rsidRPr="0001128D">
              <w:rPr>
                <w:sz w:val="17"/>
                <w:szCs w:val="17"/>
                <w:lang w:val="fr-FR"/>
              </w:rPr>
              <w:t>;</w:t>
            </w:r>
          </w:p>
        </w:tc>
      </w:tr>
      <w:tr w:rsidR="00D442E6" w:rsidRPr="0001128D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01128D" w:rsidRDefault="007B0C3F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“</w:t>
            </w:r>
          </w:p>
        </w:tc>
        <w:tc>
          <w:tcPr>
            <w:tcW w:w="2903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&amp;</w:t>
            </w:r>
            <w:proofErr w:type="spellStart"/>
            <w:r w:rsidRPr="0001128D">
              <w:rPr>
                <w:sz w:val="17"/>
                <w:szCs w:val="17"/>
                <w:lang w:val="fr-FR"/>
              </w:rPr>
              <w:t>quot</w:t>
            </w:r>
            <w:proofErr w:type="spellEnd"/>
            <w:r w:rsidRPr="0001128D">
              <w:rPr>
                <w:sz w:val="17"/>
                <w:szCs w:val="17"/>
                <w:lang w:val="fr-FR"/>
              </w:rPr>
              <w:t>;</w:t>
            </w:r>
          </w:p>
        </w:tc>
      </w:tr>
      <w:tr w:rsidR="00D442E6" w:rsidRPr="0001128D" w:rsidTr="007336B8">
        <w:trPr>
          <w:jc w:val="center"/>
        </w:trPr>
        <w:tc>
          <w:tcPr>
            <w:tcW w:w="2707" w:type="dxa"/>
            <w:shd w:val="clear" w:color="auto" w:fill="auto"/>
          </w:tcPr>
          <w:p w:rsidR="00D442E6" w:rsidRPr="0001128D" w:rsidRDefault="00A329F0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‘</w:t>
            </w:r>
          </w:p>
        </w:tc>
        <w:tc>
          <w:tcPr>
            <w:tcW w:w="2903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&amp;</w:t>
            </w:r>
            <w:proofErr w:type="spellStart"/>
            <w:r w:rsidRPr="0001128D">
              <w:rPr>
                <w:sz w:val="17"/>
                <w:szCs w:val="17"/>
                <w:lang w:val="fr-FR"/>
              </w:rPr>
              <w:t>apos</w:t>
            </w:r>
            <w:proofErr w:type="spellEnd"/>
            <w:r w:rsidRPr="0001128D">
              <w:rPr>
                <w:sz w:val="17"/>
                <w:szCs w:val="17"/>
                <w:lang w:val="fr-FR"/>
              </w:rPr>
              <w:t>;</w:t>
            </w:r>
          </w:p>
        </w:tc>
      </w:tr>
    </w:tbl>
    <w:p w:rsidR="00D442E6" w:rsidRPr="0001128D" w:rsidRDefault="00D442E6" w:rsidP="00D442E6">
      <w:pPr>
        <w:rPr>
          <w:sz w:val="17"/>
          <w:szCs w:val="17"/>
          <w:lang w:val="fr-FR"/>
        </w:rPr>
      </w:pPr>
    </w:p>
    <w:p w:rsidR="00242F54" w:rsidRPr="0001128D" w:rsidRDefault="009C7DC7" w:rsidP="00D442E6">
      <w:pPr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 xml:space="preserve">On trouvera un exemple au </w:t>
      </w:r>
      <w:r w:rsidR="00242F54" w:rsidRPr="0001128D">
        <w:rPr>
          <w:sz w:val="17"/>
          <w:szCs w:val="17"/>
          <w:lang w:val="fr-FR"/>
        </w:rPr>
        <w:t>paragraph</w:t>
      </w:r>
      <w:r w:rsidRPr="0001128D">
        <w:rPr>
          <w:sz w:val="17"/>
          <w:szCs w:val="17"/>
          <w:lang w:val="fr-FR"/>
        </w:rPr>
        <w:t>e</w:t>
      </w:r>
      <w:r w:rsidR="00E40FAC" w:rsidRPr="0001128D">
        <w:rPr>
          <w:sz w:val="17"/>
          <w:szCs w:val="17"/>
          <w:lang w:val="fr-FR"/>
        </w:rPr>
        <w:t> </w:t>
      </w:r>
      <w:r w:rsidR="00600796" w:rsidRPr="0001128D">
        <w:rPr>
          <w:sz w:val="17"/>
          <w:szCs w:val="17"/>
          <w:lang w:val="fr-FR"/>
        </w:rPr>
        <w:t>72</w:t>
      </w:r>
      <w:r w:rsidRPr="0001128D">
        <w:rPr>
          <w:sz w:val="17"/>
          <w:szCs w:val="17"/>
          <w:lang w:val="fr-FR"/>
        </w:rPr>
        <w:t>.</w:t>
      </w:r>
    </w:p>
    <w:p w:rsidR="00E40FAC" w:rsidRPr="0001128D" w:rsidRDefault="00E40FAC" w:rsidP="00D442E6">
      <w:pPr>
        <w:rPr>
          <w:sz w:val="17"/>
          <w:szCs w:val="17"/>
          <w:lang w:val="fr-FR"/>
        </w:rPr>
      </w:pPr>
    </w:p>
    <w:p w:rsidR="00D442E6" w:rsidRPr="0001128D" w:rsidRDefault="00AE1B7B" w:rsidP="009C7DC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Tous les éléments obligatoires doivent être renseignés (sauf ceux qui sont indiqués au paragraphe 58 à propos des séquences délibérément omises).  </w:t>
      </w:r>
      <w:r w:rsidR="00520D43" w:rsidRPr="0001128D">
        <w:rPr>
          <w:szCs w:val="17"/>
          <w:lang w:val="fr-FR"/>
        </w:rPr>
        <w:t>Les éléments facultatifs pour lesquels aucun contenu n</w:t>
      </w:r>
      <w:r w:rsidR="00A329F0" w:rsidRPr="0001128D">
        <w:rPr>
          <w:szCs w:val="17"/>
          <w:lang w:val="fr-FR"/>
        </w:rPr>
        <w:t>’</w:t>
      </w:r>
      <w:r w:rsidR="00520D43" w:rsidRPr="0001128D">
        <w:rPr>
          <w:szCs w:val="17"/>
          <w:lang w:val="fr-FR"/>
        </w:rPr>
        <w:t xml:space="preserve">est disponible ne doivent pas figurer dans </w:t>
      </w:r>
      <w:r w:rsidR="00322830"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="00322830" w:rsidRPr="0001128D">
        <w:rPr>
          <w:szCs w:val="17"/>
          <w:lang w:val="fr-FR"/>
        </w:rPr>
        <w:t>instance</w:t>
      </w:r>
      <w:r w:rsidR="00520D43" w:rsidRPr="0001128D">
        <w:rPr>
          <w:szCs w:val="17"/>
          <w:lang w:val="fr-FR"/>
        </w:rPr>
        <w:t> XML.</w:t>
      </w:r>
    </w:p>
    <w:p w:rsidR="00D442E6" w:rsidRPr="0001128D" w:rsidRDefault="00322830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72" w:name="_Toc386037652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Élément racine</w:t>
      </w:r>
      <w:bookmarkEnd w:id="72"/>
    </w:p>
    <w:p w:rsidR="00D442E6" w:rsidRPr="0001128D" w:rsidRDefault="0032283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73" w:name="_Ref371599211"/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 racine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instance </w:t>
      </w:r>
      <w:r w:rsidR="00D442E6" w:rsidRPr="0001128D">
        <w:rPr>
          <w:szCs w:val="17"/>
          <w:lang w:val="fr-FR"/>
        </w:rPr>
        <w:t xml:space="preserve">XML </w:t>
      </w:r>
      <w:r w:rsidRPr="0001128D">
        <w:rPr>
          <w:szCs w:val="17"/>
          <w:lang w:val="fr-FR"/>
        </w:rPr>
        <w:t>au sens de la présente norme</w:t>
      </w:r>
      <w:r w:rsidR="00D442E6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est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r w:rsidR="00D442E6" w:rsidRPr="0001128D">
        <w:rPr>
          <w:rFonts w:ascii="Courier New" w:hAnsi="Courier New"/>
          <w:lang w:val="fr-FR"/>
        </w:rPr>
        <w:t>ST26SequenceListing</w:t>
      </w:r>
      <w:r w:rsidR="00D442E6" w:rsidRPr="0001128D">
        <w:rPr>
          <w:szCs w:val="17"/>
          <w:lang w:val="fr-FR"/>
        </w:rPr>
        <w:t xml:space="preserve">, </w:t>
      </w:r>
      <w:r w:rsidRPr="0001128D">
        <w:rPr>
          <w:szCs w:val="17"/>
          <w:lang w:val="fr-FR"/>
        </w:rPr>
        <w:t>dont les attributs sont les suivants</w:t>
      </w:r>
      <w:r w:rsidR="00745EE5" w:rsidRPr="0001128D">
        <w:rPr>
          <w:szCs w:val="17"/>
          <w:lang w:val="fr-FR"/>
        </w:rPr>
        <w:t> </w:t>
      </w:r>
      <w:r w:rsidR="00D442E6" w:rsidRPr="0001128D">
        <w:rPr>
          <w:szCs w:val="17"/>
          <w:lang w:val="fr-FR"/>
        </w:rPr>
        <w:t>:</w:t>
      </w:r>
      <w:bookmarkEnd w:id="73"/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3426"/>
        <w:gridCol w:w="2833"/>
      </w:tblGrid>
      <w:tr w:rsidR="00D442E6" w:rsidRPr="0001128D" w:rsidTr="00D35F12">
        <w:trPr>
          <w:trHeight w:val="218"/>
        </w:trPr>
        <w:tc>
          <w:tcPr>
            <w:tcW w:w="1962" w:type="dxa"/>
            <w:shd w:val="clear" w:color="auto" w:fill="D9D9D9" w:themeFill="background1" w:themeFillShade="D9"/>
          </w:tcPr>
          <w:p w:rsidR="00D442E6" w:rsidRPr="0001128D" w:rsidRDefault="00D442E6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Attribut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:rsidR="00D442E6" w:rsidRPr="0001128D" w:rsidRDefault="00D442E6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D442E6" w:rsidRPr="0001128D" w:rsidRDefault="00B43723" w:rsidP="00ED6130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Obligatoire/</w:t>
            </w:r>
            <w:r w:rsidR="00ED6130" w:rsidRPr="0001128D">
              <w:rPr>
                <w:b/>
                <w:bCs/>
                <w:sz w:val="17"/>
                <w:szCs w:val="17"/>
                <w:lang w:val="fr-FR"/>
              </w:rPr>
              <w:t>F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acultatif</w:t>
            </w:r>
          </w:p>
        </w:tc>
      </w:tr>
      <w:tr w:rsidR="00D442E6" w:rsidRPr="0001128D" w:rsidTr="007336B8">
        <w:trPr>
          <w:trHeight w:val="459"/>
        </w:trPr>
        <w:tc>
          <w:tcPr>
            <w:tcW w:w="1962" w:type="dxa"/>
            <w:shd w:val="clear" w:color="auto" w:fill="auto"/>
          </w:tcPr>
          <w:p w:rsidR="00D442E6" w:rsidRPr="0001128D" w:rsidRDefault="00D442E6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dtdVersion</w:t>
            </w:r>
            <w:proofErr w:type="spellEnd"/>
          </w:p>
        </w:tc>
        <w:tc>
          <w:tcPr>
            <w:tcW w:w="3426" w:type="dxa"/>
            <w:shd w:val="clear" w:color="auto" w:fill="auto"/>
          </w:tcPr>
          <w:p w:rsidR="00D442E6" w:rsidRPr="0001128D" w:rsidRDefault="00D442E6" w:rsidP="001E1F2A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Version </w:t>
            </w:r>
            <w:r w:rsidR="001E1F2A" w:rsidRPr="0001128D">
              <w:rPr>
                <w:sz w:val="17"/>
                <w:szCs w:val="17"/>
                <w:lang w:val="fr-FR"/>
              </w:rPr>
              <w:t>de</w:t>
            </w:r>
            <w:r w:rsidR="00A329F0" w:rsidRPr="0001128D">
              <w:rPr>
                <w:sz w:val="17"/>
                <w:szCs w:val="17"/>
                <w:lang w:val="fr-FR"/>
              </w:rPr>
              <w:t xml:space="preserve"> la DTD</w:t>
            </w:r>
            <w:r w:rsidRPr="0001128D">
              <w:rPr>
                <w:sz w:val="17"/>
                <w:szCs w:val="17"/>
                <w:lang w:val="fr-FR"/>
              </w:rPr>
              <w:t xml:space="preserve"> </w:t>
            </w:r>
            <w:r w:rsidR="001E1F2A" w:rsidRPr="0001128D">
              <w:rPr>
                <w:sz w:val="17"/>
                <w:szCs w:val="17"/>
                <w:lang w:val="fr-FR"/>
              </w:rPr>
              <w:t>employée pour créer ce fichier</w:t>
            </w:r>
            <w:r w:rsidRPr="0001128D">
              <w:rPr>
                <w:sz w:val="17"/>
                <w:szCs w:val="17"/>
                <w:lang w:val="fr-FR"/>
              </w:rPr>
              <w:t xml:space="preserve"> </w:t>
            </w:r>
            <w:r w:rsidR="001E1F2A" w:rsidRPr="0001128D">
              <w:rPr>
                <w:sz w:val="17"/>
                <w:szCs w:val="17"/>
                <w:lang w:val="fr-FR"/>
              </w:rPr>
              <w:t>au</w:t>
            </w:r>
            <w:r w:rsidRPr="0001128D">
              <w:rPr>
                <w:sz w:val="17"/>
                <w:szCs w:val="17"/>
                <w:lang w:val="fr-FR"/>
              </w:rPr>
              <w:t xml:space="preserve"> format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331A42" w:rsidRPr="0001128D">
              <w:rPr>
                <w:sz w:val="17"/>
                <w:szCs w:val="17"/>
                <w:lang w:val="fr-FR"/>
              </w:rPr>
              <w:t>V</w:t>
            </w:r>
            <w:r w:rsidRPr="0001128D">
              <w:rPr>
                <w:sz w:val="17"/>
                <w:szCs w:val="17"/>
                <w:lang w:val="fr-FR"/>
              </w:rPr>
              <w:t>#</w:t>
            </w:r>
            <w:r w:rsidR="00653B6D" w:rsidRPr="0001128D">
              <w:rPr>
                <w:sz w:val="17"/>
                <w:szCs w:val="17"/>
                <w:lang w:val="fr-FR"/>
              </w:rPr>
              <w:t>_</w:t>
            </w:r>
            <w:r w:rsidRPr="0001128D">
              <w:rPr>
                <w:sz w:val="17"/>
                <w:szCs w:val="17"/>
                <w:lang w:val="fr-FR"/>
              </w:rPr>
              <w:t>#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  <w:r w:rsidRPr="0001128D">
              <w:rPr>
                <w:sz w:val="17"/>
                <w:szCs w:val="17"/>
                <w:lang w:val="fr-FR"/>
              </w:rPr>
              <w:t xml:space="preserve">, </w:t>
            </w:r>
            <w:r w:rsidR="001E1F2A" w:rsidRPr="0001128D">
              <w:rPr>
                <w:sz w:val="17"/>
                <w:szCs w:val="17"/>
                <w:lang w:val="fr-FR"/>
              </w:rPr>
              <w:t>par exemple</w:t>
            </w:r>
            <w:r w:rsidRPr="0001128D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331A42" w:rsidRPr="0001128D">
              <w:rPr>
                <w:sz w:val="17"/>
                <w:szCs w:val="17"/>
                <w:lang w:val="fr-FR"/>
              </w:rPr>
              <w:t>V</w:t>
            </w:r>
            <w:r w:rsidRPr="0001128D">
              <w:rPr>
                <w:sz w:val="17"/>
                <w:szCs w:val="17"/>
                <w:lang w:val="fr-FR"/>
              </w:rPr>
              <w:t>1</w:t>
            </w:r>
            <w:r w:rsidR="00196C44" w:rsidRPr="0001128D">
              <w:rPr>
                <w:sz w:val="17"/>
                <w:szCs w:val="17"/>
                <w:lang w:val="fr-FR"/>
              </w:rPr>
              <w:t>_</w:t>
            </w:r>
            <w:r w:rsidRPr="0001128D">
              <w:rPr>
                <w:sz w:val="17"/>
                <w:szCs w:val="17"/>
                <w:lang w:val="fr-FR"/>
              </w:rPr>
              <w:t>0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  <w:r w:rsidRPr="0001128D">
              <w:rPr>
                <w:sz w:val="17"/>
                <w:szCs w:val="17"/>
                <w:lang w:val="fr-FR"/>
              </w:rPr>
              <w:t>.</w:t>
            </w:r>
          </w:p>
        </w:tc>
        <w:tc>
          <w:tcPr>
            <w:tcW w:w="2833" w:type="dxa"/>
          </w:tcPr>
          <w:p w:rsidR="00D442E6" w:rsidRPr="0001128D" w:rsidRDefault="00A63F4D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</w:tr>
      <w:tr w:rsidR="00D442E6" w:rsidRPr="0001128D" w:rsidTr="007336B8">
        <w:trPr>
          <w:trHeight w:val="229"/>
        </w:trPr>
        <w:tc>
          <w:tcPr>
            <w:tcW w:w="1962" w:type="dxa"/>
            <w:shd w:val="clear" w:color="auto" w:fill="auto"/>
          </w:tcPr>
          <w:p w:rsidR="00D442E6" w:rsidRPr="0001128D" w:rsidRDefault="00D442E6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fileName</w:t>
            </w:r>
            <w:proofErr w:type="spellEnd"/>
          </w:p>
        </w:tc>
        <w:tc>
          <w:tcPr>
            <w:tcW w:w="3426" w:type="dxa"/>
            <w:shd w:val="clear" w:color="auto" w:fill="auto"/>
          </w:tcPr>
          <w:p w:rsidR="00D442E6" w:rsidRPr="0001128D" w:rsidRDefault="00D442E6" w:rsidP="00A63F4D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</w:t>
            </w:r>
            <w:r w:rsidR="00A63F4D" w:rsidRPr="0001128D">
              <w:rPr>
                <w:sz w:val="17"/>
                <w:szCs w:val="17"/>
                <w:lang w:val="fr-FR"/>
              </w:rPr>
              <w:t>om du fichier contenant le listage des séquences.</w:t>
            </w:r>
          </w:p>
        </w:tc>
        <w:tc>
          <w:tcPr>
            <w:tcW w:w="2833" w:type="dxa"/>
          </w:tcPr>
          <w:p w:rsidR="00D442E6" w:rsidRPr="0001128D" w:rsidRDefault="00A63F4D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Facultatif</w:t>
            </w:r>
          </w:p>
        </w:tc>
      </w:tr>
      <w:tr w:rsidR="00D442E6" w:rsidRPr="0001128D" w:rsidTr="007336B8">
        <w:trPr>
          <w:trHeight w:val="470"/>
        </w:trPr>
        <w:tc>
          <w:tcPr>
            <w:tcW w:w="1962" w:type="dxa"/>
            <w:shd w:val="clear" w:color="auto" w:fill="auto"/>
          </w:tcPr>
          <w:p w:rsidR="00D442E6" w:rsidRPr="0001128D" w:rsidRDefault="00D442E6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softwareName</w:t>
            </w:r>
            <w:proofErr w:type="spellEnd"/>
          </w:p>
        </w:tc>
        <w:tc>
          <w:tcPr>
            <w:tcW w:w="3426" w:type="dxa"/>
            <w:shd w:val="clear" w:color="auto" w:fill="auto"/>
          </w:tcPr>
          <w:p w:rsidR="00D442E6" w:rsidRPr="0001128D" w:rsidRDefault="00D442E6" w:rsidP="007421DA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</w:t>
            </w:r>
            <w:r w:rsidR="00A63F4D" w:rsidRPr="0001128D">
              <w:rPr>
                <w:sz w:val="17"/>
                <w:szCs w:val="17"/>
                <w:lang w:val="fr-FR"/>
              </w:rPr>
              <w:t xml:space="preserve">om du logiciel ayant </w:t>
            </w:r>
            <w:r w:rsidR="007421DA" w:rsidRPr="0001128D">
              <w:rPr>
                <w:sz w:val="17"/>
                <w:szCs w:val="17"/>
                <w:lang w:val="fr-FR"/>
              </w:rPr>
              <w:t>créé</w:t>
            </w:r>
            <w:r w:rsidR="00A63F4D" w:rsidRPr="0001128D">
              <w:rPr>
                <w:sz w:val="17"/>
                <w:szCs w:val="17"/>
                <w:lang w:val="fr-FR"/>
              </w:rPr>
              <w:t xml:space="preserve"> le fichier.</w:t>
            </w:r>
          </w:p>
        </w:tc>
        <w:tc>
          <w:tcPr>
            <w:tcW w:w="2833" w:type="dxa"/>
          </w:tcPr>
          <w:p w:rsidR="00D442E6" w:rsidRPr="0001128D" w:rsidRDefault="00A63F4D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Facultatif</w:t>
            </w:r>
          </w:p>
        </w:tc>
      </w:tr>
      <w:tr w:rsidR="00D442E6" w:rsidRPr="0001128D" w:rsidTr="007336B8">
        <w:trPr>
          <w:trHeight w:val="459"/>
        </w:trPr>
        <w:tc>
          <w:tcPr>
            <w:tcW w:w="1962" w:type="dxa"/>
            <w:shd w:val="clear" w:color="auto" w:fill="auto"/>
          </w:tcPr>
          <w:p w:rsidR="00D442E6" w:rsidRPr="0001128D" w:rsidRDefault="00D442E6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softwareVersion</w:t>
            </w:r>
            <w:proofErr w:type="spellEnd"/>
          </w:p>
        </w:tc>
        <w:tc>
          <w:tcPr>
            <w:tcW w:w="3426" w:type="dxa"/>
            <w:shd w:val="clear" w:color="auto" w:fill="auto"/>
          </w:tcPr>
          <w:p w:rsidR="00D442E6" w:rsidRPr="0001128D" w:rsidRDefault="00D442E6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Version </w:t>
            </w:r>
            <w:r w:rsidR="007421DA" w:rsidRPr="0001128D">
              <w:rPr>
                <w:sz w:val="17"/>
                <w:szCs w:val="17"/>
                <w:lang w:val="fr-FR"/>
              </w:rPr>
              <w:t>du logiciel ayant créé le fichier</w:t>
            </w:r>
            <w:r w:rsidRPr="0001128D">
              <w:rPr>
                <w:sz w:val="17"/>
                <w:szCs w:val="17"/>
                <w:lang w:val="fr-FR"/>
              </w:rPr>
              <w:t>.</w:t>
            </w:r>
          </w:p>
        </w:tc>
        <w:tc>
          <w:tcPr>
            <w:tcW w:w="2833" w:type="dxa"/>
          </w:tcPr>
          <w:p w:rsidR="00D442E6" w:rsidRPr="0001128D" w:rsidRDefault="00A63F4D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Facultatif</w:t>
            </w:r>
          </w:p>
        </w:tc>
      </w:tr>
      <w:tr w:rsidR="00D442E6" w:rsidRPr="0001128D" w:rsidTr="007336B8">
        <w:trPr>
          <w:trHeight w:val="470"/>
        </w:trPr>
        <w:tc>
          <w:tcPr>
            <w:tcW w:w="1962" w:type="dxa"/>
            <w:shd w:val="clear" w:color="auto" w:fill="auto"/>
          </w:tcPr>
          <w:p w:rsidR="00D442E6" w:rsidRPr="0001128D" w:rsidRDefault="00D442E6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productionDate</w:t>
            </w:r>
            <w:proofErr w:type="spellEnd"/>
          </w:p>
        </w:tc>
        <w:tc>
          <w:tcPr>
            <w:tcW w:w="3426" w:type="dxa"/>
            <w:shd w:val="clear" w:color="auto" w:fill="auto"/>
          </w:tcPr>
          <w:p w:rsidR="00D442E6" w:rsidRPr="0001128D" w:rsidRDefault="00D442E6" w:rsidP="0014497F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Date </w:t>
            </w:r>
            <w:r w:rsidR="007421DA" w:rsidRPr="0001128D">
              <w:rPr>
                <w:sz w:val="17"/>
                <w:szCs w:val="17"/>
                <w:lang w:val="fr-FR"/>
              </w:rPr>
              <w:t>de</w:t>
            </w:r>
            <w:r w:rsidRPr="0001128D">
              <w:rPr>
                <w:sz w:val="17"/>
                <w:szCs w:val="17"/>
                <w:lang w:val="fr-FR"/>
              </w:rPr>
              <w:t xml:space="preserve"> production </w:t>
            </w:r>
            <w:r w:rsidR="007421DA" w:rsidRPr="0001128D">
              <w:rPr>
                <w:sz w:val="17"/>
                <w:szCs w:val="17"/>
                <w:lang w:val="fr-FR"/>
              </w:rPr>
              <w:t xml:space="preserve">du fichier contenant le listage des séquences </w:t>
            </w:r>
            <w:r w:rsidRPr="0001128D">
              <w:rPr>
                <w:sz w:val="17"/>
                <w:szCs w:val="17"/>
                <w:lang w:val="fr-FR"/>
              </w:rPr>
              <w:t xml:space="preserve">(format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14497F" w:rsidRPr="0001128D">
              <w:rPr>
                <w:sz w:val="17"/>
                <w:szCs w:val="17"/>
                <w:lang w:val="fr-FR"/>
              </w:rPr>
              <w:t>SSAA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4D4E26" w:rsidRPr="0001128D">
              <w:rPr>
                <w:sz w:val="17"/>
                <w:szCs w:val="17"/>
                <w:lang w:val="fr-FR"/>
              </w:rPr>
              <w:t>MM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14497F" w:rsidRPr="0001128D">
              <w:rPr>
                <w:sz w:val="17"/>
                <w:szCs w:val="17"/>
                <w:lang w:val="fr-FR"/>
              </w:rPr>
              <w:t>JJ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  <w:r w:rsidRPr="0001128D">
              <w:rPr>
                <w:sz w:val="17"/>
                <w:szCs w:val="17"/>
                <w:lang w:val="fr-FR"/>
              </w:rPr>
              <w:t>).</w:t>
            </w:r>
          </w:p>
        </w:tc>
        <w:tc>
          <w:tcPr>
            <w:tcW w:w="2833" w:type="dxa"/>
          </w:tcPr>
          <w:p w:rsidR="00D442E6" w:rsidRPr="0001128D" w:rsidRDefault="00A63F4D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Facultatif</w:t>
            </w:r>
          </w:p>
        </w:tc>
      </w:tr>
    </w:tbl>
    <w:p w:rsidR="00CD3747" w:rsidRPr="0001128D" w:rsidRDefault="00CD3747" w:rsidP="00CD3747">
      <w:pPr>
        <w:pStyle w:val="List0"/>
        <w:tabs>
          <w:tab w:val="left" w:pos="567"/>
        </w:tabs>
        <w:rPr>
          <w:szCs w:val="17"/>
          <w:lang w:val="fr-FR"/>
        </w:rPr>
      </w:pPr>
    </w:p>
    <w:p w:rsidR="00D442E6" w:rsidRPr="0001128D" w:rsidRDefault="009E068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exemple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est une illustration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racine </w:t>
      </w:r>
      <w:r w:rsidR="004110A4" w:rsidRPr="0001128D">
        <w:rPr>
          <w:rFonts w:ascii="Courier New" w:hAnsi="Courier New"/>
          <w:lang w:val="fr-FR"/>
        </w:rPr>
        <w:t>ST26SequenceListing</w:t>
      </w:r>
      <w:r w:rsidR="004110A4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 xml:space="preserve">et de ses attributs dans une instance </w:t>
      </w:r>
      <w:r w:rsidR="004110A4" w:rsidRPr="0001128D">
        <w:rPr>
          <w:szCs w:val="17"/>
          <w:lang w:val="fr-FR"/>
        </w:rPr>
        <w:t xml:space="preserve">XML </w:t>
      </w:r>
      <w:r w:rsidRPr="0001128D">
        <w:rPr>
          <w:szCs w:val="17"/>
          <w:lang w:val="fr-FR"/>
        </w:rPr>
        <w:t>conforme au paragraphe </w:t>
      </w:r>
      <w:r w:rsidR="00024AF5" w:rsidRPr="0001128D">
        <w:rPr>
          <w:szCs w:val="17"/>
          <w:lang w:val="fr-FR"/>
        </w:rPr>
        <w:t>43</w:t>
      </w:r>
      <w:r w:rsidR="004110A4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="004110A4" w:rsidRPr="0001128D">
        <w:rPr>
          <w:szCs w:val="17"/>
          <w:lang w:val="fr-FR"/>
        </w:rPr>
        <w:t>:</w:t>
      </w:r>
    </w:p>
    <w:p w:rsidR="003F5DE2" w:rsidRPr="00917901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&lt;ST26SequenceListing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dtdVersion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331A42" w:rsidRPr="00917901">
        <w:rPr>
          <w:rFonts w:ascii="Courier New" w:eastAsia="Batang" w:hAnsi="Courier New" w:cs="Times New Roman"/>
          <w:sz w:val="17"/>
          <w:szCs w:val="20"/>
          <w:lang w:eastAsia="en-US"/>
        </w:rPr>
        <w:t>V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F47157" w:rsidRPr="00917901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fileName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US11</w:t>
      </w:r>
      <w:r w:rsidR="00197C75" w:rsidRPr="00917901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405455</w:t>
      </w:r>
      <w:r w:rsidR="00197C75" w:rsidRPr="00917901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SEQL.xml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SEQL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name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softwareVersion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productionDate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2006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05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F5DE2" w:rsidRPr="0001128D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{...}*</w:t>
      </w:r>
    </w:p>
    <w:p w:rsidR="003F5DE2" w:rsidRPr="0001128D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&lt;/ST26SequenceListing&gt;</w:t>
      </w:r>
    </w:p>
    <w:p w:rsidR="003F5DE2" w:rsidRPr="0001128D" w:rsidRDefault="003F5DE2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</w:p>
    <w:p w:rsidR="003F5DE2" w:rsidRPr="00CA5426" w:rsidRDefault="00C00279" w:rsidP="00C00279">
      <w:pPr>
        <w:widowControl/>
        <w:kinsoku/>
        <w:ind w:left="567"/>
        <w:rPr>
          <w:rFonts w:ascii="Courier New" w:eastAsia="Batang" w:hAnsi="Courier New" w:cs="Courier New"/>
          <w:sz w:val="17"/>
          <w:szCs w:val="20"/>
          <w:lang w:val="fr-FR" w:eastAsia="en-US"/>
        </w:rPr>
      </w:pPr>
      <w:r w:rsidRPr="00CA5426">
        <w:rPr>
          <w:rFonts w:ascii="Courier New" w:eastAsia="Batang" w:hAnsi="Courier New" w:cs="Courier New"/>
          <w:sz w:val="17"/>
          <w:szCs w:val="20"/>
          <w:lang w:val="fr-FR" w:eastAsia="en-US"/>
        </w:rPr>
        <w:t>*{...} représente la partie des informations générales et la partie des données de séquences qui ne figurent pas dans cet exemple.</w:t>
      </w:r>
    </w:p>
    <w:p w:rsidR="001126FA" w:rsidRPr="0001128D" w:rsidRDefault="001126FA" w:rsidP="001126FA">
      <w:pPr>
        <w:rPr>
          <w:bCs/>
          <w:sz w:val="17"/>
          <w:szCs w:val="17"/>
          <w:lang w:val="fr-FR"/>
        </w:rPr>
      </w:pPr>
    </w:p>
    <w:p w:rsidR="001126FA" w:rsidRPr="0001128D" w:rsidRDefault="009E0684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74" w:name="_Toc386037653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Partie consacrée aux informations générales</w:t>
      </w:r>
      <w:bookmarkEnd w:id="74"/>
    </w:p>
    <w:p w:rsidR="006C5B60" w:rsidRDefault="009E0684" w:rsidP="00340FF9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75" w:name="_Ref371517519"/>
      <w:r w:rsidRPr="00CA5426">
        <w:rPr>
          <w:szCs w:val="17"/>
          <w:lang w:val="fr-FR"/>
        </w:rPr>
        <w:t>Les éléments de la partie consacrée aux informations générales contiennent des informations sur la demande de brevet, comme indiqué ci</w:t>
      </w:r>
      <w:r w:rsidR="00265B44" w:rsidRPr="00CA5426">
        <w:rPr>
          <w:szCs w:val="17"/>
          <w:lang w:val="fr-FR"/>
        </w:rPr>
        <w:noBreakHyphen/>
      </w:r>
      <w:r w:rsidRPr="00CA5426">
        <w:rPr>
          <w:szCs w:val="17"/>
          <w:lang w:val="fr-FR"/>
        </w:rPr>
        <w:t>après</w:t>
      </w:r>
      <w:r w:rsidR="00745EE5" w:rsidRPr="00CA5426">
        <w:rPr>
          <w:szCs w:val="17"/>
          <w:lang w:val="fr-FR"/>
        </w:rPr>
        <w:t> </w:t>
      </w:r>
      <w:r w:rsidRPr="00CA5426">
        <w:rPr>
          <w:szCs w:val="17"/>
          <w:lang w:val="fr-FR"/>
        </w:rPr>
        <w:t>:</w:t>
      </w:r>
      <w:bookmarkEnd w:id="75"/>
    </w:p>
    <w:p w:rsidR="006C5B60" w:rsidRDefault="006C5B60" w:rsidP="006C5B60">
      <w:pPr>
        <w:rPr>
          <w:rFonts w:eastAsia="Times New Roman" w:cs="Times New Roman"/>
          <w:sz w:val="17"/>
          <w:lang w:val="fr-FR" w:eastAsia="en-US"/>
        </w:rPr>
      </w:pPr>
      <w:r>
        <w:rPr>
          <w:lang w:val="fr-FR"/>
        </w:rPr>
        <w:br w:type="page"/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77"/>
        <w:gridCol w:w="1842"/>
      </w:tblGrid>
      <w:tr w:rsidR="001126FA" w:rsidRPr="0001128D" w:rsidTr="00D35F12">
        <w:trPr>
          <w:cantSplit/>
          <w:trHeight w:val="260"/>
          <w:tblHeader/>
        </w:trPr>
        <w:tc>
          <w:tcPr>
            <w:tcW w:w="3260" w:type="dxa"/>
            <w:shd w:val="clear" w:color="auto" w:fill="D9D9D9" w:themeFill="background1" w:themeFillShade="D9"/>
          </w:tcPr>
          <w:p w:rsidR="001126FA" w:rsidRPr="0001128D" w:rsidRDefault="00CD22D0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>
              <w:rPr>
                <w:b/>
                <w:bCs/>
                <w:sz w:val="17"/>
                <w:szCs w:val="17"/>
                <w:lang w:val="fr-FR"/>
              </w:rPr>
              <w:lastRenderedPageBreak/>
              <w:t>Élément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1126FA" w:rsidRPr="0001128D" w:rsidRDefault="001126F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51415" w:rsidRPr="0001128D" w:rsidRDefault="009E0684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Obligatoire</w:t>
            </w:r>
            <w:r w:rsidR="001126FA" w:rsidRPr="0001128D">
              <w:rPr>
                <w:b/>
                <w:bCs/>
                <w:sz w:val="17"/>
                <w:szCs w:val="17"/>
                <w:lang w:val="fr-FR"/>
              </w:rPr>
              <w:t>/</w:t>
            </w:r>
          </w:p>
          <w:p w:rsidR="001126FA" w:rsidRPr="0001128D" w:rsidRDefault="009E0684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Facultatif</w:t>
            </w:r>
          </w:p>
          <w:p w:rsidR="001126FA" w:rsidRPr="0001128D" w:rsidRDefault="001126F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</w:tr>
      <w:tr w:rsidR="001126FA" w:rsidRPr="00917901" w:rsidTr="00154A46">
        <w:trPr>
          <w:cantSplit/>
        </w:trPr>
        <w:tc>
          <w:tcPr>
            <w:tcW w:w="3260" w:type="dxa"/>
            <w:tcBorders>
              <w:bottom w:val="nil"/>
            </w:tcBorders>
          </w:tcPr>
          <w:p w:rsidR="001126FA" w:rsidRPr="0001128D" w:rsidRDefault="000449B8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ApplicationIdentification</w:t>
            </w:r>
            <w:proofErr w:type="spellEnd"/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2671B9" w:rsidRPr="0001128D" w:rsidRDefault="002671B9" w:rsidP="007336B8">
            <w:pPr>
              <w:pStyle w:val="TableText"/>
              <w:rPr>
                <w:lang w:val="fr-FR"/>
              </w:rPr>
            </w:pPr>
          </w:p>
          <w:p w:rsidR="001126FA" w:rsidRPr="0001128D" w:rsidRDefault="00FF21D3" w:rsidP="006B0115">
            <w:pPr>
              <w:pStyle w:val="List0"/>
              <w:tabs>
                <w:tab w:val="left" w:pos="567"/>
              </w:tabs>
              <w:rPr>
                <w:szCs w:val="17"/>
                <w:lang w:val="fr-FR"/>
              </w:rPr>
            </w:pPr>
            <w:r w:rsidRPr="0001128D">
              <w:rPr>
                <w:szCs w:val="17"/>
                <w:lang w:val="fr-FR"/>
              </w:rPr>
              <w:t>L</w:t>
            </w:r>
            <w:r w:rsidR="00A329F0" w:rsidRPr="0001128D">
              <w:rPr>
                <w:szCs w:val="17"/>
                <w:lang w:val="fr-FR"/>
              </w:rPr>
              <w:t>’</w:t>
            </w:r>
            <w:r w:rsidRPr="0001128D">
              <w:rPr>
                <w:szCs w:val="17"/>
                <w:lang w:val="fr-FR"/>
              </w:rPr>
              <w:t xml:space="preserve">élément </w:t>
            </w:r>
            <w:proofErr w:type="spellStart"/>
            <w:r w:rsidR="001126FA" w:rsidRPr="0001128D">
              <w:rPr>
                <w:rFonts w:ascii="Courier New" w:hAnsi="Courier New"/>
                <w:lang w:val="fr-FR"/>
              </w:rPr>
              <w:t>Application</w:t>
            </w:r>
            <w:r w:rsidR="000449B8" w:rsidRPr="0001128D">
              <w:rPr>
                <w:rFonts w:ascii="Courier New" w:hAnsi="Courier New"/>
                <w:lang w:val="fr-FR"/>
              </w:rPr>
              <w:t>Identification</w:t>
            </w:r>
            <w:proofErr w:type="spellEnd"/>
            <w:r w:rsidR="001126FA" w:rsidRPr="0001128D">
              <w:rPr>
                <w:szCs w:val="17"/>
                <w:lang w:val="fr-FR"/>
              </w:rPr>
              <w:t xml:space="preserve"> </w:t>
            </w:r>
            <w:r w:rsidRPr="0001128D">
              <w:rPr>
                <w:szCs w:val="17"/>
                <w:lang w:val="fr-FR"/>
              </w:rPr>
              <w:t>est composé des éléments suivants</w:t>
            </w:r>
            <w:r w:rsidR="00745EE5" w:rsidRPr="0001128D">
              <w:rPr>
                <w:szCs w:val="17"/>
                <w:lang w:val="fr-FR"/>
              </w:rPr>
              <w:t> </w:t>
            </w:r>
            <w:r w:rsidR="001126FA" w:rsidRPr="0001128D">
              <w:rPr>
                <w:szCs w:val="17"/>
                <w:lang w:val="fr-FR"/>
              </w:rPr>
              <w:t>:</w:t>
            </w:r>
          </w:p>
          <w:p w:rsidR="001126FA" w:rsidRPr="0001128D" w:rsidRDefault="001126FA" w:rsidP="00154A46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1126FA" w:rsidRPr="0001128D" w:rsidRDefault="00851132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I</w:t>
            </w:r>
            <w:r w:rsidR="000449B8" w:rsidRPr="0001128D">
              <w:rPr>
                <w:sz w:val="17"/>
                <w:szCs w:val="17"/>
                <w:lang w:val="fr-FR"/>
              </w:rPr>
              <w:t>dentification</w:t>
            </w:r>
            <w:r w:rsidR="001126FA" w:rsidRPr="0001128D">
              <w:rPr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sz w:val="17"/>
                <w:szCs w:val="17"/>
                <w:lang w:val="fr-FR"/>
              </w:rPr>
              <w:t>de la demande pour laquelle le listage des séquences est soumis.</w:t>
            </w: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1126FA" w:rsidRPr="0001128D" w:rsidRDefault="001126FA" w:rsidP="000449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851132" w:rsidRPr="0001128D" w:rsidRDefault="00851132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 xml:space="preserve">Obligatoire 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lorsqu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un listage des séquences est remis à un moment quelconque après l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attribution d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un numéro de demande.</w:t>
            </w:r>
          </w:p>
          <w:p w:rsidR="001126FA" w:rsidRPr="0001128D" w:rsidRDefault="001126FA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</w:p>
          <w:p w:rsidR="001126FA" w:rsidRPr="0001128D" w:rsidRDefault="001126FA" w:rsidP="002671B9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</w:p>
        </w:tc>
      </w:tr>
      <w:tr w:rsidR="002671B9" w:rsidRPr="0001128D" w:rsidTr="008A0E54">
        <w:trPr>
          <w:cantSplit/>
        </w:trPr>
        <w:tc>
          <w:tcPr>
            <w:tcW w:w="3260" w:type="dxa"/>
            <w:tcBorders>
              <w:top w:val="nil"/>
              <w:bottom w:val="nil"/>
            </w:tcBorders>
          </w:tcPr>
          <w:p w:rsidR="002671B9" w:rsidRPr="0001128D" w:rsidRDefault="002671B9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IPOfficeCode</w:t>
            </w:r>
            <w:proofErr w:type="spellEnd"/>
          </w:p>
          <w:p w:rsidR="002671B9" w:rsidRPr="0001128D" w:rsidRDefault="002671B9" w:rsidP="0005141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2671B9" w:rsidRPr="0001128D" w:rsidRDefault="00FF21D3" w:rsidP="002671B9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Code </w:t>
            </w:r>
            <w:r w:rsidR="002671B9" w:rsidRPr="0001128D">
              <w:rPr>
                <w:sz w:val="17"/>
                <w:szCs w:val="17"/>
                <w:lang w:val="fr-FR"/>
              </w:rPr>
              <w:t xml:space="preserve">ST.3 </w:t>
            </w:r>
            <w:r w:rsidRPr="0001128D">
              <w:rPr>
                <w:sz w:val="17"/>
                <w:szCs w:val="17"/>
                <w:lang w:val="fr-FR"/>
              </w:rPr>
              <w:t>de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office de dépôt</w:t>
            </w:r>
          </w:p>
          <w:p w:rsidR="002671B9" w:rsidRPr="0001128D" w:rsidRDefault="002671B9" w:rsidP="00051415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671B9" w:rsidRPr="0001128D" w:rsidRDefault="00FF21D3" w:rsidP="00051415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 xml:space="preserve">Obligatoire </w:t>
            </w:r>
          </w:p>
        </w:tc>
      </w:tr>
      <w:tr w:rsidR="002671B9" w:rsidRPr="0001128D" w:rsidTr="008A0E54">
        <w:trPr>
          <w:cantSplit/>
        </w:trPr>
        <w:tc>
          <w:tcPr>
            <w:tcW w:w="3260" w:type="dxa"/>
            <w:tcBorders>
              <w:top w:val="nil"/>
              <w:bottom w:val="nil"/>
            </w:tcBorders>
          </w:tcPr>
          <w:p w:rsidR="00154A46" w:rsidRPr="0001128D" w:rsidRDefault="001E280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ApplicationNumberText</w:t>
            </w:r>
            <w:proofErr w:type="spellEnd"/>
          </w:p>
          <w:p w:rsidR="002671B9" w:rsidRPr="0001128D" w:rsidRDefault="002671B9" w:rsidP="00154A46">
            <w:pPr>
              <w:ind w:left="720"/>
              <w:rPr>
                <w:rFonts w:ascii="Courier New" w:hAnsi="Courier New"/>
                <w:bCs/>
                <w:sz w:val="17"/>
                <w:szCs w:val="17"/>
                <w:lang w:val="fr-FR"/>
              </w:rPr>
            </w:pPr>
          </w:p>
          <w:p w:rsidR="002671B9" w:rsidRPr="0001128D" w:rsidRDefault="002671B9" w:rsidP="007336B8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2671B9" w:rsidRDefault="0051103A" w:rsidP="00375107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I</w:t>
            </w:r>
            <w:r w:rsidR="00375107" w:rsidRPr="0001128D">
              <w:rPr>
                <w:sz w:val="17"/>
                <w:szCs w:val="17"/>
                <w:lang w:val="fr-FR"/>
              </w:rPr>
              <w:t>dentification de la demande</w:t>
            </w:r>
            <w:r w:rsidR="002671B9" w:rsidRPr="0001128D">
              <w:rPr>
                <w:sz w:val="17"/>
                <w:szCs w:val="17"/>
                <w:lang w:val="fr-FR"/>
              </w:rPr>
              <w:t xml:space="preserve"> </w:t>
            </w:r>
            <w:r w:rsidR="00375107" w:rsidRPr="0001128D">
              <w:rPr>
                <w:sz w:val="17"/>
                <w:szCs w:val="17"/>
                <w:lang w:val="fr-FR"/>
              </w:rPr>
              <w:t>fournie par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375107" w:rsidRPr="0001128D">
              <w:rPr>
                <w:sz w:val="17"/>
                <w:szCs w:val="17"/>
                <w:lang w:val="fr-FR"/>
              </w:rPr>
              <w:t xml:space="preserve">office de dépôt </w:t>
            </w:r>
            <w:r w:rsidR="002671B9" w:rsidRPr="0001128D">
              <w:rPr>
                <w:sz w:val="17"/>
                <w:szCs w:val="17"/>
                <w:lang w:val="fr-FR"/>
              </w:rPr>
              <w:t>(e</w:t>
            </w:r>
            <w:r w:rsidR="00375107" w:rsidRPr="0001128D">
              <w:rPr>
                <w:sz w:val="17"/>
                <w:szCs w:val="17"/>
                <w:lang w:val="fr-FR"/>
              </w:rPr>
              <w:t>x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375107" w:rsidRPr="0001128D">
              <w:rPr>
                <w:sz w:val="17"/>
                <w:szCs w:val="17"/>
                <w:lang w:val="fr-FR"/>
              </w:rPr>
              <w:t>:</w:t>
            </w:r>
            <w:r w:rsidR="002671B9" w:rsidRPr="0001128D">
              <w:rPr>
                <w:sz w:val="17"/>
                <w:szCs w:val="17"/>
                <w:lang w:val="fr-FR"/>
              </w:rPr>
              <w:t xml:space="preserve"> PCT/IB2013/099999)</w:t>
            </w:r>
          </w:p>
          <w:p w:rsidR="00CA5426" w:rsidRPr="0001128D" w:rsidRDefault="00CA5426" w:rsidP="00375107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671B9" w:rsidRPr="0001128D" w:rsidRDefault="00FF21D3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 xml:space="preserve">Obligatoire </w:t>
            </w:r>
          </w:p>
        </w:tc>
      </w:tr>
      <w:tr w:rsidR="001126FA" w:rsidRPr="00917901" w:rsidTr="008A0E54">
        <w:trPr>
          <w:cantSplit/>
        </w:trPr>
        <w:tc>
          <w:tcPr>
            <w:tcW w:w="3260" w:type="dxa"/>
            <w:tcBorders>
              <w:top w:val="nil"/>
            </w:tcBorders>
          </w:tcPr>
          <w:p w:rsidR="00154A46" w:rsidRPr="0001128D" w:rsidRDefault="00E80F28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FilingDate</w:t>
            </w:r>
            <w:proofErr w:type="spellEnd"/>
          </w:p>
          <w:p w:rsidR="001126FA" w:rsidRPr="0001128D" w:rsidRDefault="001126FA" w:rsidP="00154A46">
            <w:pPr>
              <w:ind w:left="720"/>
              <w:rPr>
                <w:rFonts w:ascii="Courier New" w:hAnsi="Courier New"/>
                <w:bCs/>
                <w:sz w:val="17"/>
                <w:szCs w:val="17"/>
                <w:lang w:val="fr-FR"/>
              </w:rPr>
            </w:pPr>
          </w:p>
          <w:p w:rsidR="001126FA" w:rsidRPr="0001128D" w:rsidRDefault="001126FA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1126FA" w:rsidRPr="0001128D" w:rsidRDefault="00F61FB1" w:rsidP="0051103A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Date de dépôt de la demande de brevet pour laquelle le listage des séquences est remis</w:t>
            </w:r>
            <w:r w:rsidR="001126FA" w:rsidRPr="0001128D">
              <w:rPr>
                <w:sz w:val="17"/>
                <w:szCs w:val="17"/>
                <w:lang w:val="fr-FR"/>
              </w:rPr>
              <w:t xml:space="preserve"> (</w:t>
            </w:r>
            <w:r w:rsidRPr="0001128D">
              <w:rPr>
                <w:sz w:val="17"/>
                <w:szCs w:val="17"/>
                <w:lang w:val="fr-FR"/>
              </w:rPr>
              <w:t xml:space="preserve">au format </w:t>
            </w:r>
            <w:r w:rsidR="003D1B31" w:rsidRPr="0001128D">
              <w:rPr>
                <w:sz w:val="17"/>
                <w:szCs w:val="17"/>
                <w:lang w:val="fr-FR"/>
              </w:rPr>
              <w:t xml:space="preserve">ST.2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Pr="0001128D">
              <w:rPr>
                <w:sz w:val="17"/>
                <w:szCs w:val="17"/>
                <w:lang w:val="fr-FR"/>
              </w:rPr>
              <w:t>SSAA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3D1B31" w:rsidRPr="0001128D">
              <w:rPr>
                <w:sz w:val="17"/>
                <w:szCs w:val="17"/>
                <w:lang w:val="fr-FR"/>
              </w:rPr>
              <w:t>MM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Pr="0001128D">
              <w:rPr>
                <w:sz w:val="17"/>
                <w:szCs w:val="17"/>
                <w:lang w:val="fr-FR"/>
              </w:rPr>
              <w:t>JJ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  <w:r w:rsidR="006D2522" w:rsidRPr="0001128D">
              <w:rPr>
                <w:sz w:val="17"/>
                <w:szCs w:val="17"/>
                <w:lang w:val="fr-FR"/>
              </w:rPr>
              <w:t xml:space="preserve">, </w:t>
            </w:r>
            <w:r w:rsidR="0051103A" w:rsidRPr="0001128D">
              <w:rPr>
                <w:sz w:val="17"/>
                <w:szCs w:val="17"/>
                <w:lang w:val="fr-FR"/>
              </w:rPr>
              <w:t>en désignant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51103A" w:rsidRPr="0001128D">
              <w:rPr>
                <w:sz w:val="17"/>
                <w:szCs w:val="17"/>
                <w:lang w:val="fr-FR"/>
              </w:rPr>
              <w:t>année civile sur</w:t>
            </w:r>
            <w:r w:rsidR="006D2522" w:rsidRPr="0001128D">
              <w:rPr>
                <w:sz w:val="17"/>
                <w:szCs w:val="17"/>
                <w:lang w:val="fr-FR"/>
              </w:rPr>
              <w:t xml:space="preserve"> 4</w:t>
            </w:r>
            <w:r w:rsidR="0051103A" w:rsidRPr="0001128D">
              <w:rPr>
                <w:sz w:val="17"/>
                <w:szCs w:val="17"/>
                <w:lang w:val="fr-FR"/>
              </w:rPr>
              <w:t> chiffres,</w:t>
            </w:r>
            <w:r w:rsidR="006D2522" w:rsidRPr="0001128D">
              <w:rPr>
                <w:sz w:val="17"/>
                <w:szCs w:val="17"/>
                <w:lang w:val="fr-FR"/>
              </w:rPr>
              <w:t xml:space="preserve"> </w:t>
            </w:r>
            <w:r w:rsidR="0051103A" w:rsidRPr="0001128D">
              <w:rPr>
                <w:sz w:val="17"/>
                <w:szCs w:val="17"/>
                <w:lang w:val="fr-FR"/>
              </w:rPr>
              <w:t>le mois civil sur 2 chiffres</w:t>
            </w:r>
            <w:r w:rsidR="006D2522" w:rsidRPr="0001128D">
              <w:rPr>
                <w:sz w:val="17"/>
                <w:szCs w:val="17"/>
                <w:lang w:val="fr-FR"/>
              </w:rPr>
              <w:t xml:space="preserve"> </w:t>
            </w:r>
            <w:r w:rsidR="0051103A" w:rsidRPr="0001128D">
              <w:rPr>
                <w:sz w:val="17"/>
                <w:szCs w:val="17"/>
                <w:lang w:val="fr-FR"/>
              </w:rPr>
              <w:t>et le jour du mois civil sur 2 chiffres</w:t>
            </w:r>
            <w:r w:rsidR="006D2522" w:rsidRPr="0001128D">
              <w:rPr>
                <w:sz w:val="17"/>
                <w:szCs w:val="17"/>
                <w:lang w:val="fr-FR"/>
              </w:rPr>
              <w:t xml:space="preserve">, </w:t>
            </w:r>
            <w:r w:rsidR="00745EE5" w:rsidRPr="0001128D">
              <w:rPr>
                <w:sz w:val="17"/>
                <w:szCs w:val="17"/>
                <w:lang w:val="fr-FR"/>
              </w:rPr>
              <w:t>p. </w:t>
            </w:r>
            <w:r w:rsidR="0051103A" w:rsidRPr="0001128D">
              <w:rPr>
                <w:sz w:val="17"/>
                <w:szCs w:val="17"/>
                <w:lang w:val="fr-FR"/>
              </w:rPr>
              <w:t>ex.</w:t>
            </w:r>
            <w:r w:rsidR="006D2522" w:rsidRPr="0001128D">
              <w:rPr>
                <w:sz w:val="17"/>
                <w:szCs w:val="17"/>
                <w:lang w:val="fr-FR"/>
              </w:rPr>
              <w:t xml:space="preserve"> 2015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6D2522" w:rsidRPr="0001128D">
              <w:rPr>
                <w:sz w:val="17"/>
                <w:szCs w:val="17"/>
                <w:lang w:val="fr-FR"/>
              </w:rPr>
              <w:t>01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6D2522" w:rsidRPr="0001128D">
              <w:rPr>
                <w:sz w:val="17"/>
                <w:szCs w:val="17"/>
                <w:lang w:val="fr-FR"/>
              </w:rPr>
              <w:t>31</w:t>
            </w:r>
            <w:r w:rsidR="001126FA" w:rsidRPr="0001128D">
              <w:rPr>
                <w:sz w:val="17"/>
                <w:szCs w:val="17"/>
                <w:lang w:val="fr-FR"/>
              </w:rPr>
              <w:t>)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1126FA" w:rsidRPr="0001128D" w:rsidRDefault="00FF21D3" w:rsidP="001D04FC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 xml:space="preserve">Obligatoire 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lorsqu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un listage des séquences est remis à un moment quelconque après l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>attribution d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1D04FC" w:rsidRPr="0001128D">
              <w:rPr>
                <w:color w:val="000000"/>
                <w:sz w:val="17"/>
                <w:szCs w:val="17"/>
                <w:lang w:val="fr-FR"/>
              </w:rPr>
              <w:t xml:space="preserve">une 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date de dépôt.</w:t>
            </w:r>
          </w:p>
        </w:tc>
      </w:tr>
      <w:tr w:rsidR="001126FA" w:rsidRPr="00917901" w:rsidTr="007336B8">
        <w:trPr>
          <w:cantSplit/>
          <w:trHeight w:val="320"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ApplicantFileReference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01128D" w:rsidRDefault="00A47B0C" w:rsidP="009C3EC9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Identificateur unique attribué par le demandeur pour désigner une demande particulière, </w:t>
            </w:r>
            <w:r w:rsidR="009C3EC9" w:rsidRPr="0001128D">
              <w:rPr>
                <w:sz w:val="17"/>
                <w:szCs w:val="17"/>
                <w:lang w:val="fr-FR"/>
              </w:rPr>
              <w:t>composé de</w:t>
            </w:r>
            <w:r w:rsidRPr="0001128D">
              <w:rPr>
                <w:sz w:val="17"/>
                <w:szCs w:val="17"/>
                <w:lang w:val="fr-FR"/>
              </w:rPr>
              <w:t xml:space="preserve"> caractères définis au paragraphe 40 b).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A47B0C" w:rsidP="00051415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Obligatoire lorsqu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un listage des séquences est remis à un moment quelconque avant</w:t>
            </w:r>
            <w:r w:rsidR="00883658" w:rsidRPr="0001128D">
              <w:rPr>
                <w:color w:val="000000"/>
                <w:sz w:val="17"/>
                <w:szCs w:val="17"/>
                <w:lang w:val="fr-FR"/>
              </w:rPr>
              <w:t xml:space="preserve"> l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="00883658" w:rsidRPr="0001128D">
              <w:rPr>
                <w:color w:val="000000"/>
                <w:sz w:val="17"/>
                <w:szCs w:val="17"/>
                <w:lang w:val="fr-FR"/>
              </w:rPr>
              <w:t>attribution du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 xml:space="preserve"> numéro de demande</w:t>
            </w:r>
            <w:r w:rsidR="00883658" w:rsidRPr="0001128D">
              <w:rPr>
                <w:color w:val="000000"/>
                <w:sz w:val="17"/>
                <w:szCs w:val="17"/>
                <w:lang w:val="fr-FR"/>
              </w:rPr>
              <w:t xml:space="preserve">; </w:t>
            </w:r>
            <w:r w:rsidR="00745EE5" w:rsidRPr="0001128D">
              <w:rPr>
                <w:color w:val="000000"/>
                <w:sz w:val="17"/>
                <w:szCs w:val="17"/>
                <w:lang w:val="fr-FR"/>
              </w:rPr>
              <w:t xml:space="preserve"> </w:t>
            </w:r>
            <w:r w:rsidR="00883658" w:rsidRPr="0001128D">
              <w:rPr>
                <w:color w:val="000000"/>
                <w:sz w:val="17"/>
                <w:szCs w:val="17"/>
                <w:lang w:val="fr-FR"/>
              </w:rPr>
              <w:t>facultatif dans les autres cas.</w:t>
            </w:r>
          </w:p>
        </w:tc>
      </w:tr>
      <w:tr w:rsidR="001126FA" w:rsidRPr="00917901" w:rsidTr="007336B8">
        <w:trPr>
          <w:cantSplit/>
          <w:trHeight w:val="590"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EarliestPriority</w:t>
            </w:r>
            <w:r w:rsidR="000449B8" w:rsidRPr="0001128D">
              <w:rPr>
                <w:rFonts w:ascii="Courier New" w:hAnsi="Courier New"/>
                <w:sz w:val="17"/>
                <w:lang w:val="fr-FR"/>
              </w:rPr>
              <w:t>ApplicationIdentification</w:t>
            </w:r>
            <w:proofErr w:type="spellEnd"/>
          </w:p>
          <w:p w:rsidR="00154A46" w:rsidRPr="0001128D" w:rsidRDefault="00154A46" w:rsidP="007B5015">
            <w:pPr>
              <w:rPr>
                <w:rFonts w:ascii="Courier New" w:hAnsi="Courier New"/>
                <w:sz w:val="17"/>
                <w:lang w:val="fr-FR"/>
              </w:rPr>
            </w:pPr>
          </w:p>
          <w:p w:rsidR="00154A46" w:rsidRPr="0001128D" w:rsidRDefault="00154A46" w:rsidP="007B5015">
            <w:pPr>
              <w:rPr>
                <w:rFonts w:ascii="Courier New" w:hAnsi="Courier New"/>
                <w:sz w:val="17"/>
                <w:lang w:val="fr-FR"/>
              </w:rPr>
            </w:pPr>
          </w:p>
          <w:p w:rsidR="00154A46" w:rsidRPr="0001128D" w:rsidRDefault="00154A46" w:rsidP="007B5015">
            <w:pPr>
              <w:rPr>
                <w:rFonts w:ascii="Courier New" w:hAnsi="Courier New"/>
                <w:sz w:val="17"/>
                <w:lang w:val="fr-FR"/>
              </w:rPr>
            </w:pPr>
          </w:p>
          <w:p w:rsidR="00154A46" w:rsidRPr="0001128D" w:rsidRDefault="00154A46" w:rsidP="007B5015">
            <w:pPr>
              <w:rPr>
                <w:rFonts w:ascii="Courier New" w:hAnsi="Courier New"/>
                <w:sz w:val="17"/>
                <w:lang w:val="fr-FR"/>
              </w:rPr>
            </w:pPr>
          </w:p>
          <w:p w:rsidR="00154A46" w:rsidRPr="0001128D" w:rsidRDefault="00154A46" w:rsidP="007336B8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1126FA" w:rsidRPr="0001128D" w:rsidRDefault="00A85F80" w:rsidP="00AD0A98">
            <w:pPr>
              <w:pStyle w:val="List0"/>
              <w:tabs>
                <w:tab w:val="left" w:pos="567"/>
              </w:tabs>
              <w:rPr>
                <w:szCs w:val="17"/>
                <w:lang w:val="fr-FR"/>
              </w:rPr>
            </w:pPr>
            <w:r w:rsidRPr="0001128D">
              <w:rPr>
                <w:szCs w:val="17"/>
                <w:lang w:val="fr-FR"/>
              </w:rPr>
              <w:t>Identification de la</w:t>
            </w:r>
            <w:r w:rsidR="00AD0A98" w:rsidRPr="0001128D">
              <w:rPr>
                <w:szCs w:val="17"/>
                <w:lang w:val="fr-FR"/>
              </w:rPr>
              <w:t xml:space="preserve"> première revendication de priorité dans la </w:t>
            </w:r>
            <w:r w:rsidRPr="0001128D">
              <w:rPr>
                <w:szCs w:val="17"/>
                <w:lang w:val="fr-FR"/>
              </w:rPr>
              <w:t>demande</w:t>
            </w:r>
            <w:r w:rsidR="001126FA" w:rsidRPr="0001128D">
              <w:rPr>
                <w:szCs w:val="17"/>
                <w:lang w:val="fr-FR"/>
              </w:rPr>
              <w:t xml:space="preserve"> (</w:t>
            </w:r>
            <w:r w:rsidR="00AD0A98" w:rsidRPr="0001128D">
              <w:rPr>
                <w:szCs w:val="17"/>
                <w:lang w:val="fr-FR"/>
              </w:rPr>
              <w:t>contient également les éléments</w:t>
            </w:r>
            <w:r w:rsidR="001126FA" w:rsidRPr="0001128D">
              <w:rPr>
                <w:szCs w:val="17"/>
                <w:lang w:val="fr-FR"/>
              </w:rPr>
              <w:t xml:space="preserve"> </w:t>
            </w:r>
            <w:proofErr w:type="spellStart"/>
            <w:r w:rsidR="009B47F4" w:rsidRPr="0001128D">
              <w:rPr>
                <w:rFonts w:ascii="Courier New" w:hAnsi="Courier New"/>
                <w:lang w:val="fr-FR"/>
              </w:rPr>
              <w:t>IPOfficeCode</w:t>
            </w:r>
            <w:proofErr w:type="spellEnd"/>
            <w:r w:rsidR="000D3947" w:rsidRPr="0001128D">
              <w:rPr>
                <w:rFonts w:ascii="Courier New" w:hAnsi="Courier New"/>
                <w:lang w:val="fr-FR"/>
              </w:rPr>
              <w:t xml:space="preserve">, </w:t>
            </w:r>
            <w:proofErr w:type="spellStart"/>
            <w:r w:rsidR="001E280A" w:rsidRPr="0001128D">
              <w:rPr>
                <w:rFonts w:ascii="Courier New" w:hAnsi="Courier New"/>
                <w:lang w:val="fr-FR"/>
              </w:rPr>
              <w:t>ApplicationNumberText</w:t>
            </w:r>
            <w:proofErr w:type="spellEnd"/>
            <w:r w:rsidR="001126FA" w:rsidRPr="0001128D">
              <w:rPr>
                <w:szCs w:val="17"/>
                <w:lang w:val="fr-FR"/>
              </w:rPr>
              <w:t xml:space="preserve"> </w:t>
            </w:r>
            <w:r w:rsidR="00AD0A98" w:rsidRPr="0001128D">
              <w:rPr>
                <w:szCs w:val="17"/>
                <w:lang w:val="fr-FR"/>
              </w:rPr>
              <w:t>et</w:t>
            </w:r>
            <w:r w:rsidR="000D3947" w:rsidRPr="0001128D">
              <w:rPr>
                <w:szCs w:val="17"/>
                <w:lang w:val="fr-FR"/>
              </w:rPr>
              <w:t xml:space="preserve"> </w:t>
            </w:r>
            <w:proofErr w:type="spellStart"/>
            <w:r w:rsidR="000D3947" w:rsidRPr="0001128D">
              <w:rPr>
                <w:rFonts w:ascii="Courier New" w:hAnsi="Courier New"/>
                <w:lang w:val="fr-FR"/>
              </w:rPr>
              <w:t>FilingDate</w:t>
            </w:r>
            <w:proofErr w:type="spellEnd"/>
            <w:r w:rsidR="001126FA" w:rsidRPr="0001128D">
              <w:rPr>
                <w:szCs w:val="17"/>
                <w:lang w:val="fr-FR"/>
              </w:rPr>
              <w:t xml:space="preserve">, </w:t>
            </w:r>
            <w:r w:rsidR="00AD0A98" w:rsidRPr="0001128D">
              <w:rPr>
                <w:szCs w:val="17"/>
                <w:lang w:val="fr-FR"/>
              </w:rPr>
              <w:t>voir</w:t>
            </w:r>
            <w:r w:rsidR="001126FA" w:rsidRPr="0001128D">
              <w:rPr>
                <w:szCs w:val="17"/>
                <w:lang w:val="fr-FR"/>
              </w:rPr>
              <w:t xml:space="preserve"> </w:t>
            </w:r>
            <w:proofErr w:type="spellStart"/>
            <w:r w:rsidR="000449B8" w:rsidRPr="0001128D">
              <w:rPr>
                <w:rFonts w:ascii="Courier New" w:hAnsi="Courier New"/>
                <w:lang w:val="fr-FR"/>
              </w:rPr>
              <w:t>ApplicationIdentification</w:t>
            </w:r>
            <w:proofErr w:type="spellEnd"/>
            <w:r w:rsidR="001126FA" w:rsidRPr="0001128D">
              <w:rPr>
                <w:szCs w:val="17"/>
                <w:lang w:val="fr-FR"/>
              </w:rPr>
              <w:t xml:space="preserve"> </w:t>
            </w:r>
            <w:r w:rsidR="00AD0A98" w:rsidRPr="0001128D">
              <w:rPr>
                <w:szCs w:val="17"/>
                <w:lang w:val="fr-FR"/>
              </w:rPr>
              <w:t>ci</w:t>
            </w:r>
            <w:r w:rsidR="00265B44" w:rsidRPr="0001128D">
              <w:rPr>
                <w:szCs w:val="17"/>
                <w:lang w:val="fr-FR"/>
              </w:rPr>
              <w:noBreakHyphen/>
            </w:r>
            <w:r w:rsidR="00AD0A98" w:rsidRPr="0001128D">
              <w:rPr>
                <w:szCs w:val="17"/>
                <w:lang w:val="fr-FR"/>
              </w:rPr>
              <w:t>dessus</w:t>
            </w:r>
            <w:r w:rsidR="001126FA" w:rsidRPr="0001128D">
              <w:rPr>
                <w:szCs w:val="17"/>
                <w:lang w:val="fr-FR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3E4C32" w:rsidP="003E4C32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Obligatoire si une priorité est revendiquée.</w:t>
            </w:r>
          </w:p>
        </w:tc>
      </w:tr>
      <w:tr w:rsidR="001126FA" w:rsidRPr="0001128D" w:rsidTr="007336B8">
        <w:trPr>
          <w:cantSplit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ApplicantName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01128D" w:rsidRDefault="005F0D98" w:rsidP="002B7235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Nom du premier</w:t>
            </w:r>
            <w:r w:rsidR="009C3EC9" w:rsidRPr="0001128D">
              <w:rPr>
                <w:sz w:val="17"/>
                <w:szCs w:val="17"/>
                <w:lang w:val="fr-FR"/>
              </w:rPr>
              <w:t xml:space="preserve"> déposant mentionné, composé de</w:t>
            </w:r>
            <w:r w:rsidRPr="0001128D">
              <w:rPr>
                <w:sz w:val="17"/>
                <w:szCs w:val="17"/>
                <w:lang w:val="fr-FR"/>
              </w:rPr>
              <w:t xml:space="preserve"> caractères définis au paragraphe 40 a).  </w:t>
            </w:r>
            <w:r w:rsidR="002B7235" w:rsidRPr="0001128D">
              <w:rPr>
                <w:sz w:val="17"/>
                <w:szCs w:val="17"/>
                <w:lang w:val="fr-FR"/>
              </w:rPr>
              <w:t>Cet élément comporte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2B7235" w:rsidRPr="0001128D">
              <w:rPr>
                <w:sz w:val="17"/>
                <w:szCs w:val="17"/>
                <w:lang w:val="fr-FR"/>
              </w:rPr>
              <w:t xml:space="preserve">attribut obligatoire </w:t>
            </w:r>
            <w:proofErr w:type="spellStart"/>
            <w:r w:rsidR="005632DD" w:rsidRPr="0001128D">
              <w:rPr>
                <w:rFonts w:ascii="Courier New" w:eastAsia="Times New Roman" w:hAnsi="Courier New" w:cs="Times New Roman"/>
                <w:sz w:val="17"/>
                <w:lang w:val="fr-FR" w:eastAsia="en-US"/>
              </w:rPr>
              <w:t>languageCode</w:t>
            </w:r>
            <w:proofErr w:type="spellEnd"/>
            <w:r w:rsidR="005632DD" w:rsidRPr="0001128D">
              <w:rPr>
                <w:sz w:val="17"/>
                <w:szCs w:val="17"/>
                <w:lang w:val="fr-FR"/>
              </w:rPr>
              <w:t xml:space="preserve"> </w:t>
            </w:r>
            <w:r w:rsidR="002B7235" w:rsidRPr="0001128D">
              <w:rPr>
                <w:sz w:val="17"/>
                <w:szCs w:val="17"/>
                <w:lang w:val="fr-FR"/>
              </w:rPr>
              <w:t xml:space="preserve">conformément au </w:t>
            </w:r>
            <w:r w:rsidR="005632DD" w:rsidRPr="0001128D">
              <w:rPr>
                <w:sz w:val="17"/>
                <w:szCs w:val="17"/>
                <w:lang w:val="fr-FR"/>
              </w:rPr>
              <w:t>paragraph</w:t>
            </w:r>
            <w:r w:rsidR="002B7235" w:rsidRPr="0001128D">
              <w:rPr>
                <w:sz w:val="17"/>
                <w:szCs w:val="17"/>
                <w:lang w:val="fr-FR"/>
              </w:rPr>
              <w:t>e </w:t>
            </w:r>
            <w:r w:rsidR="005632DD" w:rsidRPr="0001128D">
              <w:rPr>
                <w:sz w:val="17"/>
                <w:szCs w:val="17"/>
                <w:lang w:val="fr-FR"/>
              </w:rPr>
              <w:t>47.</w:t>
            </w:r>
            <w:r w:rsidR="006B7F20" w:rsidRPr="0001128D" w:rsidDel="006B7F20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5F0D98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Obligatoire</w:t>
            </w:r>
          </w:p>
        </w:tc>
      </w:tr>
      <w:tr w:rsidR="001126FA" w:rsidRPr="00917901" w:rsidTr="007336B8">
        <w:trPr>
          <w:cantSplit/>
        </w:trPr>
        <w:tc>
          <w:tcPr>
            <w:tcW w:w="3260" w:type="dxa"/>
          </w:tcPr>
          <w:p w:rsidR="001126FA" w:rsidRPr="0001128D" w:rsidRDefault="00DB2CA4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ApplicantNameLatin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01128D" w:rsidRDefault="00AA0907" w:rsidP="00614B43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Si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 xml:space="preserve">élément </w:t>
            </w:r>
            <w:proofErr w:type="spellStart"/>
            <w:r w:rsidR="001E280A" w:rsidRPr="0001128D">
              <w:rPr>
                <w:rFonts w:ascii="Courier New" w:hAnsi="Courier New"/>
                <w:sz w:val="17"/>
                <w:lang w:val="fr-FR"/>
              </w:rPr>
              <w:t>ApplicantName</w:t>
            </w:r>
            <w:proofErr w:type="spellEnd"/>
            <w:r w:rsidR="00114040" w:rsidRPr="0001128D">
              <w:rPr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sz w:val="17"/>
                <w:szCs w:val="17"/>
                <w:lang w:val="fr-FR"/>
              </w:rPr>
              <w:t xml:space="preserve">comporte des caractères différents de ceux </w:t>
            </w:r>
            <w:r w:rsidR="00E9413C" w:rsidRPr="0001128D">
              <w:rPr>
                <w:sz w:val="17"/>
                <w:szCs w:val="17"/>
                <w:lang w:val="fr-FR"/>
              </w:rPr>
              <w:t xml:space="preserve">définis </w:t>
            </w:r>
            <w:r w:rsidRPr="0001128D">
              <w:rPr>
                <w:sz w:val="17"/>
                <w:szCs w:val="17"/>
                <w:lang w:val="fr-FR"/>
              </w:rPr>
              <w:t>au paragraphe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 xml:space="preserve">40 b), une traduction ou une </w:t>
            </w:r>
            <w:r w:rsidR="00CD22D0">
              <w:rPr>
                <w:sz w:val="17"/>
                <w:szCs w:val="17"/>
                <w:lang w:val="fr-FR"/>
              </w:rPr>
              <w:t>translittération</w:t>
            </w:r>
            <w:r w:rsidRPr="0001128D">
              <w:rPr>
                <w:sz w:val="17"/>
                <w:szCs w:val="17"/>
                <w:lang w:val="fr-FR"/>
              </w:rPr>
              <w:t xml:space="preserve"> du nom du premier déposant mentionné </w:t>
            </w:r>
            <w:r w:rsidR="00E9413C" w:rsidRPr="0001128D">
              <w:rPr>
                <w:sz w:val="17"/>
                <w:szCs w:val="17"/>
                <w:lang w:val="fr-FR"/>
              </w:rPr>
              <w:t xml:space="preserve">doit être fournie et doit aussi </w:t>
            </w:r>
            <w:r w:rsidR="00614B43" w:rsidRPr="0001128D">
              <w:rPr>
                <w:sz w:val="17"/>
                <w:szCs w:val="17"/>
                <w:lang w:val="fr-FR"/>
              </w:rPr>
              <w:t>se composer de</w:t>
            </w:r>
            <w:r w:rsidR="00E9413C" w:rsidRPr="0001128D">
              <w:rPr>
                <w:sz w:val="17"/>
                <w:szCs w:val="17"/>
                <w:lang w:val="fr-FR"/>
              </w:rPr>
              <w:t xml:space="preserve"> caractères définis au paragraphe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E9413C" w:rsidRPr="0001128D">
              <w:rPr>
                <w:sz w:val="17"/>
                <w:szCs w:val="17"/>
                <w:lang w:val="fr-FR"/>
              </w:rPr>
              <w:t>40 b).</w:t>
            </w:r>
          </w:p>
        </w:tc>
        <w:tc>
          <w:tcPr>
            <w:tcW w:w="1842" w:type="dxa"/>
            <w:shd w:val="clear" w:color="auto" w:fill="auto"/>
          </w:tcPr>
          <w:p w:rsidR="00A73791" w:rsidRPr="0001128D" w:rsidRDefault="00A73791" w:rsidP="00A73791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Obligatoire si l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élément</w:t>
            </w:r>
            <w:r w:rsidR="005B248A" w:rsidRPr="0001128D">
              <w:rPr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="001E280A" w:rsidRPr="0001128D">
              <w:rPr>
                <w:rFonts w:ascii="Courier New" w:hAnsi="Courier New"/>
                <w:sz w:val="17"/>
                <w:lang w:val="fr-FR"/>
              </w:rPr>
              <w:t>ApplicantName</w:t>
            </w:r>
            <w:proofErr w:type="spellEnd"/>
            <w:r w:rsidR="00FE68EB" w:rsidRPr="0001128D">
              <w:rPr>
                <w:color w:val="000000"/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contient des caractères non latins.</w:t>
            </w:r>
          </w:p>
          <w:p w:rsidR="001126FA" w:rsidRPr="0001128D" w:rsidRDefault="001126FA" w:rsidP="005B248A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</w:p>
        </w:tc>
      </w:tr>
      <w:tr w:rsidR="001126FA" w:rsidRPr="0001128D" w:rsidTr="007336B8">
        <w:trPr>
          <w:cantSplit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InventorName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01128D" w:rsidRDefault="00A87B84" w:rsidP="00A87B84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Nom du premier </w:t>
            </w:r>
            <w:r w:rsidR="0074693A" w:rsidRPr="0001128D">
              <w:rPr>
                <w:sz w:val="17"/>
                <w:szCs w:val="17"/>
                <w:lang w:val="fr-FR"/>
              </w:rPr>
              <w:t>inventeur mentionné, composé de</w:t>
            </w:r>
            <w:r w:rsidRPr="0001128D">
              <w:rPr>
                <w:sz w:val="17"/>
                <w:szCs w:val="17"/>
                <w:lang w:val="fr-FR"/>
              </w:rPr>
              <w:t xml:space="preserve"> caractères définis au paragraphe 40 a).  Cet élément comporte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attribut o</w:t>
            </w:r>
            <w:r w:rsidR="002E73C4" w:rsidRPr="0001128D">
              <w:rPr>
                <w:sz w:val="17"/>
                <w:szCs w:val="17"/>
                <w:lang w:val="fr-FR"/>
              </w:rPr>
              <w:t>bligatoire</w:t>
            </w:r>
            <w:r w:rsidR="005B0982" w:rsidRPr="0001128D"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 w:rsidR="005B0982" w:rsidRPr="0001128D">
              <w:rPr>
                <w:rFonts w:ascii="Courier New" w:eastAsia="Times New Roman" w:hAnsi="Courier New" w:cs="Times New Roman"/>
                <w:sz w:val="17"/>
                <w:lang w:val="fr-FR" w:eastAsia="en-US"/>
              </w:rPr>
              <w:t>languageCode</w:t>
            </w:r>
            <w:proofErr w:type="spellEnd"/>
            <w:r w:rsidR="005B0982" w:rsidRPr="0001128D">
              <w:rPr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sz w:val="17"/>
                <w:szCs w:val="17"/>
                <w:lang w:val="fr-FR"/>
              </w:rPr>
              <w:t xml:space="preserve">conformément au </w:t>
            </w:r>
            <w:r w:rsidR="005B0982" w:rsidRPr="0001128D">
              <w:rPr>
                <w:sz w:val="17"/>
                <w:szCs w:val="17"/>
                <w:lang w:val="fr-FR"/>
              </w:rPr>
              <w:t>paragraph</w:t>
            </w:r>
            <w:r w:rsidRPr="0001128D">
              <w:rPr>
                <w:sz w:val="17"/>
                <w:szCs w:val="17"/>
                <w:lang w:val="fr-FR"/>
              </w:rPr>
              <w:t>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5B0982" w:rsidRPr="0001128D">
              <w:rPr>
                <w:sz w:val="17"/>
                <w:szCs w:val="17"/>
                <w:lang w:val="fr-FR"/>
              </w:rPr>
              <w:t>47.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A87B84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Facultatif</w:t>
            </w:r>
          </w:p>
        </w:tc>
      </w:tr>
      <w:tr w:rsidR="001126FA" w:rsidRPr="0001128D" w:rsidTr="007336B8">
        <w:trPr>
          <w:cantSplit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lastRenderedPageBreak/>
              <w:t>InventorName</w:t>
            </w:r>
            <w:r w:rsidR="006324DB" w:rsidRPr="0001128D">
              <w:rPr>
                <w:rFonts w:ascii="Courier New" w:hAnsi="Courier New"/>
                <w:sz w:val="17"/>
                <w:lang w:val="fr-FR"/>
              </w:rPr>
              <w:t>Latin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01128D" w:rsidRDefault="00354D95" w:rsidP="00A50D61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Si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 xml:space="preserve">élément </w:t>
            </w:r>
            <w:proofErr w:type="spellStart"/>
            <w:r w:rsidR="003D4B59" w:rsidRPr="0001128D">
              <w:rPr>
                <w:rFonts w:ascii="Courier New" w:hAnsi="Courier New"/>
                <w:sz w:val="17"/>
                <w:lang w:val="fr-FR"/>
              </w:rPr>
              <w:t>InventorName</w:t>
            </w:r>
            <w:proofErr w:type="spellEnd"/>
            <w:r w:rsidR="005D6D2F" w:rsidRPr="0001128D">
              <w:rPr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sz w:val="17"/>
                <w:szCs w:val="17"/>
                <w:lang w:val="fr-FR"/>
              </w:rPr>
              <w:t>comporte des caractères différents de ceux définis au paragraphe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 xml:space="preserve">40 b), une traduction ou une </w:t>
            </w:r>
            <w:r w:rsidR="00CD22D0">
              <w:rPr>
                <w:sz w:val="17"/>
                <w:szCs w:val="17"/>
                <w:lang w:val="fr-FR"/>
              </w:rPr>
              <w:t>translittération</w:t>
            </w:r>
            <w:r w:rsidRPr="0001128D">
              <w:rPr>
                <w:sz w:val="17"/>
                <w:szCs w:val="17"/>
                <w:lang w:val="fr-FR"/>
              </w:rPr>
              <w:t xml:space="preserve"> du nom du premier inventeur mentionné doit être fournie et doit aussi </w:t>
            </w:r>
            <w:r w:rsidR="00A50D61" w:rsidRPr="0001128D">
              <w:rPr>
                <w:sz w:val="17"/>
                <w:szCs w:val="17"/>
                <w:lang w:val="fr-FR"/>
              </w:rPr>
              <w:t>se</w:t>
            </w:r>
            <w:r w:rsidRPr="0001128D">
              <w:rPr>
                <w:sz w:val="17"/>
                <w:szCs w:val="17"/>
                <w:lang w:val="fr-FR"/>
              </w:rPr>
              <w:t xml:space="preserve"> compos</w:t>
            </w:r>
            <w:r w:rsidR="00A50D61" w:rsidRPr="0001128D">
              <w:rPr>
                <w:sz w:val="17"/>
                <w:szCs w:val="17"/>
                <w:lang w:val="fr-FR"/>
              </w:rPr>
              <w:t>er de</w:t>
            </w:r>
            <w:r w:rsidRPr="0001128D">
              <w:rPr>
                <w:sz w:val="17"/>
                <w:szCs w:val="17"/>
                <w:lang w:val="fr-FR"/>
              </w:rPr>
              <w:t xml:space="preserve"> caractères définis au paragraphe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>40 b).</w:t>
            </w:r>
            <w:r w:rsidR="005D6D2F" w:rsidRPr="0001128D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9062A4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Facultatif</w:t>
            </w:r>
          </w:p>
        </w:tc>
      </w:tr>
      <w:tr w:rsidR="001126FA" w:rsidRPr="0001128D" w:rsidTr="007336B8">
        <w:trPr>
          <w:cantSplit/>
          <w:trHeight w:val="300"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InventionTitle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A02DFA" w:rsidRPr="0001128D" w:rsidRDefault="00844059" w:rsidP="0093222B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T</w:t>
            </w:r>
            <w:r w:rsidR="000A0EF0" w:rsidRPr="0001128D">
              <w:rPr>
                <w:sz w:val="17"/>
                <w:szCs w:val="17"/>
                <w:lang w:val="fr-FR"/>
              </w:rPr>
              <w:t>itre de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0A0EF0" w:rsidRPr="0001128D">
              <w:rPr>
                <w:sz w:val="17"/>
                <w:szCs w:val="17"/>
                <w:lang w:val="fr-FR"/>
              </w:rPr>
              <w:t>invention, composé de</w:t>
            </w:r>
            <w:r w:rsidRPr="0001128D">
              <w:rPr>
                <w:sz w:val="17"/>
                <w:szCs w:val="17"/>
                <w:lang w:val="fr-FR"/>
              </w:rPr>
              <w:t xml:space="preserve"> caractères définis au paragraphe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>40 a) dans la langue de dépôt.  Une traduction du titre de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invention dans 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autres langues peut être fournie;  e</w:t>
            </w:r>
            <w:r w:rsidR="000A0EF0" w:rsidRPr="0001128D">
              <w:rPr>
                <w:sz w:val="17"/>
                <w:szCs w:val="17"/>
                <w:lang w:val="fr-FR"/>
              </w:rPr>
              <w:t>lle doit alors se composer de</w:t>
            </w:r>
            <w:r w:rsidRPr="0001128D">
              <w:rPr>
                <w:sz w:val="17"/>
                <w:szCs w:val="17"/>
                <w:lang w:val="fr-FR"/>
              </w:rPr>
              <w:t xml:space="preserve"> caractères définis au paragraphe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 xml:space="preserve">40 a) et apparaître sous des éléments </w:t>
            </w:r>
            <w:proofErr w:type="spellStart"/>
            <w:r w:rsidR="003D4B59" w:rsidRPr="0001128D">
              <w:rPr>
                <w:rFonts w:ascii="Courier New" w:hAnsi="Courier New"/>
                <w:sz w:val="17"/>
                <w:lang w:val="fr-FR"/>
              </w:rPr>
              <w:t>InventionTitle</w:t>
            </w:r>
            <w:proofErr w:type="spellEnd"/>
            <w:r w:rsidR="003D4B59" w:rsidRPr="0001128D" w:rsidDel="003D4B59">
              <w:rPr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sz w:val="17"/>
                <w:szCs w:val="17"/>
                <w:lang w:val="fr-FR"/>
              </w:rPr>
              <w:t>supplémentaires</w:t>
            </w:r>
            <w:r w:rsidR="005B0982" w:rsidRPr="0001128D">
              <w:rPr>
                <w:sz w:val="17"/>
                <w:szCs w:val="17"/>
                <w:lang w:val="fr-FR"/>
              </w:rPr>
              <w:t xml:space="preserve">.  </w:t>
            </w:r>
            <w:r w:rsidR="00693F6D" w:rsidRPr="0001128D">
              <w:rPr>
                <w:sz w:val="17"/>
                <w:szCs w:val="17"/>
                <w:lang w:val="fr-FR"/>
              </w:rPr>
              <w:t>Cet élément comporte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693F6D" w:rsidRPr="0001128D">
              <w:rPr>
                <w:sz w:val="17"/>
                <w:szCs w:val="17"/>
                <w:lang w:val="fr-FR"/>
              </w:rPr>
              <w:t xml:space="preserve">attribut obligatoire </w:t>
            </w:r>
            <w:proofErr w:type="spellStart"/>
            <w:r w:rsidR="005B0982" w:rsidRPr="0001128D">
              <w:rPr>
                <w:rFonts w:ascii="Courier New" w:eastAsia="Times New Roman" w:hAnsi="Courier New" w:cs="Times New Roman"/>
                <w:sz w:val="17"/>
                <w:lang w:val="fr-FR" w:eastAsia="en-US"/>
              </w:rPr>
              <w:t>languageCode</w:t>
            </w:r>
            <w:proofErr w:type="spellEnd"/>
            <w:r w:rsidR="00DB54A5" w:rsidRPr="0001128D">
              <w:rPr>
                <w:sz w:val="17"/>
                <w:szCs w:val="17"/>
                <w:lang w:val="fr-FR"/>
              </w:rPr>
              <w:t xml:space="preserve"> </w:t>
            </w:r>
            <w:r w:rsidR="00693F6D" w:rsidRPr="0001128D">
              <w:rPr>
                <w:sz w:val="17"/>
                <w:szCs w:val="17"/>
                <w:lang w:val="fr-FR"/>
              </w:rPr>
              <w:t xml:space="preserve">défini au </w:t>
            </w:r>
            <w:r w:rsidR="00DB54A5" w:rsidRPr="0001128D">
              <w:rPr>
                <w:sz w:val="17"/>
                <w:szCs w:val="17"/>
                <w:lang w:val="fr-FR"/>
              </w:rPr>
              <w:t>paragraph</w:t>
            </w:r>
            <w:r w:rsidR="00693F6D" w:rsidRPr="0001128D">
              <w:rPr>
                <w:sz w:val="17"/>
                <w:szCs w:val="17"/>
                <w:lang w:val="fr-FR"/>
              </w:rPr>
              <w:t>e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DB54A5" w:rsidRPr="0001128D">
              <w:rPr>
                <w:sz w:val="17"/>
                <w:szCs w:val="17"/>
                <w:lang w:val="fr-FR"/>
              </w:rPr>
              <w:t>48</w:t>
            </w:r>
            <w:r w:rsidR="005B0982" w:rsidRPr="0001128D">
              <w:rPr>
                <w:sz w:val="17"/>
                <w:szCs w:val="17"/>
                <w:lang w:val="fr-FR"/>
              </w:rPr>
              <w:t>.</w:t>
            </w:r>
          </w:p>
          <w:p w:rsidR="003B5597" w:rsidRPr="0001128D" w:rsidRDefault="00693F6D" w:rsidP="00693F6D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Le titre de l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invention doit comporter de préférence deux</w:t>
            </w:r>
            <w:r w:rsidR="00745EE5" w:rsidRPr="0001128D">
              <w:rPr>
                <w:color w:val="000000"/>
                <w:sz w:val="17"/>
                <w:szCs w:val="17"/>
                <w:lang w:val="fr-FR"/>
              </w:rPr>
              <w:t> 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à sept</w:t>
            </w:r>
            <w:r w:rsidR="00745EE5" w:rsidRPr="0001128D">
              <w:rPr>
                <w:color w:val="000000"/>
                <w:sz w:val="17"/>
                <w:szCs w:val="17"/>
                <w:lang w:val="fr-FR"/>
              </w:rPr>
              <w:t> 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mots.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091B7B" w:rsidP="00091B7B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Obligatoire dans la langue de dépôt.</w:t>
            </w:r>
            <w:r w:rsidR="00A02DFA" w:rsidRPr="0001128D">
              <w:rPr>
                <w:color w:val="000000"/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color w:val="000000"/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Facultatif dans d</w:t>
            </w:r>
            <w:r w:rsidR="00A329F0" w:rsidRPr="0001128D">
              <w:rPr>
                <w:color w:val="000000"/>
                <w:sz w:val="17"/>
                <w:szCs w:val="17"/>
                <w:lang w:val="fr-FR"/>
              </w:rPr>
              <w:t>’</w:t>
            </w:r>
            <w:r w:rsidRPr="0001128D">
              <w:rPr>
                <w:color w:val="000000"/>
                <w:sz w:val="17"/>
                <w:szCs w:val="17"/>
                <w:lang w:val="fr-FR"/>
              </w:rPr>
              <w:t>autres langues.</w:t>
            </w:r>
          </w:p>
        </w:tc>
      </w:tr>
      <w:tr w:rsidR="001126FA" w:rsidRPr="0001128D" w:rsidTr="007336B8">
        <w:trPr>
          <w:cantSplit/>
        </w:trPr>
        <w:tc>
          <w:tcPr>
            <w:tcW w:w="3260" w:type="dxa"/>
          </w:tcPr>
          <w:p w:rsidR="001126FA" w:rsidRPr="0001128D" w:rsidRDefault="001126F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SequenceTotal</w:t>
            </w:r>
            <w:r w:rsidR="00542757" w:rsidRPr="0001128D">
              <w:rPr>
                <w:rFonts w:ascii="Courier New" w:hAnsi="Courier New"/>
                <w:sz w:val="17"/>
                <w:lang w:val="fr-FR"/>
              </w:rPr>
              <w:t>Quantity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26FA" w:rsidRPr="0001128D" w:rsidRDefault="00243BB4" w:rsidP="00024AF5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Nombre total de toutes les séquences apparaissant dans le listage, y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>compris les séquences délibérément omises (également appelées séquences vides) (voir le paragraphe 9).</w:t>
            </w:r>
          </w:p>
        </w:tc>
        <w:tc>
          <w:tcPr>
            <w:tcW w:w="1842" w:type="dxa"/>
            <w:shd w:val="clear" w:color="auto" w:fill="auto"/>
          </w:tcPr>
          <w:p w:rsidR="001126FA" w:rsidRPr="0001128D" w:rsidRDefault="00091B7B" w:rsidP="007336B8">
            <w:pPr>
              <w:pStyle w:val="TableText"/>
              <w:rPr>
                <w:color w:val="000000"/>
                <w:sz w:val="17"/>
                <w:szCs w:val="17"/>
                <w:lang w:val="fr-FR"/>
              </w:rPr>
            </w:pPr>
            <w:r w:rsidRPr="0001128D">
              <w:rPr>
                <w:color w:val="000000"/>
                <w:sz w:val="17"/>
                <w:szCs w:val="17"/>
                <w:lang w:val="fr-FR"/>
              </w:rPr>
              <w:t>Obligatoire</w:t>
            </w:r>
          </w:p>
        </w:tc>
      </w:tr>
    </w:tbl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</w:p>
    <w:p w:rsidR="00B470F3" w:rsidRPr="0001128D" w:rsidRDefault="00B470F3" w:rsidP="00B470F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Les exemples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illustrent la manière dont la partie du listage des séquences consacrée aux informations générales doit être présentée pour être conforme au paragraphe 45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1B5A94" w:rsidRPr="0001128D" w:rsidRDefault="001B5A94" w:rsidP="001B5A94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</w:t>
      </w:r>
      <w:r w:rsidR="00B470F3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1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B470F3" w:rsidRPr="0001128D">
        <w:rPr>
          <w:sz w:val="17"/>
          <w:szCs w:val="17"/>
          <w:lang w:val="fr-FR"/>
        </w:rPr>
        <w:t>Listage des séquences déposé avant l</w:t>
      </w:r>
      <w:r w:rsidR="00A329F0" w:rsidRPr="0001128D">
        <w:rPr>
          <w:sz w:val="17"/>
          <w:szCs w:val="17"/>
          <w:lang w:val="fr-FR"/>
        </w:rPr>
        <w:t>’</w:t>
      </w:r>
      <w:r w:rsidR="00B470F3" w:rsidRPr="0001128D">
        <w:rPr>
          <w:sz w:val="17"/>
          <w:szCs w:val="17"/>
          <w:lang w:val="fr-FR"/>
        </w:rPr>
        <w:t>attribution du numéro d</w:t>
      </w:r>
      <w:r w:rsidR="00A329F0" w:rsidRPr="0001128D">
        <w:rPr>
          <w:sz w:val="17"/>
          <w:szCs w:val="17"/>
          <w:lang w:val="fr-FR"/>
        </w:rPr>
        <w:t>’</w:t>
      </w:r>
      <w:r w:rsidR="00B470F3" w:rsidRPr="0001128D">
        <w:rPr>
          <w:sz w:val="17"/>
          <w:szCs w:val="17"/>
          <w:lang w:val="fr-FR"/>
        </w:rPr>
        <w:t>identification et de la date de dépôt de la demande</w:t>
      </w:r>
    </w:p>
    <w:p w:rsidR="001B5A94" w:rsidRPr="00917901" w:rsidRDefault="00A86959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&lt;?xml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version=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encoding=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UTF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8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?&gt;</w:t>
      </w:r>
    </w:p>
    <w:p w:rsidR="001B5A94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&lt;!DOCTYPE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ST26SequenceListing </w:t>
      </w:r>
      <w:r w:rsidR="00D94B09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PUBLIC 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="00D94B09" w:rsidRPr="00917901">
        <w:rPr>
          <w:rFonts w:ascii="Courier New" w:eastAsia="Batang" w:hAnsi="Courier New" w:cs="Times New Roman"/>
          <w:sz w:val="17"/>
          <w:szCs w:val="20"/>
          <w:lang w:eastAsia="en-US"/>
        </w:rPr>
        <w:t>//WIPO//DTD Sequence Listing 1.0//EN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D94B09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B816D3" w:rsidRPr="00917901">
        <w:rPr>
          <w:rFonts w:ascii="Courier New" w:eastAsia="Batang" w:hAnsi="Courier New" w:cs="Times New Roman"/>
          <w:sz w:val="17"/>
          <w:szCs w:val="20"/>
          <w:lang w:eastAsia="en-US"/>
        </w:rPr>
        <w:t>ST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26</w:t>
      </w:r>
      <w:r w:rsidR="00CE4B9F"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SequenceListing_V1_0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.dtd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&lt;ST26SequenceListing </w:t>
      </w:r>
      <w:proofErr w:type="spellStart"/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dtdVersion</w:t>
      </w:r>
      <w:proofErr w:type="spellEnd"/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4144AC" w:rsidRPr="00917901">
        <w:rPr>
          <w:rFonts w:ascii="Courier New" w:eastAsia="Batang" w:hAnsi="Courier New" w:cs="Times New Roman"/>
          <w:sz w:val="17"/>
          <w:szCs w:val="20"/>
          <w:lang w:eastAsia="en-US"/>
        </w:rPr>
        <w:t>V</w:t>
      </w:r>
      <w:r w:rsidR="00B816D3" w:rsidRPr="00917901">
        <w:rPr>
          <w:rFonts w:ascii="Courier New" w:eastAsia="Batang" w:hAnsi="Courier New" w:cs="Times New Roman"/>
          <w:sz w:val="17"/>
          <w:szCs w:val="20"/>
          <w:lang w:eastAsia="en-US"/>
        </w:rPr>
        <w:t>1_0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fileName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Invention</w:t>
      </w:r>
      <w:r w:rsidR="00B816D3" w:rsidRPr="00917901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SEQL.xml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SEQL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name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softwareVersion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productionDate</w:t>
      </w:r>
      <w:proofErr w:type="spellEnd"/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2015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05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="00BB3F1C" w:rsidRPr="00917901">
        <w:rPr>
          <w:rFonts w:ascii="Courier New" w:eastAsia="Batang" w:hAnsi="Courier New" w:cs="Times New Roman"/>
          <w:sz w:val="17"/>
          <w:szCs w:val="20"/>
          <w:lang w:eastAsia="en-US"/>
        </w:rPr>
        <w:t>10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&gt;AB123&lt;/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="009B47F4" w:rsidRPr="00917901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17901">
        <w:rPr>
          <w:rFonts w:ascii="Courier New" w:eastAsia="Batang" w:hAnsi="Courier New" w:cs="Times New Roman"/>
          <w:sz w:val="17"/>
          <w:szCs w:val="20"/>
          <w:lang w:eastAsia="en-US"/>
        </w:rPr>
        <w:t>IB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9B47F4" w:rsidRPr="00917901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="00E86801"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="001E280A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17901">
        <w:rPr>
          <w:rFonts w:ascii="Courier New" w:eastAsia="Batang" w:hAnsi="Courier New" w:cs="Times New Roman"/>
          <w:sz w:val="17"/>
          <w:szCs w:val="20"/>
          <w:lang w:eastAsia="en-US"/>
        </w:rPr>
        <w:t>PCT/IB2013/099999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1E280A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E86801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    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&gt;2014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07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10&lt;/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</w:t>
      </w:r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&gt;GENOS Co., Inc</w:t>
      </w:r>
      <w:proofErr w:type="gramStart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.&lt;</w:t>
      </w:r>
      <w:proofErr w:type="gramEnd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proofErr w:type="spellStart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="009F13A8"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9F13A8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&gt;Keiko Nakamura&lt;/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9F13A8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&gt;SIGNAL RECOGNITION PARTICLE RNA AND PROTEINS&lt;/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407557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&gt;9&lt;/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407557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{...}*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2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3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4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5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6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7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8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9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01128D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&lt;/ST26SequenceListing&gt;</w:t>
      </w:r>
    </w:p>
    <w:p w:rsidR="005852DA" w:rsidRPr="0001128D" w:rsidRDefault="005852DA" w:rsidP="00263D29">
      <w:pPr>
        <w:widowControl/>
        <w:kinsoku/>
        <w:ind w:left="567"/>
        <w:rPr>
          <w:rFonts w:eastAsia="Batang"/>
          <w:sz w:val="17"/>
          <w:szCs w:val="20"/>
          <w:lang w:val="fr-FR" w:eastAsia="en-US"/>
        </w:rPr>
      </w:pPr>
    </w:p>
    <w:p w:rsidR="001B5A94" w:rsidRPr="002B2590" w:rsidRDefault="001B5A94" w:rsidP="00263D29">
      <w:pPr>
        <w:widowControl/>
        <w:kinsoku/>
        <w:ind w:left="567"/>
        <w:rPr>
          <w:rFonts w:ascii="Courier New" w:eastAsia="Batang" w:hAnsi="Courier New" w:cs="Courier New"/>
          <w:sz w:val="17"/>
          <w:szCs w:val="20"/>
          <w:lang w:val="fr-FR" w:eastAsia="en-US"/>
        </w:rPr>
      </w:pPr>
      <w:r w:rsidRPr="002B2590">
        <w:rPr>
          <w:rFonts w:ascii="Courier New" w:eastAsia="Batang" w:hAnsi="Courier New" w:cs="Courier New"/>
          <w:sz w:val="17"/>
          <w:szCs w:val="20"/>
          <w:lang w:val="fr-FR" w:eastAsia="en-US"/>
        </w:rPr>
        <w:t xml:space="preserve">*{...} </w:t>
      </w:r>
      <w:r w:rsidR="005852DA" w:rsidRPr="002B2590">
        <w:rPr>
          <w:rFonts w:ascii="Courier New" w:eastAsia="Batang" w:hAnsi="Courier New" w:cs="Courier New"/>
          <w:sz w:val="17"/>
          <w:szCs w:val="20"/>
          <w:lang w:val="fr-FR" w:eastAsia="en-US"/>
        </w:rPr>
        <w:t>représente des informations pertinentes pour chaque séquence qui ne figurent pas dans cet exemple</w:t>
      </w:r>
      <w:r w:rsidRPr="002B2590">
        <w:rPr>
          <w:rFonts w:ascii="Courier New" w:eastAsia="Batang" w:hAnsi="Courier New" w:cs="Courier New"/>
          <w:sz w:val="17"/>
          <w:szCs w:val="20"/>
          <w:lang w:val="fr-FR" w:eastAsia="en-US"/>
        </w:rPr>
        <w:t>.</w:t>
      </w:r>
    </w:p>
    <w:p w:rsidR="005852DA" w:rsidRPr="0001128D" w:rsidRDefault="001B5A94" w:rsidP="001B5A94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lastRenderedPageBreak/>
        <w:t>Ex</w:t>
      </w:r>
      <w:r w:rsidR="005852DA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2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5852DA" w:rsidRPr="0001128D">
        <w:rPr>
          <w:sz w:val="17"/>
          <w:szCs w:val="17"/>
          <w:lang w:val="fr-FR"/>
        </w:rPr>
        <w:t>Listage des séquences déposé après l</w:t>
      </w:r>
      <w:r w:rsidR="00A329F0" w:rsidRPr="0001128D">
        <w:rPr>
          <w:sz w:val="17"/>
          <w:szCs w:val="17"/>
          <w:lang w:val="fr-FR"/>
        </w:rPr>
        <w:t>’</w:t>
      </w:r>
      <w:r w:rsidR="005852DA" w:rsidRPr="0001128D">
        <w:rPr>
          <w:sz w:val="17"/>
          <w:szCs w:val="17"/>
          <w:lang w:val="fr-FR"/>
        </w:rPr>
        <w:t>attribution du numéro d</w:t>
      </w:r>
      <w:r w:rsidR="00A329F0" w:rsidRPr="0001128D">
        <w:rPr>
          <w:sz w:val="17"/>
          <w:szCs w:val="17"/>
          <w:lang w:val="fr-FR"/>
        </w:rPr>
        <w:t>’</w:t>
      </w:r>
      <w:r w:rsidR="005852DA" w:rsidRPr="0001128D">
        <w:rPr>
          <w:sz w:val="17"/>
          <w:szCs w:val="17"/>
          <w:lang w:val="fr-FR"/>
        </w:rPr>
        <w:t>identification et de la date de dépôt de la demande</w:t>
      </w:r>
    </w:p>
    <w:p w:rsidR="001B5A94" w:rsidRPr="00917901" w:rsidRDefault="00A86959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&lt;?xml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version=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encoding=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UTF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8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?&gt;</w:t>
      </w:r>
    </w:p>
    <w:p w:rsidR="001B5A94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&lt;!DOCTYPE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ST26SequenceListing </w:t>
      </w:r>
      <w:r w:rsidR="00D94B09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PUBLIC 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="00D94B09" w:rsidRPr="00917901">
        <w:rPr>
          <w:rFonts w:ascii="Courier New" w:eastAsia="Batang" w:hAnsi="Courier New" w:cs="Times New Roman"/>
          <w:sz w:val="17"/>
          <w:szCs w:val="20"/>
          <w:lang w:eastAsia="en-US"/>
        </w:rPr>
        <w:t>//WIPO//DTD Sequence Listing 1.0//EN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D94B09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D357D1" w:rsidRPr="00917901">
        <w:rPr>
          <w:rFonts w:ascii="Courier New" w:eastAsia="Batang" w:hAnsi="Courier New" w:cs="Times New Roman"/>
          <w:sz w:val="17"/>
          <w:szCs w:val="20"/>
          <w:lang w:eastAsia="en-US"/>
        </w:rPr>
        <w:t>ST26</w:t>
      </w:r>
      <w:r w:rsidR="00CE4B9F"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SequenceListing_V1_0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.dtd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&lt;ST26SequenceListing </w:t>
      </w:r>
      <w:proofErr w:type="spellStart"/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dtdVersion</w:t>
      </w:r>
      <w:proofErr w:type="spellEnd"/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D357D1" w:rsidRPr="00917901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fileName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Invention</w:t>
      </w:r>
      <w:r w:rsidR="00D357D1" w:rsidRPr="00917901">
        <w:rPr>
          <w:rFonts w:ascii="Courier New" w:eastAsia="Batang" w:hAnsi="Courier New" w:cs="Times New Roman"/>
          <w:sz w:val="17"/>
          <w:szCs w:val="20"/>
          <w:lang w:eastAsia="en-US"/>
        </w:rPr>
        <w:t>_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SEQL.xml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SEQL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name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softwareVersion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1.0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productionDate</w:t>
      </w:r>
      <w:proofErr w:type="spellEnd"/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2015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05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="00A12473" w:rsidRPr="00917901">
        <w:rPr>
          <w:rFonts w:ascii="Courier New" w:eastAsia="Batang" w:hAnsi="Courier New" w:cs="Times New Roman"/>
          <w:sz w:val="17"/>
          <w:szCs w:val="20"/>
          <w:lang w:eastAsia="en-US"/>
        </w:rPr>
        <w:t>10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&lt;</w:t>
      </w:r>
      <w:proofErr w:type="spellStart"/>
      <w:r w:rsidR="000449B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="009B47F4" w:rsidRPr="00917901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17901">
        <w:rPr>
          <w:rFonts w:ascii="Courier New" w:eastAsia="Batang" w:hAnsi="Courier New" w:cs="Times New Roman"/>
          <w:sz w:val="17"/>
          <w:szCs w:val="20"/>
          <w:lang w:eastAsia="en-US"/>
        </w:rPr>
        <w:t>US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9B47F4" w:rsidRPr="00917901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="001E280A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9C1DCE" w:rsidRPr="00917901">
        <w:rPr>
          <w:rFonts w:ascii="Courier New" w:eastAsia="Batang" w:hAnsi="Courier New" w:cs="Times New Roman"/>
          <w:sz w:val="17"/>
          <w:szCs w:val="20"/>
          <w:lang w:eastAsia="en-US"/>
        </w:rPr>
        <w:t>14/999,999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1E280A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906FCC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&gt;2015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01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05&lt;/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="000449B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&gt;AB123&lt;/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ApplicantFileReference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="009B47F4" w:rsidRPr="00917901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3B500E" w:rsidRPr="00917901">
        <w:rPr>
          <w:rFonts w:ascii="Courier New" w:eastAsia="Batang" w:hAnsi="Courier New" w:cs="Times New Roman"/>
          <w:sz w:val="17"/>
          <w:szCs w:val="20"/>
          <w:lang w:eastAsia="en-US"/>
        </w:rPr>
        <w:t>IB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9B47F4" w:rsidRPr="00917901">
        <w:rPr>
          <w:rFonts w:ascii="Courier New" w:eastAsia="Batang" w:hAnsi="Courier New" w:cs="Times New Roman"/>
          <w:sz w:val="17"/>
          <w:szCs w:val="20"/>
          <w:lang w:eastAsia="en-US"/>
        </w:rPr>
        <w:t>IPOfficeCode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="001E280A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="004605B0" w:rsidRPr="00917901">
        <w:rPr>
          <w:rFonts w:ascii="Courier New" w:eastAsia="Batang" w:hAnsi="Courier New" w:cs="Times New Roman"/>
          <w:sz w:val="17"/>
          <w:szCs w:val="20"/>
          <w:lang w:eastAsia="en-US"/>
        </w:rPr>
        <w:t>PCT/</w:t>
      </w:r>
      <w:r w:rsidR="00283229" w:rsidRPr="00917901">
        <w:rPr>
          <w:rFonts w:ascii="Courier New" w:eastAsia="Batang" w:hAnsi="Courier New" w:cs="Times New Roman"/>
          <w:sz w:val="17"/>
          <w:szCs w:val="20"/>
          <w:lang w:eastAsia="en-US"/>
        </w:rPr>
        <w:t>IB</w:t>
      </w:r>
      <w:r w:rsidR="004605B0" w:rsidRPr="00917901">
        <w:rPr>
          <w:rFonts w:ascii="Courier New" w:eastAsia="Batang" w:hAnsi="Courier New" w:cs="Times New Roman"/>
          <w:sz w:val="17"/>
          <w:szCs w:val="20"/>
          <w:lang w:eastAsia="en-US"/>
        </w:rPr>
        <w:t>201</w:t>
      </w:r>
      <w:r w:rsidR="00C6042F" w:rsidRPr="00917901">
        <w:rPr>
          <w:rFonts w:ascii="Courier New" w:eastAsia="Batang" w:hAnsi="Courier New" w:cs="Times New Roman"/>
          <w:sz w:val="17"/>
          <w:szCs w:val="20"/>
          <w:lang w:eastAsia="en-US"/>
        </w:rPr>
        <w:t>4</w:t>
      </w:r>
      <w:r w:rsidR="004605B0" w:rsidRPr="00917901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r w:rsidR="00283229" w:rsidRPr="00917901">
        <w:rPr>
          <w:rFonts w:ascii="Courier New" w:eastAsia="Batang" w:hAnsi="Courier New" w:cs="Times New Roman"/>
          <w:sz w:val="17"/>
          <w:szCs w:val="20"/>
          <w:lang w:eastAsia="en-US"/>
        </w:rPr>
        <w:t>0</w:t>
      </w:r>
      <w:r w:rsidR="004605B0" w:rsidRPr="00917901">
        <w:rPr>
          <w:rFonts w:ascii="Courier New" w:eastAsia="Batang" w:hAnsi="Courier New" w:cs="Times New Roman"/>
          <w:sz w:val="17"/>
          <w:szCs w:val="20"/>
          <w:lang w:eastAsia="en-US"/>
        </w:rPr>
        <w:t>99999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="001E280A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ApplicationNumberText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906FCC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&gt;2014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07</w:t>
      </w:r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10&lt;/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FilingDate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EarliestPriority</w:t>
      </w:r>
      <w:r w:rsidR="000449B8"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ApplicationIdentification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&gt;GENOS Co., Inc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.&lt;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ApplicantName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&gt;Keiko Nakamura&lt;/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InventorName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languageCode</w:t>
      </w:r>
      <w:proofErr w:type="spellEnd"/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="007D766F" w:rsidRPr="00917901">
        <w:rPr>
          <w:rFonts w:ascii="Courier New" w:eastAsia="Batang" w:hAnsi="Courier New" w:cs="Times New Roman"/>
          <w:sz w:val="17"/>
          <w:szCs w:val="20"/>
          <w:lang w:eastAsia="en-US"/>
        </w:rPr>
        <w:t>EN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&gt;SIGNAL RECOGNITION PARTICLE RNA AND PROTEINS&lt;/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InventionTitle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407557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&gt;9&lt;/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SequenceTotal</w:t>
      </w:r>
      <w:r w:rsidR="00542757" w:rsidRPr="00407557">
        <w:rPr>
          <w:rFonts w:ascii="Courier New" w:eastAsia="Batang" w:hAnsi="Courier New" w:cs="Times New Roman"/>
          <w:sz w:val="17"/>
          <w:szCs w:val="20"/>
          <w:lang w:eastAsia="en-US"/>
        </w:rPr>
        <w:t>Quantity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1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{...}*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2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3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4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5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6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7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8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407557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9</w:t>
      </w:r>
      <w:r w:rsidR="007B0C3F" w:rsidRPr="00407557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 {...} &lt;/</w:t>
      </w:r>
      <w:proofErr w:type="spellStart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407557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1B5A94" w:rsidRPr="0001128D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&lt;/ST26SequenceListing&gt;</w:t>
      </w:r>
    </w:p>
    <w:p w:rsidR="001B5A94" w:rsidRPr="0001128D" w:rsidRDefault="001B5A94" w:rsidP="00263D29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</w:p>
    <w:p w:rsidR="005852DA" w:rsidRPr="002B2590" w:rsidRDefault="005852DA" w:rsidP="002B2590">
      <w:pPr>
        <w:pStyle w:val="List0"/>
        <w:tabs>
          <w:tab w:val="left" w:pos="567"/>
        </w:tabs>
        <w:ind w:left="567"/>
        <w:rPr>
          <w:rFonts w:ascii="Courier New" w:hAnsi="Courier New" w:cs="Courier New"/>
          <w:szCs w:val="17"/>
          <w:lang w:val="fr-FR"/>
        </w:rPr>
      </w:pPr>
      <w:bookmarkStart w:id="76" w:name="_Ref371517584"/>
      <w:r w:rsidRPr="002B2590">
        <w:rPr>
          <w:rFonts w:ascii="Courier New" w:eastAsia="Batang" w:hAnsi="Courier New" w:cs="Courier New"/>
          <w:lang w:val="fr-FR"/>
        </w:rPr>
        <w:t>*{...} représente des informations pertinentes pour chaque séquence qui ne figurent pas dans cet exemple.</w:t>
      </w:r>
    </w:p>
    <w:p w:rsidR="005B0982" w:rsidRPr="0001128D" w:rsidRDefault="001E08B8" w:rsidP="007F19A9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 nom du déposant et, à titre facultatif, le nom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inventeur doivent être indiqués respectivement dans les éléments </w:t>
      </w:r>
      <w:proofErr w:type="spellStart"/>
      <w:r w:rsidRPr="0001128D">
        <w:rPr>
          <w:rFonts w:ascii="Courier New" w:hAnsi="Courier New"/>
          <w:lang w:val="fr-FR"/>
        </w:rPr>
        <w:t>ApplicantName</w:t>
      </w:r>
      <w:proofErr w:type="spellEnd"/>
      <w:r w:rsidRPr="0001128D">
        <w:rPr>
          <w:szCs w:val="17"/>
          <w:lang w:val="fr-FR"/>
        </w:rPr>
        <w:t xml:space="preserve"> et </w:t>
      </w:r>
      <w:proofErr w:type="spellStart"/>
      <w:r w:rsidRPr="0001128D">
        <w:rPr>
          <w:rFonts w:ascii="Courier New" w:hAnsi="Courier New"/>
          <w:lang w:val="fr-FR"/>
        </w:rPr>
        <w:t>InventorName</w:t>
      </w:r>
      <w:proofErr w:type="spellEnd"/>
      <w:r w:rsidRPr="0001128D">
        <w:rPr>
          <w:szCs w:val="17"/>
          <w:lang w:val="fr-FR"/>
        </w:rPr>
        <w:t xml:space="preserve"> car ils sont généralement mentionnés dans la langue de dépôt de la demande.  </w:t>
      </w:r>
      <w:r w:rsidR="002A099E" w:rsidRPr="0001128D">
        <w:rPr>
          <w:szCs w:val="17"/>
          <w:lang w:val="fr-FR"/>
        </w:rPr>
        <w:t>Le code de langue adéquat (voir le paragraphe 8 b)) doit être indiqué dans l</w:t>
      </w:r>
      <w:r w:rsidR="00A329F0" w:rsidRPr="0001128D">
        <w:rPr>
          <w:szCs w:val="17"/>
          <w:lang w:val="fr-FR"/>
        </w:rPr>
        <w:t>’</w:t>
      </w:r>
      <w:r w:rsidR="002A099E" w:rsidRPr="0001128D">
        <w:rPr>
          <w:szCs w:val="17"/>
          <w:lang w:val="fr-FR"/>
        </w:rPr>
        <w:t xml:space="preserve">attribut </w:t>
      </w:r>
      <w:proofErr w:type="spellStart"/>
      <w:r w:rsidR="002A099E" w:rsidRPr="0001128D">
        <w:rPr>
          <w:rFonts w:ascii="Courier New" w:hAnsi="Courier New"/>
          <w:lang w:val="fr-FR"/>
        </w:rPr>
        <w:t>languageCode</w:t>
      </w:r>
      <w:proofErr w:type="spellEnd"/>
      <w:r w:rsidR="002A099E" w:rsidRPr="0001128D">
        <w:rPr>
          <w:szCs w:val="17"/>
          <w:lang w:val="fr-FR"/>
        </w:rPr>
        <w:t xml:space="preserve"> pour chaque élément.  </w:t>
      </w:r>
      <w:r w:rsidR="002E2878" w:rsidRPr="0001128D">
        <w:rPr>
          <w:szCs w:val="17"/>
          <w:lang w:val="fr-FR"/>
        </w:rPr>
        <w:t>Si le nom du déposant contient des caractères différents de l</w:t>
      </w:r>
      <w:r w:rsidR="00A329F0" w:rsidRPr="0001128D">
        <w:rPr>
          <w:szCs w:val="17"/>
          <w:lang w:val="fr-FR"/>
        </w:rPr>
        <w:t>’</w:t>
      </w:r>
      <w:r w:rsidR="002E2878" w:rsidRPr="0001128D">
        <w:rPr>
          <w:szCs w:val="17"/>
          <w:lang w:val="fr-FR"/>
        </w:rPr>
        <w:t xml:space="preserve">alphabet latin tel que défini au paragraphe 40 b), une </w:t>
      </w:r>
      <w:r w:rsidR="00CD22D0">
        <w:rPr>
          <w:szCs w:val="17"/>
          <w:lang w:val="fr-FR"/>
        </w:rPr>
        <w:t>translittération</w:t>
      </w:r>
      <w:r w:rsidR="002E2878" w:rsidRPr="0001128D">
        <w:rPr>
          <w:szCs w:val="17"/>
          <w:lang w:val="fr-FR"/>
        </w:rPr>
        <w:t xml:space="preserve"> ou une traduction de ce nom doit aussi être fournie en caractères latins dans l</w:t>
      </w:r>
      <w:r w:rsidR="00A329F0" w:rsidRPr="0001128D">
        <w:rPr>
          <w:szCs w:val="17"/>
          <w:lang w:val="fr-FR"/>
        </w:rPr>
        <w:t>’</w:t>
      </w:r>
      <w:r w:rsidR="002E2878" w:rsidRPr="0001128D">
        <w:rPr>
          <w:szCs w:val="17"/>
          <w:lang w:val="fr-FR"/>
        </w:rPr>
        <w:t xml:space="preserve">élément </w:t>
      </w:r>
      <w:proofErr w:type="spellStart"/>
      <w:r w:rsidR="002E2878" w:rsidRPr="0001128D">
        <w:rPr>
          <w:rFonts w:ascii="Courier New" w:hAnsi="Courier New"/>
          <w:lang w:val="fr-FR"/>
        </w:rPr>
        <w:t>ApplicantNameLatin</w:t>
      </w:r>
      <w:proofErr w:type="spellEnd"/>
      <w:r w:rsidR="002E2878" w:rsidRPr="0001128D">
        <w:rPr>
          <w:szCs w:val="17"/>
          <w:lang w:val="fr-FR"/>
        </w:rPr>
        <w:t xml:space="preserve">.  </w:t>
      </w:r>
      <w:r w:rsidR="001E2C84" w:rsidRPr="0001128D">
        <w:rPr>
          <w:szCs w:val="17"/>
          <w:lang w:val="fr-FR"/>
        </w:rPr>
        <w:t>Si le nom de l</w:t>
      </w:r>
      <w:r w:rsidR="00A329F0" w:rsidRPr="0001128D">
        <w:rPr>
          <w:szCs w:val="17"/>
          <w:lang w:val="fr-FR"/>
        </w:rPr>
        <w:t>’</w:t>
      </w:r>
      <w:r w:rsidR="001E2C84" w:rsidRPr="0001128D">
        <w:rPr>
          <w:szCs w:val="17"/>
          <w:lang w:val="fr-FR"/>
        </w:rPr>
        <w:t>inventeur contient des caractères différents de l</w:t>
      </w:r>
      <w:r w:rsidR="00A329F0" w:rsidRPr="0001128D">
        <w:rPr>
          <w:szCs w:val="17"/>
          <w:lang w:val="fr-FR"/>
        </w:rPr>
        <w:t>’</w:t>
      </w:r>
      <w:r w:rsidR="001E2C84" w:rsidRPr="0001128D">
        <w:rPr>
          <w:szCs w:val="17"/>
          <w:lang w:val="fr-FR"/>
        </w:rPr>
        <w:t xml:space="preserve">alphabet latin, une </w:t>
      </w:r>
      <w:r w:rsidR="00CD22D0">
        <w:rPr>
          <w:szCs w:val="17"/>
          <w:lang w:val="fr-FR"/>
        </w:rPr>
        <w:t>translittération</w:t>
      </w:r>
      <w:r w:rsidR="001E2C84" w:rsidRPr="0001128D">
        <w:rPr>
          <w:szCs w:val="17"/>
          <w:lang w:val="fr-FR"/>
        </w:rPr>
        <w:t xml:space="preserve"> ou une traduction de ce nom doit aussi être fournie en caractères latins dans l</w:t>
      </w:r>
      <w:r w:rsidR="00A329F0" w:rsidRPr="0001128D">
        <w:rPr>
          <w:szCs w:val="17"/>
          <w:lang w:val="fr-FR"/>
        </w:rPr>
        <w:t>’</w:t>
      </w:r>
      <w:r w:rsidR="007D06D2" w:rsidRPr="0001128D">
        <w:rPr>
          <w:szCs w:val="17"/>
          <w:lang w:val="fr-FR"/>
        </w:rPr>
        <w:t xml:space="preserve">élément </w:t>
      </w:r>
      <w:proofErr w:type="spellStart"/>
      <w:r w:rsidR="007D06D2" w:rsidRPr="0001128D">
        <w:rPr>
          <w:rFonts w:ascii="Courier New" w:hAnsi="Courier New"/>
          <w:lang w:val="fr-FR"/>
        </w:rPr>
        <w:t>InventorNameLatin</w:t>
      </w:r>
      <w:proofErr w:type="spellEnd"/>
      <w:r w:rsidR="007D06D2" w:rsidRPr="0001128D">
        <w:rPr>
          <w:szCs w:val="17"/>
          <w:lang w:val="fr-FR"/>
        </w:rPr>
        <w:t>.</w:t>
      </w:r>
    </w:p>
    <w:p w:rsidR="007D06D2" w:rsidRPr="0001128D" w:rsidRDefault="00A828D8" w:rsidP="005B0E6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 titre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invention doit être indiqué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InventionTitle</w:t>
      </w:r>
      <w:proofErr w:type="spellEnd"/>
      <w:r w:rsidRPr="0001128D">
        <w:rPr>
          <w:szCs w:val="17"/>
          <w:lang w:val="fr-FR"/>
        </w:rPr>
        <w:t xml:space="preserve"> dans la langue de dépôt et peut aussi figurer dans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autres langues en </w:t>
      </w:r>
      <w:r w:rsidR="00DB59B6" w:rsidRPr="0001128D">
        <w:rPr>
          <w:szCs w:val="17"/>
          <w:lang w:val="fr-FR"/>
        </w:rPr>
        <w:t>ajoutant</w:t>
      </w:r>
      <w:r w:rsidRPr="0001128D">
        <w:rPr>
          <w:szCs w:val="17"/>
          <w:lang w:val="fr-FR"/>
        </w:rPr>
        <w:t xml:space="preserve"> </w:t>
      </w:r>
      <w:r w:rsidR="00201366"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="00201366" w:rsidRPr="0001128D">
        <w:rPr>
          <w:szCs w:val="17"/>
          <w:lang w:val="fr-FR"/>
        </w:rPr>
        <w:t>autres</w:t>
      </w:r>
      <w:r w:rsidRPr="0001128D">
        <w:rPr>
          <w:szCs w:val="17"/>
          <w:lang w:val="fr-FR"/>
        </w:rPr>
        <w:t xml:space="preserve"> éléments </w:t>
      </w:r>
      <w:proofErr w:type="spellStart"/>
      <w:r w:rsidRPr="0001128D">
        <w:rPr>
          <w:rFonts w:ascii="Courier New" w:hAnsi="Courier New"/>
          <w:lang w:val="fr-FR"/>
        </w:rPr>
        <w:t>InventionTitle</w:t>
      </w:r>
      <w:proofErr w:type="spellEnd"/>
      <w:r w:rsidRPr="0001128D">
        <w:rPr>
          <w:szCs w:val="17"/>
          <w:lang w:val="fr-FR"/>
        </w:rPr>
        <w:t xml:space="preserve"> (voir le tableau du paragraphe 45).  Le code de langue adéquat (voir le paragraphe 8 b)) doit être indiqué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attribut </w:t>
      </w:r>
      <w:proofErr w:type="spellStart"/>
      <w:r w:rsidRPr="0001128D">
        <w:rPr>
          <w:rFonts w:ascii="Courier New" w:hAnsi="Courier New"/>
          <w:lang w:val="fr-FR"/>
        </w:rPr>
        <w:t>languageCode</w:t>
      </w:r>
      <w:proofErr w:type="spellEnd"/>
      <w:r w:rsidRPr="0001128D">
        <w:rPr>
          <w:szCs w:val="17"/>
          <w:lang w:val="fr-FR"/>
        </w:rPr>
        <w:t xml:space="preserve">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élément.</w:t>
      </w:r>
    </w:p>
    <w:bookmarkEnd w:id="76"/>
    <w:p w:rsidR="00BE41F9" w:rsidRPr="0001128D" w:rsidRDefault="00BE41F9" w:rsidP="00BE41F9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exemple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 la manière dont les noms et le titre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invention </w:t>
      </w:r>
      <w:proofErr w:type="gramStart"/>
      <w:r w:rsidRPr="0001128D">
        <w:rPr>
          <w:szCs w:val="17"/>
          <w:lang w:val="fr-FR"/>
        </w:rPr>
        <w:t>doivent</w:t>
      </w:r>
      <w:proofErr w:type="gramEnd"/>
      <w:r w:rsidRPr="0001128D">
        <w:rPr>
          <w:szCs w:val="17"/>
          <w:lang w:val="fr-FR"/>
        </w:rPr>
        <w:t xml:space="preserve"> être présentés pour être </w:t>
      </w:r>
      <w:r w:rsidR="00FD75E0">
        <w:rPr>
          <w:szCs w:val="17"/>
          <w:lang w:val="fr-FR"/>
        </w:rPr>
        <w:t>conformes aux paragraphes 47 et </w:t>
      </w:r>
      <w:r w:rsidRPr="0001128D">
        <w:rPr>
          <w:szCs w:val="17"/>
          <w:lang w:val="fr-FR"/>
        </w:rPr>
        <w:t>48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F07147" w:rsidRPr="0001128D" w:rsidRDefault="00F07147" w:rsidP="000129A8">
      <w:pPr>
        <w:pStyle w:val="ParagraphNo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</w:t>
      </w:r>
      <w:r w:rsidR="00BE41F9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</w:t>
      </w:r>
      <w:r w:rsidR="00745EE5" w:rsidRPr="0001128D">
        <w:rPr>
          <w:sz w:val="17"/>
          <w:szCs w:val="17"/>
          <w:lang w:val="fr-FR"/>
        </w:rPr>
        <w:t> :</w:t>
      </w:r>
      <w:r w:rsidR="007D3C46" w:rsidRPr="0001128D">
        <w:rPr>
          <w:sz w:val="17"/>
          <w:szCs w:val="17"/>
          <w:lang w:val="fr-FR"/>
        </w:rPr>
        <w:t xml:space="preserve"> </w:t>
      </w:r>
      <w:r w:rsidR="000129A8" w:rsidRPr="0001128D">
        <w:rPr>
          <w:sz w:val="17"/>
          <w:szCs w:val="17"/>
          <w:lang w:val="fr-FR"/>
        </w:rPr>
        <w:t>Le nom du déposant et celui de l</w:t>
      </w:r>
      <w:r w:rsidR="00A329F0" w:rsidRPr="0001128D">
        <w:rPr>
          <w:sz w:val="17"/>
          <w:szCs w:val="17"/>
          <w:lang w:val="fr-FR"/>
        </w:rPr>
        <w:t>’</w:t>
      </w:r>
      <w:r w:rsidR="000129A8" w:rsidRPr="0001128D">
        <w:rPr>
          <w:sz w:val="17"/>
          <w:szCs w:val="17"/>
          <w:lang w:val="fr-FR"/>
        </w:rPr>
        <w:t>inventeur sont présentés en caractères japonais et latins et le titre de l</w:t>
      </w:r>
      <w:r w:rsidR="00A329F0" w:rsidRPr="0001128D">
        <w:rPr>
          <w:sz w:val="17"/>
          <w:szCs w:val="17"/>
          <w:lang w:val="fr-FR"/>
        </w:rPr>
        <w:t>’</w:t>
      </w:r>
      <w:r w:rsidR="000129A8" w:rsidRPr="0001128D">
        <w:rPr>
          <w:sz w:val="17"/>
          <w:szCs w:val="17"/>
          <w:lang w:val="fr-FR"/>
        </w:rPr>
        <w:t>in</w:t>
      </w:r>
      <w:r w:rsidR="005E45EE" w:rsidRPr="0001128D">
        <w:rPr>
          <w:sz w:val="17"/>
          <w:szCs w:val="17"/>
          <w:lang w:val="fr-FR"/>
        </w:rPr>
        <w:t>v</w:t>
      </w:r>
      <w:r w:rsidR="000129A8" w:rsidRPr="0001128D">
        <w:rPr>
          <w:sz w:val="17"/>
          <w:szCs w:val="17"/>
          <w:lang w:val="fr-FR"/>
        </w:rPr>
        <w:t>en</w:t>
      </w:r>
      <w:r w:rsidR="005E45EE" w:rsidRPr="0001128D">
        <w:rPr>
          <w:sz w:val="17"/>
          <w:szCs w:val="17"/>
          <w:lang w:val="fr-FR"/>
        </w:rPr>
        <w:t>t</w:t>
      </w:r>
      <w:r w:rsidR="000129A8" w:rsidRPr="0001128D">
        <w:rPr>
          <w:sz w:val="17"/>
          <w:szCs w:val="17"/>
          <w:lang w:val="fr-FR"/>
        </w:rPr>
        <w:t>ion est présenté en japonais, en anglais et en français</w:t>
      </w:r>
    </w:p>
    <w:p w:rsidR="00A329F0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ApplicantName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languageCode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=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JA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出願製薬株式会社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ApplicantName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A329F0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ApplicantNameLatin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Shutsugan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Pharmaceuticals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Kabushiki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Kaisha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ApplicantNameLatin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A329F0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InventorName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languageCode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=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JA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特許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　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太郎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InventorName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A329F0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InventorNameLatin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&gt;Taro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Tokkyo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InventorNameLatin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50B94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InventionTitle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languageCode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=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JA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&gt;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efg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タンパク質のためのマウス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abcd</w:t>
      </w:r>
      <w:r w:rsidR="00265B44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noBreakHyphen/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1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遺伝子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InventionTitle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A329F0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InventionTitle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languageCode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=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EN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&gt; Mus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musculus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abcd</w:t>
      </w:r>
      <w:r w:rsidR="00265B44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noBreakHyphen/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1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gene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for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efg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protein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InventionTitle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A329F0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InventionTitle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languageCode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=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FR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 Gène abcd</w:t>
      </w:r>
      <w:r w:rsidR="00265B44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noBreakHyphen/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1 de Mus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musculus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pour protéine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efg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InventionTitle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1B5A94" w:rsidRPr="0001128D" w:rsidRDefault="00027698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77" w:name="_Toc386037654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Partie consacrée aux données sur les séquences</w:t>
      </w:r>
      <w:bookmarkEnd w:id="77"/>
    </w:p>
    <w:p w:rsidR="00403172" w:rsidRPr="0001128D" w:rsidRDefault="00027698" w:rsidP="00027698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La partie consacrée aux données sur les séquences doit être composée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 ou plusieurs éléments </w:t>
      </w:r>
      <w:proofErr w:type="spellStart"/>
      <w:r w:rsidRPr="0001128D">
        <w:rPr>
          <w:rFonts w:ascii="Courier New" w:hAnsi="Courier New"/>
          <w:lang w:val="fr-FR"/>
        </w:rPr>
        <w:t>SequenceData</w:t>
      </w:r>
      <w:proofErr w:type="spellEnd"/>
      <w:r w:rsidRPr="0001128D">
        <w:rPr>
          <w:szCs w:val="17"/>
          <w:lang w:val="fr-FR"/>
        </w:rPr>
        <w:t>, chacun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eux contenant des informations sur une séquence.</w:t>
      </w:r>
    </w:p>
    <w:p w:rsidR="00403172" w:rsidRPr="0001128D" w:rsidRDefault="00027698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lastRenderedPageBreak/>
        <w:t>Chaque élément</w:t>
      </w:r>
      <w:r w:rsidR="00403172" w:rsidRPr="0001128D">
        <w:rPr>
          <w:szCs w:val="17"/>
          <w:lang w:val="fr-FR"/>
        </w:rPr>
        <w:t xml:space="preserve"> </w:t>
      </w:r>
      <w:proofErr w:type="spellStart"/>
      <w:r w:rsidR="00403172" w:rsidRPr="0001128D">
        <w:rPr>
          <w:rFonts w:ascii="Courier New" w:hAnsi="Courier New"/>
          <w:lang w:val="fr-FR"/>
        </w:rPr>
        <w:t>SequenceData</w:t>
      </w:r>
      <w:proofErr w:type="spellEnd"/>
      <w:r w:rsidR="00403172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doit avoir un attribut obligatoire</w:t>
      </w:r>
      <w:r w:rsidR="00403172" w:rsidRPr="0001128D">
        <w:rPr>
          <w:szCs w:val="17"/>
          <w:lang w:val="fr-FR"/>
        </w:rPr>
        <w:t xml:space="preserve"> </w:t>
      </w:r>
      <w:proofErr w:type="spellStart"/>
      <w:r w:rsidR="00403172" w:rsidRPr="0001128D">
        <w:rPr>
          <w:rFonts w:ascii="Courier New" w:hAnsi="Courier New"/>
          <w:lang w:val="fr-FR"/>
        </w:rPr>
        <w:t>sequenceIDNumber</w:t>
      </w:r>
      <w:proofErr w:type="spellEnd"/>
      <w:r w:rsidRPr="0001128D">
        <w:rPr>
          <w:szCs w:val="17"/>
          <w:lang w:val="fr-FR"/>
        </w:rPr>
        <w:t xml:space="preserve"> contenant le numéro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identification de la séquence </w:t>
      </w:r>
      <w:r w:rsidR="00403172" w:rsidRPr="0001128D">
        <w:rPr>
          <w:szCs w:val="17"/>
          <w:lang w:val="fr-FR"/>
        </w:rPr>
        <w:t>(</w:t>
      </w:r>
      <w:r w:rsidRPr="0001128D">
        <w:rPr>
          <w:szCs w:val="17"/>
          <w:lang w:val="fr-FR"/>
        </w:rPr>
        <w:t xml:space="preserve">voir le </w:t>
      </w:r>
      <w:r w:rsidR="00403172" w:rsidRPr="0001128D">
        <w:rPr>
          <w:szCs w:val="17"/>
          <w:lang w:val="fr-FR"/>
        </w:rPr>
        <w:t>paragraph</w:t>
      </w:r>
      <w:r w:rsidRPr="0001128D">
        <w:rPr>
          <w:szCs w:val="17"/>
          <w:lang w:val="fr-FR"/>
        </w:rPr>
        <w:t>e</w:t>
      </w:r>
      <w:r w:rsidR="00745EE5" w:rsidRPr="0001128D">
        <w:rPr>
          <w:szCs w:val="17"/>
          <w:lang w:val="fr-FR"/>
        </w:rPr>
        <w:t> </w:t>
      </w:r>
      <w:r w:rsidR="00024AF5" w:rsidRPr="0001128D">
        <w:rPr>
          <w:szCs w:val="17"/>
          <w:lang w:val="fr-FR"/>
        </w:rPr>
        <w:t>9</w:t>
      </w:r>
      <w:r w:rsidRPr="0001128D">
        <w:rPr>
          <w:szCs w:val="17"/>
          <w:lang w:val="fr-FR"/>
        </w:rPr>
        <w:t>)</w:t>
      </w:r>
      <w:r w:rsidR="008638BD" w:rsidRPr="0001128D">
        <w:rPr>
          <w:szCs w:val="17"/>
          <w:lang w:val="fr-FR"/>
        </w:rPr>
        <w:t>, par exemple</w:t>
      </w:r>
      <w:r w:rsidR="00745EE5" w:rsidRPr="0001128D">
        <w:rPr>
          <w:szCs w:val="17"/>
          <w:lang w:val="fr-FR"/>
        </w:rPr>
        <w:t> </w:t>
      </w:r>
      <w:r w:rsidR="008638BD" w:rsidRPr="0001128D">
        <w:rPr>
          <w:szCs w:val="17"/>
          <w:lang w:val="fr-FR"/>
        </w:rPr>
        <w:t>:</w:t>
      </w:r>
    </w:p>
    <w:p w:rsidR="00403172" w:rsidRPr="0001128D" w:rsidRDefault="00403172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SequenceData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sequenceIDNumber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=</w:t>
      </w:r>
      <w:r w:rsidR="007B0C3F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1</w:t>
      </w:r>
      <w:r w:rsidR="007B0C3F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</w:p>
    <w:p w:rsidR="00403172" w:rsidRPr="0001128D" w:rsidRDefault="00F55BD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</w:t>
      </w:r>
      <w:r w:rsidR="00403172" w:rsidRPr="0001128D">
        <w:rPr>
          <w:szCs w:val="17"/>
          <w:lang w:val="fr-FR"/>
        </w:rPr>
        <w:t xml:space="preserve"> </w:t>
      </w:r>
      <w:proofErr w:type="spellStart"/>
      <w:r w:rsidR="00403172" w:rsidRPr="0001128D">
        <w:rPr>
          <w:rFonts w:ascii="Courier New" w:hAnsi="Courier New"/>
          <w:lang w:val="fr-FR"/>
        </w:rPr>
        <w:t>SequenceData</w:t>
      </w:r>
      <w:proofErr w:type="spellEnd"/>
      <w:r w:rsidR="00403172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doit contenir un élément subordonné</w:t>
      </w:r>
      <w:r w:rsidR="00403172" w:rsidRPr="0001128D">
        <w:rPr>
          <w:szCs w:val="17"/>
          <w:lang w:val="fr-FR"/>
        </w:rPr>
        <w:t xml:space="preserve"> </w:t>
      </w:r>
      <w:proofErr w:type="spellStart"/>
      <w:r w:rsidR="00403172" w:rsidRPr="0001128D">
        <w:rPr>
          <w:rFonts w:ascii="Courier New" w:hAnsi="Courier New"/>
          <w:lang w:val="fr-FR"/>
        </w:rPr>
        <w:t>INSDSeq</w:t>
      </w:r>
      <w:proofErr w:type="spellEnd"/>
      <w:r w:rsidR="00403172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qui se compose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autres éléments subordonnés, de la manière suivante</w:t>
      </w:r>
      <w:r w:rsidR="00745EE5" w:rsidRPr="0001128D">
        <w:rPr>
          <w:szCs w:val="17"/>
          <w:lang w:val="fr-FR"/>
        </w:rPr>
        <w:t> </w:t>
      </w:r>
      <w:r w:rsidR="00403172" w:rsidRPr="0001128D">
        <w:rPr>
          <w:szCs w:val="17"/>
          <w:lang w:val="fr-FR"/>
        </w:rPr>
        <w:t>: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340"/>
        <w:gridCol w:w="1710"/>
        <w:gridCol w:w="1800"/>
      </w:tblGrid>
      <w:tr w:rsidR="000B779D" w:rsidRPr="0001128D" w:rsidTr="008E4498">
        <w:trPr>
          <w:cantSplit/>
          <w:trHeight w:val="453"/>
          <w:tblHeader/>
        </w:trPr>
        <w:tc>
          <w:tcPr>
            <w:tcW w:w="2195" w:type="dxa"/>
            <w:vMerge w:val="restart"/>
            <w:shd w:val="clear" w:color="auto" w:fill="D9D9D9" w:themeFill="background1" w:themeFillShade="D9"/>
          </w:tcPr>
          <w:p w:rsidR="000B779D" w:rsidRPr="0001128D" w:rsidRDefault="00F07ADB" w:rsidP="00F07ADB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É</w:t>
            </w:r>
            <w:r w:rsidR="000B779D" w:rsidRPr="0001128D">
              <w:rPr>
                <w:b/>
                <w:bCs/>
                <w:sz w:val="17"/>
                <w:szCs w:val="17"/>
                <w:lang w:val="fr-FR"/>
              </w:rPr>
              <w:t>l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é</w:t>
            </w:r>
            <w:r w:rsidR="000B779D" w:rsidRPr="0001128D">
              <w:rPr>
                <w:b/>
                <w:bCs/>
                <w:sz w:val="17"/>
                <w:szCs w:val="17"/>
                <w:lang w:val="fr-FR"/>
              </w:rPr>
              <w:t>ment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</w:tcPr>
          <w:p w:rsidR="000B779D" w:rsidRPr="0001128D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  <w:p w:rsidR="000B779D" w:rsidRPr="0001128D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:rsidR="000B779D" w:rsidRPr="0001128D" w:rsidRDefault="00F07ADB" w:rsidP="00F07ADB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Obligatoire</w:t>
            </w:r>
            <w:r w:rsidR="000B779D" w:rsidRPr="0001128D">
              <w:rPr>
                <w:b/>
                <w:bCs/>
                <w:sz w:val="17"/>
                <w:szCs w:val="17"/>
                <w:lang w:val="fr-FR"/>
              </w:rPr>
              <w:t>/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Non indiqué</w:t>
            </w:r>
          </w:p>
        </w:tc>
      </w:tr>
      <w:tr w:rsidR="008C1721" w:rsidRPr="0001128D" w:rsidTr="008E4498">
        <w:trPr>
          <w:cantSplit/>
          <w:tblHeader/>
        </w:trPr>
        <w:tc>
          <w:tcPr>
            <w:tcW w:w="2195" w:type="dxa"/>
            <w:vMerge/>
            <w:shd w:val="clear" w:color="auto" w:fill="auto"/>
          </w:tcPr>
          <w:p w:rsidR="000B779D" w:rsidRPr="0001128D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B779D" w:rsidRPr="0001128D" w:rsidRDefault="000B779D" w:rsidP="007336B8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0B779D" w:rsidRPr="0001128D" w:rsidRDefault="000B779D" w:rsidP="00F07ADB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S</w:t>
            </w:r>
            <w:r w:rsidR="00F07ADB" w:rsidRPr="0001128D">
              <w:rPr>
                <w:b/>
                <w:bCs/>
                <w:sz w:val="17"/>
                <w:szCs w:val="17"/>
                <w:lang w:val="fr-FR"/>
              </w:rPr>
              <w:t>é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quences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0B779D" w:rsidRPr="0001128D" w:rsidRDefault="000B779D" w:rsidP="00F07ADB">
            <w:pPr>
              <w:suppressAutoHyphens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S</w:t>
            </w:r>
            <w:r w:rsidR="00F07ADB" w:rsidRPr="0001128D">
              <w:rPr>
                <w:b/>
                <w:bCs/>
                <w:sz w:val="17"/>
                <w:szCs w:val="17"/>
                <w:lang w:val="fr-FR"/>
              </w:rPr>
              <w:t>é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quences</w:t>
            </w:r>
            <w:r w:rsidR="00F07ADB" w:rsidRPr="0001128D">
              <w:rPr>
                <w:b/>
                <w:bCs/>
                <w:sz w:val="17"/>
                <w:szCs w:val="17"/>
                <w:lang w:val="fr-FR"/>
              </w:rPr>
              <w:t xml:space="preserve"> délibérément omises</w:t>
            </w:r>
          </w:p>
        </w:tc>
      </w:tr>
      <w:tr w:rsidR="00A341A0" w:rsidRPr="0001128D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01128D" w:rsidRDefault="000B779D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INSDSeq_length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0B779D" w:rsidRPr="0001128D" w:rsidRDefault="000B779D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L</w:t>
            </w:r>
            <w:r w:rsidR="00F07ADB" w:rsidRPr="0001128D">
              <w:rPr>
                <w:sz w:val="17"/>
                <w:szCs w:val="17"/>
                <w:lang w:val="fr-FR"/>
              </w:rPr>
              <w:t>ongueur de la séquence</w:t>
            </w:r>
          </w:p>
        </w:tc>
        <w:tc>
          <w:tcPr>
            <w:tcW w:w="1710" w:type="dxa"/>
            <w:shd w:val="clear" w:color="auto" w:fill="auto"/>
          </w:tcPr>
          <w:p w:rsidR="000B779D" w:rsidRPr="0001128D" w:rsidRDefault="00F07ADB" w:rsidP="002B23A5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  <w:tc>
          <w:tcPr>
            <w:tcW w:w="1800" w:type="dxa"/>
          </w:tcPr>
          <w:p w:rsidR="000B779D" w:rsidRPr="0001128D" w:rsidRDefault="00F07ADB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Obligatoire, aucune valeur indiquée</w:t>
            </w:r>
          </w:p>
        </w:tc>
      </w:tr>
      <w:tr w:rsidR="00A341A0" w:rsidRPr="0001128D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01128D" w:rsidRDefault="000B779D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INSDSeq_moltype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0B779D" w:rsidRPr="0001128D" w:rsidRDefault="00F07ADB" w:rsidP="007336B8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Type de molécule</w:t>
            </w:r>
          </w:p>
        </w:tc>
        <w:tc>
          <w:tcPr>
            <w:tcW w:w="1710" w:type="dxa"/>
            <w:shd w:val="clear" w:color="auto" w:fill="auto"/>
          </w:tcPr>
          <w:p w:rsidR="000B779D" w:rsidRPr="0001128D" w:rsidRDefault="00F07ADB" w:rsidP="004F5B0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  <w:tc>
          <w:tcPr>
            <w:tcW w:w="1800" w:type="dxa"/>
          </w:tcPr>
          <w:p w:rsidR="000B779D" w:rsidRPr="0001128D" w:rsidRDefault="00F07ADB" w:rsidP="004F5B0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Obligatoire, aucune valeur indiquée</w:t>
            </w:r>
          </w:p>
        </w:tc>
      </w:tr>
      <w:tr w:rsidR="00A341A0" w:rsidRPr="0001128D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01128D" w:rsidRDefault="000B779D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INSDSeq_division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0B779D" w:rsidRPr="0001128D" w:rsidRDefault="000B779D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Indication </w:t>
            </w:r>
            <w:r w:rsidR="00F07ADB" w:rsidRPr="0001128D">
              <w:rPr>
                <w:sz w:val="17"/>
                <w:szCs w:val="17"/>
                <w:lang w:val="fr-FR"/>
              </w:rPr>
              <w:t>du fait qu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F07ADB" w:rsidRPr="0001128D">
              <w:rPr>
                <w:sz w:val="17"/>
                <w:szCs w:val="17"/>
                <w:lang w:val="fr-FR"/>
              </w:rPr>
              <w:t>une séquence est liée à une demande de brevet</w:t>
            </w:r>
          </w:p>
        </w:tc>
        <w:tc>
          <w:tcPr>
            <w:tcW w:w="1710" w:type="dxa"/>
            <w:shd w:val="clear" w:color="auto" w:fill="auto"/>
          </w:tcPr>
          <w:p w:rsidR="000B779D" w:rsidRPr="0001128D" w:rsidRDefault="00F07ADB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 avec la valeur</w:t>
            </w:r>
            <w:r w:rsidR="000B779D" w:rsidRPr="0001128D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0B779D" w:rsidRPr="0001128D">
              <w:rPr>
                <w:sz w:val="17"/>
                <w:szCs w:val="17"/>
                <w:lang w:val="fr-FR"/>
              </w:rPr>
              <w:t>PAT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</w:p>
        </w:tc>
        <w:tc>
          <w:tcPr>
            <w:tcW w:w="1800" w:type="dxa"/>
          </w:tcPr>
          <w:p w:rsidR="000B779D" w:rsidRPr="0001128D" w:rsidRDefault="00F07ADB" w:rsidP="00A341A0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Obligatoire, aucune valeur indiquée</w:t>
            </w:r>
          </w:p>
        </w:tc>
      </w:tr>
      <w:tr w:rsidR="00A341A0" w:rsidRPr="00917901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01128D" w:rsidRDefault="000B779D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INSDSeq_feature</w:t>
            </w:r>
            <w:proofErr w:type="spellEnd"/>
            <w:r w:rsidR="00265B44" w:rsidRPr="0001128D">
              <w:rPr>
                <w:rFonts w:ascii="Courier New" w:hAnsi="Courier New"/>
                <w:sz w:val="17"/>
                <w:lang w:val="fr-FR"/>
              </w:rPr>
              <w:noBreakHyphen/>
            </w:r>
            <w:r w:rsidRPr="0001128D">
              <w:rPr>
                <w:rFonts w:ascii="Courier New" w:hAnsi="Courier New"/>
                <w:sz w:val="17"/>
                <w:lang w:val="fr-FR"/>
              </w:rPr>
              <w:t>table</w:t>
            </w:r>
          </w:p>
        </w:tc>
        <w:tc>
          <w:tcPr>
            <w:tcW w:w="2340" w:type="dxa"/>
            <w:shd w:val="clear" w:color="auto" w:fill="auto"/>
          </w:tcPr>
          <w:p w:rsidR="000B779D" w:rsidRPr="0001128D" w:rsidDel="00700EBD" w:rsidRDefault="000B779D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List</w:t>
            </w:r>
            <w:r w:rsidR="00F07ADB" w:rsidRPr="0001128D">
              <w:rPr>
                <w:sz w:val="17"/>
                <w:szCs w:val="17"/>
                <w:lang w:val="fr-FR"/>
              </w:rPr>
              <w:t>e</w:t>
            </w:r>
            <w:r w:rsidRPr="0001128D">
              <w:rPr>
                <w:sz w:val="17"/>
                <w:szCs w:val="17"/>
                <w:lang w:val="fr-FR"/>
              </w:rPr>
              <w:t xml:space="preserve"> </w:t>
            </w:r>
            <w:r w:rsidR="00F07ADB" w:rsidRPr="0001128D">
              <w:rPr>
                <w:sz w:val="17"/>
                <w:szCs w:val="17"/>
                <w:lang w:val="fr-FR"/>
              </w:rPr>
              <w:t>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 xml:space="preserve">annotations </w:t>
            </w:r>
            <w:r w:rsidR="00F07ADB" w:rsidRPr="0001128D">
              <w:rPr>
                <w:sz w:val="17"/>
                <w:szCs w:val="17"/>
                <w:lang w:val="fr-FR"/>
              </w:rPr>
              <w:t>de la séquence</w:t>
            </w:r>
          </w:p>
        </w:tc>
        <w:tc>
          <w:tcPr>
            <w:tcW w:w="1710" w:type="dxa"/>
            <w:shd w:val="clear" w:color="auto" w:fill="auto"/>
          </w:tcPr>
          <w:p w:rsidR="000B779D" w:rsidRPr="0001128D" w:rsidRDefault="00F07ADB" w:rsidP="004F5B0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  <w:tc>
          <w:tcPr>
            <w:tcW w:w="1800" w:type="dxa"/>
          </w:tcPr>
          <w:p w:rsidR="000B779D" w:rsidRPr="0001128D" w:rsidRDefault="00F07ADB" w:rsidP="006A7120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Ne doit PAS être indiqué</w:t>
            </w:r>
          </w:p>
        </w:tc>
      </w:tr>
      <w:tr w:rsidR="00A341A0" w:rsidRPr="0001128D" w:rsidTr="006A7120">
        <w:trPr>
          <w:cantSplit/>
        </w:trPr>
        <w:tc>
          <w:tcPr>
            <w:tcW w:w="2195" w:type="dxa"/>
            <w:shd w:val="clear" w:color="auto" w:fill="auto"/>
          </w:tcPr>
          <w:p w:rsidR="000B779D" w:rsidRPr="0001128D" w:rsidRDefault="000B779D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INSDSeq_sequence</w:t>
            </w:r>
            <w:proofErr w:type="spellEnd"/>
          </w:p>
          <w:p w:rsidR="000B779D" w:rsidRPr="0001128D" w:rsidRDefault="000B779D" w:rsidP="007336B8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0B779D" w:rsidRPr="0001128D" w:rsidDel="00700EBD" w:rsidRDefault="000B779D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S</w:t>
            </w:r>
            <w:r w:rsidR="00F07ADB" w:rsidRPr="0001128D">
              <w:rPr>
                <w:sz w:val="17"/>
                <w:szCs w:val="17"/>
                <w:lang w:val="fr-FR"/>
              </w:rPr>
              <w:t>é</w:t>
            </w:r>
            <w:r w:rsidRPr="0001128D">
              <w:rPr>
                <w:sz w:val="17"/>
                <w:szCs w:val="17"/>
                <w:lang w:val="fr-FR"/>
              </w:rPr>
              <w:t>quence</w:t>
            </w:r>
          </w:p>
        </w:tc>
        <w:tc>
          <w:tcPr>
            <w:tcW w:w="1710" w:type="dxa"/>
            <w:shd w:val="clear" w:color="auto" w:fill="auto"/>
          </w:tcPr>
          <w:p w:rsidR="000B779D" w:rsidRPr="0001128D" w:rsidRDefault="00F07ADB" w:rsidP="00A7669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  <w:tc>
          <w:tcPr>
            <w:tcW w:w="1800" w:type="dxa"/>
          </w:tcPr>
          <w:p w:rsidR="00A341A0" w:rsidRPr="0001128D" w:rsidRDefault="00F07ADB" w:rsidP="00F07ADB">
            <w:pPr>
              <w:suppressAutoHyphens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Obligatoire, indiquer la valeur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A341A0" w:rsidRPr="0001128D">
              <w:rPr>
                <w:sz w:val="17"/>
                <w:szCs w:val="17"/>
                <w:lang w:val="fr-FR"/>
              </w:rPr>
              <w:t>000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</w:p>
        </w:tc>
      </w:tr>
    </w:tbl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</w:p>
    <w:p w:rsidR="00F31200" w:rsidRPr="0001128D" w:rsidRDefault="00562A6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</w:t>
      </w:r>
      <w:r w:rsidR="00F31200" w:rsidRPr="0001128D">
        <w:rPr>
          <w:szCs w:val="17"/>
          <w:lang w:val="fr-FR"/>
        </w:rPr>
        <w:t xml:space="preserve">ment </w:t>
      </w:r>
      <w:proofErr w:type="spellStart"/>
      <w:r w:rsidR="00F31200" w:rsidRPr="0001128D">
        <w:rPr>
          <w:rFonts w:ascii="Courier New" w:hAnsi="Courier New"/>
          <w:lang w:val="fr-FR"/>
        </w:rPr>
        <w:t>INSDSeq_length</w:t>
      </w:r>
      <w:proofErr w:type="spellEnd"/>
      <w:r w:rsidR="00F312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doit divulguer le nombre de nucléotides ou</w:t>
      </w:r>
      <w:r w:rsidR="00F312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acides aminés de la séquence figurant dans</w:t>
      </w:r>
      <w:r w:rsidR="00F312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</w:t>
      </w:r>
      <w:r w:rsidR="00F31200" w:rsidRPr="0001128D">
        <w:rPr>
          <w:szCs w:val="17"/>
          <w:lang w:val="fr-FR"/>
        </w:rPr>
        <w:t xml:space="preserve"> </w:t>
      </w:r>
      <w:proofErr w:type="spellStart"/>
      <w:r w:rsidR="00F31200" w:rsidRPr="0001128D">
        <w:rPr>
          <w:rFonts w:ascii="Courier New" w:hAnsi="Courier New"/>
          <w:lang w:val="fr-FR"/>
        </w:rPr>
        <w:t>INSDSeq</w:t>
      </w:r>
      <w:r w:rsidR="00D402C5" w:rsidRPr="0001128D">
        <w:rPr>
          <w:rFonts w:ascii="Courier New" w:hAnsi="Courier New"/>
          <w:lang w:val="fr-FR"/>
        </w:rPr>
        <w:t>_sequence</w:t>
      </w:r>
      <w:proofErr w:type="spellEnd"/>
      <w:r w:rsidRPr="0001128D">
        <w:rPr>
          <w:szCs w:val="17"/>
          <w:lang w:val="fr-FR"/>
        </w:rPr>
        <w:t>, par exemple</w:t>
      </w:r>
      <w:r w:rsidR="00745EE5" w:rsidRPr="0001128D">
        <w:rPr>
          <w:szCs w:val="17"/>
          <w:lang w:val="fr-FR"/>
        </w:rPr>
        <w:t> </w:t>
      </w:r>
      <w:r w:rsidR="00F31200" w:rsidRPr="0001128D">
        <w:rPr>
          <w:szCs w:val="17"/>
          <w:lang w:val="fr-FR"/>
        </w:rPr>
        <w:t>:</w:t>
      </w:r>
    </w:p>
    <w:p w:rsidR="00F31200" w:rsidRPr="0001128D" w:rsidRDefault="00F31200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INSDSeq_length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&gt;8&lt;/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INSDSeq_length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</w:p>
    <w:p w:rsidR="00F31200" w:rsidRPr="0001128D" w:rsidRDefault="00562A6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="00CD22D0">
        <w:rPr>
          <w:szCs w:val="17"/>
          <w:lang w:val="fr-FR"/>
        </w:rPr>
        <w:t>élément</w:t>
      </w:r>
      <w:r w:rsidRPr="0001128D">
        <w:rPr>
          <w:szCs w:val="17"/>
          <w:lang w:val="fr-FR"/>
        </w:rPr>
        <w:t xml:space="preserve"> </w:t>
      </w:r>
      <w:proofErr w:type="spellStart"/>
      <w:r w:rsidR="00F31200" w:rsidRPr="0001128D">
        <w:rPr>
          <w:rFonts w:ascii="Courier New" w:hAnsi="Courier New"/>
          <w:lang w:val="fr-FR"/>
        </w:rPr>
        <w:t>INSDSeq_moltype</w:t>
      </w:r>
      <w:proofErr w:type="spellEnd"/>
      <w:r w:rsidR="00F312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doit divulguer le</w:t>
      </w:r>
      <w:r w:rsidR="00F31200" w:rsidRPr="0001128D">
        <w:rPr>
          <w:szCs w:val="17"/>
          <w:lang w:val="fr-FR"/>
        </w:rPr>
        <w:t xml:space="preserve"> type </w:t>
      </w:r>
      <w:r w:rsidRPr="0001128D">
        <w:rPr>
          <w:szCs w:val="17"/>
          <w:lang w:val="fr-FR"/>
        </w:rPr>
        <w:t>de</w:t>
      </w:r>
      <w:r w:rsidR="00F312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 xml:space="preserve">la </w:t>
      </w:r>
      <w:r w:rsidR="00F31200" w:rsidRPr="0001128D">
        <w:rPr>
          <w:szCs w:val="17"/>
          <w:lang w:val="fr-FR"/>
        </w:rPr>
        <w:t>mol</w:t>
      </w:r>
      <w:r w:rsidRPr="0001128D">
        <w:rPr>
          <w:szCs w:val="17"/>
          <w:lang w:val="fr-FR"/>
        </w:rPr>
        <w:t>é</w:t>
      </w:r>
      <w:r w:rsidR="00F31200" w:rsidRPr="0001128D">
        <w:rPr>
          <w:szCs w:val="17"/>
          <w:lang w:val="fr-FR"/>
        </w:rPr>
        <w:t xml:space="preserve">cule </w:t>
      </w:r>
      <w:r w:rsidRPr="0001128D">
        <w:rPr>
          <w:szCs w:val="17"/>
          <w:lang w:val="fr-FR"/>
        </w:rPr>
        <w:t>présentée</w:t>
      </w:r>
      <w:r w:rsidR="00F31200" w:rsidRPr="0001128D">
        <w:rPr>
          <w:szCs w:val="17"/>
          <w:lang w:val="fr-FR"/>
        </w:rPr>
        <w:t>.</w:t>
      </w:r>
      <w:r w:rsidRPr="0001128D">
        <w:rPr>
          <w:szCs w:val="17"/>
          <w:lang w:val="fr-FR"/>
        </w:rPr>
        <w:t xml:space="preserve">  Pour les séquences de nucléotides, le type de molécule doit être ADN ou ARN.</w:t>
      </w:r>
      <w:r w:rsidR="0085122A" w:rsidRPr="0001128D">
        <w:rPr>
          <w:szCs w:val="17"/>
          <w:lang w:val="fr-FR"/>
        </w:rPr>
        <w:t xml:space="preserve"> </w:t>
      </w:r>
      <w:r w:rsidR="00F312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Pour les séquences protéiniques ou peptidiques, le type de molécule doit être AA.</w:t>
      </w:r>
      <w:r w:rsidR="00F31200" w:rsidRPr="0001128D">
        <w:rPr>
          <w:szCs w:val="17"/>
          <w:lang w:val="fr-FR"/>
        </w:rPr>
        <w:t xml:space="preserve">  </w:t>
      </w:r>
      <w:r w:rsidRPr="0001128D">
        <w:rPr>
          <w:szCs w:val="17"/>
          <w:lang w:val="fr-FR"/>
        </w:rPr>
        <w:t>(Cet élément est distinct des qualificateurs</w:t>
      </w:r>
      <w:r w:rsidR="005B0982"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proofErr w:type="spellStart"/>
      <w:r w:rsidR="009A0DE9" w:rsidRPr="0001128D">
        <w:rPr>
          <w:szCs w:val="17"/>
          <w:lang w:val="fr-FR"/>
        </w:rPr>
        <w:t>mol_type</w:t>
      </w:r>
      <w:proofErr w:type="spellEnd"/>
      <w:r w:rsidR="00745EE5" w:rsidRPr="0001128D">
        <w:rPr>
          <w:szCs w:val="17"/>
          <w:lang w:val="fr-FR"/>
        </w:rPr>
        <w:t>”</w:t>
      </w:r>
      <w:r w:rsidR="009A0DE9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et</w:t>
      </w:r>
      <w:r w:rsidR="009A0DE9"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="009A0DE9" w:rsidRPr="0001128D">
        <w:rPr>
          <w:szCs w:val="17"/>
          <w:lang w:val="fr-FR"/>
        </w:rPr>
        <w:t>MOL_TYPE</w:t>
      </w:r>
      <w:r w:rsidR="00745EE5" w:rsidRPr="0001128D">
        <w:rPr>
          <w:szCs w:val="17"/>
          <w:lang w:val="fr-FR"/>
        </w:rPr>
        <w:t>”</w:t>
      </w:r>
      <w:r w:rsidR="00E16A22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 xml:space="preserve">mentionnés aux </w:t>
      </w:r>
      <w:r w:rsidR="00E16A22" w:rsidRPr="0001128D">
        <w:rPr>
          <w:szCs w:val="17"/>
          <w:lang w:val="fr-FR"/>
        </w:rPr>
        <w:t>paragraph</w:t>
      </w:r>
      <w:r w:rsidRPr="0001128D">
        <w:rPr>
          <w:szCs w:val="17"/>
          <w:lang w:val="fr-FR"/>
        </w:rPr>
        <w:t>e</w:t>
      </w:r>
      <w:r w:rsidR="00E16A22" w:rsidRPr="0001128D">
        <w:rPr>
          <w:szCs w:val="17"/>
          <w:lang w:val="fr-FR"/>
        </w:rPr>
        <w:t>s</w:t>
      </w:r>
      <w:r w:rsidR="00745EE5" w:rsidRPr="0001128D">
        <w:rPr>
          <w:szCs w:val="17"/>
          <w:lang w:val="fr-FR"/>
        </w:rPr>
        <w:t> </w:t>
      </w:r>
      <w:r w:rsidR="00E16A22" w:rsidRPr="0001128D">
        <w:rPr>
          <w:szCs w:val="17"/>
          <w:lang w:val="fr-FR"/>
        </w:rPr>
        <w:t xml:space="preserve">55 </w:t>
      </w:r>
      <w:r w:rsidRPr="0001128D">
        <w:rPr>
          <w:szCs w:val="17"/>
          <w:lang w:val="fr-FR"/>
        </w:rPr>
        <w:t>et</w:t>
      </w:r>
      <w:r w:rsidR="00E16A22" w:rsidRPr="0001128D">
        <w:rPr>
          <w:szCs w:val="17"/>
          <w:lang w:val="fr-FR"/>
        </w:rPr>
        <w:t xml:space="preserve"> 85</w:t>
      </w:r>
      <w:r w:rsidR="0004147C">
        <w:rPr>
          <w:szCs w:val="17"/>
          <w:lang w:val="fr-FR"/>
        </w:rPr>
        <w:t>.</w:t>
      </w:r>
      <w:r w:rsidR="009A0DE9" w:rsidRPr="0001128D">
        <w:rPr>
          <w:szCs w:val="17"/>
          <w:lang w:val="fr-FR"/>
        </w:rPr>
        <w:t>)</w:t>
      </w:r>
      <w:r w:rsidR="00D402C5" w:rsidRPr="0001128D">
        <w:rPr>
          <w:szCs w:val="17"/>
          <w:lang w:val="fr-FR"/>
        </w:rPr>
        <w:t xml:space="preserve">  </w:t>
      </w:r>
      <w:r w:rsidRPr="0001128D">
        <w:rPr>
          <w:szCs w:val="17"/>
          <w:lang w:val="fr-FR"/>
        </w:rPr>
        <w:t xml:space="preserve">Par </w:t>
      </w:r>
      <w:r w:rsidR="00D402C5" w:rsidRPr="0001128D">
        <w:rPr>
          <w:szCs w:val="17"/>
          <w:lang w:val="fr-FR"/>
        </w:rPr>
        <w:t>ex</w:t>
      </w:r>
      <w:r w:rsidRPr="0001128D">
        <w:rPr>
          <w:szCs w:val="17"/>
          <w:lang w:val="fr-FR"/>
        </w:rPr>
        <w:t>e</w:t>
      </w:r>
      <w:r w:rsidR="00D402C5" w:rsidRPr="0001128D">
        <w:rPr>
          <w:szCs w:val="17"/>
          <w:lang w:val="fr-FR"/>
        </w:rPr>
        <w:t>mple</w:t>
      </w:r>
      <w:r w:rsidR="00745EE5" w:rsidRPr="0001128D">
        <w:rPr>
          <w:szCs w:val="17"/>
          <w:lang w:val="fr-FR"/>
        </w:rPr>
        <w:t> </w:t>
      </w:r>
      <w:r w:rsidR="00F31200" w:rsidRPr="0001128D">
        <w:rPr>
          <w:szCs w:val="17"/>
          <w:lang w:val="fr-FR"/>
        </w:rPr>
        <w:t>:</w:t>
      </w:r>
    </w:p>
    <w:p w:rsidR="00F31200" w:rsidRPr="00917901" w:rsidRDefault="00F31200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&gt;AA&lt;/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7D3C46" w:rsidRPr="00917901" w:rsidRDefault="007D3C46" w:rsidP="007D3C46">
      <w:pPr>
        <w:pStyle w:val="List0"/>
        <w:tabs>
          <w:tab w:val="left" w:pos="567"/>
        </w:tabs>
        <w:rPr>
          <w:szCs w:val="17"/>
        </w:rPr>
      </w:pPr>
      <w:bookmarkStart w:id="78" w:name="_Ref371517861"/>
    </w:p>
    <w:p w:rsidR="00541400" w:rsidRPr="0001128D" w:rsidRDefault="00B64C5B" w:rsidP="002A7C6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Si une séquence de nucléotides contient à la fois des fragments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ADN 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ARN,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INSDSeq_moltype</w:t>
      </w:r>
      <w:proofErr w:type="spellEnd"/>
      <w:r w:rsidRPr="0001128D">
        <w:rPr>
          <w:szCs w:val="17"/>
          <w:lang w:val="fr-FR"/>
        </w:rPr>
        <w:t xml:space="preserve"> doit prendre la valeur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DN</w:t>
      </w:r>
      <w:r w:rsidR="009740B7" w:rsidRPr="0001128D">
        <w:rPr>
          <w:szCs w:val="17"/>
          <w:lang w:val="fr-FR"/>
        </w:rPr>
        <w:t>A</w:t>
      </w:r>
      <w:r w:rsidR="00745EE5" w:rsidRPr="0001128D">
        <w:rPr>
          <w:szCs w:val="17"/>
          <w:lang w:val="fr-FR"/>
        </w:rPr>
        <w:t>”.</w:t>
      </w:r>
      <w:r w:rsidRPr="0001128D">
        <w:rPr>
          <w:szCs w:val="17"/>
          <w:lang w:val="fr-FR"/>
        </w:rPr>
        <w:t xml:space="preserve">  </w:t>
      </w:r>
      <w:r w:rsidR="009740B7" w:rsidRPr="0001128D">
        <w:rPr>
          <w:szCs w:val="17"/>
          <w:lang w:val="fr-FR"/>
        </w:rPr>
        <w:t>La molécule combinée d</w:t>
      </w:r>
      <w:r w:rsidR="00A329F0" w:rsidRPr="0001128D">
        <w:rPr>
          <w:szCs w:val="17"/>
          <w:lang w:val="fr-FR"/>
        </w:rPr>
        <w:t>’</w:t>
      </w:r>
      <w:r w:rsidR="009740B7" w:rsidRPr="0001128D">
        <w:rPr>
          <w:szCs w:val="17"/>
          <w:lang w:val="fr-FR"/>
        </w:rPr>
        <w:t>ADN/ARN doit en outre être décrite da</w:t>
      </w:r>
      <w:r w:rsidR="00F56A6F" w:rsidRPr="0001128D">
        <w:rPr>
          <w:szCs w:val="17"/>
          <w:lang w:val="fr-FR"/>
        </w:rPr>
        <w:t>ns le tableau de caractéristiques à l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 xml:space="preserve">aide de la clé de caractérisation </w:t>
      </w:r>
      <w:r w:rsidR="00745EE5" w:rsidRPr="0001128D">
        <w:rPr>
          <w:szCs w:val="17"/>
          <w:lang w:val="fr-FR"/>
        </w:rPr>
        <w:t>“</w:t>
      </w:r>
      <w:r w:rsidR="00F56A6F" w:rsidRPr="0001128D">
        <w:rPr>
          <w:szCs w:val="17"/>
          <w:lang w:val="fr-FR"/>
        </w:rPr>
        <w:t>source</w:t>
      </w:r>
      <w:r w:rsidR="00745EE5" w:rsidRPr="0001128D">
        <w:rPr>
          <w:szCs w:val="17"/>
          <w:lang w:val="fr-FR"/>
        </w:rPr>
        <w:t>”</w:t>
      </w:r>
      <w:r w:rsidR="00F56A6F" w:rsidRPr="0001128D">
        <w:rPr>
          <w:szCs w:val="17"/>
          <w:lang w:val="fr-FR"/>
        </w:rPr>
        <w:t xml:space="preserve">, du qualificateur obligatoire </w:t>
      </w:r>
      <w:r w:rsidR="00745EE5" w:rsidRPr="0001128D">
        <w:rPr>
          <w:szCs w:val="17"/>
          <w:lang w:val="fr-FR"/>
        </w:rPr>
        <w:t>“</w:t>
      </w:r>
      <w:proofErr w:type="spellStart"/>
      <w:r w:rsidR="00F56A6F" w:rsidRPr="0001128D">
        <w:rPr>
          <w:szCs w:val="17"/>
          <w:lang w:val="fr-FR"/>
        </w:rPr>
        <w:t>organism</w:t>
      </w:r>
      <w:proofErr w:type="spellEnd"/>
      <w:r w:rsidR="00745EE5" w:rsidRPr="0001128D">
        <w:rPr>
          <w:szCs w:val="17"/>
          <w:lang w:val="fr-FR"/>
        </w:rPr>
        <w:t>”</w:t>
      </w:r>
      <w:r w:rsidR="00F56A6F" w:rsidRPr="0001128D">
        <w:rPr>
          <w:szCs w:val="17"/>
          <w:lang w:val="fr-FR"/>
        </w:rPr>
        <w:t xml:space="preserve">, qui prend la valeur </w:t>
      </w:r>
      <w:r w:rsidR="00745EE5" w:rsidRPr="0001128D">
        <w:rPr>
          <w:szCs w:val="17"/>
          <w:lang w:val="fr-FR"/>
        </w:rPr>
        <w:t>“</w:t>
      </w:r>
      <w:proofErr w:type="spellStart"/>
      <w:r w:rsidR="00F56A6F" w:rsidRPr="0001128D">
        <w:rPr>
          <w:szCs w:val="17"/>
          <w:lang w:val="fr-FR"/>
        </w:rPr>
        <w:t>synthetic</w:t>
      </w:r>
      <w:proofErr w:type="spellEnd"/>
      <w:r w:rsidR="00F56A6F" w:rsidRPr="0001128D">
        <w:rPr>
          <w:szCs w:val="17"/>
          <w:lang w:val="fr-FR"/>
        </w:rPr>
        <w:t xml:space="preserve"> </w:t>
      </w:r>
      <w:proofErr w:type="spellStart"/>
      <w:r w:rsidR="00F56A6F" w:rsidRPr="0001128D">
        <w:rPr>
          <w:szCs w:val="17"/>
          <w:lang w:val="fr-FR"/>
        </w:rPr>
        <w:t>construct</w:t>
      </w:r>
      <w:proofErr w:type="spellEnd"/>
      <w:r w:rsidR="00745EE5" w:rsidRPr="0001128D">
        <w:rPr>
          <w:szCs w:val="17"/>
          <w:lang w:val="fr-FR"/>
        </w:rPr>
        <w:t>”</w:t>
      </w:r>
      <w:r w:rsidR="00F56A6F" w:rsidRPr="0001128D">
        <w:rPr>
          <w:szCs w:val="17"/>
          <w:lang w:val="fr-FR"/>
        </w:rPr>
        <w:t xml:space="preserve">, et du qualificateur obligatoire </w:t>
      </w:r>
      <w:r w:rsidR="00745EE5" w:rsidRPr="0001128D">
        <w:rPr>
          <w:szCs w:val="17"/>
          <w:lang w:val="fr-FR"/>
        </w:rPr>
        <w:t>“</w:t>
      </w:r>
      <w:proofErr w:type="spellStart"/>
      <w:r w:rsidR="00F56A6F" w:rsidRPr="0001128D">
        <w:rPr>
          <w:szCs w:val="17"/>
          <w:lang w:val="fr-FR"/>
        </w:rPr>
        <w:t>mol_type</w:t>
      </w:r>
      <w:proofErr w:type="spellEnd"/>
      <w:r w:rsidR="00745EE5" w:rsidRPr="0001128D">
        <w:rPr>
          <w:szCs w:val="17"/>
          <w:lang w:val="fr-FR"/>
        </w:rPr>
        <w:t>”</w:t>
      </w:r>
      <w:r w:rsidR="00F56A6F" w:rsidRPr="0001128D">
        <w:rPr>
          <w:szCs w:val="17"/>
          <w:lang w:val="fr-FR"/>
        </w:rPr>
        <w:t xml:space="preserve">, qui prend la valeur </w:t>
      </w:r>
      <w:r w:rsidR="00745EE5" w:rsidRPr="0001128D">
        <w:rPr>
          <w:szCs w:val="17"/>
          <w:lang w:val="fr-FR"/>
        </w:rPr>
        <w:t>“</w:t>
      </w:r>
      <w:proofErr w:type="spellStart"/>
      <w:r w:rsidR="00F56A6F" w:rsidRPr="0001128D">
        <w:rPr>
          <w:szCs w:val="17"/>
          <w:lang w:val="fr-FR"/>
        </w:rPr>
        <w:t>other</w:t>
      </w:r>
      <w:proofErr w:type="spellEnd"/>
      <w:r w:rsidR="00F56A6F" w:rsidRPr="0001128D">
        <w:rPr>
          <w:szCs w:val="17"/>
          <w:lang w:val="fr-FR"/>
        </w:rPr>
        <w:t xml:space="preserve"> DNA</w:t>
      </w:r>
      <w:r w:rsidR="00745EE5" w:rsidRPr="0001128D">
        <w:rPr>
          <w:szCs w:val="17"/>
          <w:lang w:val="fr-FR"/>
        </w:rPr>
        <w:t>”.</w:t>
      </w:r>
      <w:r w:rsidR="00F56A6F" w:rsidRPr="0001128D">
        <w:rPr>
          <w:szCs w:val="17"/>
          <w:lang w:val="fr-FR"/>
        </w:rPr>
        <w:t xml:space="preserve">  Chaque fragment d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ADN et d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ARN de la molécule combinée d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AD</w:t>
      </w:r>
      <w:r w:rsidR="00636A56" w:rsidRPr="0001128D">
        <w:rPr>
          <w:szCs w:val="17"/>
          <w:lang w:val="fr-FR"/>
        </w:rPr>
        <w:t>N/ARN doit en outre être décrit</w:t>
      </w:r>
      <w:r w:rsidR="00F56A6F" w:rsidRPr="0001128D">
        <w:rPr>
          <w:szCs w:val="17"/>
          <w:lang w:val="fr-FR"/>
        </w:rPr>
        <w:t xml:space="preserve"> par la clé de caractérisation </w:t>
      </w:r>
      <w:r w:rsidR="00745EE5" w:rsidRPr="0001128D">
        <w:rPr>
          <w:szCs w:val="17"/>
          <w:lang w:val="fr-FR"/>
        </w:rPr>
        <w:t>“</w:t>
      </w:r>
      <w:proofErr w:type="spellStart"/>
      <w:r w:rsidR="00F56A6F" w:rsidRPr="0001128D">
        <w:rPr>
          <w:szCs w:val="17"/>
          <w:lang w:val="fr-FR"/>
        </w:rPr>
        <w:t>misc_feature</w:t>
      </w:r>
      <w:proofErr w:type="spellEnd"/>
      <w:r w:rsidR="00745EE5" w:rsidRPr="0001128D">
        <w:rPr>
          <w:szCs w:val="17"/>
          <w:lang w:val="fr-FR"/>
        </w:rPr>
        <w:t>”</w:t>
      </w:r>
      <w:r w:rsidR="00F56A6F" w:rsidRPr="0001128D">
        <w:rPr>
          <w:szCs w:val="17"/>
          <w:lang w:val="fr-FR"/>
        </w:rPr>
        <w:t xml:space="preserve"> et par le qualificateur </w:t>
      </w:r>
      <w:r w:rsidR="00745EE5" w:rsidRPr="0001128D">
        <w:rPr>
          <w:szCs w:val="17"/>
          <w:lang w:val="fr-FR"/>
        </w:rPr>
        <w:t>“</w:t>
      </w:r>
      <w:r w:rsidR="00F56A6F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F56A6F" w:rsidRPr="0001128D">
        <w:rPr>
          <w:szCs w:val="17"/>
          <w:lang w:val="fr-FR"/>
        </w:rPr>
        <w:t>, ce dernier indiquant s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il s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agit d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un fragment d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ADN ou d</w:t>
      </w:r>
      <w:r w:rsidR="00A329F0" w:rsidRPr="0001128D">
        <w:rPr>
          <w:szCs w:val="17"/>
          <w:lang w:val="fr-FR"/>
        </w:rPr>
        <w:t>’</w:t>
      </w:r>
      <w:r w:rsidR="00F56A6F" w:rsidRPr="0001128D">
        <w:rPr>
          <w:szCs w:val="17"/>
          <w:lang w:val="fr-FR"/>
        </w:rPr>
        <w:t>ARN.</w:t>
      </w:r>
      <w:bookmarkEnd w:id="78"/>
    </w:p>
    <w:p w:rsidR="006D0C96" w:rsidRPr="0001128D" w:rsidRDefault="00394275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exemple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 xml:space="preserve">après illustre la </w:t>
      </w:r>
      <w:r w:rsidR="00541400" w:rsidRPr="0001128D">
        <w:rPr>
          <w:szCs w:val="17"/>
          <w:lang w:val="fr-FR"/>
        </w:rPr>
        <w:t xml:space="preserve">description </w:t>
      </w:r>
      <w:r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séquence de nucléotides</w:t>
      </w:r>
      <w:r w:rsidR="00541400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 xml:space="preserve">contenant à la fois des </w:t>
      </w:r>
      <w:r w:rsidR="00541400" w:rsidRPr="0001128D">
        <w:rPr>
          <w:szCs w:val="17"/>
          <w:lang w:val="fr-FR"/>
        </w:rPr>
        <w:t xml:space="preserve">fragments </w:t>
      </w:r>
      <w:r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ADN 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ARN comme le prévoit le </w:t>
      </w:r>
      <w:r w:rsidR="00541400" w:rsidRPr="0001128D">
        <w:rPr>
          <w:szCs w:val="17"/>
          <w:lang w:val="fr-FR"/>
        </w:rPr>
        <w:t>paragraph</w:t>
      </w:r>
      <w:r w:rsidRPr="0001128D">
        <w:rPr>
          <w:szCs w:val="17"/>
          <w:lang w:val="fr-FR"/>
        </w:rPr>
        <w:t>e</w:t>
      </w:r>
      <w:r w:rsidR="00745EE5" w:rsidRPr="0001128D">
        <w:rPr>
          <w:szCs w:val="17"/>
          <w:lang w:val="fr-FR"/>
        </w:rPr>
        <w:t> </w:t>
      </w:r>
      <w:r w:rsidR="00E16A22" w:rsidRPr="0001128D">
        <w:rPr>
          <w:szCs w:val="17"/>
          <w:lang w:val="fr-FR"/>
        </w:rPr>
        <w:t>55</w:t>
      </w:r>
      <w:r w:rsidR="00D402C5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="00D402C5" w:rsidRPr="0001128D">
        <w:rPr>
          <w:szCs w:val="17"/>
          <w:lang w:val="fr-FR"/>
        </w:rPr>
        <w:t>: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INSDSeq_length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&gt;120&lt;/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INSDSeq_length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&gt;DNA&lt;/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INSDSeq_division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&gt;PAT&lt;/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INSDSeq_division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..120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&gt;synthetic construct&lt;/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mol_type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&gt;other DNA&lt;/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misc_feature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..60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&gt;DNA fragment&lt;/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misc_feature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&gt;61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..120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&gt;RNA fragment&lt;/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&gt;    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INSDSeq_sequence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>cgacccacgcgtccgaggaaccaaccatcacgtttgaggacttcgtgaaggaattggataatacccgtccctaccaaaatggcgagcgccgactcattgctcctcgtaccgtcgagcggc</w:t>
      </w:r>
    </w:p>
    <w:p w:rsidR="00D96D01" w:rsidRPr="0001128D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INSDSeq_sequence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D96D01" w:rsidRPr="0001128D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INSDSeq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D3C46" w:rsidRPr="0001128D" w:rsidRDefault="007D3C46" w:rsidP="007D3C46">
      <w:pPr>
        <w:pStyle w:val="List0"/>
        <w:tabs>
          <w:tab w:val="left" w:pos="567"/>
        </w:tabs>
        <w:rPr>
          <w:szCs w:val="17"/>
          <w:lang w:val="fr-FR"/>
        </w:rPr>
      </w:pPr>
    </w:p>
    <w:p w:rsidR="007E5993" w:rsidRPr="0001128D" w:rsidRDefault="007E5993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INSDSeq_sequence</w:t>
      </w:r>
      <w:proofErr w:type="spellEnd"/>
      <w:r w:rsidRPr="0001128D">
        <w:rPr>
          <w:szCs w:val="17"/>
          <w:lang w:val="fr-FR"/>
        </w:rPr>
        <w:t xml:space="preserve"> doit divulguer la séquence.  Les résidus de la séquence doivent être présentés de manière </w:t>
      </w:r>
      <w:r w:rsidR="00554A99" w:rsidRPr="0001128D">
        <w:rPr>
          <w:szCs w:val="17"/>
          <w:lang w:val="fr-FR"/>
        </w:rPr>
        <w:t>contiguë</w:t>
      </w:r>
      <w:r w:rsidRPr="0001128D">
        <w:rPr>
          <w:szCs w:val="17"/>
          <w:lang w:val="fr-FR"/>
        </w:rPr>
        <w:t xml:space="preserve"> à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aide des symboles adéquats indiqués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annexe I (voir section 1, tableau 1 et section 3, tableau 3).  La séquence ne doit pas contenir de chiffres, de signes de ponctuation ou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espaces blancs.</w:t>
      </w:r>
    </w:p>
    <w:p w:rsidR="006D0C96" w:rsidRPr="0001128D" w:rsidRDefault="00AB215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79" w:name="_Ref371500871"/>
      <w:r w:rsidRPr="0001128D">
        <w:rPr>
          <w:szCs w:val="17"/>
          <w:lang w:val="fr-FR"/>
        </w:rPr>
        <w:t>Une séquence délibérément omise doit être présentée de la manière suivante</w:t>
      </w:r>
      <w:r w:rsidR="00745EE5" w:rsidRPr="0001128D">
        <w:rPr>
          <w:szCs w:val="17"/>
          <w:lang w:val="fr-FR"/>
        </w:rPr>
        <w:t> </w:t>
      </w:r>
      <w:r w:rsidR="006D0C96" w:rsidRPr="0001128D">
        <w:rPr>
          <w:szCs w:val="17"/>
          <w:lang w:val="fr-FR"/>
        </w:rPr>
        <w:t>:</w:t>
      </w:r>
      <w:bookmarkEnd w:id="79"/>
    </w:p>
    <w:p w:rsidR="006D0C96" w:rsidRPr="0001128D" w:rsidRDefault="00212FCE" w:rsidP="00031078">
      <w:pPr>
        <w:pStyle w:val="List0R"/>
        <w:numPr>
          <w:ilvl w:val="0"/>
          <w:numId w:val="22"/>
        </w:numPr>
        <w:tabs>
          <w:tab w:val="left" w:pos="1134"/>
        </w:tabs>
        <w:ind w:left="0" w:firstLine="567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</w:t>
      </w:r>
      <w:r w:rsidR="006D0C96" w:rsidRPr="0001128D">
        <w:rPr>
          <w:szCs w:val="17"/>
          <w:lang w:val="fr-FR"/>
        </w:rPr>
        <w:t xml:space="preserve"> </w:t>
      </w:r>
      <w:proofErr w:type="spellStart"/>
      <w:r w:rsidR="006D0C96" w:rsidRPr="0001128D">
        <w:rPr>
          <w:rFonts w:ascii="Courier New" w:hAnsi="Courier New"/>
          <w:lang w:val="fr-FR"/>
        </w:rPr>
        <w:t>SequenceData</w:t>
      </w:r>
      <w:proofErr w:type="spellEnd"/>
      <w:r w:rsidR="006D0C96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et son attribut</w:t>
      </w:r>
      <w:r w:rsidR="006D0C96" w:rsidRPr="0001128D">
        <w:rPr>
          <w:szCs w:val="17"/>
          <w:lang w:val="fr-FR"/>
        </w:rPr>
        <w:t xml:space="preserve"> </w:t>
      </w:r>
      <w:proofErr w:type="spellStart"/>
      <w:r w:rsidR="006D0C96" w:rsidRPr="0001128D">
        <w:rPr>
          <w:rFonts w:ascii="Courier New" w:hAnsi="Courier New"/>
          <w:lang w:val="fr-FR"/>
        </w:rPr>
        <w:t>sequenceIDNumber</w:t>
      </w:r>
      <w:proofErr w:type="spellEnd"/>
      <w:r w:rsidR="006D0C96" w:rsidRPr="0001128D">
        <w:rPr>
          <w:szCs w:val="17"/>
          <w:lang w:val="fr-FR"/>
        </w:rPr>
        <w:t>,</w:t>
      </w:r>
      <w:r w:rsidRPr="0001128D">
        <w:rPr>
          <w:szCs w:val="17"/>
          <w:lang w:val="fr-FR"/>
        </w:rPr>
        <w:t xml:space="preserve"> qui prend pour valeur le numéro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identification de la séquence omise</w:t>
      </w:r>
      <w:r w:rsidR="006D0C96" w:rsidRPr="0001128D">
        <w:rPr>
          <w:szCs w:val="17"/>
          <w:lang w:val="fr-FR"/>
        </w:rPr>
        <w:t>;</w:t>
      </w:r>
    </w:p>
    <w:p w:rsidR="006D0C96" w:rsidRPr="0001128D" w:rsidRDefault="0036310E" w:rsidP="008B4E62">
      <w:pPr>
        <w:pStyle w:val="List0R"/>
        <w:numPr>
          <w:ilvl w:val="0"/>
          <w:numId w:val="22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szCs w:val="17"/>
          <w:lang w:val="fr-FR"/>
        </w:rPr>
        <w:t>les éléments</w:t>
      </w:r>
      <w:r w:rsidR="006D0C96" w:rsidRPr="0001128D">
        <w:rPr>
          <w:szCs w:val="17"/>
          <w:lang w:val="fr-FR"/>
        </w:rPr>
        <w:t xml:space="preserve"> </w:t>
      </w:r>
      <w:proofErr w:type="spellStart"/>
      <w:r w:rsidR="006D0C96" w:rsidRPr="0001128D">
        <w:rPr>
          <w:rFonts w:ascii="Courier New" w:hAnsi="Courier New"/>
          <w:lang w:val="fr-FR"/>
        </w:rPr>
        <w:t>INSDSeq_length</w:t>
      </w:r>
      <w:proofErr w:type="spellEnd"/>
      <w:r w:rsidR="006D0C96" w:rsidRPr="0001128D">
        <w:rPr>
          <w:lang w:val="fr-FR"/>
        </w:rPr>
        <w:t xml:space="preserve">, </w:t>
      </w:r>
      <w:proofErr w:type="spellStart"/>
      <w:r w:rsidR="006D0C96" w:rsidRPr="0001128D">
        <w:rPr>
          <w:rFonts w:ascii="Courier New" w:hAnsi="Courier New"/>
          <w:lang w:val="fr-FR"/>
        </w:rPr>
        <w:t>INSDSeq_moltype</w:t>
      </w:r>
      <w:proofErr w:type="spellEnd"/>
      <w:r w:rsidR="006D0C96" w:rsidRPr="0001128D">
        <w:rPr>
          <w:lang w:val="fr-FR"/>
        </w:rPr>
        <w:t xml:space="preserve">, </w:t>
      </w:r>
      <w:proofErr w:type="spellStart"/>
      <w:r w:rsidR="006D0C96" w:rsidRPr="0001128D">
        <w:rPr>
          <w:rFonts w:ascii="Courier New" w:hAnsi="Courier New"/>
          <w:lang w:val="fr-FR"/>
        </w:rPr>
        <w:t>INSDSeq_division</w:t>
      </w:r>
      <w:proofErr w:type="spellEnd"/>
      <w:r w:rsidR="006D0C96" w:rsidRPr="0001128D">
        <w:rPr>
          <w:lang w:val="fr-FR"/>
        </w:rPr>
        <w:t xml:space="preserve">, </w:t>
      </w:r>
      <w:r w:rsidRPr="0001128D">
        <w:rPr>
          <w:lang w:val="fr-FR"/>
        </w:rPr>
        <w:t>qui sont présents mais ne contiennent aucune valeur</w:t>
      </w:r>
      <w:r w:rsidR="006D0C96" w:rsidRPr="0001128D">
        <w:rPr>
          <w:lang w:val="fr-FR"/>
        </w:rPr>
        <w:t>;</w:t>
      </w:r>
    </w:p>
    <w:p w:rsidR="006D0C96" w:rsidRPr="0001128D" w:rsidRDefault="0036310E" w:rsidP="008B4E62">
      <w:pPr>
        <w:pStyle w:val="List0R"/>
        <w:numPr>
          <w:ilvl w:val="0"/>
          <w:numId w:val="22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</w:t>
      </w:r>
      <w:r w:rsidR="00A341A0" w:rsidRPr="0001128D">
        <w:rPr>
          <w:lang w:val="fr-FR"/>
        </w:rPr>
        <w:t xml:space="preserve"> </w:t>
      </w:r>
      <w:proofErr w:type="spellStart"/>
      <w:r w:rsidR="00A341A0" w:rsidRPr="0001128D">
        <w:rPr>
          <w:rFonts w:ascii="Courier New" w:hAnsi="Courier New"/>
          <w:lang w:val="fr-FR"/>
        </w:rPr>
        <w:t>INSDSeq_feature</w:t>
      </w:r>
      <w:proofErr w:type="spellEnd"/>
      <w:r w:rsidR="00265B44" w:rsidRPr="0001128D">
        <w:rPr>
          <w:rFonts w:ascii="Courier New" w:hAnsi="Courier New"/>
          <w:lang w:val="fr-FR"/>
        </w:rPr>
        <w:noBreakHyphen/>
      </w:r>
      <w:r w:rsidR="00A341A0" w:rsidRPr="0001128D">
        <w:rPr>
          <w:rFonts w:ascii="Courier New" w:hAnsi="Courier New"/>
          <w:lang w:val="fr-FR"/>
        </w:rPr>
        <w:t>table</w:t>
      </w:r>
      <w:r w:rsidR="00A341A0" w:rsidRPr="0001128D">
        <w:rPr>
          <w:rFonts w:eastAsia="SimSun"/>
          <w:lang w:val="fr-FR"/>
        </w:rPr>
        <w:t xml:space="preserve"> </w:t>
      </w:r>
      <w:r w:rsidRPr="0001128D">
        <w:rPr>
          <w:lang w:val="fr-FR"/>
        </w:rPr>
        <w:t>ne doit pas être indiqué</w:t>
      </w:r>
      <w:r w:rsidR="006D0C96" w:rsidRPr="0001128D">
        <w:rPr>
          <w:lang w:val="fr-FR"/>
        </w:rPr>
        <w:t>;</w:t>
      </w:r>
      <w:r w:rsidR="007B0558" w:rsidRPr="0001128D">
        <w:rPr>
          <w:lang w:val="fr-FR"/>
        </w:rPr>
        <w:t xml:space="preserve"> </w:t>
      </w:r>
      <w:r w:rsidR="006D0C96" w:rsidRPr="0001128D">
        <w:rPr>
          <w:lang w:val="fr-FR"/>
        </w:rPr>
        <w:t xml:space="preserve"> </w:t>
      </w:r>
      <w:r w:rsidRPr="0001128D">
        <w:rPr>
          <w:lang w:val="fr-FR"/>
        </w:rPr>
        <w:t>et</w:t>
      </w:r>
    </w:p>
    <w:p w:rsidR="006D0C96" w:rsidRPr="0001128D" w:rsidRDefault="0036310E" w:rsidP="002A7C67">
      <w:pPr>
        <w:pStyle w:val="List0R"/>
        <w:numPr>
          <w:ilvl w:val="0"/>
          <w:numId w:val="22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</w:t>
      </w:r>
      <w:r w:rsidR="00B56920" w:rsidRPr="0001128D">
        <w:rPr>
          <w:lang w:val="fr-FR"/>
        </w:rPr>
        <w:t xml:space="preserve"> </w:t>
      </w:r>
      <w:proofErr w:type="spellStart"/>
      <w:r w:rsidR="00A341A0" w:rsidRPr="0001128D">
        <w:rPr>
          <w:rFonts w:ascii="Courier New" w:hAnsi="Courier New"/>
          <w:lang w:val="fr-FR"/>
        </w:rPr>
        <w:t>INSDSeq_sequence</w:t>
      </w:r>
      <w:proofErr w:type="spellEnd"/>
      <w:r w:rsidRPr="0001128D">
        <w:rPr>
          <w:rFonts w:ascii="Courier New" w:hAnsi="Courier New"/>
          <w:lang w:val="fr-FR"/>
        </w:rPr>
        <w:t>,</w:t>
      </w:r>
      <w:r w:rsidR="00A341A0" w:rsidRPr="0001128D">
        <w:rPr>
          <w:lang w:val="fr-FR"/>
        </w:rPr>
        <w:t xml:space="preserve"> </w:t>
      </w:r>
      <w:r w:rsidRPr="0001128D">
        <w:rPr>
          <w:lang w:val="fr-FR"/>
        </w:rPr>
        <w:t>qui prend la valeur</w:t>
      </w:r>
      <w:r w:rsidR="00A341A0" w:rsidRPr="0001128D">
        <w:rPr>
          <w:lang w:val="fr-FR"/>
        </w:rPr>
        <w:t xml:space="preserve"> </w:t>
      </w:r>
      <w:r w:rsidR="00745EE5" w:rsidRPr="0001128D">
        <w:rPr>
          <w:lang w:val="fr-FR"/>
        </w:rPr>
        <w:t>“</w:t>
      </w:r>
      <w:r w:rsidR="00A341A0" w:rsidRPr="0001128D">
        <w:rPr>
          <w:lang w:val="fr-FR"/>
        </w:rPr>
        <w:t>000</w:t>
      </w:r>
      <w:r w:rsidR="00745EE5" w:rsidRPr="0001128D">
        <w:rPr>
          <w:lang w:val="fr-FR"/>
        </w:rPr>
        <w:t>”</w:t>
      </w:r>
      <w:r w:rsidR="006D0C96" w:rsidRPr="0001128D">
        <w:rPr>
          <w:lang w:val="fr-FR"/>
        </w:rPr>
        <w:t>.</w:t>
      </w:r>
    </w:p>
    <w:p w:rsidR="00820B58" w:rsidRPr="0001128D" w:rsidRDefault="00820B58" w:rsidP="00820B58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exemple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 la manière dont une séquence délibérément omise doit être présentée pour être conforme au paragraphe 58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sequenceIDNumber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=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“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3</w:t>
      </w:r>
      <w:r w:rsidR="007B0C3F" w:rsidRPr="00917901">
        <w:rPr>
          <w:rFonts w:ascii="Courier New" w:eastAsia="Batang" w:hAnsi="Courier New" w:cs="Times New Roman"/>
          <w:sz w:val="17"/>
          <w:szCs w:val="20"/>
          <w:lang w:eastAsia="en-US"/>
        </w:rPr>
        <w:t>”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INSDSeq_length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/&gt;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INSDSeq_moltype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/&gt;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INSDSeq_division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/&gt;</w:t>
      </w:r>
    </w:p>
    <w:p w:rsidR="00A329F0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INSDSeq_sequence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&gt;000&lt;/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INSDSeq_sequence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17901" w:rsidRDefault="00D96D01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96D01" w:rsidRPr="00917901" w:rsidRDefault="00D96D01" w:rsidP="002A7C67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SequenceData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092CAA" w:rsidRPr="0001128D" w:rsidRDefault="008C558B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80" w:name="_Toc386037655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Tableau de caractéristiques</w:t>
      </w:r>
      <w:bookmarkEnd w:id="80"/>
    </w:p>
    <w:p w:rsidR="00375A3D" w:rsidRPr="0001128D" w:rsidRDefault="00375A3D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81" w:name="_Ref371507867"/>
      <w:r w:rsidRPr="0001128D">
        <w:rPr>
          <w:szCs w:val="17"/>
          <w:lang w:val="fr-FR"/>
        </w:rPr>
        <w:t>Le tableau de caractéristiques contient des informations sur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et les rôles des différentes régions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séquence particulière.  </w:t>
      </w:r>
      <w:r w:rsidR="007C6AF9" w:rsidRPr="0001128D">
        <w:rPr>
          <w:szCs w:val="17"/>
          <w:lang w:val="fr-FR"/>
        </w:rPr>
        <w:t>Il est obligatoire de fournir un tableau de caractéristiques pour chaque séquence, sauf s</w:t>
      </w:r>
      <w:r w:rsidR="00A329F0" w:rsidRPr="0001128D">
        <w:rPr>
          <w:szCs w:val="17"/>
          <w:lang w:val="fr-FR"/>
        </w:rPr>
        <w:t>’</w:t>
      </w:r>
      <w:r w:rsidR="007C6AF9" w:rsidRPr="0001128D">
        <w:rPr>
          <w:szCs w:val="17"/>
          <w:lang w:val="fr-FR"/>
        </w:rPr>
        <w:t>il s</w:t>
      </w:r>
      <w:r w:rsidR="00A329F0" w:rsidRPr="0001128D">
        <w:rPr>
          <w:szCs w:val="17"/>
          <w:lang w:val="fr-FR"/>
        </w:rPr>
        <w:t>’</w:t>
      </w:r>
      <w:r w:rsidR="007C6AF9" w:rsidRPr="0001128D">
        <w:rPr>
          <w:szCs w:val="17"/>
          <w:lang w:val="fr-FR"/>
        </w:rPr>
        <w:t>agit d</w:t>
      </w:r>
      <w:r w:rsidR="00A329F0" w:rsidRPr="0001128D">
        <w:rPr>
          <w:szCs w:val="17"/>
          <w:lang w:val="fr-FR"/>
        </w:rPr>
        <w:t>’</w:t>
      </w:r>
      <w:r w:rsidR="007C6AF9" w:rsidRPr="0001128D">
        <w:rPr>
          <w:szCs w:val="17"/>
          <w:lang w:val="fr-FR"/>
        </w:rPr>
        <w:t>une séquence délibérément omise;  dans ce cas, ce tableau ne doit pas apparaître.  Le tableau de caractéristiques figure dans l</w:t>
      </w:r>
      <w:r w:rsidR="00A329F0" w:rsidRPr="0001128D">
        <w:rPr>
          <w:szCs w:val="17"/>
          <w:lang w:val="fr-FR"/>
        </w:rPr>
        <w:t>’</w:t>
      </w:r>
      <w:r w:rsidR="007C6AF9" w:rsidRPr="0001128D">
        <w:rPr>
          <w:szCs w:val="17"/>
          <w:lang w:val="fr-FR"/>
        </w:rPr>
        <w:t xml:space="preserve">élément </w:t>
      </w:r>
      <w:proofErr w:type="spellStart"/>
      <w:r w:rsidR="007C6AF9" w:rsidRPr="0001128D">
        <w:rPr>
          <w:rFonts w:ascii="Courier New" w:hAnsi="Courier New"/>
          <w:lang w:val="fr-FR"/>
        </w:rPr>
        <w:t>INSDSeq_feature</w:t>
      </w:r>
      <w:proofErr w:type="spellEnd"/>
      <w:r w:rsidR="00265B44" w:rsidRPr="0001128D">
        <w:rPr>
          <w:rFonts w:ascii="Courier New" w:hAnsi="Courier New"/>
          <w:lang w:val="fr-FR"/>
        </w:rPr>
        <w:noBreakHyphen/>
      </w:r>
      <w:r w:rsidR="007C6AF9" w:rsidRPr="0001128D">
        <w:rPr>
          <w:rFonts w:ascii="Courier New" w:hAnsi="Courier New"/>
          <w:lang w:val="fr-FR"/>
        </w:rPr>
        <w:t>table</w:t>
      </w:r>
      <w:r w:rsidR="007C6AF9" w:rsidRPr="0001128D">
        <w:rPr>
          <w:szCs w:val="17"/>
          <w:lang w:val="fr-FR"/>
        </w:rPr>
        <w:t>, qui se compose d</w:t>
      </w:r>
      <w:r w:rsidR="00A329F0" w:rsidRPr="0001128D">
        <w:rPr>
          <w:szCs w:val="17"/>
          <w:lang w:val="fr-FR"/>
        </w:rPr>
        <w:t>’</w:t>
      </w:r>
      <w:r w:rsidR="007C6AF9" w:rsidRPr="0001128D">
        <w:rPr>
          <w:szCs w:val="17"/>
          <w:lang w:val="fr-FR"/>
        </w:rPr>
        <w:t xml:space="preserve">un ou plusieurs éléments </w:t>
      </w:r>
      <w:proofErr w:type="spellStart"/>
      <w:r w:rsidR="007C6AF9" w:rsidRPr="0001128D">
        <w:rPr>
          <w:rFonts w:ascii="Courier New" w:hAnsi="Courier New"/>
          <w:lang w:val="fr-FR"/>
        </w:rPr>
        <w:t>INSDFeature</w:t>
      </w:r>
      <w:proofErr w:type="spellEnd"/>
      <w:r w:rsidR="007C6AF9" w:rsidRPr="0001128D">
        <w:rPr>
          <w:szCs w:val="17"/>
          <w:lang w:val="fr-FR"/>
        </w:rPr>
        <w:t>.</w:t>
      </w:r>
    </w:p>
    <w:p w:rsidR="00E14E7A" w:rsidRDefault="00610AF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82" w:name="_Ref371518819"/>
      <w:bookmarkEnd w:id="81"/>
      <w:r w:rsidRPr="0001128D">
        <w:rPr>
          <w:szCs w:val="17"/>
          <w:lang w:val="fr-FR"/>
        </w:rPr>
        <w:t>Chaque élément</w:t>
      </w:r>
      <w:r w:rsidR="00092CAA" w:rsidRPr="0001128D">
        <w:rPr>
          <w:szCs w:val="17"/>
          <w:lang w:val="fr-FR"/>
        </w:rPr>
        <w:t xml:space="preserve"> </w:t>
      </w:r>
      <w:proofErr w:type="spellStart"/>
      <w:r w:rsidR="00092CAA" w:rsidRPr="0001128D">
        <w:rPr>
          <w:rFonts w:ascii="Courier New" w:hAnsi="Courier New"/>
          <w:lang w:val="fr-FR"/>
        </w:rPr>
        <w:t>INSDFeature</w:t>
      </w:r>
      <w:proofErr w:type="spellEnd"/>
      <w:r w:rsidR="00092CAA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contient la description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caractéristique et se compose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éléments subordonnés de la manière suivante</w:t>
      </w:r>
      <w:r w:rsidR="00745EE5" w:rsidRPr="0001128D">
        <w:rPr>
          <w:szCs w:val="17"/>
          <w:lang w:val="fr-FR"/>
        </w:rPr>
        <w:t> </w:t>
      </w:r>
      <w:r w:rsidR="00092CAA" w:rsidRPr="0001128D">
        <w:rPr>
          <w:szCs w:val="17"/>
          <w:lang w:val="fr-FR"/>
        </w:rPr>
        <w:t>:</w:t>
      </w:r>
      <w:bookmarkEnd w:id="82"/>
    </w:p>
    <w:p w:rsidR="00E14E7A" w:rsidRDefault="00E14E7A">
      <w:pPr>
        <w:widowControl/>
        <w:kinsoku/>
        <w:rPr>
          <w:rFonts w:eastAsia="Times New Roman" w:cs="Times New Roman"/>
          <w:sz w:val="17"/>
          <w:szCs w:val="17"/>
          <w:lang w:val="fr-FR" w:eastAsia="en-US"/>
        </w:rPr>
      </w:pPr>
      <w:r>
        <w:rPr>
          <w:szCs w:val="17"/>
          <w:lang w:val="fr-FR"/>
        </w:rPr>
        <w:br w:type="page"/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551"/>
        <w:gridCol w:w="2835"/>
      </w:tblGrid>
      <w:tr w:rsidR="00092CAA" w:rsidRPr="0001128D" w:rsidTr="008E4498">
        <w:tc>
          <w:tcPr>
            <w:tcW w:w="2666" w:type="dxa"/>
            <w:shd w:val="clear" w:color="auto" w:fill="D9D9D9" w:themeFill="background1" w:themeFillShade="D9"/>
          </w:tcPr>
          <w:p w:rsidR="00092CAA" w:rsidRPr="0001128D" w:rsidRDefault="004B5794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lastRenderedPageBreak/>
              <w:t>Élé</w:t>
            </w:r>
            <w:r w:rsidR="00092CAA" w:rsidRPr="0001128D">
              <w:rPr>
                <w:b/>
                <w:bCs/>
                <w:sz w:val="17"/>
                <w:szCs w:val="17"/>
                <w:lang w:val="fr-FR"/>
              </w:rPr>
              <w:t>ment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92CAA" w:rsidRPr="0001128D" w:rsidRDefault="00092CA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  <w:p w:rsidR="00092CAA" w:rsidRPr="0001128D" w:rsidRDefault="00092CAA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092CAA" w:rsidRPr="0001128D" w:rsidRDefault="004B5794" w:rsidP="004B5794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Obl</w:t>
            </w:r>
            <w:r w:rsidR="00583B7D" w:rsidRPr="0001128D">
              <w:rPr>
                <w:b/>
                <w:bCs/>
                <w:sz w:val="17"/>
                <w:szCs w:val="17"/>
                <w:lang w:val="fr-FR"/>
              </w:rPr>
              <w:t>i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gatoire</w:t>
            </w:r>
            <w:r w:rsidR="00092CAA" w:rsidRPr="0001128D">
              <w:rPr>
                <w:b/>
                <w:bCs/>
                <w:sz w:val="17"/>
                <w:szCs w:val="17"/>
                <w:lang w:val="fr-FR"/>
              </w:rPr>
              <w:t>/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Facultatif</w:t>
            </w:r>
          </w:p>
        </w:tc>
      </w:tr>
      <w:tr w:rsidR="00092CAA" w:rsidRPr="0001128D" w:rsidTr="007336B8">
        <w:tc>
          <w:tcPr>
            <w:tcW w:w="2666" w:type="dxa"/>
            <w:shd w:val="clear" w:color="auto" w:fill="auto"/>
          </w:tcPr>
          <w:p w:rsidR="00092CAA" w:rsidRPr="0001128D" w:rsidRDefault="00092CA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INSDFeature_key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92CAA" w:rsidRPr="0001128D" w:rsidRDefault="002B4780" w:rsidP="002B4780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iCs/>
                <w:sz w:val="17"/>
                <w:szCs w:val="17"/>
                <w:lang w:val="fr-FR"/>
              </w:rPr>
              <w:t xml:space="preserve">Mot ou abréviation </w:t>
            </w:r>
            <w:r w:rsidR="00603EF9" w:rsidRPr="0001128D">
              <w:rPr>
                <w:iCs/>
                <w:sz w:val="17"/>
                <w:szCs w:val="17"/>
                <w:lang w:val="fr-FR"/>
              </w:rPr>
              <w:t>indiquant</w:t>
            </w:r>
            <w:r w:rsidRPr="0001128D">
              <w:rPr>
                <w:iCs/>
                <w:sz w:val="17"/>
                <w:szCs w:val="17"/>
                <w:lang w:val="fr-FR"/>
              </w:rPr>
              <w:t xml:space="preserve"> une caractéristique</w:t>
            </w:r>
            <w:r w:rsidR="00092CAA" w:rsidRPr="0001128D" w:rsidDel="00A53015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92CAA" w:rsidRPr="0001128D" w:rsidRDefault="00C63054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</w:tr>
      <w:tr w:rsidR="00092CAA" w:rsidRPr="0001128D" w:rsidTr="007336B8">
        <w:tc>
          <w:tcPr>
            <w:tcW w:w="2666" w:type="dxa"/>
            <w:shd w:val="clear" w:color="auto" w:fill="auto"/>
          </w:tcPr>
          <w:p w:rsidR="00092CAA" w:rsidRPr="0001128D" w:rsidRDefault="00092CA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INSDFeature_location</w:t>
            </w:r>
            <w:proofErr w:type="spellEnd"/>
          </w:p>
          <w:p w:rsidR="00092CAA" w:rsidRPr="0001128D" w:rsidRDefault="00092CAA" w:rsidP="007336B8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092CAA" w:rsidRPr="0001128D" w:rsidRDefault="002B4780" w:rsidP="002B4780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Région de la séquence présentée correspondant à la caractéristique</w:t>
            </w:r>
          </w:p>
        </w:tc>
        <w:tc>
          <w:tcPr>
            <w:tcW w:w="2835" w:type="dxa"/>
            <w:shd w:val="clear" w:color="auto" w:fill="auto"/>
          </w:tcPr>
          <w:p w:rsidR="00092CAA" w:rsidRPr="0001128D" w:rsidRDefault="00C63054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</w:tr>
      <w:tr w:rsidR="00092CAA" w:rsidRPr="0001128D" w:rsidTr="007336B8">
        <w:tc>
          <w:tcPr>
            <w:tcW w:w="2666" w:type="dxa"/>
            <w:shd w:val="clear" w:color="auto" w:fill="auto"/>
          </w:tcPr>
          <w:p w:rsidR="00092CAA" w:rsidRPr="0001128D" w:rsidRDefault="00092CAA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INSDFeature_quals</w:t>
            </w:r>
            <w:proofErr w:type="spellEnd"/>
          </w:p>
          <w:p w:rsidR="00092CAA" w:rsidRPr="0001128D" w:rsidRDefault="00092CAA" w:rsidP="007336B8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092CAA" w:rsidRPr="0001128D" w:rsidDel="00700EBD" w:rsidRDefault="007855A8" w:rsidP="007855A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iCs/>
                <w:sz w:val="17"/>
                <w:szCs w:val="17"/>
                <w:lang w:val="fr-FR"/>
              </w:rPr>
              <w:t>Qualificateur contenant des informations complémentaires sur une caractéristique</w:t>
            </w:r>
            <w:r w:rsidR="00092CAA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92CAA" w:rsidRPr="0001128D" w:rsidRDefault="00C63054" w:rsidP="00034F23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Obligatoire si la clé de caractérisation nécessite un ou plusieurs qualificateurs, </w:t>
            </w:r>
            <w:r w:rsidR="00745EE5" w:rsidRPr="0001128D">
              <w:rPr>
                <w:sz w:val="17"/>
                <w:szCs w:val="17"/>
                <w:lang w:val="fr-FR"/>
              </w:rPr>
              <w:t>p. </w:t>
            </w:r>
            <w:r w:rsidRPr="0001128D">
              <w:rPr>
                <w:sz w:val="17"/>
                <w:szCs w:val="17"/>
                <w:lang w:val="fr-FR"/>
              </w:rPr>
              <w:t xml:space="preserve">ex.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Pr="0001128D">
              <w:rPr>
                <w:sz w:val="17"/>
                <w:szCs w:val="17"/>
                <w:lang w:val="fr-FR"/>
              </w:rPr>
              <w:t>source</w:t>
            </w:r>
            <w:r w:rsidR="00745EE5" w:rsidRPr="0001128D">
              <w:rPr>
                <w:sz w:val="17"/>
                <w:szCs w:val="17"/>
                <w:lang w:val="fr-FR"/>
              </w:rPr>
              <w:t>”.</w:t>
            </w:r>
            <w:r w:rsidRPr="0001128D">
              <w:rPr>
                <w:sz w:val="17"/>
                <w:szCs w:val="17"/>
                <w:lang w:val="fr-FR"/>
              </w:rPr>
              <w:t xml:space="preserve">  Facultatif dans les autres cas.</w:t>
            </w:r>
            <w:r w:rsidR="00092CAA" w:rsidRPr="0001128D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</w:tr>
    </w:tbl>
    <w:p w:rsidR="00092CAA" w:rsidRPr="0001128D" w:rsidRDefault="00034F23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83" w:name="_Toc386037656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Clés de caractérisation</w:t>
      </w:r>
      <w:bookmarkEnd w:id="83"/>
    </w:p>
    <w:p w:rsidR="00092CAA" w:rsidRPr="0001128D" w:rsidRDefault="00BA48ED" w:rsidP="00B419B3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annexe I contient une liste complète des clés de caractérisation qui peuvent être employées dans le cadre de la présente norme, ainsi qu</w:t>
      </w:r>
      <w:r w:rsidR="00A329F0" w:rsidRPr="0001128D">
        <w:rPr>
          <w:szCs w:val="17"/>
          <w:lang w:val="fr-FR"/>
        </w:rPr>
        <w:t>’</w:t>
      </w:r>
      <w:r w:rsidR="00636D83" w:rsidRPr="0001128D">
        <w:rPr>
          <w:szCs w:val="17"/>
          <w:lang w:val="fr-FR"/>
        </w:rPr>
        <w:t>une liste complète des qualificateurs associés à ces clés</w:t>
      </w:r>
      <w:r w:rsidR="00EF1984" w:rsidRPr="0001128D">
        <w:rPr>
          <w:szCs w:val="17"/>
          <w:lang w:val="fr-FR"/>
        </w:rPr>
        <w:t>, dans laquelle il est précisé</w:t>
      </w:r>
      <w:r w:rsidR="00636D83" w:rsidRPr="0001128D">
        <w:rPr>
          <w:szCs w:val="17"/>
          <w:lang w:val="fr-FR"/>
        </w:rPr>
        <w:t xml:space="preserve"> si les qualificateurs sont obligatoires ou facultatifs.  </w:t>
      </w:r>
      <w:r w:rsidR="007E2689" w:rsidRPr="0001128D">
        <w:rPr>
          <w:szCs w:val="17"/>
          <w:lang w:val="fr-FR"/>
        </w:rPr>
        <w:t>La section 5 de l</w:t>
      </w:r>
      <w:r w:rsidR="00A329F0" w:rsidRPr="0001128D">
        <w:rPr>
          <w:szCs w:val="17"/>
          <w:lang w:val="fr-FR"/>
        </w:rPr>
        <w:t>’</w:t>
      </w:r>
      <w:r w:rsidR="007E2689" w:rsidRPr="0001128D">
        <w:rPr>
          <w:szCs w:val="17"/>
          <w:lang w:val="fr-FR"/>
        </w:rPr>
        <w:t>annexe I contient la liste complète des clés de caractérisation destinées aux séquences de nucléotides, et la section 7 contient la liste complète des clés de caractérisation destinées aux séquences d</w:t>
      </w:r>
      <w:r w:rsidR="00A329F0" w:rsidRPr="0001128D">
        <w:rPr>
          <w:szCs w:val="17"/>
          <w:lang w:val="fr-FR"/>
        </w:rPr>
        <w:t>’</w:t>
      </w:r>
      <w:r w:rsidR="007E2689" w:rsidRPr="0001128D">
        <w:rPr>
          <w:szCs w:val="17"/>
          <w:lang w:val="fr-FR"/>
        </w:rPr>
        <w:t>acides aminés.</w:t>
      </w:r>
    </w:p>
    <w:p w:rsidR="00092CAA" w:rsidRPr="0001128D" w:rsidRDefault="00B419B3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84" w:name="_Toc386037657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Clés de caractérisation obligatoires</w:t>
      </w:r>
      <w:bookmarkEnd w:id="84"/>
    </w:p>
    <w:p w:rsidR="00B419B3" w:rsidRPr="0001128D" w:rsidRDefault="00B419B3" w:rsidP="005875FE">
      <w:pPr>
        <w:pStyle w:val="Paragraph"/>
        <w:ind w:left="0" w:firstLine="0"/>
        <w:rPr>
          <w:sz w:val="17"/>
          <w:lang w:val="fr-FR"/>
        </w:rPr>
      </w:pPr>
      <w:r w:rsidRPr="0001128D">
        <w:rPr>
          <w:sz w:val="17"/>
          <w:lang w:val="fr-FR"/>
        </w:rPr>
        <w:t xml:space="preserve">La clé de caractérisation </w:t>
      </w:r>
      <w:r w:rsidR="00745EE5" w:rsidRPr="0001128D">
        <w:rPr>
          <w:sz w:val="17"/>
          <w:lang w:val="fr-FR"/>
        </w:rPr>
        <w:t>“</w:t>
      </w:r>
      <w:r w:rsidRPr="0001128D">
        <w:rPr>
          <w:sz w:val="17"/>
          <w:lang w:val="fr-FR"/>
        </w:rPr>
        <w:t>source</w:t>
      </w:r>
      <w:r w:rsidR="00745EE5" w:rsidRPr="0001128D">
        <w:rPr>
          <w:sz w:val="17"/>
          <w:lang w:val="fr-FR"/>
        </w:rPr>
        <w:t>”</w:t>
      </w:r>
      <w:r w:rsidRPr="0001128D">
        <w:rPr>
          <w:sz w:val="17"/>
          <w:lang w:val="fr-FR"/>
        </w:rPr>
        <w:t xml:space="preserve"> est obligatoire pour toutes les séquences de nucléotides</w:t>
      </w:r>
      <w:r w:rsidR="00246E5A" w:rsidRPr="0001128D">
        <w:rPr>
          <w:sz w:val="17"/>
          <w:lang w:val="fr-FR"/>
        </w:rPr>
        <w:t xml:space="preserve"> et </w:t>
      </w:r>
      <w:r w:rsidRPr="0001128D">
        <w:rPr>
          <w:sz w:val="17"/>
          <w:lang w:val="fr-FR"/>
        </w:rPr>
        <w:t xml:space="preserve">la clé de caractérisation </w:t>
      </w:r>
      <w:r w:rsidR="00745EE5" w:rsidRPr="0001128D">
        <w:rPr>
          <w:sz w:val="17"/>
          <w:lang w:val="fr-FR"/>
        </w:rPr>
        <w:t>“</w:t>
      </w:r>
      <w:r w:rsidRPr="0001128D">
        <w:rPr>
          <w:sz w:val="17"/>
          <w:lang w:val="fr-FR"/>
        </w:rPr>
        <w:t>SOURCE</w:t>
      </w:r>
      <w:r w:rsidR="00745EE5" w:rsidRPr="0001128D">
        <w:rPr>
          <w:sz w:val="17"/>
          <w:lang w:val="fr-FR"/>
        </w:rPr>
        <w:t>”</w:t>
      </w:r>
      <w:r w:rsidRPr="0001128D">
        <w:rPr>
          <w:sz w:val="17"/>
          <w:lang w:val="fr-FR"/>
        </w:rPr>
        <w:t xml:space="preserve"> est obligatoire pour toutes les séquences d</w:t>
      </w:r>
      <w:r w:rsidR="00A329F0" w:rsidRPr="0001128D">
        <w:rPr>
          <w:sz w:val="17"/>
          <w:lang w:val="fr-FR"/>
        </w:rPr>
        <w:t>’</w:t>
      </w:r>
      <w:r w:rsidRPr="0001128D">
        <w:rPr>
          <w:sz w:val="17"/>
          <w:lang w:val="fr-FR"/>
        </w:rPr>
        <w:t>aci</w:t>
      </w:r>
      <w:r w:rsidR="00246E5A" w:rsidRPr="0001128D">
        <w:rPr>
          <w:sz w:val="17"/>
          <w:lang w:val="fr-FR"/>
        </w:rPr>
        <w:t>des aminés, sauf s</w:t>
      </w:r>
      <w:r w:rsidR="00A329F0" w:rsidRPr="0001128D">
        <w:rPr>
          <w:sz w:val="17"/>
          <w:lang w:val="fr-FR"/>
        </w:rPr>
        <w:t>’</w:t>
      </w:r>
      <w:r w:rsidR="00246E5A" w:rsidRPr="0001128D">
        <w:rPr>
          <w:sz w:val="17"/>
          <w:lang w:val="fr-FR"/>
        </w:rPr>
        <w:t>il s</w:t>
      </w:r>
      <w:r w:rsidR="00A329F0" w:rsidRPr="0001128D">
        <w:rPr>
          <w:sz w:val="17"/>
          <w:lang w:val="fr-FR"/>
        </w:rPr>
        <w:t>’</w:t>
      </w:r>
      <w:r w:rsidR="00246E5A" w:rsidRPr="0001128D">
        <w:rPr>
          <w:sz w:val="17"/>
          <w:lang w:val="fr-FR"/>
        </w:rPr>
        <w:t>agit d</w:t>
      </w:r>
      <w:r w:rsidR="00A329F0" w:rsidRPr="0001128D">
        <w:rPr>
          <w:sz w:val="17"/>
          <w:lang w:val="fr-FR"/>
        </w:rPr>
        <w:t>’</w:t>
      </w:r>
      <w:r w:rsidR="00246E5A" w:rsidRPr="0001128D">
        <w:rPr>
          <w:sz w:val="17"/>
          <w:lang w:val="fr-FR"/>
        </w:rPr>
        <w:t xml:space="preserve">une séquence délibérément omise.  </w:t>
      </w:r>
      <w:r w:rsidR="005875FE" w:rsidRPr="0001128D">
        <w:rPr>
          <w:sz w:val="17"/>
          <w:lang w:val="fr-FR"/>
        </w:rPr>
        <w:t xml:space="preserve">Chaque séquence </w:t>
      </w:r>
      <w:r w:rsidR="005875FE" w:rsidRPr="0001128D">
        <w:rPr>
          <w:rFonts w:eastAsia="Times New Roman" w:cs="Times New Roman"/>
          <w:sz w:val="17"/>
          <w:lang w:val="fr-FR" w:eastAsia="en-US"/>
        </w:rPr>
        <w:t>doit comporter</w:t>
      </w:r>
      <w:r w:rsidR="008202C2" w:rsidRPr="0001128D">
        <w:rPr>
          <w:rFonts w:eastAsia="Times New Roman" w:cs="Times New Roman"/>
          <w:sz w:val="17"/>
          <w:lang w:val="fr-FR" w:eastAsia="en-US"/>
        </w:rPr>
        <w:t xml:space="preserve"> </w:t>
      </w:r>
      <w:r w:rsidR="005875FE" w:rsidRPr="0001128D">
        <w:rPr>
          <w:rFonts w:eastAsia="Times New Roman" w:cs="Times New Roman"/>
          <w:sz w:val="17"/>
          <w:lang w:val="fr-FR" w:eastAsia="en-US"/>
        </w:rPr>
        <w:t xml:space="preserve">une clé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5875FE" w:rsidRPr="0001128D">
        <w:rPr>
          <w:rFonts w:eastAsia="Times New Roman" w:cs="Times New Roman"/>
          <w:sz w:val="17"/>
          <w:lang w:val="fr-FR" w:eastAsia="en-US"/>
        </w:rPr>
        <w:t>source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8202C2" w:rsidRPr="0001128D">
        <w:rPr>
          <w:rFonts w:eastAsia="Times New Roman" w:cs="Times New Roman"/>
          <w:sz w:val="17"/>
          <w:lang w:val="fr-FR" w:eastAsia="en-US"/>
        </w:rPr>
        <w:t xml:space="preserve"> ou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8202C2" w:rsidRPr="0001128D">
        <w:rPr>
          <w:rFonts w:eastAsia="Times New Roman" w:cs="Times New Roman"/>
          <w:sz w:val="17"/>
          <w:lang w:val="fr-FR" w:eastAsia="en-US"/>
        </w:rPr>
        <w:t>SOURCE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5875FE" w:rsidRPr="0001128D">
        <w:rPr>
          <w:rFonts w:eastAsia="Times New Roman" w:cs="Times New Roman"/>
          <w:sz w:val="17"/>
          <w:lang w:val="fr-FR" w:eastAsia="en-US"/>
        </w:rPr>
        <w:t xml:space="preserve"> unique couvrant la séquence tout entière</w:t>
      </w:r>
      <w:r w:rsidR="008202C2" w:rsidRPr="0001128D">
        <w:rPr>
          <w:rFonts w:eastAsia="Times New Roman" w:cs="Times New Roman"/>
          <w:sz w:val="17"/>
          <w:lang w:val="fr-FR" w:eastAsia="en-US"/>
        </w:rPr>
        <w:t xml:space="preserve">.  </w:t>
      </w:r>
      <w:r w:rsidR="00E260C7" w:rsidRPr="0001128D">
        <w:rPr>
          <w:rFonts w:eastAsia="Times New Roman" w:cs="Times New Roman"/>
          <w:sz w:val="17"/>
          <w:lang w:val="fr-FR" w:eastAsia="en-US"/>
        </w:rPr>
        <w:t>Si une séquence provient de plusieurs sources, celles</w:t>
      </w:r>
      <w:r w:rsidR="00265B44" w:rsidRPr="0001128D">
        <w:rPr>
          <w:rFonts w:eastAsia="Times New Roman" w:cs="Times New Roman"/>
          <w:sz w:val="17"/>
          <w:lang w:val="fr-FR" w:eastAsia="en-US"/>
        </w:rPr>
        <w:noBreakHyphen/>
      </w:r>
      <w:r w:rsidR="00E260C7" w:rsidRPr="0001128D">
        <w:rPr>
          <w:rFonts w:eastAsia="Times New Roman" w:cs="Times New Roman"/>
          <w:sz w:val="17"/>
          <w:lang w:val="fr-FR" w:eastAsia="en-US"/>
        </w:rPr>
        <w:t>ci doivent en outre être décrites dans le tableau de caractéristiques à l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E260C7" w:rsidRPr="0001128D">
        <w:rPr>
          <w:rFonts w:eastAsia="Times New Roman" w:cs="Times New Roman"/>
          <w:sz w:val="17"/>
          <w:lang w:val="fr-FR" w:eastAsia="en-US"/>
        </w:rPr>
        <w:t xml:space="preserve">aide de la clé de caractérisation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proofErr w:type="spellStart"/>
      <w:r w:rsidR="00E260C7" w:rsidRPr="0001128D">
        <w:rPr>
          <w:rFonts w:eastAsia="Times New Roman" w:cs="Times New Roman"/>
          <w:sz w:val="17"/>
          <w:lang w:val="fr-FR" w:eastAsia="en-US"/>
        </w:rPr>
        <w:t>misc_feature</w:t>
      </w:r>
      <w:proofErr w:type="spellEnd"/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E260C7" w:rsidRPr="0001128D">
        <w:rPr>
          <w:rFonts w:eastAsia="Times New Roman" w:cs="Times New Roman"/>
          <w:sz w:val="17"/>
          <w:lang w:val="fr-FR" w:eastAsia="en-US"/>
        </w:rPr>
        <w:t xml:space="preserve"> et du qualificateur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E260C7" w:rsidRPr="0001128D">
        <w:rPr>
          <w:rFonts w:eastAsia="Times New Roman" w:cs="Times New Roman"/>
          <w:sz w:val="17"/>
          <w:lang w:val="fr-FR" w:eastAsia="en-US"/>
        </w:rPr>
        <w:t>note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E260C7" w:rsidRPr="0001128D">
        <w:rPr>
          <w:rFonts w:eastAsia="Times New Roman" w:cs="Times New Roman"/>
          <w:sz w:val="17"/>
          <w:lang w:val="fr-FR" w:eastAsia="en-US"/>
        </w:rPr>
        <w:t xml:space="preserve"> pour les séquences de nucléotides, et de la clé de caractérisation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E260C7" w:rsidRPr="0001128D">
        <w:rPr>
          <w:rFonts w:eastAsia="Times New Roman" w:cs="Times New Roman"/>
          <w:sz w:val="17"/>
          <w:lang w:val="fr-FR" w:eastAsia="en-US"/>
        </w:rPr>
        <w:t>REGION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E260C7" w:rsidRPr="0001128D">
        <w:rPr>
          <w:rFonts w:eastAsia="Times New Roman" w:cs="Times New Roman"/>
          <w:sz w:val="17"/>
          <w:lang w:val="fr-FR" w:eastAsia="en-US"/>
        </w:rPr>
        <w:t xml:space="preserve"> et du qualificateur </w:t>
      </w:r>
      <w:r w:rsidR="00745EE5" w:rsidRPr="0001128D">
        <w:rPr>
          <w:rFonts w:eastAsia="Times New Roman" w:cs="Times New Roman"/>
          <w:sz w:val="17"/>
          <w:lang w:val="fr-FR" w:eastAsia="en-US"/>
        </w:rPr>
        <w:t>“</w:t>
      </w:r>
      <w:r w:rsidR="00E260C7" w:rsidRPr="0001128D">
        <w:rPr>
          <w:rFonts w:eastAsia="Times New Roman" w:cs="Times New Roman"/>
          <w:sz w:val="17"/>
          <w:lang w:val="fr-FR" w:eastAsia="en-US"/>
        </w:rPr>
        <w:t>NOTE</w:t>
      </w:r>
      <w:r w:rsidR="00745EE5" w:rsidRPr="0001128D">
        <w:rPr>
          <w:rFonts w:eastAsia="Times New Roman" w:cs="Times New Roman"/>
          <w:sz w:val="17"/>
          <w:lang w:val="fr-FR" w:eastAsia="en-US"/>
        </w:rPr>
        <w:t>”</w:t>
      </w:r>
      <w:r w:rsidR="00E260C7" w:rsidRPr="0001128D">
        <w:rPr>
          <w:rFonts w:eastAsia="Times New Roman" w:cs="Times New Roman"/>
          <w:sz w:val="17"/>
          <w:lang w:val="fr-FR" w:eastAsia="en-US"/>
        </w:rPr>
        <w:t xml:space="preserve"> pour les séquences d</w:t>
      </w:r>
      <w:r w:rsidR="00A329F0" w:rsidRPr="0001128D">
        <w:rPr>
          <w:rFonts w:eastAsia="Times New Roman" w:cs="Times New Roman"/>
          <w:sz w:val="17"/>
          <w:lang w:val="fr-FR" w:eastAsia="en-US"/>
        </w:rPr>
        <w:t>’</w:t>
      </w:r>
      <w:r w:rsidR="00E260C7" w:rsidRPr="0001128D">
        <w:rPr>
          <w:rFonts w:eastAsia="Times New Roman" w:cs="Times New Roman"/>
          <w:sz w:val="17"/>
          <w:lang w:val="fr-FR" w:eastAsia="en-US"/>
        </w:rPr>
        <w:t>acides aminés.</w:t>
      </w:r>
    </w:p>
    <w:p w:rsidR="00E571E0" w:rsidRPr="0001128D" w:rsidRDefault="00E571E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85" w:name="_Ref372207457"/>
      <w:r w:rsidRPr="0001128D">
        <w:rPr>
          <w:szCs w:val="17"/>
          <w:lang w:val="fr-FR"/>
        </w:rPr>
        <w:t>Certaines clés de caractérisation nécessitent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emploi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clé de caractérisation supplémentaire, appelée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Parent Key</w:t>
      </w:r>
      <w:r w:rsidR="00745EE5" w:rsidRPr="0001128D">
        <w:rPr>
          <w:szCs w:val="17"/>
          <w:lang w:val="fr-FR"/>
        </w:rPr>
        <w:t>”.</w:t>
      </w:r>
      <w:r w:rsidRPr="0001128D">
        <w:rPr>
          <w:szCs w:val="17"/>
          <w:lang w:val="fr-FR"/>
        </w:rPr>
        <w:t xml:space="preserve">  Ainsi, la clé de caractérisation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C_region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doit être accompagnée de la clé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CDS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(voir annexe I, section 5).</w:t>
      </w:r>
    </w:p>
    <w:p w:rsidR="00092CAA" w:rsidRPr="0001128D" w:rsidRDefault="00E571E0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86" w:name="_Toc386037658"/>
      <w:bookmarkEnd w:id="85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Emplacement de la caractéristique</w:t>
      </w:r>
      <w:bookmarkEnd w:id="86"/>
    </w:p>
    <w:p w:rsidR="00CE2A9E" w:rsidRPr="0001128D" w:rsidRDefault="00E571E0" w:rsidP="00C336A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87" w:name="_Ref371508410"/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 obligatoire</w:t>
      </w:r>
      <w:r w:rsidRPr="0001128D">
        <w:rPr>
          <w:rFonts w:ascii="Courier New" w:hAnsi="Courier New"/>
          <w:lang w:val="fr-FR"/>
        </w:rPr>
        <w:t xml:space="preserve"> </w:t>
      </w:r>
      <w:proofErr w:type="spellStart"/>
      <w:r w:rsidRPr="0001128D">
        <w:rPr>
          <w:rFonts w:ascii="Courier New" w:hAnsi="Courier New"/>
          <w:lang w:val="fr-FR"/>
        </w:rPr>
        <w:t>INSDFeature_location</w:t>
      </w:r>
      <w:proofErr w:type="spellEnd"/>
      <w:r w:rsidRPr="0001128D">
        <w:rPr>
          <w:szCs w:val="17"/>
          <w:lang w:val="fr-FR"/>
        </w:rPr>
        <w:t xml:space="preserve"> doit contenir au moins un </w:t>
      </w:r>
      <w:r w:rsidR="00760FDA" w:rsidRPr="0001128D">
        <w:rPr>
          <w:szCs w:val="17"/>
          <w:lang w:val="fr-FR"/>
        </w:rPr>
        <w:t>descripteur</w:t>
      </w:r>
      <w:r w:rsidRPr="0001128D">
        <w:rPr>
          <w:szCs w:val="17"/>
          <w:lang w:val="fr-FR"/>
        </w:rPr>
        <w:t xml:space="preserve">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qui définit un site ou une région correspondant à une caractéristique de la séquence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INSDSeq_sequence</w:t>
      </w:r>
      <w:proofErr w:type="spellEnd"/>
      <w:r w:rsidR="00C336AA" w:rsidRPr="0001128D">
        <w:rPr>
          <w:szCs w:val="17"/>
          <w:lang w:val="fr-FR"/>
        </w:rPr>
        <w:t xml:space="preserve">.  Il peut contenir plusieurs </w:t>
      </w:r>
      <w:r w:rsidR="00760FDA" w:rsidRPr="0001128D">
        <w:rPr>
          <w:szCs w:val="17"/>
          <w:lang w:val="fr-FR"/>
        </w:rPr>
        <w:t>descripteur</w:t>
      </w:r>
      <w:r w:rsidR="00500696" w:rsidRPr="0001128D">
        <w:rPr>
          <w:szCs w:val="17"/>
          <w:lang w:val="fr-FR"/>
        </w:rPr>
        <w:t>s</w:t>
      </w:r>
      <w:r w:rsidR="00760FDA" w:rsidRPr="0001128D">
        <w:rPr>
          <w:szCs w:val="17"/>
          <w:lang w:val="fr-FR"/>
        </w:rPr>
        <w:t xml:space="preserve"> </w:t>
      </w:r>
      <w:r w:rsidR="00C336AA"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="00C336AA" w:rsidRPr="0001128D">
        <w:rPr>
          <w:szCs w:val="17"/>
          <w:lang w:val="fr-FR"/>
        </w:rPr>
        <w:t>emplacement (voir les paragraphes 68 à 71).</w:t>
      </w:r>
      <w:bookmarkEnd w:id="87"/>
    </w:p>
    <w:p w:rsidR="00C336AA" w:rsidRPr="0001128D" w:rsidRDefault="00760FDA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 descripteur</w:t>
      </w:r>
      <w:r w:rsidR="00794175" w:rsidRPr="0001128D">
        <w:rPr>
          <w:szCs w:val="17"/>
          <w:lang w:val="fr-FR"/>
        </w:rPr>
        <w:t xml:space="preserve"> d</w:t>
      </w:r>
      <w:r w:rsidR="00A329F0" w:rsidRPr="0001128D">
        <w:rPr>
          <w:szCs w:val="17"/>
          <w:lang w:val="fr-FR"/>
        </w:rPr>
        <w:t>’</w:t>
      </w:r>
      <w:r w:rsidR="00794175" w:rsidRPr="0001128D">
        <w:rPr>
          <w:szCs w:val="17"/>
          <w:lang w:val="fr-FR"/>
        </w:rPr>
        <w:t xml:space="preserve">emplacement </w:t>
      </w:r>
      <w:r w:rsidRPr="0001128D">
        <w:rPr>
          <w:szCs w:val="17"/>
          <w:lang w:val="fr-FR"/>
        </w:rPr>
        <w:t>peut être un numéro de résidu unique, un site entre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 xml:space="preserve">numéros de résidus adjacents, </w:t>
      </w:r>
      <w:r w:rsidR="00975A41" w:rsidRPr="0001128D">
        <w:rPr>
          <w:szCs w:val="17"/>
          <w:lang w:val="fr-FR"/>
        </w:rPr>
        <w:t>une région délimitant une série de numéros de résidus contigus, ou un site ou une région qui s</w:t>
      </w:r>
      <w:r w:rsidR="00A329F0" w:rsidRPr="0001128D">
        <w:rPr>
          <w:szCs w:val="17"/>
          <w:lang w:val="fr-FR"/>
        </w:rPr>
        <w:t>’</w:t>
      </w:r>
      <w:r w:rsidR="00975A41" w:rsidRPr="0001128D">
        <w:rPr>
          <w:szCs w:val="17"/>
          <w:lang w:val="fr-FR"/>
        </w:rPr>
        <w:t>étend au</w:t>
      </w:r>
      <w:r w:rsidR="00265B44" w:rsidRPr="0001128D">
        <w:rPr>
          <w:szCs w:val="17"/>
          <w:lang w:val="fr-FR"/>
        </w:rPr>
        <w:noBreakHyphen/>
      </w:r>
      <w:r w:rsidR="00975A41" w:rsidRPr="0001128D">
        <w:rPr>
          <w:szCs w:val="17"/>
          <w:lang w:val="fr-FR"/>
        </w:rPr>
        <w:t>delà du résidu ou de la série de résidus particuliers.</w:t>
      </w:r>
      <w:r w:rsidR="00CA3CEE" w:rsidRPr="0001128D">
        <w:rPr>
          <w:szCs w:val="17"/>
          <w:lang w:val="fr-FR"/>
        </w:rPr>
        <w:t xml:space="preserve">  On peut employer plusieurs descripteurs d</w:t>
      </w:r>
      <w:r w:rsidR="00A329F0" w:rsidRPr="0001128D">
        <w:rPr>
          <w:szCs w:val="17"/>
          <w:lang w:val="fr-FR"/>
        </w:rPr>
        <w:t>’</w:t>
      </w:r>
      <w:r w:rsidR="00CA3CEE" w:rsidRPr="0001128D">
        <w:rPr>
          <w:szCs w:val="17"/>
          <w:lang w:val="fr-FR"/>
        </w:rPr>
        <w:t>emplacement en conjonction avec un opérateur d</w:t>
      </w:r>
      <w:r w:rsidR="00A329F0" w:rsidRPr="0001128D">
        <w:rPr>
          <w:szCs w:val="17"/>
          <w:lang w:val="fr-FR"/>
        </w:rPr>
        <w:t>’</w:t>
      </w:r>
      <w:r w:rsidR="00CA3CEE" w:rsidRPr="0001128D">
        <w:rPr>
          <w:szCs w:val="17"/>
          <w:lang w:val="fr-FR"/>
        </w:rPr>
        <w:t xml:space="preserve">emplacement quand une caractéristique correspond à des sites ou des régions </w:t>
      </w:r>
      <w:proofErr w:type="gramStart"/>
      <w:r w:rsidR="00CA3CEE" w:rsidRPr="0001128D">
        <w:rPr>
          <w:szCs w:val="17"/>
          <w:lang w:val="fr-FR"/>
        </w:rPr>
        <w:t>discontinus</w:t>
      </w:r>
      <w:proofErr w:type="gramEnd"/>
      <w:r w:rsidR="00CA3CEE" w:rsidRPr="0001128D">
        <w:rPr>
          <w:szCs w:val="17"/>
          <w:lang w:val="fr-FR"/>
        </w:rPr>
        <w:t xml:space="preserve"> de la séquence</w:t>
      </w:r>
      <w:r w:rsidR="00845DFB" w:rsidRPr="0001128D">
        <w:rPr>
          <w:szCs w:val="17"/>
          <w:lang w:val="fr-FR"/>
        </w:rPr>
        <w:t xml:space="preserve"> (voir les paragraphes 68 à 71).  Le descripteur d</w:t>
      </w:r>
      <w:r w:rsidR="00A329F0" w:rsidRPr="0001128D">
        <w:rPr>
          <w:szCs w:val="17"/>
          <w:lang w:val="fr-FR"/>
        </w:rPr>
        <w:t>’</w:t>
      </w:r>
      <w:r w:rsidR="00845DFB" w:rsidRPr="0001128D">
        <w:rPr>
          <w:szCs w:val="17"/>
          <w:lang w:val="fr-FR"/>
        </w:rPr>
        <w:t xml:space="preserve">emplacement ne doit pas comporter de numéros de résidus </w:t>
      </w:r>
      <w:r w:rsidR="0004147C">
        <w:rPr>
          <w:szCs w:val="17"/>
          <w:lang w:val="fr-FR"/>
        </w:rPr>
        <w:t>en dehors</w:t>
      </w:r>
      <w:r w:rsidR="00845DFB" w:rsidRPr="0001128D">
        <w:rPr>
          <w:szCs w:val="17"/>
          <w:lang w:val="fr-FR"/>
        </w:rPr>
        <w:t xml:space="preserve"> de la série indiquée pour la séquence dans l</w:t>
      </w:r>
      <w:r w:rsidR="00A329F0" w:rsidRPr="0001128D">
        <w:rPr>
          <w:szCs w:val="17"/>
          <w:lang w:val="fr-FR"/>
        </w:rPr>
        <w:t>’</w:t>
      </w:r>
      <w:r w:rsidR="00845DFB" w:rsidRPr="0001128D">
        <w:rPr>
          <w:szCs w:val="17"/>
          <w:lang w:val="fr-FR"/>
        </w:rPr>
        <w:t xml:space="preserve">élément </w:t>
      </w:r>
      <w:proofErr w:type="spellStart"/>
      <w:r w:rsidR="00845DFB" w:rsidRPr="0001128D">
        <w:rPr>
          <w:rFonts w:ascii="Courier New" w:hAnsi="Courier New"/>
          <w:lang w:val="fr-FR"/>
        </w:rPr>
        <w:t>INSDSeq_sequence</w:t>
      </w:r>
      <w:proofErr w:type="spellEnd"/>
      <w:r w:rsidR="00845DFB" w:rsidRPr="0001128D">
        <w:rPr>
          <w:szCs w:val="17"/>
          <w:lang w:val="fr-FR"/>
        </w:rPr>
        <w:t>.</w:t>
      </w:r>
    </w:p>
    <w:p w:rsidR="00340FF9" w:rsidRPr="0001128D" w:rsidRDefault="005D3064" w:rsidP="00736541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88" w:name="_Ref371510070"/>
      <w:bookmarkStart w:id="89" w:name="_Ref371599129"/>
      <w:r w:rsidRPr="0001128D">
        <w:rPr>
          <w:szCs w:val="17"/>
          <w:lang w:val="fr-FR"/>
        </w:rPr>
        <w:t>La syntaxe de chaque type de descripteurs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est indiquée dans le tableau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dessous, où x et y sont des numéros de résidus indiqués en</w:t>
      </w:r>
      <w:r w:rsidR="00FC2C84" w:rsidRPr="0001128D">
        <w:rPr>
          <w:szCs w:val="17"/>
          <w:lang w:val="fr-FR"/>
        </w:rPr>
        <w:t xml:space="preserve"> nombres entiers non négatifs et</w:t>
      </w:r>
      <w:r w:rsidRPr="0001128D">
        <w:rPr>
          <w:szCs w:val="17"/>
          <w:lang w:val="fr-FR"/>
        </w:rPr>
        <w:t xml:space="preserve"> inférieurs ou égaux à la longueur de la séquence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INSDSeq_sequence</w:t>
      </w:r>
      <w:proofErr w:type="spellEnd"/>
      <w:r w:rsidRPr="0001128D">
        <w:rPr>
          <w:szCs w:val="17"/>
          <w:lang w:val="fr-FR"/>
        </w:rPr>
        <w:t xml:space="preserve">, et </w:t>
      </w:r>
      <w:r w:rsidR="00D93FB1" w:rsidRPr="0001128D">
        <w:rPr>
          <w:szCs w:val="17"/>
          <w:lang w:val="fr-FR"/>
        </w:rPr>
        <w:t xml:space="preserve">où </w:t>
      </w:r>
      <w:r w:rsidRPr="0001128D">
        <w:rPr>
          <w:szCs w:val="17"/>
          <w:lang w:val="fr-FR"/>
        </w:rPr>
        <w:t>x est inférieur à</w:t>
      </w:r>
      <w:r w:rsidR="00E14E7A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y.</w:t>
      </w:r>
      <w:bookmarkEnd w:id="88"/>
      <w:bookmarkEnd w:id="89"/>
    </w:p>
    <w:p w:rsidR="00340FF9" w:rsidRPr="0001128D" w:rsidRDefault="00340FF9" w:rsidP="002A7C67">
      <w:pPr>
        <w:widowControl/>
        <w:kinsoku/>
        <w:rPr>
          <w:rFonts w:eastAsia="Times New Roman" w:cs="Times New Roman"/>
          <w:sz w:val="17"/>
          <w:szCs w:val="20"/>
          <w:lang w:val="fr-FR" w:eastAsia="en-US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906"/>
        <w:gridCol w:w="5245"/>
      </w:tblGrid>
      <w:tr w:rsidR="00CE2A9E" w:rsidRPr="0001128D" w:rsidTr="008E4498">
        <w:trPr>
          <w:cantSplit/>
          <w:trHeight w:val="232"/>
          <w:tblHeader/>
        </w:trPr>
        <w:tc>
          <w:tcPr>
            <w:tcW w:w="2212" w:type="dxa"/>
            <w:shd w:val="clear" w:color="auto" w:fill="D9D9D9" w:themeFill="background1" w:themeFillShade="D9"/>
          </w:tcPr>
          <w:p w:rsidR="00CE2A9E" w:rsidRPr="0001128D" w:rsidRDefault="00BF14A1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T</w:t>
            </w:r>
            <w:r w:rsidR="00CE2A9E" w:rsidRPr="0001128D">
              <w:rPr>
                <w:b/>
                <w:bCs/>
                <w:sz w:val="17"/>
                <w:szCs w:val="17"/>
                <w:lang w:val="fr-FR"/>
              </w:rPr>
              <w:t>ype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 xml:space="preserve"> de descripteurs d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:rsidR="00CE2A9E" w:rsidRPr="0001128D" w:rsidRDefault="00CE2A9E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Syntax</w:t>
            </w:r>
            <w:r w:rsidR="00BF14A1" w:rsidRPr="0001128D">
              <w:rPr>
                <w:b/>
                <w:bCs/>
                <w:sz w:val="17"/>
                <w:szCs w:val="17"/>
                <w:lang w:val="fr-FR"/>
              </w:rPr>
              <w:t>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E2A9E" w:rsidRPr="0001128D" w:rsidRDefault="00CE2A9E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</w:tc>
      </w:tr>
      <w:tr w:rsidR="00CE2A9E" w:rsidRPr="00917901" w:rsidTr="007336B8">
        <w:trPr>
          <w:cantSplit/>
          <w:trHeight w:val="424"/>
        </w:trPr>
        <w:tc>
          <w:tcPr>
            <w:tcW w:w="2212" w:type="dxa"/>
            <w:shd w:val="clear" w:color="auto" w:fill="auto"/>
          </w:tcPr>
          <w:p w:rsidR="00CE2A9E" w:rsidRPr="0001128D" w:rsidRDefault="00340188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Numéro de résidu unique</w:t>
            </w:r>
          </w:p>
        </w:tc>
        <w:tc>
          <w:tcPr>
            <w:tcW w:w="906" w:type="dxa"/>
            <w:shd w:val="clear" w:color="auto" w:fill="auto"/>
          </w:tcPr>
          <w:p w:rsidR="00CE2A9E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x</w:t>
            </w:r>
          </w:p>
        </w:tc>
        <w:tc>
          <w:tcPr>
            <w:tcW w:w="5245" w:type="dxa"/>
            <w:shd w:val="clear" w:color="auto" w:fill="auto"/>
          </w:tcPr>
          <w:p w:rsidR="00CE2A9E" w:rsidRPr="0001128D" w:rsidRDefault="00340188" w:rsidP="0034018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Désigne un résidu unique</w:t>
            </w:r>
            <w:r w:rsidR="00CE2A9E" w:rsidRPr="0001128D">
              <w:rPr>
                <w:sz w:val="17"/>
                <w:szCs w:val="17"/>
                <w:lang w:val="fr-FR"/>
              </w:rPr>
              <w:t xml:space="preserve"> </w:t>
            </w:r>
            <w:r w:rsidRPr="0001128D">
              <w:rPr>
                <w:sz w:val="17"/>
                <w:szCs w:val="17"/>
                <w:lang w:val="fr-FR"/>
              </w:rPr>
              <w:t>dans la séquence présentée</w:t>
            </w:r>
            <w:r w:rsidR="00CE2A9E" w:rsidRPr="0001128D">
              <w:rPr>
                <w:sz w:val="17"/>
                <w:szCs w:val="17"/>
                <w:lang w:val="fr-FR"/>
              </w:rPr>
              <w:t>.</w:t>
            </w:r>
          </w:p>
        </w:tc>
      </w:tr>
      <w:tr w:rsidR="00CE2A9E" w:rsidRPr="00917901" w:rsidTr="007336B8">
        <w:trPr>
          <w:cantSplit/>
          <w:trHeight w:val="625"/>
        </w:trPr>
        <w:tc>
          <w:tcPr>
            <w:tcW w:w="2212" w:type="dxa"/>
            <w:shd w:val="clear" w:color="auto" w:fill="auto"/>
          </w:tcPr>
          <w:p w:rsidR="00CE2A9E" w:rsidRPr="0001128D" w:rsidRDefault="00340188" w:rsidP="005877A4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Numéros de résidus délimitant un </w:t>
            </w:r>
            <w:r w:rsidR="005877A4" w:rsidRPr="0001128D">
              <w:rPr>
                <w:sz w:val="17"/>
                <w:szCs w:val="17"/>
                <w:lang w:val="fr-FR"/>
              </w:rPr>
              <w:t>ensemble</w:t>
            </w:r>
            <w:r w:rsidRPr="0001128D">
              <w:rPr>
                <w:sz w:val="17"/>
                <w:szCs w:val="17"/>
                <w:lang w:val="fr-FR"/>
              </w:rPr>
              <w:t xml:space="preserve"> dans la séquence</w:t>
            </w:r>
          </w:p>
        </w:tc>
        <w:tc>
          <w:tcPr>
            <w:tcW w:w="906" w:type="dxa"/>
            <w:shd w:val="clear" w:color="auto" w:fill="auto"/>
          </w:tcPr>
          <w:p w:rsidR="00CE2A9E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x..</w:t>
            </w:r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y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E2A9E" w:rsidRPr="0001128D" w:rsidRDefault="00513F9F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Désigne une série continue de résidus délimitée par un résidu de début et un résidu de fin, ces deux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>résidus étant inclus dans la série.</w:t>
            </w:r>
            <w:r w:rsidR="00CE2A9E" w:rsidRPr="0001128D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</w:tr>
      <w:tr w:rsidR="00CE2A9E" w:rsidRPr="00917901" w:rsidTr="007336B8">
        <w:trPr>
          <w:cantSplit/>
          <w:trHeight w:val="577"/>
        </w:trPr>
        <w:tc>
          <w:tcPr>
            <w:tcW w:w="2212" w:type="dxa"/>
            <w:shd w:val="clear" w:color="auto" w:fill="auto"/>
          </w:tcPr>
          <w:p w:rsidR="00CE2A9E" w:rsidRPr="0001128D" w:rsidRDefault="005B2297" w:rsidP="005B2297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Résidus situés avant le premier ou après le dernier numéro de résidu indiqué</w:t>
            </w:r>
          </w:p>
        </w:tc>
        <w:tc>
          <w:tcPr>
            <w:tcW w:w="906" w:type="dxa"/>
            <w:shd w:val="clear" w:color="auto" w:fill="auto"/>
          </w:tcPr>
          <w:p w:rsidR="00A329F0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&lt;x</w:t>
            </w:r>
          </w:p>
          <w:p w:rsidR="00CE2A9E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&gt;x</w:t>
            </w:r>
          </w:p>
          <w:p w:rsidR="00CE2A9E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&lt;</w:t>
            </w:r>
            <w:proofErr w:type="spell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x</w:t>
            </w:r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..</w:t>
            </w:r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y</w:t>
            </w:r>
            <w:proofErr w:type="spellEnd"/>
          </w:p>
          <w:p w:rsidR="00CE2A9E" w:rsidRPr="0001128D" w:rsidRDefault="00CE2A9E" w:rsidP="00744C46">
            <w:pPr>
              <w:pStyle w:val="TableText"/>
              <w:rPr>
                <w:sz w:val="17"/>
                <w:szCs w:val="17"/>
                <w:lang w:val="fr-FR"/>
              </w:rPr>
            </w:pPr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x..</w:t>
            </w:r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&gt;y</w:t>
            </w:r>
          </w:p>
        </w:tc>
        <w:tc>
          <w:tcPr>
            <w:tcW w:w="5245" w:type="dxa"/>
            <w:shd w:val="clear" w:color="auto" w:fill="auto"/>
          </w:tcPr>
          <w:p w:rsidR="00CE2A9E" w:rsidRPr="0001128D" w:rsidRDefault="005877A4" w:rsidP="0047754E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Désigne une région qui comprend un résidu ou une série de résidus indiqués et qui s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étend au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Pr="0001128D">
              <w:rPr>
                <w:sz w:val="17"/>
                <w:szCs w:val="17"/>
                <w:lang w:val="fr-FR"/>
              </w:rPr>
              <w:t>delà 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 xml:space="preserve">un résidu indiqué.  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Les symboles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C47696" w:rsidRPr="0001128D">
              <w:rPr>
                <w:sz w:val="17"/>
                <w:szCs w:val="17"/>
                <w:lang w:val="fr-FR"/>
              </w:rPr>
              <w:t>&lt;</w:t>
            </w:r>
            <w:r w:rsidR="0047754E" w:rsidRPr="0001128D">
              <w:rPr>
                <w:sz w:val="17"/>
                <w:szCs w:val="17"/>
                <w:lang w:val="fr-FR"/>
              </w:rPr>
              <w:t>”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 et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C47696" w:rsidRPr="0001128D">
              <w:rPr>
                <w:sz w:val="17"/>
                <w:szCs w:val="17"/>
                <w:lang w:val="fr-FR"/>
              </w:rPr>
              <w:t>&gt;</w:t>
            </w:r>
            <w:r w:rsidR="0047754E" w:rsidRPr="0001128D">
              <w:rPr>
                <w:sz w:val="17"/>
                <w:szCs w:val="17"/>
                <w:lang w:val="fr-FR"/>
              </w:rPr>
              <w:t>”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 peuvent </w:t>
            </w:r>
            <w:r w:rsidR="0058485A" w:rsidRPr="0001128D">
              <w:rPr>
                <w:sz w:val="17"/>
                <w:szCs w:val="17"/>
                <w:lang w:val="fr-FR"/>
              </w:rPr>
              <w:t>être employés à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58485A" w:rsidRPr="0001128D">
              <w:rPr>
                <w:sz w:val="17"/>
                <w:szCs w:val="17"/>
                <w:lang w:val="fr-FR"/>
              </w:rPr>
              <w:t>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58485A" w:rsidRPr="0001128D">
              <w:rPr>
                <w:sz w:val="17"/>
                <w:szCs w:val="17"/>
                <w:lang w:val="fr-FR"/>
              </w:rPr>
              <w:t>égard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 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un résidu unique ou </w:t>
            </w:r>
            <w:r w:rsidR="0058485A" w:rsidRPr="0001128D">
              <w:rPr>
                <w:sz w:val="17"/>
                <w:szCs w:val="17"/>
                <w:lang w:val="fr-FR"/>
              </w:rPr>
              <w:t>d</w:t>
            </w:r>
            <w:r w:rsidR="00C47696" w:rsidRPr="0001128D">
              <w:rPr>
                <w:sz w:val="17"/>
                <w:szCs w:val="17"/>
                <w:lang w:val="fr-FR"/>
              </w:rPr>
              <w:t>es numéros du résidu de début et de fin 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une série de résidus pour </w:t>
            </w:r>
            <w:r w:rsidR="0058485A" w:rsidRPr="0001128D">
              <w:rPr>
                <w:sz w:val="17"/>
                <w:szCs w:val="17"/>
                <w:lang w:val="fr-FR"/>
              </w:rPr>
              <w:t>signaler</w:t>
            </w:r>
            <w:r w:rsidR="00C47696" w:rsidRPr="0001128D">
              <w:rPr>
                <w:sz w:val="17"/>
                <w:szCs w:val="17"/>
                <w:lang w:val="fr-FR"/>
              </w:rPr>
              <w:t xml:space="preserve"> qu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C47696" w:rsidRPr="0001128D">
              <w:rPr>
                <w:sz w:val="17"/>
                <w:szCs w:val="17"/>
                <w:lang w:val="fr-FR"/>
              </w:rPr>
              <w:t>une caractéristique s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C47696" w:rsidRPr="0001128D">
              <w:rPr>
                <w:sz w:val="17"/>
                <w:szCs w:val="17"/>
                <w:lang w:val="fr-FR"/>
              </w:rPr>
              <w:t>étend au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C47696" w:rsidRPr="0001128D">
              <w:rPr>
                <w:sz w:val="17"/>
                <w:szCs w:val="17"/>
                <w:lang w:val="fr-FR"/>
              </w:rPr>
              <w:t>delà du numéro de résidu indiqué.</w:t>
            </w:r>
          </w:p>
        </w:tc>
      </w:tr>
      <w:tr w:rsidR="00CE2A9E" w:rsidRPr="00917901" w:rsidTr="007336B8">
        <w:trPr>
          <w:cantSplit/>
          <w:trHeight w:val="928"/>
        </w:trPr>
        <w:tc>
          <w:tcPr>
            <w:tcW w:w="2212" w:type="dxa"/>
            <w:shd w:val="clear" w:color="auto" w:fill="auto"/>
          </w:tcPr>
          <w:p w:rsidR="00A329F0" w:rsidRPr="0001128D" w:rsidRDefault="00094E68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Site s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étendant entre deux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>numéros de résidus adjacents</w:t>
            </w:r>
          </w:p>
          <w:p w:rsidR="00CE2A9E" w:rsidRPr="0001128D" w:rsidRDefault="00CE2A9E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  <w:p w:rsidR="00CE2A9E" w:rsidRPr="0001128D" w:rsidRDefault="00CE2A9E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906" w:type="dxa"/>
            <w:shd w:val="clear" w:color="auto" w:fill="auto"/>
          </w:tcPr>
          <w:p w:rsidR="00A329F0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x^y</w:t>
            </w:r>
            <w:proofErr w:type="spellEnd"/>
          </w:p>
          <w:p w:rsidR="00CE2A9E" w:rsidRPr="0001128D" w:rsidRDefault="00CE2A9E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</w:p>
          <w:p w:rsidR="00CE2A9E" w:rsidRPr="0001128D" w:rsidRDefault="00CE2A9E" w:rsidP="00744C46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5245" w:type="dxa"/>
            <w:shd w:val="clear" w:color="auto" w:fill="auto"/>
          </w:tcPr>
          <w:p w:rsidR="00CE2A9E" w:rsidRPr="0001128D" w:rsidRDefault="00816332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Désigne un site entre deux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 xml:space="preserve">résidus adjacents, par exemple </w:t>
            </w:r>
            <w:r w:rsidR="006C0F65" w:rsidRPr="0001128D">
              <w:rPr>
                <w:sz w:val="17"/>
                <w:szCs w:val="17"/>
                <w:lang w:val="fr-FR"/>
              </w:rPr>
              <w:t>le</w:t>
            </w:r>
            <w:r w:rsidRPr="0001128D">
              <w:rPr>
                <w:sz w:val="17"/>
                <w:szCs w:val="17"/>
                <w:lang w:val="fr-FR"/>
              </w:rPr>
              <w:t xml:space="preserve"> site </w:t>
            </w:r>
            <w:r w:rsidR="006C0F65" w:rsidRPr="0001128D">
              <w:rPr>
                <w:sz w:val="17"/>
                <w:szCs w:val="17"/>
                <w:lang w:val="fr-FR"/>
              </w:rPr>
              <w:t>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6C0F65" w:rsidRPr="0001128D">
              <w:rPr>
                <w:sz w:val="17"/>
                <w:szCs w:val="17"/>
                <w:lang w:val="fr-FR"/>
              </w:rPr>
              <w:t xml:space="preserve">un clivage </w:t>
            </w:r>
            <w:proofErr w:type="spellStart"/>
            <w:r w:rsidR="006C0F65" w:rsidRPr="0001128D">
              <w:rPr>
                <w:sz w:val="17"/>
                <w:szCs w:val="17"/>
                <w:lang w:val="fr-FR"/>
              </w:rPr>
              <w:t>endonucléolytique</w:t>
            </w:r>
            <w:proofErr w:type="spellEnd"/>
            <w:r w:rsidR="006C0F65" w:rsidRPr="0001128D">
              <w:rPr>
                <w:sz w:val="17"/>
                <w:szCs w:val="17"/>
                <w:lang w:val="fr-FR"/>
              </w:rPr>
              <w:t xml:space="preserve">.  </w:t>
            </w:r>
            <w:r w:rsidR="0016207B" w:rsidRPr="0001128D">
              <w:rPr>
                <w:sz w:val="17"/>
                <w:szCs w:val="17"/>
                <w:lang w:val="fr-FR"/>
              </w:rPr>
              <w:t xml:space="preserve">Les numéros de position des résidus adjacents sont séparés par un </w:t>
            </w:r>
            <w:proofErr w:type="spellStart"/>
            <w:r w:rsidR="007306EE" w:rsidRPr="0001128D">
              <w:rPr>
                <w:sz w:val="17"/>
                <w:szCs w:val="17"/>
                <w:lang w:val="fr-FR"/>
              </w:rPr>
              <w:t>caret</w:t>
            </w:r>
            <w:proofErr w:type="spellEnd"/>
            <w:r w:rsidR="007306EE" w:rsidRPr="0001128D">
              <w:rPr>
                <w:sz w:val="17"/>
                <w:szCs w:val="17"/>
                <w:lang w:val="fr-FR"/>
              </w:rPr>
              <w:t xml:space="preserve"> (^).  </w:t>
            </w:r>
            <w:r w:rsidR="009E79FF" w:rsidRPr="0001128D">
              <w:rPr>
                <w:sz w:val="17"/>
                <w:szCs w:val="17"/>
                <w:lang w:val="fr-FR"/>
              </w:rPr>
              <w:t xml:space="preserve">Les formats autorisés pour ce descripteur sont x^x+1 (par exemple 55^56), ou pour les nucléotides circulaires, x^1, où </w:t>
            </w:r>
            <w:r w:rsidR="00745EE5" w:rsidRPr="0001128D">
              <w:rPr>
                <w:sz w:val="17"/>
                <w:szCs w:val="17"/>
                <w:lang w:val="fr-FR"/>
              </w:rPr>
              <w:t>“</w:t>
            </w:r>
            <w:r w:rsidR="009E79FF" w:rsidRPr="0001128D">
              <w:rPr>
                <w:sz w:val="17"/>
                <w:szCs w:val="17"/>
                <w:lang w:val="fr-FR"/>
              </w:rPr>
              <w:t>x</w:t>
            </w:r>
            <w:r w:rsidR="00745EE5" w:rsidRPr="0001128D">
              <w:rPr>
                <w:sz w:val="17"/>
                <w:szCs w:val="17"/>
                <w:lang w:val="fr-FR"/>
              </w:rPr>
              <w:t>”</w:t>
            </w:r>
            <w:r w:rsidR="009E79FF" w:rsidRPr="0001128D">
              <w:rPr>
                <w:sz w:val="17"/>
                <w:szCs w:val="17"/>
                <w:lang w:val="fr-FR"/>
              </w:rPr>
              <w:t xml:space="preserve"> est la longueur totale de la molécule, c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9E79FF" w:rsidRPr="0001128D">
              <w:rPr>
                <w:sz w:val="17"/>
                <w:szCs w:val="17"/>
                <w:lang w:val="fr-FR"/>
              </w:rPr>
              <w:t>est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9E79FF" w:rsidRPr="0001128D">
              <w:rPr>
                <w:sz w:val="17"/>
                <w:szCs w:val="17"/>
                <w:lang w:val="fr-FR"/>
              </w:rPr>
              <w:t>à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9E79FF" w:rsidRPr="0001128D">
              <w:rPr>
                <w:sz w:val="17"/>
                <w:szCs w:val="17"/>
                <w:lang w:val="fr-FR"/>
              </w:rPr>
              <w:t>dire 1000^1 pour une molécule circulaire de longueur 1000.</w:t>
            </w:r>
          </w:p>
        </w:tc>
      </w:tr>
    </w:tbl>
    <w:p w:rsidR="00CE2A9E" w:rsidRPr="0001128D" w:rsidRDefault="00FB59A1" w:rsidP="00FB59A1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90" w:name="_Ref371518063"/>
      <w:r w:rsidRPr="0001128D">
        <w:rPr>
          <w:szCs w:val="17"/>
          <w:lang w:val="fr-FR"/>
        </w:rPr>
        <w:lastRenderedPageBreak/>
        <w:t>Un opérateur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est le préfixe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descripteur ou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combinaison de descripteurs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correspondant à une caractéristique unique mais discontinue</w:t>
      </w:r>
      <w:r w:rsidR="008F0B73" w:rsidRPr="0001128D">
        <w:rPr>
          <w:szCs w:val="17"/>
          <w:lang w:val="fr-FR"/>
        </w:rPr>
        <w:t>.  Il indique l</w:t>
      </w:r>
      <w:r w:rsidR="00A329F0" w:rsidRPr="0001128D">
        <w:rPr>
          <w:szCs w:val="17"/>
          <w:lang w:val="fr-FR"/>
        </w:rPr>
        <w:t>’</w:t>
      </w:r>
      <w:r w:rsidR="008F0B73" w:rsidRPr="0001128D">
        <w:rPr>
          <w:szCs w:val="17"/>
          <w:lang w:val="fr-FR"/>
        </w:rPr>
        <w:t xml:space="preserve">emplacement correspondant à la caractéristique dans la séquence présentée, ou comment la caractéristique est construite.  </w:t>
      </w:r>
      <w:r w:rsidR="00D335ED" w:rsidRPr="0001128D">
        <w:rPr>
          <w:szCs w:val="17"/>
          <w:lang w:val="fr-FR"/>
        </w:rPr>
        <w:t>Une liste d</w:t>
      </w:r>
      <w:r w:rsidR="00A329F0" w:rsidRPr="0001128D">
        <w:rPr>
          <w:szCs w:val="17"/>
          <w:lang w:val="fr-FR"/>
        </w:rPr>
        <w:t>’</w:t>
      </w:r>
      <w:r w:rsidR="00D335ED" w:rsidRPr="0001128D">
        <w:rPr>
          <w:szCs w:val="17"/>
          <w:lang w:val="fr-FR"/>
        </w:rPr>
        <w:t>opérateurs d</w:t>
      </w:r>
      <w:r w:rsidR="00A329F0" w:rsidRPr="0001128D">
        <w:rPr>
          <w:szCs w:val="17"/>
          <w:lang w:val="fr-FR"/>
        </w:rPr>
        <w:t>’</w:t>
      </w:r>
      <w:r w:rsidR="00D335ED" w:rsidRPr="0001128D">
        <w:rPr>
          <w:szCs w:val="17"/>
          <w:lang w:val="fr-FR"/>
        </w:rPr>
        <w:t>emplacement est fournie ci</w:t>
      </w:r>
      <w:r w:rsidR="00265B44" w:rsidRPr="0001128D">
        <w:rPr>
          <w:szCs w:val="17"/>
          <w:lang w:val="fr-FR"/>
        </w:rPr>
        <w:noBreakHyphen/>
      </w:r>
      <w:r w:rsidR="00D335ED" w:rsidRPr="0001128D">
        <w:rPr>
          <w:szCs w:val="17"/>
          <w:lang w:val="fr-FR"/>
        </w:rPr>
        <w:t>après avec leur définition.</w:t>
      </w:r>
      <w:bookmarkEnd w:id="90"/>
    </w:p>
    <w:p w:rsidR="00D758F0" w:rsidRPr="0001128D" w:rsidRDefault="009235D1" w:rsidP="00D758F0">
      <w:pPr>
        <w:pStyle w:val="List0R"/>
        <w:numPr>
          <w:ilvl w:val="0"/>
          <w:numId w:val="23"/>
        </w:numPr>
        <w:tabs>
          <w:tab w:val="left" w:pos="1134"/>
        </w:tabs>
        <w:ind w:left="567"/>
        <w:rPr>
          <w:szCs w:val="17"/>
          <w:lang w:val="fr-FR"/>
        </w:rPr>
      </w:pPr>
      <w:r w:rsidRPr="0001128D">
        <w:rPr>
          <w:szCs w:val="17"/>
          <w:lang w:val="fr-FR"/>
        </w:rPr>
        <w:t>Opérateur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</w:t>
      </w:r>
      <w:r w:rsidR="00EA1A35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pour des nucléotides et des acides aminés</w:t>
      </w:r>
      <w:r w:rsidR="00745EE5" w:rsidRPr="0001128D">
        <w:rPr>
          <w:szCs w:val="17"/>
          <w:lang w:val="fr-FR"/>
        </w:rPr>
        <w:t> </w:t>
      </w:r>
      <w:r w:rsidR="00EA1A35" w:rsidRPr="0001128D">
        <w:rPr>
          <w:szCs w:val="17"/>
          <w:lang w:val="fr-FR"/>
        </w:rPr>
        <w:t>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3969"/>
      </w:tblGrid>
      <w:tr w:rsidR="00EA1A35" w:rsidRPr="0001128D" w:rsidTr="008E4498">
        <w:tc>
          <w:tcPr>
            <w:tcW w:w="4423" w:type="dxa"/>
            <w:shd w:val="clear" w:color="auto" w:fill="D9D9D9" w:themeFill="background1" w:themeFillShade="D9"/>
          </w:tcPr>
          <w:p w:rsidR="00EA1A35" w:rsidRPr="0001128D" w:rsidRDefault="009235D1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S</w:t>
            </w:r>
            <w:r w:rsidR="00EA1A35" w:rsidRPr="0001128D">
              <w:rPr>
                <w:b/>
                <w:bCs/>
                <w:sz w:val="17"/>
                <w:szCs w:val="17"/>
                <w:lang w:val="fr-FR"/>
              </w:rPr>
              <w:t>yntax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 de l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EA1A35" w:rsidRPr="0001128D" w:rsidRDefault="009235D1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</w:t>
            </w:r>
            <w:r w:rsidR="00EA1A35" w:rsidRPr="0001128D">
              <w:rPr>
                <w:b/>
                <w:bCs/>
                <w:sz w:val="17"/>
                <w:szCs w:val="17"/>
                <w:lang w:val="fr-FR"/>
              </w:rPr>
              <w:t>escription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 xml:space="preserve"> de l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</w:tr>
      <w:tr w:rsidR="00EA1A35" w:rsidRPr="00917901" w:rsidTr="00DB54A5">
        <w:tc>
          <w:tcPr>
            <w:tcW w:w="4423" w:type="dxa"/>
            <w:shd w:val="clear" w:color="auto" w:fill="auto"/>
          </w:tcPr>
          <w:p w:rsidR="00EA1A35" w:rsidRPr="0001128D" w:rsidRDefault="00EA1A35" w:rsidP="00DB54A5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join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spellStart"/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location,location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, ... location)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A1A35" w:rsidRPr="0001128D" w:rsidRDefault="009235D1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Les emplacements indiqués sont joints (placés bout à bout) pour former une seule séquence contiguë.</w:t>
            </w:r>
          </w:p>
        </w:tc>
      </w:tr>
      <w:tr w:rsidR="00EA1A35" w:rsidRPr="00917901" w:rsidTr="00DB54A5">
        <w:trPr>
          <w:trHeight w:val="720"/>
        </w:trPr>
        <w:tc>
          <w:tcPr>
            <w:tcW w:w="4423" w:type="dxa"/>
            <w:shd w:val="clear" w:color="auto" w:fill="auto"/>
          </w:tcPr>
          <w:p w:rsidR="00EA1A35" w:rsidRPr="0001128D" w:rsidRDefault="00EA1A35" w:rsidP="00DB54A5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order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spellStart"/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location,location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, ... location)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A1A35" w:rsidRPr="0001128D" w:rsidRDefault="00326EEE" w:rsidP="00514A4B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Les éléments se trouvent dans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ordre indiqué mais aucune information ne permet de déterminer s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il est raisonnable de les joindre.</w:t>
            </w:r>
          </w:p>
        </w:tc>
      </w:tr>
    </w:tbl>
    <w:p w:rsidR="00FD1246" w:rsidRPr="0001128D" w:rsidRDefault="00FD1246" w:rsidP="00453445">
      <w:pPr>
        <w:rPr>
          <w:sz w:val="17"/>
          <w:szCs w:val="17"/>
          <w:lang w:val="fr-FR"/>
        </w:rPr>
      </w:pPr>
    </w:p>
    <w:p w:rsidR="00EA1A35" w:rsidRPr="0001128D" w:rsidRDefault="009235D1" w:rsidP="00031078">
      <w:pPr>
        <w:pStyle w:val="List0R"/>
        <w:numPr>
          <w:ilvl w:val="0"/>
          <w:numId w:val="23"/>
        </w:numPr>
        <w:tabs>
          <w:tab w:val="left" w:pos="1134"/>
        </w:tabs>
        <w:ind w:left="567"/>
        <w:rPr>
          <w:lang w:val="fr-FR"/>
        </w:rPr>
      </w:pPr>
      <w:r w:rsidRPr="0001128D">
        <w:rPr>
          <w:szCs w:val="17"/>
          <w:lang w:val="fr-FR"/>
        </w:rPr>
        <w:t>Opérateur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réservé aux nucléotides</w:t>
      </w:r>
      <w:r w:rsidR="00745EE5" w:rsidRPr="0001128D">
        <w:rPr>
          <w:lang w:val="fr-FR"/>
        </w:rPr>
        <w:t> </w:t>
      </w:r>
      <w:r w:rsidR="00B31F87" w:rsidRPr="0001128D">
        <w:rPr>
          <w:lang w:val="fr-FR"/>
        </w:rPr>
        <w:t>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3969"/>
      </w:tblGrid>
      <w:tr w:rsidR="009235D1" w:rsidRPr="0001128D" w:rsidTr="008E4498">
        <w:tc>
          <w:tcPr>
            <w:tcW w:w="4423" w:type="dxa"/>
            <w:shd w:val="clear" w:color="auto" w:fill="D9D9D9" w:themeFill="background1" w:themeFillShade="D9"/>
          </w:tcPr>
          <w:p w:rsidR="009235D1" w:rsidRPr="0001128D" w:rsidRDefault="009235D1" w:rsidP="009235D1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Syntaxe de l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235D1" w:rsidRPr="0001128D" w:rsidRDefault="009235D1" w:rsidP="009235D1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 de l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</w:tr>
      <w:tr w:rsidR="009235D1" w:rsidRPr="00917901" w:rsidTr="007336B8">
        <w:tc>
          <w:tcPr>
            <w:tcW w:w="4423" w:type="dxa"/>
            <w:shd w:val="clear" w:color="auto" w:fill="auto"/>
          </w:tcPr>
          <w:p w:rsidR="009235D1" w:rsidRPr="0001128D" w:rsidRDefault="009235D1" w:rsidP="009235D1">
            <w:pPr>
              <w:pStyle w:val="TableText"/>
              <w:rPr>
                <w:rFonts w:ascii="Courier New" w:hAnsi="Courier New" w:cs="Courier New"/>
                <w:bCs/>
                <w:sz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complement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location)</w:t>
            </w:r>
          </w:p>
        </w:tc>
        <w:tc>
          <w:tcPr>
            <w:tcW w:w="3969" w:type="dxa"/>
            <w:shd w:val="clear" w:color="auto" w:fill="auto"/>
          </w:tcPr>
          <w:p w:rsidR="009235D1" w:rsidRPr="0001128D" w:rsidRDefault="00CB2A31" w:rsidP="008A195B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Indique que la caractéristique se trouve sur le brin complémentaire à la série </w:t>
            </w:r>
            <w:r w:rsidR="002D603E" w:rsidRPr="0001128D">
              <w:rPr>
                <w:sz w:val="17"/>
                <w:szCs w:val="17"/>
                <w:lang w:val="fr-FR"/>
              </w:rPr>
              <w:t xml:space="preserve">de </w:t>
            </w:r>
            <w:r w:rsidRPr="0001128D">
              <w:rPr>
                <w:sz w:val="17"/>
                <w:szCs w:val="17"/>
                <w:lang w:val="fr-FR"/>
              </w:rPr>
              <w:t xml:space="preserve">la séquence </w:t>
            </w:r>
            <w:r w:rsidR="002D603E" w:rsidRPr="0001128D">
              <w:rPr>
                <w:sz w:val="17"/>
                <w:szCs w:val="17"/>
                <w:lang w:val="fr-FR"/>
              </w:rPr>
              <w:t>indiquée par le descripteur 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2D603E" w:rsidRPr="0001128D">
              <w:rPr>
                <w:sz w:val="17"/>
                <w:szCs w:val="17"/>
                <w:lang w:val="fr-FR"/>
              </w:rPr>
              <w:t>emplacement</w:t>
            </w:r>
            <w:r w:rsidR="008A195B" w:rsidRPr="0001128D">
              <w:rPr>
                <w:sz w:val="17"/>
                <w:szCs w:val="17"/>
                <w:lang w:val="fr-FR"/>
              </w:rPr>
              <w:t>, lorsque la séquence est lue dans le sens 5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8A195B" w:rsidRPr="0001128D">
              <w:rPr>
                <w:sz w:val="17"/>
                <w:szCs w:val="17"/>
                <w:lang w:val="fr-FR"/>
              </w:rPr>
              <w:t>3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8A195B" w:rsidRPr="0001128D">
              <w:rPr>
                <w:sz w:val="17"/>
                <w:szCs w:val="17"/>
                <w:lang w:val="fr-FR"/>
              </w:rPr>
              <w:t>.</w:t>
            </w:r>
          </w:p>
        </w:tc>
      </w:tr>
    </w:tbl>
    <w:p w:rsidR="00EA1A35" w:rsidRPr="0001128D" w:rsidRDefault="00EA1A35" w:rsidP="00B31F87">
      <w:pPr>
        <w:rPr>
          <w:sz w:val="17"/>
          <w:szCs w:val="17"/>
          <w:lang w:val="fr-FR"/>
        </w:rPr>
      </w:pPr>
    </w:p>
    <w:p w:rsidR="00CE2A9E" w:rsidRPr="0001128D" w:rsidRDefault="002F5D4A" w:rsidP="002F5D4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Les opérateurs </w:t>
      </w:r>
      <w:r w:rsidR="00574370"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="00574370" w:rsidRPr="0001128D">
        <w:rPr>
          <w:szCs w:val="17"/>
          <w:lang w:val="fr-FR"/>
        </w:rPr>
        <w:t xml:space="preserve">emplacement </w:t>
      </w:r>
      <w:r w:rsidR="00672C13" w:rsidRPr="0001128D">
        <w:rPr>
          <w:szCs w:val="17"/>
          <w:lang w:val="fr-FR"/>
        </w:rPr>
        <w:t>assurant un rôle de</w:t>
      </w:r>
      <w:r w:rsidR="00574370" w:rsidRPr="0001128D">
        <w:rPr>
          <w:szCs w:val="17"/>
          <w:lang w:val="fr-FR"/>
        </w:rPr>
        <w:t xml:space="preserve"> jonction ou d</w:t>
      </w:r>
      <w:r w:rsidR="00A329F0" w:rsidRPr="0001128D">
        <w:rPr>
          <w:szCs w:val="17"/>
          <w:lang w:val="fr-FR"/>
        </w:rPr>
        <w:t>’</w:t>
      </w:r>
      <w:r w:rsidR="00574370" w:rsidRPr="0001128D">
        <w:rPr>
          <w:szCs w:val="17"/>
          <w:lang w:val="fr-FR"/>
        </w:rPr>
        <w:t>ordonnancement</w:t>
      </w:r>
      <w:r w:rsidRPr="0001128D">
        <w:rPr>
          <w:szCs w:val="17"/>
          <w:lang w:val="fr-FR"/>
        </w:rPr>
        <w:t xml:space="preserve"> nécessitent au moins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descripteurs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séparés par des virgules.  Les descripteurs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emplacement concernant des sites situés entre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résidus adjacents, c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est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à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 xml:space="preserve">dire </w:t>
      </w:r>
      <w:proofErr w:type="spellStart"/>
      <w:r w:rsidRPr="0001128D">
        <w:rPr>
          <w:szCs w:val="17"/>
          <w:lang w:val="fr-FR"/>
        </w:rPr>
        <w:t>x^y</w:t>
      </w:r>
      <w:proofErr w:type="spellEnd"/>
      <w:r w:rsidRPr="0001128D">
        <w:rPr>
          <w:szCs w:val="17"/>
          <w:lang w:val="fr-FR"/>
        </w:rPr>
        <w:t xml:space="preserve">, ne peuvent être employés </w:t>
      </w:r>
      <w:r w:rsidR="00574370" w:rsidRPr="0001128D">
        <w:rPr>
          <w:szCs w:val="17"/>
          <w:lang w:val="fr-FR"/>
        </w:rPr>
        <w:t>dans un emplacement de jonction ou d</w:t>
      </w:r>
      <w:r w:rsidR="00A329F0" w:rsidRPr="0001128D">
        <w:rPr>
          <w:szCs w:val="17"/>
          <w:lang w:val="fr-FR"/>
        </w:rPr>
        <w:t>’</w:t>
      </w:r>
      <w:r w:rsidR="00574370" w:rsidRPr="0001128D">
        <w:rPr>
          <w:szCs w:val="17"/>
          <w:lang w:val="fr-FR"/>
        </w:rPr>
        <w:t>ordonnancement.  L</w:t>
      </w:r>
      <w:r w:rsidR="00A329F0" w:rsidRPr="0001128D">
        <w:rPr>
          <w:szCs w:val="17"/>
          <w:lang w:val="fr-FR"/>
        </w:rPr>
        <w:t>’</w:t>
      </w:r>
      <w:r w:rsidR="00574370" w:rsidRPr="0001128D">
        <w:rPr>
          <w:szCs w:val="17"/>
          <w:lang w:val="fr-FR"/>
        </w:rPr>
        <w:t>emploi de l</w:t>
      </w:r>
      <w:r w:rsidR="00A329F0" w:rsidRPr="0001128D">
        <w:rPr>
          <w:szCs w:val="17"/>
          <w:lang w:val="fr-FR"/>
        </w:rPr>
        <w:t>’</w:t>
      </w:r>
      <w:r w:rsidR="00574370" w:rsidRPr="0001128D">
        <w:rPr>
          <w:szCs w:val="17"/>
          <w:lang w:val="fr-FR"/>
        </w:rPr>
        <w:t>opérateur d</w:t>
      </w:r>
      <w:r w:rsidR="00A329F0" w:rsidRPr="0001128D">
        <w:rPr>
          <w:szCs w:val="17"/>
          <w:lang w:val="fr-FR"/>
        </w:rPr>
        <w:t>’</w:t>
      </w:r>
      <w:r w:rsidR="00574370" w:rsidRPr="0001128D">
        <w:rPr>
          <w:szCs w:val="17"/>
          <w:lang w:val="fr-FR"/>
        </w:rPr>
        <w:t xml:space="preserve">emplacement </w:t>
      </w:r>
      <w:r w:rsidR="00672C13" w:rsidRPr="0001128D">
        <w:rPr>
          <w:szCs w:val="17"/>
          <w:lang w:val="fr-FR"/>
        </w:rPr>
        <w:t>de jonction implique que les résidus désignés par les descripteurs d</w:t>
      </w:r>
      <w:r w:rsidR="00A329F0" w:rsidRPr="0001128D">
        <w:rPr>
          <w:szCs w:val="17"/>
          <w:lang w:val="fr-FR"/>
        </w:rPr>
        <w:t>’</w:t>
      </w:r>
      <w:r w:rsidR="00672C13" w:rsidRPr="0001128D">
        <w:rPr>
          <w:szCs w:val="17"/>
          <w:lang w:val="fr-FR"/>
        </w:rPr>
        <w:t>emplacement sont physiquement mis en contact par des processus biologiques (par exemple, les exons qui contribuent à la caractéristique d</w:t>
      </w:r>
      <w:r w:rsidR="00A329F0" w:rsidRPr="0001128D">
        <w:rPr>
          <w:szCs w:val="17"/>
          <w:lang w:val="fr-FR"/>
        </w:rPr>
        <w:t>’</w:t>
      </w:r>
      <w:r w:rsidR="00672C13" w:rsidRPr="0001128D">
        <w:rPr>
          <w:szCs w:val="17"/>
          <w:lang w:val="fr-FR"/>
        </w:rPr>
        <w:t>une région</w:t>
      </w:r>
      <w:r w:rsidR="00663306" w:rsidRPr="0001128D">
        <w:rPr>
          <w:szCs w:val="17"/>
          <w:lang w:val="fr-FR"/>
        </w:rPr>
        <w:t xml:space="preserve"> jouant un rôle de codage).</w:t>
      </w:r>
    </w:p>
    <w:p w:rsidR="00B31F87" w:rsidRPr="0001128D" w:rsidRDefault="0029668F" w:rsidP="0029668F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91" w:name="_Ref373145828"/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opérateur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emplacement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complement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ne peut être employé que pour des nucléotides.  Il peut être employé en combinaison soit avec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join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soit avec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order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dans le même emplacement.  Les combinaisons de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join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et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order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ne sont pas autorisées dans un même emplacement.</w:t>
      </w:r>
      <w:bookmarkEnd w:id="91"/>
    </w:p>
    <w:p w:rsidR="00B31F87" w:rsidRPr="0001128D" w:rsidRDefault="00303F3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92" w:name="_Ref371518131"/>
      <w:r w:rsidRPr="0001128D">
        <w:rPr>
          <w:szCs w:val="17"/>
          <w:lang w:val="fr-FR"/>
        </w:rPr>
        <w:t>Les exemples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illustrent des emplacements de caractéristiques au sens des paragraphes</w:t>
      </w:r>
      <w:r w:rsidR="00745EE5" w:rsidRPr="0001128D">
        <w:rPr>
          <w:szCs w:val="17"/>
          <w:lang w:val="fr-FR"/>
        </w:rPr>
        <w:t> </w:t>
      </w:r>
      <w:bookmarkEnd w:id="92"/>
      <w:r w:rsidR="00B21B98" w:rsidRPr="0001128D">
        <w:rPr>
          <w:szCs w:val="17"/>
          <w:lang w:val="fr-FR"/>
        </w:rPr>
        <w:t>65</w:t>
      </w:r>
      <w:r w:rsidR="00514A4B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à</w:t>
      </w:r>
      <w:r w:rsidR="00514A4B" w:rsidRPr="0001128D">
        <w:rPr>
          <w:szCs w:val="17"/>
          <w:lang w:val="fr-FR"/>
        </w:rPr>
        <w:t xml:space="preserve"> </w:t>
      </w:r>
      <w:r w:rsidR="00B21B98" w:rsidRPr="0001128D">
        <w:rPr>
          <w:szCs w:val="17"/>
          <w:lang w:val="fr-FR"/>
        </w:rPr>
        <w:t>70</w:t>
      </w:r>
      <w:r w:rsidR="00FB2617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="00FB2617" w:rsidRPr="0001128D">
        <w:rPr>
          <w:szCs w:val="17"/>
          <w:lang w:val="fr-FR"/>
        </w:rPr>
        <w:t>:</w:t>
      </w:r>
    </w:p>
    <w:p w:rsidR="00340FF9" w:rsidRPr="0001128D" w:rsidRDefault="00303F3E" w:rsidP="008B4E62">
      <w:pPr>
        <w:pStyle w:val="List0R"/>
        <w:numPr>
          <w:ilvl w:val="0"/>
          <w:numId w:val="25"/>
        </w:numPr>
        <w:tabs>
          <w:tab w:val="left" w:pos="1134"/>
        </w:tabs>
        <w:ind w:left="567"/>
        <w:rPr>
          <w:lang w:val="fr-FR"/>
        </w:rPr>
      </w:pPr>
      <w:r w:rsidRPr="0001128D">
        <w:rPr>
          <w:lang w:val="fr-FR"/>
        </w:rPr>
        <w:t>emplacements pour des nucléotides et des acides aminés</w:t>
      </w:r>
      <w:r w:rsidR="00745EE5" w:rsidRPr="0001128D">
        <w:rPr>
          <w:lang w:val="fr-FR"/>
        </w:rPr>
        <w:t> </w:t>
      </w:r>
      <w:r w:rsidR="00B31F87" w:rsidRPr="0001128D">
        <w:rPr>
          <w:lang w:val="fr-FR"/>
        </w:rPr>
        <w:t>:</w:t>
      </w:r>
    </w:p>
    <w:tbl>
      <w:tblPr>
        <w:tblW w:w="8392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5672"/>
      </w:tblGrid>
      <w:tr w:rsidR="00B31F87" w:rsidRPr="0001128D" w:rsidTr="008E4498">
        <w:trPr>
          <w:cantSplit/>
          <w:tblHeader/>
        </w:trPr>
        <w:tc>
          <w:tcPr>
            <w:tcW w:w="2720" w:type="dxa"/>
            <w:shd w:val="clear" w:color="auto" w:fill="D9D9D9" w:themeFill="background1" w:themeFillShade="D9"/>
          </w:tcPr>
          <w:p w:rsidR="00B31F87" w:rsidRPr="0001128D" w:rsidRDefault="00B31F87" w:rsidP="005508CB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Ex</w:t>
            </w:r>
            <w:r w:rsidR="005508CB" w:rsidRPr="0001128D">
              <w:rPr>
                <w:b/>
                <w:bCs/>
                <w:sz w:val="17"/>
                <w:szCs w:val="17"/>
                <w:lang w:val="fr-FR"/>
              </w:rPr>
              <w:t>e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mple</w:t>
            </w:r>
            <w:r w:rsidR="005508CB" w:rsidRPr="0001128D">
              <w:rPr>
                <w:b/>
                <w:bCs/>
                <w:sz w:val="17"/>
                <w:szCs w:val="17"/>
                <w:lang w:val="fr-FR"/>
              </w:rPr>
              <w:t xml:space="preserve"> d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="005508CB"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  <w:tc>
          <w:tcPr>
            <w:tcW w:w="5672" w:type="dxa"/>
            <w:shd w:val="clear" w:color="auto" w:fill="D9D9D9" w:themeFill="background1" w:themeFillShade="D9"/>
          </w:tcPr>
          <w:p w:rsidR="00B31F87" w:rsidRPr="0001128D" w:rsidRDefault="00B31F87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</w:tc>
      </w:tr>
      <w:tr w:rsidR="00B31F87" w:rsidRPr="00917901" w:rsidTr="007336B8">
        <w:trPr>
          <w:cantSplit/>
          <w:trHeight w:val="377"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467</w:t>
            </w:r>
          </w:p>
        </w:tc>
        <w:tc>
          <w:tcPr>
            <w:tcW w:w="5672" w:type="dxa"/>
            <w:shd w:val="clear" w:color="auto" w:fill="auto"/>
          </w:tcPr>
          <w:p w:rsidR="00B31F87" w:rsidRPr="0001128D" w:rsidRDefault="005508CB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Désigne le résidu </w:t>
            </w:r>
            <w:r w:rsidR="00B31F87" w:rsidRPr="0001128D">
              <w:rPr>
                <w:sz w:val="17"/>
                <w:szCs w:val="17"/>
                <w:lang w:val="fr-FR"/>
              </w:rPr>
              <w:t xml:space="preserve">467 </w:t>
            </w:r>
            <w:r w:rsidRPr="0001128D">
              <w:rPr>
                <w:sz w:val="17"/>
                <w:szCs w:val="17"/>
                <w:lang w:val="fr-FR"/>
              </w:rPr>
              <w:t>de la séquence</w:t>
            </w:r>
            <w:r w:rsidR="00B31F87" w:rsidRPr="0001128D">
              <w:rPr>
                <w:sz w:val="17"/>
                <w:szCs w:val="17"/>
                <w:lang w:val="fr-FR"/>
              </w:rPr>
              <w:t>.</w:t>
            </w:r>
          </w:p>
          <w:p w:rsidR="00B31F87" w:rsidRPr="0001128D" w:rsidRDefault="00B31F87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123^124</w:t>
            </w:r>
          </w:p>
        </w:tc>
        <w:tc>
          <w:tcPr>
            <w:tcW w:w="5672" w:type="dxa"/>
            <w:shd w:val="clear" w:color="auto" w:fill="auto"/>
          </w:tcPr>
          <w:p w:rsidR="00B31F87" w:rsidRPr="0001128D" w:rsidRDefault="005508CB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Désigne un site entre les résidus </w:t>
            </w:r>
            <w:r w:rsidR="00B31F87" w:rsidRPr="0001128D">
              <w:rPr>
                <w:sz w:val="17"/>
                <w:szCs w:val="17"/>
                <w:lang w:val="fr-FR"/>
              </w:rPr>
              <w:t xml:space="preserve">123 </w:t>
            </w:r>
            <w:r w:rsidRPr="0001128D">
              <w:rPr>
                <w:sz w:val="17"/>
                <w:szCs w:val="17"/>
                <w:lang w:val="fr-FR"/>
              </w:rPr>
              <w:t xml:space="preserve">et </w:t>
            </w:r>
            <w:r w:rsidR="00B31F87" w:rsidRPr="0001128D">
              <w:rPr>
                <w:sz w:val="17"/>
                <w:szCs w:val="17"/>
                <w:lang w:val="fr-FR"/>
              </w:rPr>
              <w:t>124.</w:t>
            </w:r>
          </w:p>
          <w:p w:rsidR="00B31F87" w:rsidRPr="0001128D" w:rsidRDefault="00B31F87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rPr>
          <w:cantSplit/>
          <w:trHeight w:val="440"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340..565</w:t>
            </w:r>
          </w:p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</w:p>
        </w:tc>
        <w:tc>
          <w:tcPr>
            <w:tcW w:w="5672" w:type="dxa"/>
            <w:shd w:val="clear" w:color="auto" w:fill="auto"/>
          </w:tcPr>
          <w:p w:rsidR="00B31F87" w:rsidRPr="0001128D" w:rsidRDefault="005508CB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Désigne une série continue de résidus dont les </w:t>
            </w:r>
            <w:r w:rsidR="00935194" w:rsidRPr="0001128D">
              <w:rPr>
                <w:sz w:val="17"/>
                <w:szCs w:val="17"/>
                <w:lang w:val="fr-FR"/>
              </w:rPr>
              <w:t>bornes</w:t>
            </w:r>
            <w:r w:rsidRPr="0001128D">
              <w:rPr>
                <w:sz w:val="17"/>
                <w:szCs w:val="17"/>
                <w:lang w:val="fr-FR"/>
              </w:rPr>
              <w:t xml:space="preserve"> sont le 340 et le 565, ces </w:t>
            </w:r>
            <w:r w:rsidR="003D290C" w:rsidRPr="0001128D">
              <w:rPr>
                <w:sz w:val="17"/>
                <w:szCs w:val="17"/>
                <w:lang w:val="fr-FR"/>
              </w:rPr>
              <w:t xml:space="preserve">bornes </w:t>
            </w:r>
            <w:r w:rsidRPr="0001128D">
              <w:rPr>
                <w:sz w:val="17"/>
                <w:szCs w:val="17"/>
                <w:lang w:val="fr-FR"/>
              </w:rPr>
              <w:t>étant inclus</w:t>
            </w:r>
            <w:r w:rsidR="003D290C" w:rsidRPr="0001128D">
              <w:rPr>
                <w:sz w:val="17"/>
                <w:szCs w:val="17"/>
                <w:lang w:val="fr-FR"/>
              </w:rPr>
              <w:t>es</w:t>
            </w:r>
            <w:r w:rsidRPr="0001128D">
              <w:rPr>
                <w:sz w:val="17"/>
                <w:szCs w:val="17"/>
                <w:lang w:val="fr-FR"/>
              </w:rPr>
              <w:t xml:space="preserve"> dans la série.</w:t>
            </w:r>
          </w:p>
          <w:p w:rsidR="00D22003" w:rsidRPr="0001128D" w:rsidRDefault="00D22003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&lt;1</w:t>
            </w:r>
          </w:p>
        </w:tc>
        <w:tc>
          <w:tcPr>
            <w:tcW w:w="5672" w:type="dxa"/>
            <w:shd w:val="clear" w:color="auto" w:fill="auto"/>
          </w:tcPr>
          <w:p w:rsidR="00B31F87" w:rsidRPr="0001128D" w:rsidRDefault="00037A60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Désigne un emplacement de caractéristique situé avant le premier résidu.</w:t>
            </w:r>
          </w:p>
          <w:p w:rsidR="00D22003" w:rsidRPr="0001128D" w:rsidRDefault="00D22003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rPr>
          <w:cantSplit/>
        </w:trPr>
        <w:tc>
          <w:tcPr>
            <w:tcW w:w="2720" w:type="dxa"/>
            <w:shd w:val="clear" w:color="auto" w:fill="auto"/>
          </w:tcPr>
          <w:p w:rsidR="00A329F0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&lt;345..500</w:t>
            </w:r>
          </w:p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</w:p>
        </w:tc>
        <w:tc>
          <w:tcPr>
            <w:tcW w:w="5672" w:type="dxa"/>
            <w:shd w:val="clear" w:color="auto" w:fill="auto"/>
          </w:tcPr>
          <w:p w:rsidR="00B31F87" w:rsidRPr="0001128D" w:rsidRDefault="00D22003" w:rsidP="00D22003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Indique que le point exact de la borne inférieure d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une caractéristique est inconnu. 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emplacement commence à un résidu situé quelque part avant le 345 et continue jusqu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>au résidu 500 inclus.</w:t>
            </w:r>
          </w:p>
          <w:p w:rsidR="00B31F87" w:rsidRPr="0001128D" w:rsidRDefault="00B31F87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rPr>
          <w:cantSplit/>
          <w:trHeight w:val="647"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&lt;1..888</w:t>
            </w:r>
          </w:p>
        </w:tc>
        <w:tc>
          <w:tcPr>
            <w:tcW w:w="5672" w:type="dxa"/>
            <w:shd w:val="clear" w:color="auto" w:fill="auto"/>
          </w:tcPr>
          <w:p w:rsidR="00B31F87" w:rsidRPr="0001128D" w:rsidRDefault="00893564" w:rsidP="00893564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Indique que la caractéristique commence avant le premier résidu de la séquence et continue jusqu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 xml:space="preserve">au résidu 888 inclus. </w:t>
            </w:r>
            <w:r w:rsidR="00745EE5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</w:tr>
      <w:tr w:rsidR="00B31F87" w:rsidRPr="00917901" w:rsidTr="007336B8">
        <w:trPr>
          <w:cantSplit/>
          <w:trHeight w:val="737"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1..&gt;888</w:t>
            </w:r>
          </w:p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</w:p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</w:p>
        </w:tc>
        <w:tc>
          <w:tcPr>
            <w:tcW w:w="5672" w:type="dxa"/>
            <w:shd w:val="clear" w:color="auto" w:fill="auto"/>
          </w:tcPr>
          <w:p w:rsidR="00B31F87" w:rsidRPr="0001128D" w:rsidRDefault="00893564" w:rsidP="004360CA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Indique </w:t>
            </w:r>
            <w:r w:rsidR="00C71830" w:rsidRPr="0001128D">
              <w:rPr>
                <w:sz w:val="17"/>
                <w:szCs w:val="17"/>
                <w:lang w:val="fr-FR"/>
              </w:rPr>
              <w:t>que la caractéristique commence au premier résidu de la séquence et continue au</w:t>
            </w:r>
            <w:r w:rsidR="00265B44" w:rsidRPr="0001128D">
              <w:rPr>
                <w:sz w:val="17"/>
                <w:szCs w:val="17"/>
                <w:lang w:val="fr-FR"/>
              </w:rPr>
              <w:noBreakHyphen/>
            </w:r>
            <w:r w:rsidR="00C71830" w:rsidRPr="0001128D">
              <w:rPr>
                <w:sz w:val="17"/>
                <w:szCs w:val="17"/>
                <w:lang w:val="fr-FR"/>
              </w:rPr>
              <w:t>delà du résidu 888.</w:t>
            </w:r>
            <w:r w:rsidR="004360CA" w:rsidRPr="0001128D">
              <w:rPr>
                <w:sz w:val="17"/>
                <w:szCs w:val="17"/>
                <w:lang w:val="fr-FR"/>
              </w:rPr>
              <w:t xml:space="preserve"> </w:t>
            </w:r>
            <w:r w:rsidR="00745EE5" w:rsidRPr="0001128D">
              <w:rPr>
                <w:sz w:val="17"/>
                <w:szCs w:val="17"/>
                <w:lang w:val="fr-FR"/>
              </w:rPr>
              <w:t xml:space="preserve"> </w:t>
            </w:r>
          </w:p>
        </w:tc>
      </w:tr>
      <w:tr w:rsidR="00B31F87" w:rsidRPr="00917901" w:rsidTr="007336B8">
        <w:trPr>
          <w:cantSplit/>
        </w:trPr>
        <w:tc>
          <w:tcPr>
            <w:tcW w:w="272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join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12..78,134..202)</w:t>
            </w:r>
          </w:p>
        </w:tc>
        <w:tc>
          <w:tcPr>
            <w:tcW w:w="5672" w:type="dxa"/>
            <w:shd w:val="clear" w:color="auto" w:fill="auto"/>
          </w:tcPr>
          <w:p w:rsidR="005E2382" w:rsidRPr="0001128D" w:rsidRDefault="00893564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Indique </w:t>
            </w:r>
            <w:r w:rsidR="005E2382" w:rsidRPr="0001128D">
              <w:rPr>
                <w:sz w:val="17"/>
                <w:szCs w:val="17"/>
                <w:lang w:val="fr-FR"/>
              </w:rPr>
              <w:t>que les régions 12 à 78 et 134 à 202 devraient être jointes pour constituer une séquence contiguë.</w:t>
            </w:r>
          </w:p>
          <w:p w:rsidR="00B31F87" w:rsidRPr="0001128D" w:rsidRDefault="00B31F87" w:rsidP="005E2382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</w:tbl>
    <w:p w:rsidR="00CD3B82" w:rsidRPr="0001128D" w:rsidRDefault="00CD3B82" w:rsidP="00CD3B82">
      <w:pPr>
        <w:pStyle w:val="List0R"/>
        <w:tabs>
          <w:tab w:val="left" w:pos="1134"/>
        </w:tabs>
        <w:ind w:firstLine="0"/>
        <w:rPr>
          <w:lang w:val="fr-FR"/>
        </w:rPr>
      </w:pPr>
    </w:p>
    <w:p w:rsidR="00386B56" w:rsidRDefault="00386B56">
      <w:pPr>
        <w:widowControl/>
        <w:kinsoku/>
        <w:rPr>
          <w:rFonts w:eastAsia="Times New Roman" w:cs="Times New Roman"/>
          <w:sz w:val="17"/>
          <w:szCs w:val="20"/>
          <w:lang w:val="fr-FR" w:eastAsia="en-US"/>
        </w:rPr>
      </w:pPr>
      <w:r>
        <w:rPr>
          <w:lang w:val="fr-FR"/>
        </w:rPr>
        <w:br w:type="page"/>
      </w:r>
    </w:p>
    <w:p w:rsidR="00B31F87" w:rsidRPr="0001128D" w:rsidRDefault="00896FFD" w:rsidP="00D402C5">
      <w:pPr>
        <w:pStyle w:val="List0R"/>
        <w:numPr>
          <w:ilvl w:val="0"/>
          <w:numId w:val="25"/>
        </w:numPr>
        <w:tabs>
          <w:tab w:val="left" w:pos="1134"/>
        </w:tabs>
        <w:ind w:left="567"/>
        <w:rPr>
          <w:lang w:val="fr-FR"/>
        </w:rPr>
      </w:pPr>
      <w:r w:rsidRPr="0001128D">
        <w:rPr>
          <w:lang w:val="fr-FR"/>
        </w:rPr>
        <w:lastRenderedPageBreak/>
        <w:t>emplacements réservés aux nucléotides</w:t>
      </w:r>
      <w:r w:rsidR="00745EE5" w:rsidRPr="0001128D">
        <w:rPr>
          <w:lang w:val="fr-FR"/>
        </w:rPr>
        <w:t> </w:t>
      </w:r>
      <w:r w:rsidR="00B31F87" w:rsidRPr="0001128D">
        <w:rPr>
          <w:lang w:val="fr-FR"/>
        </w:rPr>
        <w:t>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5162"/>
      </w:tblGrid>
      <w:tr w:rsidR="00B31F87" w:rsidRPr="0001128D" w:rsidTr="008E4498">
        <w:tc>
          <w:tcPr>
            <w:tcW w:w="3230" w:type="dxa"/>
            <w:shd w:val="clear" w:color="auto" w:fill="D9D9D9" w:themeFill="background1" w:themeFillShade="D9"/>
          </w:tcPr>
          <w:p w:rsidR="00B31F87" w:rsidRPr="0001128D" w:rsidRDefault="00896FFD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Exemple d</w:t>
            </w:r>
            <w:r w:rsidR="00A329F0" w:rsidRPr="0001128D">
              <w:rPr>
                <w:b/>
                <w:bCs/>
                <w:sz w:val="17"/>
                <w:szCs w:val="17"/>
                <w:lang w:val="fr-FR"/>
              </w:rPr>
              <w:t>’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emplacement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:rsidR="00B31F87" w:rsidRPr="0001128D" w:rsidRDefault="00B31F87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</w:tc>
      </w:tr>
      <w:tr w:rsidR="00B31F87" w:rsidRPr="00917901" w:rsidTr="007336B8">
        <w:tc>
          <w:tcPr>
            <w:tcW w:w="323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complement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34..126)</w:t>
            </w:r>
          </w:p>
        </w:tc>
        <w:tc>
          <w:tcPr>
            <w:tcW w:w="5162" w:type="dxa"/>
            <w:shd w:val="clear" w:color="auto" w:fill="auto"/>
          </w:tcPr>
          <w:p w:rsidR="00B31F87" w:rsidRPr="0001128D" w:rsidRDefault="00DA45B6" w:rsidP="00FE073C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Commence à la base complémentaire à la base 126 et finit à la base complémentaire à la base 34 (la caractéristique est située sur le brin complémentaire au brin présenté).</w:t>
            </w:r>
          </w:p>
          <w:p w:rsidR="00B31F87" w:rsidRPr="0001128D" w:rsidRDefault="00B31F87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c>
          <w:tcPr>
            <w:tcW w:w="323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complement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spellStart"/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join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(2691..4571,</w:t>
            </w:r>
            <w:r w:rsidR="007A3C25"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br/>
            </w:r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4918..5163))</w:t>
            </w:r>
          </w:p>
        </w:tc>
        <w:tc>
          <w:tcPr>
            <w:tcW w:w="5162" w:type="dxa"/>
            <w:shd w:val="clear" w:color="auto" w:fill="auto"/>
          </w:tcPr>
          <w:p w:rsidR="00B31F87" w:rsidRPr="0001128D" w:rsidRDefault="00FE073C" w:rsidP="003F6281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Joint les bases 2691 à 4571 et 4918 à 5163</w:t>
            </w:r>
            <w:r w:rsidR="003F6281" w:rsidRPr="0001128D">
              <w:rPr>
                <w:sz w:val="17"/>
                <w:szCs w:val="17"/>
                <w:lang w:val="fr-FR"/>
              </w:rPr>
              <w:t>, puis complète les segments joints (la caractéristique est située sur le brin complémentaire au brin présenté).</w:t>
            </w:r>
          </w:p>
          <w:p w:rsidR="00B31F87" w:rsidRPr="0001128D" w:rsidRDefault="00B31F87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B31F87" w:rsidRPr="00917901" w:rsidTr="007336B8">
        <w:tc>
          <w:tcPr>
            <w:tcW w:w="3230" w:type="dxa"/>
            <w:shd w:val="clear" w:color="auto" w:fill="auto"/>
          </w:tcPr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  <w:proofErr w:type="spellStart"/>
            <w:proofErr w:type="gram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join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</w:t>
            </w:r>
            <w:proofErr w:type="spellStart"/>
            <w:proofErr w:type="gram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complement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(4918..5163),</w:t>
            </w:r>
            <w:r w:rsidR="007A3C25"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br/>
            </w:r>
            <w:proofErr w:type="spellStart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complement</w:t>
            </w:r>
            <w:proofErr w:type="spellEnd"/>
            <w:r w:rsidRPr="0001128D">
              <w:rPr>
                <w:rFonts w:ascii="Courier New" w:hAnsi="Courier New" w:cs="Courier New"/>
                <w:sz w:val="17"/>
                <w:szCs w:val="17"/>
                <w:lang w:val="fr-FR"/>
              </w:rPr>
              <w:t>(2691..4571))</w:t>
            </w:r>
          </w:p>
          <w:p w:rsidR="00B31F87" w:rsidRPr="0001128D" w:rsidRDefault="00B31F87" w:rsidP="00744C46">
            <w:pPr>
              <w:pStyle w:val="TableText"/>
              <w:rPr>
                <w:rFonts w:ascii="Courier New" w:hAnsi="Courier New" w:cs="Courier New"/>
                <w:sz w:val="17"/>
                <w:szCs w:val="17"/>
                <w:lang w:val="fr-FR"/>
              </w:rPr>
            </w:pPr>
          </w:p>
        </w:tc>
        <w:tc>
          <w:tcPr>
            <w:tcW w:w="5162" w:type="dxa"/>
            <w:shd w:val="clear" w:color="auto" w:fill="auto"/>
          </w:tcPr>
          <w:p w:rsidR="00B31F87" w:rsidRPr="0001128D" w:rsidRDefault="007C1A78" w:rsidP="00094A3D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Complète les régions 4918 à 5163 et 2691 à 4571, puis joint les segments complétés (la caractéristique est située sur le brin complémentaire au brin présenté).</w:t>
            </w:r>
          </w:p>
          <w:p w:rsidR="007C1A78" w:rsidRPr="0001128D" w:rsidRDefault="007C1A78" w:rsidP="00094A3D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</w:tbl>
    <w:p w:rsidR="00FD1246" w:rsidRPr="0001128D" w:rsidRDefault="00FD1246" w:rsidP="00FD1246">
      <w:pPr>
        <w:pStyle w:val="List0"/>
        <w:tabs>
          <w:tab w:val="left" w:pos="567"/>
        </w:tabs>
        <w:rPr>
          <w:szCs w:val="17"/>
          <w:lang w:val="fr-FR"/>
        </w:rPr>
      </w:pPr>
      <w:bookmarkStart w:id="93" w:name="_Ref371508493"/>
    </w:p>
    <w:p w:rsidR="009A1909" w:rsidRPr="0001128D" w:rsidRDefault="0018126E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Dans une instance </w:t>
      </w:r>
      <w:r w:rsidR="009A1909" w:rsidRPr="0001128D">
        <w:rPr>
          <w:szCs w:val="17"/>
          <w:lang w:val="fr-FR"/>
        </w:rPr>
        <w:t xml:space="preserve">XML </w:t>
      </w:r>
      <w:r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listage des séquences</w:t>
      </w:r>
      <w:r w:rsidR="009A1909" w:rsidRPr="0001128D">
        <w:rPr>
          <w:szCs w:val="17"/>
          <w:lang w:val="fr-FR"/>
        </w:rPr>
        <w:t xml:space="preserve">, </w:t>
      </w:r>
      <w:r w:rsidRPr="0001128D">
        <w:rPr>
          <w:szCs w:val="17"/>
          <w:lang w:val="fr-FR"/>
        </w:rPr>
        <w:t xml:space="preserve">les caractères </w:t>
      </w:r>
      <w:r w:rsidR="00745EE5" w:rsidRPr="0001128D">
        <w:rPr>
          <w:szCs w:val="17"/>
          <w:lang w:val="fr-FR"/>
        </w:rPr>
        <w:t>“</w:t>
      </w:r>
      <w:r w:rsidR="009A1909" w:rsidRPr="0001128D">
        <w:rPr>
          <w:szCs w:val="17"/>
          <w:lang w:val="fr-FR"/>
        </w:rPr>
        <w:t>&lt;</w:t>
      </w:r>
      <w:r w:rsidR="0047754E" w:rsidRPr="0001128D">
        <w:rPr>
          <w:szCs w:val="17"/>
          <w:lang w:val="fr-FR"/>
        </w:rPr>
        <w:t>”</w:t>
      </w:r>
      <w:r w:rsidR="009A1909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et</w:t>
      </w:r>
      <w:r w:rsidR="009A1909"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="009A1909" w:rsidRPr="0001128D">
        <w:rPr>
          <w:szCs w:val="17"/>
          <w:lang w:val="fr-FR"/>
        </w:rPr>
        <w:t>&gt;</w:t>
      </w:r>
      <w:r w:rsidR="0047754E" w:rsidRPr="0001128D">
        <w:rPr>
          <w:szCs w:val="17"/>
          <w:lang w:val="fr-FR"/>
        </w:rPr>
        <w:t>”</w:t>
      </w:r>
      <w:r w:rsidR="009A1909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descripteur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emplacement doivent être remplacés par les entités prédéfinies adéquates </w:t>
      </w:r>
      <w:r w:rsidR="009A1909" w:rsidRPr="0001128D">
        <w:rPr>
          <w:szCs w:val="17"/>
          <w:lang w:val="fr-FR"/>
        </w:rPr>
        <w:t>(</w:t>
      </w:r>
      <w:r w:rsidRPr="0001128D">
        <w:rPr>
          <w:szCs w:val="17"/>
          <w:lang w:val="fr-FR"/>
        </w:rPr>
        <w:t xml:space="preserve">voir le </w:t>
      </w:r>
      <w:r w:rsidR="009A1909" w:rsidRPr="0001128D">
        <w:rPr>
          <w:szCs w:val="17"/>
          <w:lang w:val="fr-FR"/>
        </w:rPr>
        <w:t>paragraph</w:t>
      </w:r>
      <w:r w:rsidRPr="0001128D">
        <w:rPr>
          <w:szCs w:val="17"/>
          <w:lang w:val="fr-FR"/>
        </w:rPr>
        <w:t>e</w:t>
      </w:r>
      <w:r w:rsidR="00745EE5" w:rsidRPr="0001128D">
        <w:rPr>
          <w:szCs w:val="17"/>
          <w:lang w:val="fr-FR"/>
        </w:rPr>
        <w:t> </w:t>
      </w:r>
      <w:r w:rsidR="00024AF5" w:rsidRPr="0001128D">
        <w:rPr>
          <w:szCs w:val="17"/>
          <w:lang w:val="fr-FR"/>
        </w:rPr>
        <w:t>41</w:t>
      </w:r>
      <w:r w:rsidR="009A1909" w:rsidRPr="0001128D">
        <w:rPr>
          <w:szCs w:val="17"/>
          <w:lang w:val="fr-FR"/>
        </w:rPr>
        <w:t>)</w:t>
      </w:r>
      <w:r w:rsidRPr="0001128D">
        <w:rPr>
          <w:szCs w:val="17"/>
          <w:lang w:val="fr-FR"/>
        </w:rPr>
        <w:t>, par exemple</w:t>
      </w:r>
      <w:r w:rsidR="00745EE5" w:rsidRPr="0001128D">
        <w:rPr>
          <w:szCs w:val="17"/>
          <w:lang w:val="fr-FR"/>
        </w:rPr>
        <w:t> </w:t>
      </w:r>
      <w:r w:rsidR="009A1909" w:rsidRPr="0001128D">
        <w:rPr>
          <w:szCs w:val="17"/>
          <w:lang w:val="fr-FR"/>
        </w:rPr>
        <w:t>:</w:t>
      </w:r>
      <w:bookmarkEnd w:id="93"/>
    </w:p>
    <w:p w:rsidR="00450B94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bookmarkStart w:id="94" w:name="_Toc371330398"/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location 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&lt;1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 :</w:t>
      </w:r>
    </w:p>
    <w:p w:rsidR="00450B94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INSDFeature_location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&gt;&amp;lt;1&lt;/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INSDFeature_location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50B94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</w:p>
    <w:p w:rsidR="00450B94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location 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“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1..&gt;888</w:t>
      </w:r>
      <w:r w:rsidR="00745EE5"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” :</w:t>
      </w:r>
    </w:p>
    <w:p w:rsidR="00450B94" w:rsidRPr="0001128D" w:rsidRDefault="00450B94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INSDFeature_location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&gt;1..&amp;gt;888&lt;/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INSDFeature_location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9A1909" w:rsidRPr="0001128D" w:rsidRDefault="00E54D42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95" w:name="_Toc386037659"/>
      <w:bookmarkEnd w:id="94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Qualificateurs de caractéristiques</w:t>
      </w:r>
      <w:bookmarkEnd w:id="95"/>
    </w:p>
    <w:p w:rsidR="00BC0A8F" w:rsidRPr="0001128D" w:rsidRDefault="00D41916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Les qualificateurs permettent de fournir des informations sur les caractéristiques pour compléter les informations figurant dans la clé de caractérisation et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emplacement de la caractéristique.  </w:t>
      </w:r>
      <w:r w:rsidR="00646773" w:rsidRPr="0001128D">
        <w:rPr>
          <w:szCs w:val="17"/>
          <w:lang w:val="fr-FR"/>
        </w:rPr>
        <w:t>La valeur des qualificateurs peut prendre trois</w:t>
      </w:r>
      <w:r w:rsidR="00745EE5" w:rsidRPr="0001128D">
        <w:rPr>
          <w:szCs w:val="17"/>
          <w:lang w:val="fr-FR"/>
        </w:rPr>
        <w:t> </w:t>
      </w:r>
      <w:r w:rsidR="00646773" w:rsidRPr="0001128D">
        <w:rPr>
          <w:szCs w:val="17"/>
          <w:lang w:val="fr-FR"/>
        </w:rPr>
        <w:t>types de formats selon le type d</w:t>
      </w:r>
      <w:r w:rsidR="00A329F0" w:rsidRPr="0001128D">
        <w:rPr>
          <w:szCs w:val="17"/>
          <w:lang w:val="fr-FR"/>
        </w:rPr>
        <w:t>’</w:t>
      </w:r>
      <w:r w:rsidR="00646773" w:rsidRPr="0001128D">
        <w:rPr>
          <w:szCs w:val="17"/>
          <w:lang w:val="fr-FR"/>
        </w:rPr>
        <w:t>informations fournies</w:t>
      </w:r>
      <w:r w:rsidR="00745EE5" w:rsidRPr="0001128D">
        <w:rPr>
          <w:szCs w:val="17"/>
          <w:lang w:val="fr-FR"/>
        </w:rPr>
        <w:t> </w:t>
      </w:r>
      <w:r w:rsidR="00646773" w:rsidRPr="0001128D">
        <w:rPr>
          <w:szCs w:val="17"/>
          <w:lang w:val="fr-FR"/>
        </w:rPr>
        <w:t>:</w:t>
      </w:r>
    </w:p>
    <w:p w:rsidR="00A329F0" w:rsidRPr="0001128D" w:rsidRDefault="00C25A6B" w:rsidP="008B4E62">
      <w:pPr>
        <w:pStyle w:val="List0R"/>
        <w:numPr>
          <w:ilvl w:val="0"/>
          <w:numId w:val="27"/>
        </w:numPr>
        <w:tabs>
          <w:tab w:val="left" w:pos="1134"/>
        </w:tabs>
        <w:ind w:left="567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du texte libre </w:t>
      </w:r>
      <w:r w:rsidR="009A1909" w:rsidRPr="0001128D">
        <w:rPr>
          <w:szCs w:val="17"/>
          <w:lang w:val="fr-FR"/>
        </w:rPr>
        <w:t>(</w:t>
      </w:r>
      <w:r w:rsidRPr="0001128D">
        <w:rPr>
          <w:szCs w:val="17"/>
          <w:lang w:val="fr-FR"/>
        </w:rPr>
        <w:t xml:space="preserve">voir les </w:t>
      </w:r>
      <w:r w:rsidR="009A1909" w:rsidRPr="0001128D">
        <w:rPr>
          <w:szCs w:val="17"/>
          <w:lang w:val="fr-FR"/>
        </w:rPr>
        <w:t>paragraph</w:t>
      </w:r>
      <w:r w:rsidRPr="0001128D">
        <w:rPr>
          <w:szCs w:val="17"/>
          <w:lang w:val="fr-FR"/>
        </w:rPr>
        <w:t>e</w:t>
      </w:r>
      <w:r w:rsidR="009A1909" w:rsidRPr="0001128D">
        <w:rPr>
          <w:szCs w:val="17"/>
          <w:lang w:val="fr-FR"/>
        </w:rPr>
        <w:t>s</w:t>
      </w:r>
      <w:r w:rsidR="00745EE5" w:rsidRPr="0001128D">
        <w:rPr>
          <w:szCs w:val="17"/>
          <w:lang w:val="fr-FR"/>
        </w:rPr>
        <w:t> </w:t>
      </w:r>
      <w:r w:rsidR="007A3C25" w:rsidRPr="0001128D">
        <w:rPr>
          <w:szCs w:val="17"/>
          <w:lang w:val="fr-FR"/>
        </w:rPr>
        <w:t>86</w:t>
      </w:r>
      <w:r w:rsidR="004E4203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 xml:space="preserve">et </w:t>
      </w:r>
      <w:r w:rsidR="007A3C25" w:rsidRPr="0001128D">
        <w:rPr>
          <w:szCs w:val="17"/>
          <w:lang w:val="fr-FR"/>
        </w:rPr>
        <w:t>87</w:t>
      </w:r>
      <w:r w:rsidR="009A1909" w:rsidRPr="0001128D">
        <w:rPr>
          <w:szCs w:val="17"/>
          <w:lang w:val="fr-FR"/>
        </w:rPr>
        <w:t>);</w:t>
      </w:r>
    </w:p>
    <w:p w:rsidR="009A1909" w:rsidRPr="0001128D" w:rsidRDefault="00C25A6B" w:rsidP="008B4E62">
      <w:pPr>
        <w:pStyle w:val="List0R"/>
        <w:numPr>
          <w:ilvl w:val="0"/>
          <w:numId w:val="27"/>
        </w:numPr>
        <w:tabs>
          <w:tab w:val="left" w:pos="1134"/>
        </w:tabs>
        <w:ind w:left="567"/>
        <w:rPr>
          <w:szCs w:val="17"/>
          <w:lang w:val="fr-FR"/>
        </w:rPr>
      </w:pPr>
      <w:r w:rsidRPr="0001128D">
        <w:rPr>
          <w:szCs w:val="17"/>
          <w:lang w:val="fr-FR"/>
        </w:rPr>
        <w:t>un vocabulaire contrôlé ou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énumération de valeurs </w:t>
      </w:r>
      <w:r w:rsidR="009A1909" w:rsidRPr="0001128D">
        <w:rPr>
          <w:szCs w:val="17"/>
          <w:lang w:val="fr-FR"/>
        </w:rPr>
        <w:t>(</w:t>
      </w:r>
      <w:r w:rsidR="00745EE5" w:rsidRPr="0001128D">
        <w:rPr>
          <w:szCs w:val="17"/>
          <w:lang w:val="fr-FR"/>
        </w:rPr>
        <w:t>p. </w:t>
      </w:r>
      <w:r w:rsidRPr="0001128D">
        <w:rPr>
          <w:szCs w:val="17"/>
          <w:lang w:val="fr-FR"/>
        </w:rPr>
        <w:t xml:space="preserve">ex. un nombre ou une </w:t>
      </w:r>
      <w:r w:rsidR="009A1909" w:rsidRPr="0001128D">
        <w:rPr>
          <w:szCs w:val="17"/>
          <w:lang w:val="fr-FR"/>
        </w:rPr>
        <w:t xml:space="preserve">date); </w:t>
      </w:r>
      <w:r w:rsidR="00AE5203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et</w:t>
      </w:r>
    </w:p>
    <w:p w:rsidR="009A1909" w:rsidRPr="0001128D" w:rsidRDefault="00C25A6B" w:rsidP="008B4E62">
      <w:pPr>
        <w:pStyle w:val="List0R"/>
        <w:numPr>
          <w:ilvl w:val="0"/>
          <w:numId w:val="27"/>
        </w:numPr>
        <w:tabs>
          <w:tab w:val="left" w:pos="1134"/>
        </w:tabs>
        <w:ind w:left="567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des </w:t>
      </w:r>
      <w:r w:rsidR="009A1909" w:rsidRPr="0001128D">
        <w:rPr>
          <w:szCs w:val="17"/>
          <w:lang w:val="fr-FR"/>
        </w:rPr>
        <w:t>s</w:t>
      </w:r>
      <w:r w:rsidRPr="0001128D">
        <w:rPr>
          <w:szCs w:val="17"/>
          <w:lang w:val="fr-FR"/>
        </w:rPr>
        <w:t>é</w:t>
      </w:r>
      <w:r w:rsidR="009A1909" w:rsidRPr="0001128D">
        <w:rPr>
          <w:szCs w:val="17"/>
          <w:lang w:val="fr-FR"/>
        </w:rPr>
        <w:t>quences.</w:t>
      </w:r>
    </w:p>
    <w:p w:rsidR="00A329F0" w:rsidRPr="0001128D" w:rsidRDefault="00606B35" w:rsidP="00AD2959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La section 6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annexe I contient une liste complète des qualificateurs et la définition du format de leurs valeurs, le cas échéant, pour la clé de caractérisation de chaque nucléotide, et la section 8 contient la liste complète des qualificateurs pour la clé de caractérisation de chaque acide aminé.</w:t>
      </w:r>
    </w:p>
    <w:p w:rsidR="00AD2959" w:rsidRPr="0001128D" w:rsidRDefault="00BE29AD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Toute séquence prévue au paragraphe 6 qui est indiquée à titre de valeur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qualificateur doit être présentée de manière distincte dans le listage des séquences avec son propre numéro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identification de séquence.</w:t>
      </w:r>
    </w:p>
    <w:p w:rsidR="00A329F0" w:rsidRPr="0001128D" w:rsidRDefault="007628AD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96" w:name="_Toc386037660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Qualificateurs de caractéristiques obligatoires</w:t>
      </w:r>
      <w:bookmarkEnd w:id="96"/>
    </w:p>
    <w:p w:rsidR="009A1909" w:rsidRPr="0001128D" w:rsidRDefault="005F3A0B" w:rsidP="007628AD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Une clé de caractérisation obligatoire, en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occurrence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source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de nucléotides et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SOURCE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acides aminés, doit être accompagnée de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 xml:space="preserve">qualificateurs obligatoires,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organism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et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mol_type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de nucléotides et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ORGANISM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et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MOL_TYPE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acides aminés.  </w:t>
      </w:r>
      <w:r w:rsidR="005071B7" w:rsidRPr="0001128D">
        <w:rPr>
          <w:szCs w:val="17"/>
          <w:lang w:val="fr-FR"/>
        </w:rPr>
        <w:t>Certaines clés de caractérisation facultatives nécessitent aussi des qualificateurs obligatoires.</w:t>
      </w:r>
    </w:p>
    <w:p w:rsidR="009A1909" w:rsidRPr="0001128D" w:rsidRDefault="005071B7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97" w:name="_Toc386037661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Éléments des qualificateurs</w:t>
      </w:r>
      <w:bookmarkEnd w:id="97"/>
    </w:p>
    <w:p w:rsidR="00E14E7A" w:rsidRDefault="005071B7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élément</w:t>
      </w:r>
      <w:r w:rsidR="009A1909" w:rsidRPr="0001128D">
        <w:rPr>
          <w:szCs w:val="17"/>
          <w:lang w:val="fr-FR"/>
        </w:rPr>
        <w:t xml:space="preserve"> </w:t>
      </w:r>
      <w:proofErr w:type="spellStart"/>
      <w:r w:rsidR="009A1909" w:rsidRPr="0001128D">
        <w:rPr>
          <w:rFonts w:ascii="Courier New" w:hAnsi="Courier New"/>
          <w:lang w:val="fr-FR"/>
        </w:rPr>
        <w:t>INSDFeature_quals</w:t>
      </w:r>
      <w:proofErr w:type="spellEnd"/>
      <w:r w:rsidR="009A1909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se compose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ou plusieurs éléments</w:t>
      </w:r>
      <w:r w:rsidR="009A1909" w:rsidRPr="0001128D">
        <w:rPr>
          <w:szCs w:val="17"/>
          <w:lang w:val="fr-FR"/>
        </w:rPr>
        <w:t xml:space="preserve"> </w:t>
      </w:r>
      <w:proofErr w:type="spellStart"/>
      <w:r w:rsidR="009A1909" w:rsidRPr="0001128D">
        <w:rPr>
          <w:rFonts w:ascii="Courier New" w:hAnsi="Courier New"/>
          <w:lang w:val="fr-FR"/>
        </w:rPr>
        <w:t>INSDQualifier</w:t>
      </w:r>
      <w:proofErr w:type="spellEnd"/>
      <w:r w:rsidR="009A1909" w:rsidRPr="0001128D">
        <w:rPr>
          <w:szCs w:val="17"/>
          <w:lang w:val="fr-FR"/>
        </w:rPr>
        <w:t xml:space="preserve">.  </w:t>
      </w:r>
      <w:r w:rsidRPr="0001128D">
        <w:rPr>
          <w:szCs w:val="17"/>
          <w:lang w:val="fr-FR"/>
        </w:rPr>
        <w:t xml:space="preserve">Chaque élément </w:t>
      </w:r>
      <w:proofErr w:type="spellStart"/>
      <w:r w:rsidR="009A1909" w:rsidRPr="0001128D">
        <w:rPr>
          <w:rFonts w:ascii="Courier New" w:hAnsi="Courier New"/>
          <w:lang w:val="fr-FR"/>
        </w:rPr>
        <w:t>INSDQualifier</w:t>
      </w:r>
      <w:proofErr w:type="spellEnd"/>
      <w:r w:rsidR="009A1909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représente un seul qualificateur et se compose de deux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éléments subordonnés, de la manière suivante</w:t>
      </w:r>
      <w:r w:rsidR="00745EE5" w:rsidRPr="0001128D">
        <w:rPr>
          <w:szCs w:val="17"/>
          <w:lang w:val="fr-FR"/>
        </w:rPr>
        <w:t> </w:t>
      </w:r>
      <w:r w:rsidR="009A1909" w:rsidRPr="0001128D">
        <w:rPr>
          <w:szCs w:val="17"/>
          <w:lang w:val="fr-FR"/>
        </w:rPr>
        <w:t>:</w:t>
      </w:r>
    </w:p>
    <w:p w:rsidR="00E14E7A" w:rsidRDefault="00E14E7A">
      <w:pPr>
        <w:widowControl/>
        <w:kinsoku/>
        <w:rPr>
          <w:rFonts w:eastAsia="Times New Roman" w:cs="Times New Roman"/>
          <w:sz w:val="17"/>
          <w:szCs w:val="17"/>
          <w:lang w:val="fr-FR" w:eastAsia="en-US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2835"/>
        <w:gridCol w:w="2693"/>
      </w:tblGrid>
      <w:tr w:rsidR="009A1909" w:rsidRPr="0001128D" w:rsidTr="008E4498">
        <w:tc>
          <w:tcPr>
            <w:tcW w:w="2524" w:type="dxa"/>
            <w:shd w:val="clear" w:color="auto" w:fill="D9D9D9" w:themeFill="background1" w:themeFillShade="D9"/>
          </w:tcPr>
          <w:p w:rsidR="009A1909" w:rsidRPr="0001128D" w:rsidRDefault="00672039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Élé</w:t>
            </w:r>
            <w:r w:rsidR="009A1909" w:rsidRPr="0001128D">
              <w:rPr>
                <w:b/>
                <w:bCs/>
                <w:sz w:val="17"/>
                <w:szCs w:val="17"/>
                <w:lang w:val="fr-FR"/>
              </w:rPr>
              <w:t>ment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A1909" w:rsidRPr="0001128D" w:rsidRDefault="009A1909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Description</w:t>
            </w:r>
          </w:p>
          <w:p w:rsidR="009A1909" w:rsidRPr="0001128D" w:rsidRDefault="009A1909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9A1909" w:rsidRPr="0001128D" w:rsidRDefault="00672039" w:rsidP="00672039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Obligatoire</w:t>
            </w:r>
            <w:r w:rsidR="009A1909" w:rsidRPr="0001128D">
              <w:rPr>
                <w:b/>
                <w:bCs/>
                <w:sz w:val="17"/>
                <w:szCs w:val="17"/>
                <w:lang w:val="fr-FR"/>
              </w:rPr>
              <w:t>/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>Facultatif</w:t>
            </w:r>
          </w:p>
        </w:tc>
      </w:tr>
      <w:tr w:rsidR="009A1909" w:rsidRPr="0001128D" w:rsidTr="007336B8">
        <w:tc>
          <w:tcPr>
            <w:tcW w:w="2524" w:type="dxa"/>
            <w:shd w:val="clear" w:color="auto" w:fill="auto"/>
          </w:tcPr>
          <w:p w:rsidR="009A1909" w:rsidRPr="0001128D" w:rsidRDefault="009A1909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INSDQualifier_name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A1909" w:rsidRPr="0001128D" w:rsidRDefault="009A1909" w:rsidP="00672039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</w:t>
            </w:r>
            <w:r w:rsidR="00672039" w:rsidRPr="0001128D">
              <w:rPr>
                <w:sz w:val="17"/>
                <w:szCs w:val="17"/>
                <w:lang w:val="fr-FR"/>
              </w:rPr>
              <w:t>om du qualificateur</w:t>
            </w:r>
            <w:r w:rsidRPr="0001128D">
              <w:rPr>
                <w:sz w:val="17"/>
                <w:szCs w:val="17"/>
                <w:lang w:val="fr-FR"/>
              </w:rPr>
              <w:t xml:space="preserve"> (</w:t>
            </w:r>
            <w:r w:rsidR="00672039" w:rsidRPr="0001128D">
              <w:rPr>
                <w:sz w:val="17"/>
                <w:szCs w:val="17"/>
                <w:lang w:val="fr-FR"/>
              </w:rPr>
              <w:t>voir</w:t>
            </w:r>
            <w:r w:rsidR="00024AF5" w:rsidRPr="0001128D">
              <w:rPr>
                <w:sz w:val="17"/>
                <w:szCs w:val="17"/>
                <w:lang w:val="fr-FR"/>
              </w:rPr>
              <w:t xml:space="preserve"> </w:t>
            </w:r>
            <w:r w:rsidR="00672039" w:rsidRPr="0001128D">
              <w:rPr>
                <w:sz w:val="17"/>
                <w:szCs w:val="17"/>
                <w:lang w:val="fr-FR"/>
              </w:rPr>
              <w:t>a</w:t>
            </w:r>
            <w:r w:rsidR="00024AF5" w:rsidRPr="0001128D">
              <w:rPr>
                <w:sz w:val="17"/>
                <w:szCs w:val="17"/>
                <w:lang w:val="fr-FR"/>
              </w:rPr>
              <w:t>nnex</w:t>
            </w:r>
            <w:r w:rsidR="00672039" w:rsidRPr="0001128D">
              <w:rPr>
                <w:sz w:val="17"/>
                <w:szCs w:val="17"/>
                <w:lang w:val="fr-FR"/>
              </w:rPr>
              <w:t>e </w:t>
            </w:r>
            <w:r w:rsidR="00024AF5" w:rsidRPr="0001128D">
              <w:rPr>
                <w:sz w:val="17"/>
                <w:szCs w:val="17"/>
                <w:lang w:val="fr-FR"/>
              </w:rPr>
              <w:t>I</w:t>
            </w:r>
            <w:r w:rsidR="00FB2617" w:rsidRPr="0001128D">
              <w:rPr>
                <w:sz w:val="17"/>
                <w:szCs w:val="17"/>
                <w:lang w:val="fr-FR"/>
              </w:rPr>
              <w:t xml:space="preserve">, </w:t>
            </w:r>
            <w:r w:rsidR="00672039" w:rsidRPr="0001128D">
              <w:rPr>
                <w:sz w:val="17"/>
                <w:szCs w:val="17"/>
                <w:lang w:val="fr-FR"/>
              </w:rPr>
              <w:t>s</w:t>
            </w:r>
            <w:r w:rsidRPr="0001128D">
              <w:rPr>
                <w:sz w:val="17"/>
                <w:szCs w:val="17"/>
                <w:lang w:val="fr-FR"/>
              </w:rPr>
              <w:t>ections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Pr="0001128D">
              <w:rPr>
                <w:sz w:val="17"/>
                <w:szCs w:val="17"/>
                <w:lang w:val="fr-FR"/>
              </w:rPr>
              <w:t xml:space="preserve">6 </w:t>
            </w:r>
            <w:r w:rsidR="00672039" w:rsidRPr="0001128D">
              <w:rPr>
                <w:sz w:val="17"/>
                <w:szCs w:val="17"/>
                <w:lang w:val="fr-FR"/>
              </w:rPr>
              <w:t>et</w:t>
            </w:r>
            <w:r w:rsidRPr="0001128D">
              <w:rPr>
                <w:sz w:val="17"/>
                <w:szCs w:val="17"/>
                <w:lang w:val="fr-FR"/>
              </w:rPr>
              <w:t xml:space="preserve"> 8) </w:t>
            </w:r>
          </w:p>
        </w:tc>
        <w:tc>
          <w:tcPr>
            <w:tcW w:w="2693" w:type="dxa"/>
            <w:shd w:val="clear" w:color="auto" w:fill="auto"/>
          </w:tcPr>
          <w:p w:rsidR="009A1909" w:rsidRPr="0001128D" w:rsidRDefault="00672039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</w:p>
        </w:tc>
      </w:tr>
      <w:tr w:rsidR="009A1909" w:rsidRPr="00917901" w:rsidTr="007336B8">
        <w:tc>
          <w:tcPr>
            <w:tcW w:w="2524" w:type="dxa"/>
            <w:shd w:val="clear" w:color="auto" w:fill="auto"/>
          </w:tcPr>
          <w:p w:rsidR="009A1909" w:rsidRPr="0001128D" w:rsidRDefault="009A1909" w:rsidP="007B5015">
            <w:pPr>
              <w:rPr>
                <w:rFonts w:ascii="Courier New" w:hAnsi="Courier New"/>
                <w:sz w:val="17"/>
                <w:lang w:val="fr-FR"/>
              </w:rPr>
            </w:pPr>
            <w:proofErr w:type="spellStart"/>
            <w:r w:rsidRPr="0001128D">
              <w:rPr>
                <w:rFonts w:ascii="Courier New" w:hAnsi="Courier New"/>
                <w:sz w:val="17"/>
                <w:lang w:val="fr-FR"/>
              </w:rPr>
              <w:t>INSDQualifier_value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A1909" w:rsidRPr="0001128D" w:rsidRDefault="00FD78A4" w:rsidP="00FD78A4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Valeur du qualificateur, le cas échéant, au format indiqué (voir a</w:t>
            </w:r>
            <w:r w:rsidR="00024AF5" w:rsidRPr="0001128D">
              <w:rPr>
                <w:sz w:val="17"/>
                <w:szCs w:val="17"/>
                <w:lang w:val="fr-FR"/>
              </w:rPr>
              <w:t>nnex</w:t>
            </w:r>
            <w:r w:rsidRPr="0001128D">
              <w:rPr>
                <w:sz w:val="17"/>
                <w:szCs w:val="17"/>
                <w:lang w:val="fr-FR"/>
              </w:rPr>
              <w:t>e </w:t>
            </w:r>
            <w:r w:rsidR="00024AF5" w:rsidRPr="0001128D">
              <w:rPr>
                <w:sz w:val="17"/>
                <w:szCs w:val="17"/>
                <w:lang w:val="fr-FR"/>
              </w:rPr>
              <w:t>I</w:t>
            </w:r>
            <w:r w:rsidR="00FB2617" w:rsidRPr="0001128D">
              <w:rPr>
                <w:sz w:val="17"/>
                <w:szCs w:val="17"/>
                <w:lang w:val="fr-FR"/>
              </w:rPr>
              <w:t xml:space="preserve">, </w:t>
            </w:r>
            <w:r w:rsidRPr="0001128D">
              <w:rPr>
                <w:sz w:val="17"/>
                <w:szCs w:val="17"/>
                <w:lang w:val="fr-FR"/>
              </w:rPr>
              <w:t>s</w:t>
            </w:r>
            <w:r w:rsidR="009A1909" w:rsidRPr="0001128D">
              <w:rPr>
                <w:sz w:val="17"/>
                <w:szCs w:val="17"/>
                <w:lang w:val="fr-FR"/>
              </w:rPr>
              <w:t>ections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9A1909" w:rsidRPr="0001128D">
              <w:rPr>
                <w:sz w:val="17"/>
                <w:szCs w:val="17"/>
                <w:lang w:val="fr-FR"/>
              </w:rPr>
              <w:t xml:space="preserve">6 </w:t>
            </w:r>
            <w:r w:rsidRPr="0001128D">
              <w:rPr>
                <w:sz w:val="17"/>
                <w:szCs w:val="17"/>
                <w:lang w:val="fr-FR"/>
              </w:rPr>
              <w:t>et</w:t>
            </w:r>
            <w:r w:rsidR="009A1909" w:rsidRPr="0001128D">
              <w:rPr>
                <w:sz w:val="17"/>
                <w:szCs w:val="17"/>
                <w:lang w:val="fr-FR"/>
              </w:rPr>
              <w:t xml:space="preserve"> 8)</w:t>
            </w:r>
          </w:p>
        </w:tc>
        <w:tc>
          <w:tcPr>
            <w:tcW w:w="2693" w:type="dxa"/>
            <w:shd w:val="clear" w:color="auto" w:fill="auto"/>
          </w:tcPr>
          <w:p w:rsidR="009A1909" w:rsidRPr="0001128D" w:rsidRDefault="00672039" w:rsidP="00400737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Obligatoire</w:t>
            </w:r>
            <w:r w:rsidR="00400737" w:rsidRPr="0001128D">
              <w:rPr>
                <w:sz w:val="17"/>
                <w:szCs w:val="17"/>
                <w:lang w:val="fr-FR"/>
              </w:rPr>
              <w:t xml:space="preserve"> si indiqué </w:t>
            </w:r>
            <w:r w:rsidR="009A1909" w:rsidRPr="0001128D">
              <w:rPr>
                <w:sz w:val="17"/>
                <w:szCs w:val="17"/>
                <w:lang w:val="fr-FR"/>
              </w:rPr>
              <w:t>(</w:t>
            </w:r>
            <w:r w:rsidR="00400737" w:rsidRPr="0001128D">
              <w:rPr>
                <w:sz w:val="17"/>
                <w:szCs w:val="17"/>
                <w:lang w:val="fr-FR"/>
              </w:rPr>
              <w:t>voir annexe I, sections</w:t>
            </w:r>
            <w:r w:rsidR="00745EE5" w:rsidRPr="0001128D">
              <w:rPr>
                <w:sz w:val="17"/>
                <w:szCs w:val="17"/>
                <w:lang w:val="fr-FR"/>
              </w:rPr>
              <w:t> </w:t>
            </w:r>
            <w:r w:rsidR="00400737" w:rsidRPr="0001128D">
              <w:rPr>
                <w:sz w:val="17"/>
                <w:szCs w:val="17"/>
                <w:lang w:val="fr-FR"/>
              </w:rPr>
              <w:t>6 et 8)</w:t>
            </w:r>
          </w:p>
        </w:tc>
      </w:tr>
    </w:tbl>
    <w:p w:rsidR="00A329F0" w:rsidRPr="0001128D" w:rsidRDefault="00A329F0" w:rsidP="00FD1246">
      <w:pPr>
        <w:pStyle w:val="List0"/>
        <w:tabs>
          <w:tab w:val="left" w:pos="567"/>
        </w:tabs>
        <w:rPr>
          <w:szCs w:val="17"/>
          <w:lang w:val="fr-FR"/>
        </w:rPr>
      </w:pPr>
    </w:p>
    <w:p w:rsidR="009A1909" w:rsidRPr="0001128D" w:rsidRDefault="00FA5EF1" w:rsidP="00FA5EF1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98" w:name="_Ref373148479"/>
      <w:r w:rsidRPr="0001128D">
        <w:rPr>
          <w:szCs w:val="17"/>
          <w:lang w:val="fr-FR"/>
        </w:rPr>
        <w:t xml:space="preserve">Le qualificateur </w:t>
      </w:r>
      <w:r w:rsidR="00DC6117" w:rsidRPr="0001128D">
        <w:rPr>
          <w:szCs w:val="17"/>
          <w:lang w:val="fr-FR"/>
        </w:rPr>
        <w:t>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organisme, c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est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à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dire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organism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de nucléotides (voir annexe I, section 6) et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ORGANISM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acides aminés (voir annexe I, section 8) doit divulguer la source, c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est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à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dire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organisme ou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origine unique de la séquence qui est présentée.  </w:t>
      </w:r>
      <w:r w:rsidR="00B91D3D" w:rsidRPr="0001128D">
        <w:rPr>
          <w:szCs w:val="17"/>
          <w:lang w:val="fr-FR"/>
        </w:rPr>
        <w:t>Les indications d</w:t>
      </w:r>
      <w:r w:rsidR="00A329F0" w:rsidRPr="0001128D">
        <w:rPr>
          <w:szCs w:val="17"/>
          <w:lang w:val="fr-FR"/>
        </w:rPr>
        <w:t>’</w:t>
      </w:r>
      <w:r w:rsidR="00B91D3D" w:rsidRPr="0001128D">
        <w:rPr>
          <w:szCs w:val="17"/>
          <w:lang w:val="fr-FR"/>
        </w:rPr>
        <w:t xml:space="preserve">organisme doivent être choisies </w:t>
      </w:r>
      <w:r w:rsidR="00974F3C" w:rsidRPr="0001128D">
        <w:rPr>
          <w:szCs w:val="17"/>
          <w:lang w:val="fr-FR"/>
        </w:rPr>
        <w:t>parmi</w:t>
      </w:r>
      <w:r w:rsidR="00B91D3D" w:rsidRPr="0001128D">
        <w:rPr>
          <w:szCs w:val="17"/>
          <w:lang w:val="fr-FR"/>
        </w:rPr>
        <w:t xml:space="preserve"> les éléments d</w:t>
      </w:r>
      <w:r w:rsidR="00A329F0" w:rsidRPr="0001128D">
        <w:rPr>
          <w:szCs w:val="17"/>
          <w:lang w:val="fr-FR"/>
        </w:rPr>
        <w:t>’</w:t>
      </w:r>
      <w:r w:rsidR="00B91D3D" w:rsidRPr="0001128D">
        <w:rPr>
          <w:szCs w:val="17"/>
          <w:lang w:val="fr-FR"/>
        </w:rPr>
        <w:t>une taxonomie.</w:t>
      </w:r>
      <w:bookmarkEnd w:id="98"/>
    </w:p>
    <w:p w:rsidR="009A1909" w:rsidRPr="0001128D" w:rsidRDefault="00357E0A" w:rsidP="00B520A9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99" w:name="_Ref373148488"/>
      <w:r w:rsidRPr="0001128D">
        <w:rPr>
          <w:szCs w:val="17"/>
          <w:lang w:val="fr-FR"/>
        </w:rPr>
        <w:lastRenderedPageBreak/>
        <w:t xml:space="preserve">Si la séquence </w:t>
      </w:r>
      <w:r w:rsidR="00172E44" w:rsidRPr="0001128D">
        <w:rPr>
          <w:szCs w:val="17"/>
          <w:lang w:val="fr-FR"/>
        </w:rPr>
        <w:t>existe à l</w:t>
      </w:r>
      <w:r w:rsidR="00A329F0" w:rsidRPr="0001128D">
        <w:rPr>
          <w:szCs w:val="17"/>
          <w:lang w:val="fr-FR"/>
        </w:rPr>
        <w:t>’</w:t>
      </w:r>
      <w:r w:rsidR="00172E44" w:rsidRPr="0001128D">
        <w:rPr>
          <w:szCs w:val="17"/>
          <w:lang w:val="fr-FR"/>
        </w:rPr>
        <w:t>état naturel</w:t>
      </w:r>
      <w:r w:rsidRPr="0001128D">
        <w:rPr>
          <w:szCs w:val="17"/>
          <w:lang w:val="fr-FR"/>
        </w:rPr>
        <w:t xml:space="preserve"> et </w:t>
      </w:r>
      <w:r w:rsidR="00DB37AD" w:rsidRPr="0001128D">
        <w:rPr>
          <w:szCs w:val="17"/>
          <w:lang w:val="fr-FR"/>
        </w:rPr>
        <w:t>qu</w:t>
      </w:r>
      <w:r w:rsidR="00A329F0" w:rsidRPr="0001128D">
        <w:rPr>
          <w:szCs w:val="17"/>
          <w:lang w:val="fr-FR"/>
        </w:rPr>
        <w:t>’</w:t>
      </w:r>
      <w:r w:rsidR="00DB37AD" w:rsidRPr="0001128D">
        <w:rPr>
          <w:szCs w:val="17"/>
          <w:lang w:val="fr-FR"/>
        </w:rPr>
        <w:t xml:space="preserve">il existe </w:t>
      </w:r>
      <w:r w:rsidRPr="0001128D">
        <w:rPr>
          <w:szCs w:val="17"/>
          <w:lang w:val="fr-FR"/>
        </w:rPr>
        <w:t>une désignation de genre et d</w:t>
      </w:r>
      <w:r w:rsidR="00A329F0" w:rsidRPr="0001128D">
        <w:rPr>
          <w:szCs w:val="17"/>
          <w:lang w:val="fr-FR"/>
        </w:rPr>
        <w:t>’</w:t>
      </w:r>
      <w:r w:rsidR="00DB37AD" w:rsidRPr="0001128D">
        <w:rPr>
          <w:szCs w:val="17"/>
          <w:lang w:val="fr-FR"/>
        </w:rPr>
        <w:t>espèce en latin pour l</w:t>
      </w:r>
      <w:r w:rsidR="00A329F0" w:rsidRPr="0001128D">
        <w:rPr>
          <w:szCs w:val="17"/>
          <w:lang w:val="fr-FR"/>
        </w:rPr>
        <w:t>’</w:t>
      </w:r>
      <w:r w:rsidR="00DB37AD" w:rsidRPr="0001128D">
        <w:rPr>
          <w:szCs w:val="17"/>
          <w:lang w:val="fr-FR"/>
        </w:rPr>
        <w:t xml:space="preserve">organisme source, </w:t>
      </w:r>
      <w:r w:rsidR="00F60846" w:rsidRPr="0001128D">
        <w:rPr>
          <w:szCs w:val="17"/>
          <w:lang w:val="fr-FR"/>
        </w:rPr>
        <w:t>le qualificateur doit prendre cette désignation pour valeur.</w:t>
      </w:r>
      <w:r w:rsidR="00B0340B" w:rsidRPr="0001128D">
        <w:rPr>
          <w:szCs w:val="17"/>
          <w:lang w:val="fr-FR"/>
        </w:rPr>
        <w:t xml:space="preserve">  Il est possible d</w:t>
      </w:r>
      <w:r w:rsidR="00A329F0" w:rsidRPr="0001128D">
        <w:rPr>
          <w:szCs w:val="17"/>
          <w:lang w:val="fr-FR"/>
        </w:rPr>
        <w:t>’</w:t>
      </w:r>
      <w:r w:rsidR="00B0340B" w:rsidRPr="0001128D">
        <w:rPr>
          <w:szCs w:val="17"/>
          <w:lang w:val="fr-FR"/>
        </w:rPr>
        <w:t>indiquer le nom commun anglais le plus courant à l</w:t>
      </w:r>
      <w:r w:rsidR="00A329F0" w:rsidRPr="0001128D">
        <w:rPr>
          <w:szCs w:val="17"/>
          <w:lang w:val="fr-FR"/>
        </w:rPr>
        <w:t>’</w:t>
      </w:r>
      <w:r w:rsidR="00B0340B" w:rsidRPr="0001128D">
        <w:rPr>
          <w:szCs w:val="17"/>
          <w:lang w:val="fr-FR"/>
        </w:rPr>
        <w:t xml:space="preserve">aide du qualificateur </w:t>
      </w:r>
      <w:r w:rsidR="00745EE5" w:rsidRPr="0001128D">
        <w:rPr>
          <w:szCs w:val="17"/>
          <w:lang w:val="fr-FR"/>
        </w:rPr>
        <w:t>“</w:t>
      </w:r>
      <w:r w:rsidR="00B0340B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B0340B" w:rsidRPr="0001128D">
        <w:rPr>
          <w:szCs w:val="17"/>
          <w:lang w:val="fr-FR"/>
        </w:rPr>
        <w:t xml:space="preserve"> pour les séquences de nucléotides et </w:t>
      </w:r>
      <w:r w:rsidR="00745EE5" w:rsidRPr="0001128D">
        <w:rPr>
          <w:szCs w:val="17"/>
          <w:lang w:val="fr-FR"/>
        </w:rPr>
        <w:t>“</w:t>
      </w:r>
      <w:r w:rsidR="00B0340B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B0340B"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="00B0340B" w:rsidRPr="0001128D">
        <w:rPr>
          <w:szCs w:val="17"/>
          <w:lang w:val="fr-FR"/>
        </w:rPr>
        <w:t>acides aminés, mais ce nom ne doit pas être employé comme valeur du qualificateur d</w:t>
      </w:r>
      <w:r w:rsidR="00A329F0" w:rsidRPr="0001128D">
        <w:rPr>
          <w:szCs w:val="17"/>
          <w:lang w:val="fr-FR"/>
        </w:rPr>
        <w:t>’</w:t>
      </w:r>
      <w:r w:rsidR="00B0340B" w:rsidRPr="0001128D">
        <w:rPr>
          <w:szCs w:val="17"/>
          <w:lang w:val="fr-FR"/>
        </w:rPr>
        <w:t>organisme.</w:t>
      </w:r>
      <w:bookmarkEnd w:id="99"/>
    </w:p>
    <w:p w:rsidR="00B0340B" w:rsidRPr="0001128D" w:rsidRDefault="00172E4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Les exemples suivants illustrent la source de séquences présentées conformément aux paragraphes 78 et</w:t>
      </w:r>
      <w:r w:rsidR="000D326B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79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363887" w:rsidRPr="0001128D" w:rsidRDefault="00A366B4" w:rsidP="00A366B4">
      <w:pPr>
        <w:pStyle w:val="Paragraph"/>
        <w:numPr>
          <w:ilvl w:val="0"/>
          <w:numId w:val="0"/>
        </w:numPr>
        <w:rPr>
          <w:lang w:val="fr-FR"/>
        </w:rPr>
      </w:pPr>
      <w:r w:rsidRPr="0001128D">
        <w:rPr>
          <w:sz w:val="17"/>
          <w:lang w:val="fr-FR"/>
        </w:rPr>
        <w:t>Ex</w:t>
      </w:r>
      <w:r w:rsidR="00172E44" w:rsidRPr="0001128D">
        <w:rPr>
          <w:sz w:val="17"/>
          <w:lang w:val="fr-FR"/>
        </w:rPr>
        <w:t>e</w:t>
      </w:r>
      <w:r w:rsidRPr="0001128D">
        <w:rPr>
          <w:sz w:val="17"/>
          <w:lang w:val="fr-FR"/>
        </w:rPr>
        <w:t>mple 1</w:t>
      </w:r>
      <w:r w:rsidR="00745EE5" w:rsidRPr="0001128D">
        <w:rPr>
          <w:sz w:val="17"/>
          <w:lang w:val="fr-FR"/>
        </w:rPr>
        <w:t> :</w:t>
      </w:r>
      <w:r w:rsidRPr="0001128D">
        <w:rPr>
          <w:sz w:val="17"/>
          <w:lang w:val="fr-FR"/>
        </w:rPr>
        <w:t xml:space="preserve"> </w:t>
      </w:r>
      <w:r w:rsidR="000D326B">
        <w:rPr>
          <w:sz w:val="17"/>
          <w:lang w:val="fr-FR"/>
        </w:rPr>
        <w:t>S</w:t>
      </w:r>
      <w:r w:rsidR="00E4544F" w:rsidRPr="0001128D">
        <w:rPr>
          <w:sz w:val="17"/>
          <w:lang w:val="fr-FR"/>
        </w:rPr>
        <w:t xml:space="preserve">ource </w:t>
      </w:r>
      <w:r w:rsidR="00172E44" w:rsidRPr="0001128D">
        <w:rPr>
          <w:sz w:val="17"/>
          <w:lang w:val="fr-FR"/>
        </w:rPr>
        <w:t>d</w:t>
      </w:r>
      <w:r w:rsidR="00A329F0" w:rsidRPr="0001128D">
        <w:rPr>
          <w:sz w:val="17"/>
          <w:lang w:val="fr-FR"/>
        </w:rPr>
        <w:t>’</w:t>
      </w:r>
      <w:r w:rsidR="00172E44" w:rsidRPr="0001128D">
        <w:rPr>
          <w:sz w:val="17"/>
          <w:lang w:val="fr-FR"/>
        </w:rPr>
        <w:t>une séquence de nucléotides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..5164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Solanum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lycopersicum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&gt;common name: tomato&lt;/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mol_type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&gt;genomic DNA&lt;/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363887" w:rsidRPr="0001128D" w:rsidRDefault="00A366B4" w:rsidP="00FD1246">
      <w:pPr>
        <w:pStyle w:val="Paragraph"/>
        <w:numPr>
          <w:ilvl w:val="0"/>
          <w:numId w:val="0"/>
        </w:numPr>
        <w:rPr>
          <w:sz w:val="17"/>
          <w:lang w:val="fr-FR"/>
        </w:rPr>
      </w:pPr>
      <w:r w:rsidRPr="0001128D">
        <w:rPr>
          <w:sz w:val="17"/>
          <w:lang w:val="fr-FR"/>
        </w:rPr>
        <w:t>Ex</w:t>
      </w:r>
      <w:r w:rsidR="00172E44" w:rsidRPr="0001128D">
        <w:rPr>
          <w:sz w:val="17"/>
          <w:lang w:val="fr-FR"/>
        </w:rPr>
        <w:t>e</w:t>
      </w:r>
      <w:r w:rsidRPr="0001128D">
        <w:rPr>
          <w:sz w:val="17"/>
          <w:lang w:val="fr-FR"/>
        </w:rPr>
        <w:t>mple 2</w:t>
      </w:r>
      <w:r w:rsidR="00745EE5" w:rsidRPr="0001128D">
        <w:rPr>
          <w:sz w:val="17"/>
          <w:lang w:val="fr-FR"/>
        </w:rPr>
        <w:t> :</w:t>
      </w:r>
      <w:r w:rsidRPr="0001128D">
        <w:rPr>
          <w:sz w:val="17"/>
          <w:lang w:val="fr-FR"/>
        </w:rPr>
        <w:t xml:space="preserve"> </w:t>
      </w:r>
      <w:r w:rsidR="000D326B">
        <w:rPr>
          <w:sz w:val="17"/>
          <w:lang w:val="fr-FR"/>
        </w:rPr>
        <w:t>S</w:t>
      </w:r>
      <w:r w:rsidR="00172E44" w:rsidRPr="0001128D">
        <w:rPr>
          <w:sz w:val="17"/>
          <w:lang w:val="fr-FR"/>
        </w:rPr>
        <w:t>ource d</w:t>
      </w:r>
      <w:r w:rsidR="00A329F0" w:rsidRPr="0001128D">
        <w:rPr>
          <w:sz w:val="17"/>
          <w:lang w:val="fr-FR"/>
        </w:rPr>
        <w:t>’</w:t>
      </w:r>
      <w:r w:rsidR="00172E44" w:rsidRPr="0001128D">
        <w:rPr>
          <w:sz w:val="17"/>
          <w:lang w:val="fr-FR"/>
        </w:rPr>
        <w:t>une séquence de protéines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..174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&gt;Homo sapiens&lt;/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&gt;MOL_TYPE&lt;/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&gt;protein&lt;/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63887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363887" w:rsidRPr="00917901" w:rsidRDefault="00363887" w:rsidP="00C32FAB">
      <w:pPr>
        <w:pStyle w:val="List0"/>
        <w:tabs>
          <w:tab w:val="left" w:pos="567"/>
        </w:tabs>
        <w:rPr>
          <w:szCs w:val="17"/>
        </w:rPr>
      </w:pPr>
    </w:p>
    <w:p w:rsidR="00363887" w:rsidRPr="0001128D" w:rsidRDefault="00172E44" w:rsidP="00610A0E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Si la séquence existe à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état naturel </w:t>
      </w:r>
      <w:r w:rsidR="008C2A72" w:rsidRPr="0001128D">
        <w:rPr>
          <w:szCs w:val="17"/>
          <w:lang w:val="fr-FR"/>
        </w:rPr>
        <w:t>et qu</w:t>
      </w:r>
      <w:r w:rsidR="00A329F0" w:rsidRPr="0001128D">
        <w:rPr>
          <w:szCs w:val="17"/>
          <w:lang w:val="fr-FR"/>
        </w:rPr>
        <w:t>’</w:t>
      </w:r>
      <w:r w:rsidR="008C2A72" w:rsidRPr="0001128D">
        <w:rPr>
          <w:szCs w:val="17"/>
          <w:lang w:val="fr-FR"/>
        </w:rPr>
        <w:t>il existe une désignation de genre en latin pour l</w:t>
      </w:r>
      <w:r w:rsidR="00A329F0" w:rsidRPr="0001128D">
        <w:rPr>
          <w:szCs w:val="17"/>
          <w:lang w:val="fr-FR"/>
        </w:rPr>
        <w:t>’</w:t>
      </w:r>
      <w:r w:rsidR="008C2A72" w:rsidRPr="0001128D">
        <w:rPr>
          <w:szCs w:val="17"/>
          <w:lang w:val="fr-FR"/>
        </w:rPr>
        <w:t xml:space="preserve">organisme source, </w:t>
      </w:r>
      <w:r w:rsidR="00610A0E" w:rsidRPr="0001128D">
        <w:rPr>
          <w:szCs w:val="17"/>
          <w:lang w:val="fr-FR"/>
        </w:rPr>
        <w:t>mais que l</w:t>
      </w:r>
      <w:r w:rsidR="00A329F0" w:rsidRPr="0001128D">
        <w:rPr>
          <w:szCs w:val="17"/>
          <w:lang w:val="fr-FR"/>
        </w:rPr>
        <w:t>’</w:t>
      </w:r>
      <w:r w:rsidR="00610A0E" w:rsidRPr="0001128D">
        <w:rPr>
          <w:szCs w:val="17"/>
          <w:lang w:val="fr-FR"/>
        </w:rPr>
        <w:t>espèce n</w:t>
      </w:r>
      <w:r w:rsidR="00A329F0" w:rsidRPr="0001128D">
        <w:rPr>
          <w:szCs w:val="17"/>
          <w:lang w:val="fr-FR"/>
        </w:rPr>
        <w:t>’</w:t>
      </w:r>
      <w:r w:rsidR="00610A0E" w:rsidRPr="0001128D">
        <w:rPr>
          <w:szCs w:val="17"/>
          <w:lang w:val="fr-FR"/>
        </w:rPr>
        <w:t>est pas indiquée ou connue, le qualificateur d</w:t>
      </w:r>
      <w:r w:rsidR="00A329F0" w:rsidRPr="0001128D">
        <w:rPr>
          <w:szCs w:val="17"/>
          <w:lang w:val="fr-FR"/>
        </w:rPr>
        <w:t>’</w:t>
      </w:r>
      <w:r w:rsidR="00610A0E" w:rsidRPr="0001128D">
        <w:rPr>
          <w:szCs w:val="17"/>
          <w:lang w:val="fr-FR"/>
        </w:rPr>
        <w:t xml:space="preserve">organisme doit prendre pour valeur le genre en latin suivi de </w:t>
      </w:r>
      <w:r w:rsidR="00745EE5" w:rsidRPr="0001128D">
        <w:rPr>
          <w:szCs w:val="17"/>
          <w:lang w:val="fr-FR"/>
        </w:rPr>
        <w:t>“</w:t>
      </w:r>
      <w:proofErr w:type="spellStart"/>
      <w:r w:rsidR="00610A0E" w:rsidRPr="0001128D">
        <w:rPr>
          <w:szCs w:val="17"/>
          <w:lang w:val="fr-FR"/>
        </w:rPr>
        <w:t>sp</w:t>
      </w:r>
      <w:proofErr w:type="spellEnd"/>
      <w:r w:rsidR="00A93297" w:rsidRPr="0001128D">
        <w:rPr>
          <w:szCs w:val="17"/>
          <w:lang w:val="fr-FR"/>
        </w:rPr>
        <w:t>.</w:t>
      </w:r>
      <w:r w:rsidR="00745EE5" w:rsidRPr="0001128D">
        <w:rPr>
          <w:szCs w:val="17"/>
          <w:lang w:val="fr-FR"/>
        </w:rPr>
        <w:t>”</w:t>
      </w:r>
      <w:r w:rsidR="00610A0E" w:rsidRPr="0001128D">
        <w:rPr>
          <w:szCs w:val="17"/>
          <w:lang w:val="fr-FR"/>
        </w:rPr>
        <w:t>, par exemple</w:t>
      </w:r>
      <w:r w:rsidR="00745EE5" w:rsidRPr="0001128D">
        <w:rPr>
          <w:szCs w:val="17"/>
          <w:lang w:val="fr-FR"/>
        </w:rPr>
        <w:t> </w:t>
      </w:r>
      <w:r w:rsidR="00610A0E" w:rsidRPr="0001128D">
        <w:rPr>
          <w:szCs w:val="17"/>
          <w:lang w:val="fr-FR"/>
        </w:rPr>
        <w:t>:</w:t>
      </w:r>
    </w:p>
    <w:p w:rsidR="00363887" w:rsidRPr="00917901" w:rsidRDefault="00363887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0D326B" w:rsidRPr="00917901" w:rsidRDefault="00363887" w:rsidP="000D326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&gt;Bacillus sp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.&lt;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386B56" w:rsidRPr="00917901" w:rsidRDefault="00386B56" w:rsidP="00386B56">
      <w:pPr>
        <w:pStyle w:val="List0"/>
        <w:tabs>
          <w:tab w:val="left" w:pos="567"/>
        </w:tabs>
        <w:rPr>
          <w:szCs w:val="17"/>
        </w:rPr>
      </w:pPr>
    </w:p>
    <w:p w:rsidR="00363887" w:rsidRPr="0001128D" w:rsidRDefault="007B7514" w:rsidP="007B7514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Si la source de la séquence est naturelle, mais que la désignation latine de genre 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espèce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organisme est inconnue, </w:t>
      </w:r>
      <w:r w:rsidR="00841637" w:rsidRPr="0001128D">
        <w:rPr>
          <w:szCs w:val="17"/>
          <w:lang w:val="fr-FR"/>
        </w:rPr>
        <w:t>le qualificateur d</w:t>
      </w:r>
      <w:r w:rsidR="00A329F0" w:rsidRPr="0001128D">
        <w:rPr>
          <w:szCs w:val="17"/>
          <w:lang w:val="fr-FR"/>
        </w:rPr>
        <w:t>’</w:t>
      </w:r>
      <w:r w:rsidR="00841637" w:rsidRPr="0001128D">
        <w:rPr>
          <w:szCs w:val="17"/>
          <w:lang w:val="fr-FR"/>
        </w:rPr>
        <w:t>organisme doit prendre pour valeur l</w:t>
      </w:r>
      <w:r w:rsidR="00A329F0" w:rsidRPr="0001128D">
        <w:rPr>
          <w:szCs w:val="17"/>
          <w:lang w:val="fr-FR"/>
        </w:rPr>
        <w:t>’</w:t>
      </w:r>
      <w:r w:rsidR="00841637" w:rsidRPr="0001128D">
        <w:rPr>
          <w:szCs w:val="17"/>
          <w:lang w:val="fr-FR"/>
        </w:rPr>
        <w:t xml:space="preserve">indication </w:t>
      </w:r>
      <w:r w:rsidR="00745EE5" w:rsidRPr="0001128D">
        <w:rPr>
          <w:szCs w:val="17"/>
          <w:lang w:val="fr-FR"/>
        </w:rPr>
        <w:t>“</w:t>
      </w:r>
      <w:proofErr w:type="spellStart"/>
      <w:r w:rsidR="00841637" w:rsidRPr="0001128D">
        <w:rPr>
          <w:szCs w:val="17"/>
          <w:lang w:val="fr-FR"/>
        </w:rPr>
        <w:t>unidentified</w:t>
      </w:r>
      <w:proofErr w:type="spellEnd"/>
      <w:r w:rsidR="00745EE5" w:rsidRPr="0001128D">
        <w:rPr>
          <w:szCs w:val="17"/>
          <w:lang w:val="fr-FR"/>
        </w:rPr>
        <w:t>”</w:t>
      </w:r>
      <w:r w:rsidR="00C00224" w:rsidRPr="0001128D">
        <w:rPr>
          <w:szCs w:val="17"/>
          <w:lang w:val="fr-FR"/>
        </w:rPr>
        <w:t xml:space="preserve"> et être accompagné</w:t>
      </w:r>
      <w:r w:rsidR="00841637" w:rsidRPr="0001128D">
        <w:rPr>
          <w:szCs w:val="17"/>
          <w:lang w:val="fr-FR"/>
        </w:rPr>
        <w:t xml:space="preserve"> de toute information taxonomique connue dans le qualificateur </w:t>
      </w:r>
      <w:r w:rsidR="00745EE5" w:rsidRPr="0001128D">
        <w:rPr>
          <w:szCs w:val="17"/>
          <w:lang w:val="fr-FR"/>
        </w:rPr>
        <w:t>“</w:t>
      </w:r>
      <w:r w:rsidR="00841637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841637" w:rsidRPr="0001128D">
        <w:rPr>
          <w:szCs w:val="17"/>
          <w:lang w:val="fr-FR"/>
        </w:rPr>
        <w:t xml:space="preserve"> pour les séquences de nucléotides et </w:t>
      </w:r>
      <w:r w:rsidR="00745EE5" w:rsidRPr="0001128D">
        <w:rPr>
          <w:szCs w:val="17"/>
          <w:lang w:val="fr-FR"/>
        </w:rPr>
        <w:t>“</w:t>
      </w:r>
      <w:r w:rsidR="00841637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841637"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="00841637" w:rsidRPr="0001128D">
        <w:rPr>
          <w:szCs w:val="17"/>
          <w:lang w:val="fr-FR"/>
        </w:rPr>
        <w:t>acides aminés, par exemple</w:t>
      </w:r>
      <w:r w:rsidR="00745EE5" w:rsidRPr="0001128D">
        <w:rPr>
          <w:szCs w:val="17"/>
          <w:lang w:val="fr-FR"/>
        </w:rPr>
        <w:t> </w:t>
      </w:r>
      <w:r w:rsidR="00841637" w:rsidRPr="0001128D">
        <w:rPr>
          <w:szCs w:val="17"/>
          <w:lang w:val="fr-FR"/>
        </w:rPr>
        <w:t>: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&gt;unidentified&lt;/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&gt;bacterium B8&lt;/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FD1246" w:rsidRPr="00917901" w:rsidRDefault="00FD1246" w:rsidP="00FD1246">
      <w:pPr>
        <w:pStyle w:val="List0"/>
        <w:tabs>
          <w:tab w:val="left" w:pos="567"/>
        </w:tabs>
        <w:rPr>
          <w:szCs w:val="17"/>
        </w:rPr>
      </w:pPr>
    </w:p>
    <w:p w:rsidR="00FB7FE4" w:rsidRPr="0001128D" w:rsidRDefault="00FB7FE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lastRenderedPageBreak/>
        <w:t>Si la séquence existe à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état naturel et que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organisme source n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 pas de désignation de genre 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espèce en latin (comme par exemple un virus),</w:t>
      </w:r>
      <w:r w:rsidR="00E31C45" w:rsidRPr="0001128D">
        <w:rPr>
          <w:szCs w:val="17"/>
          <w:lang w:val="fr-FR"/>
        </w:rPr>
        <w:t xml:space="preserve"> le qualificateur d</w:t>
      </w:r>
      <w:r w:rsidR="00A329F0" w:rsidRPr="0001128D">
        <w:rPr>
          <w:szCs w:val="17"/>
          <w:lang w:val="fr-FR"/>
        </w:rPr>
        <w:t>’</w:t>
      </w:r>
      <w:r w:rsidR="00E31C45" w:rsidRPr="0001128D">
        <w:rPr>
          <w:szCs w:val="17"/>
          <w:lang w:val="fr-FR"/>
        </w:rPr>
        <w:t>organisme peut prendre pour valeur</w:t>
      </w:r>
      <w:r w:rsidRPr="0001128D">
        <w:rPr>
          <w:szCs w:val="17"/>
          <w:lang w:val="fr-FR"/>
        </w:rPr>
        <w:t xml:space="preserve"> un autre nom scientifique acceptable (ex</w:t>
      </w:r>
      <w:r w:rsidR="00745EE5" w:rsidRPr="0001128D">
        <w:rPr>
          <w:szCs w:val="17"/>
          <w:lang w:val="fr-FR"/>
        </w:rPr>
        <w:t> :</w:t>
      </w:r>
      <w:r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="00E31C45" w:rsidRPr="0001128D">
        <w:rPr>
          <w:szCs w:val="17"/>
          <w:lang w:val="fr-FR"/>
        </w:rPr>
        <w:t>adénovirus canin type 2</w:t>
      </w:r>
      <w:r w:rsidR="00745EE5" w:rsidRPr="0001128D">
        <w:rPr>
          <w:szCs w:val="17"/>
          <w:lang w:val="fr-FR"/>
        </w:rPr>
        <w:t>”</w:t>
      </w:r>
      <w:r w:rsidR="00E577A6" w:rsidRPr="0001128D">
        <w:rPr>
          <w:szCs w:val="17"/>
          <w:lang w:val="fr-FR"/>
        </w:rPr>
        <w:t>)</w:t>
      </w:r>
      <w:r w:rsidR="00E31C45" w:rsidRPr="0001128D">
        <w:rPr>
          <w:szCs w:val="17"/>
          <w:lang w:val="fr-FR"/>
        </w:rPr>
        <w:t>, par exemple</w:t>
      </w:r>
      <w:r w:rsidR="00745EE5" w:rsidRPr="0001128D">
        <w:rPr>
          <w:szCs w:val="17"/>
          <w:lang w:val="fr-FR"/>
        </w:rPr>
        <w:t> </w:t>
      </w:r>
      <w:r w:rsidR="00E31C45" w:rsidRPr="0001128D">
        <w:rPr>
          <w:szCs w:val="17"/>
          <w:lang w:val="fr-FR"/>
        </w:rPr>
        <w:t>: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&gt;Canine adenovirus type 2&lt;/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FD1246" w:rsidRPr="00917901" w:rsidRDefault="00FD1246" w:rsidP="00FD1246">
      <w:pPr>
        <w:pStyle w:val="List0"/>
        <w:tabs>
          <w:tab w:val="left" w:pos="567"/>
        </w:tabs>
        <w:rPr>
          <w:szCs w:val="17"/>
        </w:rPr>
      </w:pPr>
    </w:p>
    <w:p w:rsidR="006B617F" w:rsidRPr="0001128D" w:rsidRDefault="00A77AEA" w:rsidP="00E31C45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Si la séquence n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existe pas à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état naturel, le qualificateur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organisme doit prendre pour valeur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synthetic</w:t>
      </w:r>
      <w:proofErr w:type="spellEnd"/>
      <w:r w:rsidRPr="0001128D">
        <w:rPr>
          <w:szCs w:val="17"/>
          <w:lang w:val="fr-FR"/>
        </w:rPr>
        <w:t xml:space="preserve"> </w:t>
      </w:r>
      <w:proofErr w:type="spellStart"/>
      <w:r w:rsidRPr="0001128D">
        <w:rPr>
          <w:szCs w:val="17"/>
          <w:lang w:val="fr-FR"/>
        </w:rPr>
        <w:t>construct</w:t>
      </w:r>
      <w:proofErr w:type="spellEnd"/>
      <w:r w:rsidR="00745EE5" w:rsidRPr="0001128D">
        <w:rPr>
          <w:szCs w:val="17"/>
          <w:lang w:val="fr-FR"/>
        </w:rPr>
        <w:t>”.</w:t>
      </w:r>
      <w:r w:rsidRPr="0001128D">
        <w:rPr>
          <w:szCs w:val="17"/>
          <w:lang w:val="fr-FR"/>
        </w:rPr>
        <w:t xml:space="preserve">  </w:t>
      </w:r>
      <w:r w:rsidR="00C21176" w:rsidRPr="0001128D">
        <w:rPr>
          <w:szCs w:val="17"/>
          <w:lang w:val="fr-FR"/>
        </w:rPr>
        <w:t>On peut ajouter d</w:t>
      </w:r>
      <w:r w:rsidR="00A329F0" w:rsidRPr="0001128D">
        <w:rPr>
          <w:szCs w:val="17"/>
          <w:lang w:val="fr-FR"/>
        </w:rPr>
        <w:t>’</w:t>
      </w:r>
      <w:r w:rsidR="00C21176" w:rsidRPr="0001128D">
        <w:rPr>
          <w:szCs w:val="17"/>
          <w:lang w:val="fr-FR"/>
        </w:rPr>
        <w:t>autres informations sur la manière dont la séquence a été créée à l</w:t>
      </w:r>
      <w:r w:rsidR="00A329F0" w:rsidRPr="0001128D">
        <w:rPr>
          <w:szCs w:val="17"/>
          <w:lang w:val="fr-FR"/>
        </w:rPr>
        <w:t>’</w:t>
      </w:r>
      <w:r w:rsidR="00C21176" w:rsidRPr="0001128D">
        <w:rPr>
          <w:szCs w:val="17"/>
          <w:lang w:val="fr-FR"/>
        </w:rPr>
        <w:t xml:space="preserve">aide du qualificateur </w:t>
      </w:r>
      <w:r w:rsidR="00745EE5" w:rsidRPr="0001128D">
        <w:rPr>
          <w:szCs w:val="17"/>
          <w:lang w:val="fr-FR"/>
        </w:rPr>
        <w:t>“</w:t>
      </w:r>
      <w:r w:rsidR="00C21176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C21176" w:rsidRPr="0001128D">
        <w:rPr>
          <w:szCs w:val="17"/>
          <w:lang w:val="fr-FR"/>
        </w:rPr>
        <w:t xml:space="preserve"> pour les séquences de nucléotides et </w:t>
      </w:r>
      <w:r w:rsidR="00745EE5" w:rsidRPr="0001128D">
        <w:rPr>
          <w:szCs w:val="17"/>
          <w:lang w:val="fr-FR"/>
        </w:rPr>
        <w:t>“</w:t>
      </w:r>
      <w:r w:rsidR="00C21176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C21176"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="00C21176" w:rsidRPr="0001128D">
        <w:rPr>
          <w:szCs w:val="17"/>
          <w:lang w:val="fr-FR"/>
        </w:rPr>
        <w:t>acides aminés, par exemple</w:t>
      </w:r>
      <w:r w:rsidR="00745EE5" w:rsidRPr="0001128D">
        <w:rPr>
          <w:szCs w:val="17"/>
          <w:lang w:val="fr-FR"/>
        </w:rPr>
        <w:t> </w:t>
      </w:r>
      <w:r w:rsidR="00C21176" w:rsidRPr="0001128D">
        <w:rPr>
          <w:szCs w:val="17"/>
          <w:lang w:val="fr-FR"/>
        </w:rPr>
        <w:t>: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&gt;SOURCE&lt;/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..40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&gt;ORGANISM&lt;/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&gt;synthetic construct&lt;/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&gt;MOL_TYPE&lt;/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&gt;protein&lt;/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&gt;synthetic peptide used as assay for antibodies&lt;/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6B617F" w:rsidRPr="00917901" w:rsidRDefault="006B617F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FD1246" w:rsidRPr="00917901" w:rsidRDefault="00FD1246" w:rsidP="00FD1246">
      <w:pPr>
        <w:pStyle w:val="List0"/>
        <w:tabs>
          <w:tab w:val="left" w:pos="567"/>
        </w:tabs>
        <w:rPr>
          <w:szCs w:val="17"/>
        </w:rPr>
      </w:pPr>
      <w:bookmarkStart w:id="100" w:name="_Toc371330401"/>
    </w:p>
    <w:p w:rsidR="000C2511" w:rsidRPr="0001128D" w:rsidRDefault="008C5F50" w:rsidP="00C21176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Le qualificateur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mol_type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de nucléotides (voir annexe I, section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 xml:space="preserve">6) et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MOL_TYPE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pour les séquences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acides aminés (voir annexe I, section 8) doit divulguer le type de molécule représenté dans la séquence.  Ces qualificateurs sont distincts de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élément </w:t>
      </w:r>
      <w:proofErr w:type="spellStart"/>
      <w:r w:rsidRPr="0001128D">
        <w:rPr>
          <w:rFonts w:ascii="Courier New" w:hAnsi="Courier New"/>
          <w:lang w:val="fr-FR"/>
        </w:rPr>
        <w:t>INSDSeq_moltype</w:t>
      </w:r>
      <w:proofErr w:type="spellEnd"/>
      <w:r w:rsidRPr="0001128D">
        <w:rPr>
          <w:szCs w:val="17"/>
          <w:lang w:val="fr-FR"/>
        </w:rPr>
        <w:t xml:space="preserve"> examiné au paragraphe 54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p w:rsidR="00A24CAD" w:rsidRPr="0001128D" w:rsidRDefault="005B1271" w:rsidP="008B4E62">
      <w:pPr>
        <w:pStyle w:val="List0R"/>
        <w:numPr>
          <w:ilvl w:val="0"/>
          <w:numId w:val="28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p</w:t>
      </w:r>
      <w:r w:rsidR="00EC0EE4" w:rsidRPr="0001128D">
        <w:rPr>
          <w:lang w:val="fr-FR"/>
        </w:rPr>
        <w:t xml:space="preserve">our </w:t>
      </w:r>
      <w:r w:rsidRPr="0001128D">
        <w:rPr>
          <w:lang w:val="fr-FR"/>
        </w:rPr>
        <w:t>des</w:t>
      </w:r>
      <w:r w:rsidR="00EC0EE4" w:rsidRPr="0001128D">
        <w:rPr>
          <w:lang w:val="fr-FR"/>
        </w:rPr>
        <w:t xml:space="preserve"> séquence</w:t>
      </w:r>
      <w:r w:rsidRPr="0001128D">
        <w:rPr>
          <w:lang w:val="fr-FR"/>
        </w:rPr>
        <w:t>s</w:t>
      </w:r>
      <w:r w:rsidR="00EC0EE4" w:rsidRPr="0001128D">
        <w:rPr>
          <w:lang w:val="fr-FR"/>
        </w:rPr>
        <w:t xml:space="preserve"> de nucléotides, la valeur du qualificateur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mol_type</w:t>
      </w:r>
      <w:proofErr w:type="spellEnd"/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 doit être l</w:t>
      </w:r>
      <w:r w:rsidR="00A329F0" w:rsidRPr="0001128D">
        <w:rPr>
          <w:lang w:val="fr-FR"/>
        </w:rPr>
        <w:t>’</w:t>
      </w:r>
      <w:r w:rsidR="00EC0EE4" w:rsidRPr="0001128D">
        <w:rPr>
          <w:lang w:val="fr-FR"/>
        </w:rPr>
        <w:t>un des éléments suivants</w:t>
      </w:r>
      <w:r w:rsidR="00745EE5" w:rsidRPr="0001128D">
        <w:rPr>
          <w:lang w:val="fr-FR"/>
        </w:rPr>
        <w:t> : “</w:t>
      </w:r>
      <w:proofErr w:type="spellStart"/>
      <w:r w:rsidR="00EC0EE4" w:rsidRPr="0001128D">
        <w:rPr>
          <w:lang w:val="fr-FR"/>
        </w:rPr>
        <w:t>genomic</w:t>
      </w:r>
      <w:proofErr w:type="spellEnd"/>
      <w:r w:rsidR="00EC0EE4" w:rsidRPr="0001128D">
        <w:rPr>
          <w:lang w:val="fr-FR"/>
        </w:rPr>
        <w:t xml:space="preserve"> DNA</w:t>
      </w:r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genomic</w:t>
      </w:r>
      <w:proofErr w:type="spellEnd"/>
      <w:r w:rsidR="00EC0EE4" w:rsidRPr="0001128D">
        <w:rPr>
          <w:lang w:val="fr-FR"/>
        </w:rPr>
        <w:t xml:space="preserve"> RNA</w:t>
      </w:r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mRNA</w:t>
      </w:r>
      <w:proofErr w:type="spellEnd"/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tRNA</w:t>
      </w:r>
      <w:proofErr w:type="spellEnd"/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rRNA</w:t>
      </w:r>
      <w:proofErr w:type="spellEnd"/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4070B4" w:rsidRPr="0001128D">
        <w:rPr>
          <w:lang w:val="fr-FR"/>
        </w:rPr>
        <w:t>other</w:t>
      </w:r>
      <w:proofErr w:type="spellEnd"/>
      <w:r w:rsidR="00EC0EE4" w:rsidRPr="0001128D">
        <w:rPr>
          <w:lang w:val="fr-FR"/>
        </w:rPr>
        <w:t xml:space="preserve"> RNA</w:t>
      </w:r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other</w:t>
      </w:r>
      <w:proofErr w:type="spellEnd"/>
      <w:r w:rsidR="00EC0EE4" w:rsidRPr="0001128D">
        <w:rPr>
          <w:lang w:val="fr-FR"/>
        </w:rPr>
        <w:t xml:space="preserve"> DNA</w:t>
      </w:r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transcribed</w:t>
      </w:r>
      <w:proofErr w:type="spellEnd"/>
      <w:r w:rsidR="00EC0EE4" w:rsidRPr="0001128D">
        <w:rPr>
          <w:lang w:val="fr-FR"/>
        </w:rPr>
        <w:t xml:space="preserve"> RNA</w:t>
      </w:r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r w:rsidR="00EC0EE4" w:rsidRPr="0001128D">
        <w:rPr>
          <w:lang w:val="fr-FR"/>
        </w:rPr>
        <w:t xml:space="preserve">viral </w:t>
      </w:r>
      <w:proofErr w:type="spellStart"/>
      <w:r w:rsidR="00EC0EE4" w:rsidRPr="0001128D">
        <w:rPr>
          <w:lang w:val="fr-FR"/>
        </w:rPr>
        <w:t>cRNA</w:t>
      </w:r>
      <w:proofErr w:type="spellEnd"/>
      <w:r w:rsidR="00745EE5" w:rsidRPr="0001128D">
        <w:rPr>
          <w:lang w:val="fr-FR"/>
        </w:rPr>
        <w:t>”</w:t>
      </w:r>
      <w:r w:rsidR="00EC0EE4" w:rsidRPr="0001128D">
        <w:rPr>
          <w:lang w:val="fr-FR"/>
        </w:rPr>
        <w:t xml:space="preserve">,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unassigned</w:t>
      </w:r>
      <w:proofErr w:type="spellEnd"/>
      <w:r w:rsidR="00EC0EE4" w:rsidRPr="0001128D">
        <w:rPr>
          <w:lang w:val="fr-FR"/>
        </w:rPr>
        <w:t xml:space="preserve"> DNA</w:t>
      </w:r>
      <w:r w:rsidR="00745EE5" w:rsidRPr="0001128D">
        <w:rPr>
          <w:lang w:val="fr-FR"/>
        </w:rPr>
        <w:t>”</w:t>
      </w:r>
      <w:r w:rsidR="004070B4" w:rsidRPr="0001128D">
        <w:rPr>
          <w:lang w:val="fr-FR"/>
        </w:rPr>
        <w:t xml:space="preserve"> ou</w:t>
      </w:r>
      <w:r w:rsidR="00EC0EE4" w:rsidRPr="0001128D">
        <w:rPr>
          <w:lang w:val="fr-FR"/>
        </w:rPr>
        <w:t xml:space="preserve"> </w:t>
      </w:r>
      <w:r w:rsidR="00745EE5" w:rsidRPr="0001128D">
        <w:rPr>
          <w:lang w:val="fr-FR"/>
        </w:rPr>
        <w:t>“</w:t>
      </w:r>
      <w:proofErr w:type="spellStart"/>
      <w:r w:rsidR="00EC0EE4" w:rsidRPr="0001128D">
        <w:rPr>
          <w:lang w:val="fr-FR"/>
        </w:rPr>
        <w:t>unassigned</w:t>
      </w:r>
      <w:proofErr w:type="spellEnd"/>
      <w:r w:rsidR="00EC0EE4" w:rsidRPr="0001128D">
        <w:rPr>
          <w:lang w:val="fr-FR"/>
        </w:rPr>
        <w:t xml:space="preserve"> RNA</w:t>
      </w:r>
      <w:r w:rsidR="00745EE5" w:rsidRPr="0001128D">
        <w:rPr>
          <w:lang w:val="fr-FR"/>
        </w:rPr>
        <w:t>”.</w:t>
      </w:r>
      <w:r w:rsidR="00EC0EE4" w:rsidRPr="0001128D">
        <w:rPr>
          <w:lang w:val="fr-FR"/>
        </w:rPr>
        <w:t xml:space="preserve">  </w:t>
      </w:r>
      <w:r w:rsidR="008679F3" w:rsidRPr="0001128D">
        <w:rPr>
          <w:lang w:val="fr-FR"/>
        </w:rPr>
        <w:t>Si la séquence n</w:t>
      </w:r>
      <w:r w:rsidR="00A329F0" w:rsidRPr="0001128D">
        <w:rPr>
          <w:lang w:val="fr-FR"/>
        </w:rPr>
        <w:t>’</w:t>
      </w:r>
      <w:r w:rsidR="008679F3" w:rsidRPr="0001128D">
        <w:rPr>
          <w:lang w:val="fr-FR"/>
        </w:rPr>
        <w:t>existe pas à l</w:t>
      </w:r>
      <w:r w:rsidR="00A329F0" w:rsidRPr="0001128D">
        <w:rPr>
          <w:lang w:val="fr-FR"/>
        </w:rPr>
        <w:t>’</w:t>
      </w:r>
      <w:r w:rsidR="008679F3" w:rsidRPr="0001128D">
        <w:rPr>
          <w:lang w:val="fr-FR"/>
        </w:rPr>
        <w:t>état naturel, c</w:t>
      </w:r>
      <w:r w:rsidR="00A329F0" w:rsidRPr="0001128D">
        <w:rPr>
          <w:lang w:val="fr-FR"/>
        </w:rPr>
        <w:t>’</w:t>
      </w:r>
      <w:r w:rsidR="008679F3" w:rsidRPr="0001128D">
        <w:rPr>
          <w:lang w:val="fr-FR"/>
        </w:rPr>
        <w:t>est</w:t>
      </w:r>
      <w:r w:rsidR="00265B44" w:rsidRPr="0001128D">
        <w:rPr>
          <w:lang w:val="fr-FR"/>
        </w:rPr>
        <w:noBreakHyphen/>
      </w:r>
      <w:r w:rsidR="008679F3" w:rsidRPr="0001128D">
        <w:rPr>
          <w:lang w:val="fr-FR"/>
        </w:rPr>
        <w:t>à</w:t>
      </w:r>
      <w:r w:rsidR="00265B44" w:rsidRPr="0001128D">
        <w:rPr>
          <w:lang w:val="fr-FR"/>
        </w:rPr>
        <w:noBreakHyphen/>
      </w:r>
      <w:r w:rsidR="008679F3" w:rsidRPr="0001128D">
        <w:rPr>
          <w:lang w:val="fr-FR"/>
        </w:rPr>
        <w:t xml:space="preserve">dire si la valeur du qualificateur </w:t>
      </w:r>
      <w:r w:rsidR="00745EE5" w:rsidRPr="0001128D">
        <w:rPr>
          <w:lang w:val="fr-FR"/>
        </w:rPr>
        <w:t>“</w:t>
      </w:r>
      <w:proofErr w:type="spellStart"/>
      <w:r w:rsidR="008679F3" w:rsidRPr="0001128D">
        <w:rPr>
          <w:lang w:val="fr-FR"/>
        </w:rPr>
        <w:t>organism</w:t>
      </w:r>
      <w:proofErr w:type="spellEnd"/>
      <w:r w:rsidR="00745EE5" w:rsidRPr="0001128D">
        <w:rPr>
          <w:lang w:val="fr-FR"/>
        </w:rPr>
        <w:t>”</w:t>
      </w:r>
      <w:r w:rsidR="008679F3" w:rsidRPr="0001128D">
        <w:rPr>
          <w:lang w:val="fr-FR"/>
        </w:rPr>
        <w:t xml:space="preserve"> est </w:t>
      </w:r>
      <w:r w:rsidR="00745EE5" w:rsidRPr="0001128D">
        <w:rPr>
          <w:lang w:val="fr-FR"/>
        </w:rPr>
        <w:t>“</w:t>
      </w:r>
      <w:proofErr w:type="spellStart"/>
      <w:r w:rsidR="008679F3" w:rsidRPr="0001128D">
        <w:rPr>
          <w:lang w:val="fr-FR"/>
        </w:rPr>
        <w:t>synthetic</w:t>
      </w:r>
      <w:proofErr w:type="spellEnd"/>
      <w:r w:rsidR="008679F3" w:rsidRPr="0001128D">
        <w:rPr>
          <w:lang w:val="fr-FR"/>
        </w:rPr>
        <w:t xml:space="preserve"> </w:t>
      </w:r>
      <w:proofErr w:type="spellStart"/>
      <w:r w:rsidR="008679F3" w:rsidRPr="0001128D">
        <w:rPr>
          <w:lang w:val="fr-FR"/>
        </w:rPr>
        <w:t>construct</w:t>
      </w:r>
      <w:proofErr w:type="spellEnd"/>
      <w:r w:rsidR="00745EE5" w:rsidRPr="0001128D">
        <w:rPr>
          <w:lang w:val="fr-FR"/>
        </w:rPr>
        <w:t>”</w:t>
      </w:r>
      <w:r w:rsidR="008679F3" w:rsidRPr="0001128D">
        <w:rPr>
          <w:lang w:val="fr-FR"/>
        </w:rPr>
        <w:t xml:space="preserve">, la valeur du qualificateur </w:t>
      </w:r>
      <w:r w:rsidR="00745EE5" w:rsidRPr="0001128D">
        <w:rPr>
          <w:lang w:val="fr-FR"/>
        </w:rPr>
        <w:t>“</w:t>
      </w:r>
      <w:proofErr w:type="spellStart"/>
      <w:r w:rsidR="008679F3" w:rsidRPr="0001128D">
        <w:rPr>
          <w:lang w:val="fr-FR"/>
        </w:rPr>
        <w:t>mol_type</w:t>
      </w:r>
      <w:proofErr w:type="spellEnd"/>
      <w:r w:rsidR="00745EE5" w:rsidRPr="0001128D">
        <w:rPr>
          <w:lang w:val="fr-FR"/>
        </w:rPr>
        <w:t>”</w:t>
      </w:r>
      <w:r w:rsidR="008679F3" w:rsidRPr="0001128D">
        <w:rPr>
          <w:lang w:val="fr-FR"/>
        </w:rPr>
        <w:t xml:space="preserve"> doit être soit </w:t>
      </w:r>
      <w:r w:rsidR="00745EE5" w:rsidRPr="0001128D">
        <w:rPr>
          <w:lang w:val="fr-FR"/>
        </w:rPr>
        <w:t>“</w:t>
      </w:r>
      <w:proofErr w:type="spellStart"/>
      <w:r w:rsidR="008679F3" w:rsidRPr="0001128D">
        <w:rPr>
          <w:lang w:val="fr-FR"/>
        </w:rPr>
        <w:t>other</w:t>
      </w:r>
      <w:proofErr w:type="spellEnd"/>
      <w:r w:rsidR="008679F3" w:rsidRPr="0001128D">
        <w:rPr>
          <w:lang w:val="fr-FR"/>
        </w:rPr>
        <w:t xml:space="preserve"> RNA</w:t>
      </w:r>
      <w:r w:rsidR="00745EE5" w:rsidRPr="0001128D">
        <w:rPr>
          <w:lang w:val="fr-FR"/>
        </w:rPr>
        <w:t>”</w:t>
      </w:r>
      <w:r w:rsidR="008679F3" w:rsidRPr="0001128D">
        <w:rPr>
          <w:lang w:val="fr-FR"/>
        </w:rPr>
        <w:t xml:space="preserve"> soit </w:t>
      </w:r>
      <w:r w:rsidR="00745EE5" w:rsidRPr="0001128D">
        <w:rPr>
          <w:lang w:val="fr-FR"/>
        </w:rPr>
        <w:t>“</w:t>
      </w:r>
      <w:proofErr w:type="spellStart"/>
      <w:r w:rsidR="008679F3" w:rsidRPr="0001128D">
        <w:rPr>
          <w:lang w:val="fr-FR"/>
        </w:rPr>
        <w:t>other</w:t>
      </w:r>
      <w:proofErr w:type="spellEnd"/>
      <w:r w:rsidR="008679F3" w:rsidRPr="0001128D">
        <w:rPr>
          <w:lang w:val="fr-FR"/>
        </w:rPr>
        <w:t xml:space="preserve"> DNA</w:t>
      </w:r>
      <w:r w:rsidR="00745EE5" w:rsidRPr="0001128D">
        <w:rPr>
          <w:lang w:val="fr-FR"/>
        </w:rPr>
        <w:t>”</w:t>
      </w:r>
      <w:r w:rsidR="008679F3" w:rsidRPr="0001128D">
        <w:rPr>
          <w:lang w:val="fr-FR"/>
        </w:rPr>
        <w:t>;</w:t>
      </w:r>
    </w:p>
    <w:p w:rsidR="00A329F0" w:rsidRPr="0001128D" w:rsidRDefault="005B1271" w:rsidP="008B4E62">
      <w:pPr>
        <w:pStyle w:val="List0R"/>
        <w:numPr>
          <w:ilvl w:val="0"/>
          <w:numId w:val="28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>pour des séquences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acides aminés</w:t>
      </w:r>
      <w:r w:rsidR="000C2511" w:rsidRPr="0001128D">
        <w:rPr>
          <w:lang w:val="fr-FR"/>
        </w:rPr>
        <w:t xml:space="preserve">, </w:t>
      </w:r>
      <w:r w:rsidRPr="0001128D">
        <w:rPr>
          <w:lang w:val="fr-FR"/>
        </w:rPr>
        <w:t>la valeur du qualificateur</w:t>
      </w:r>
      <w:r w:rsidR="000C2511" w:rsidRPr="0001128D">
        <w:rPr>
          <w:lang w:val="fr-FR"/>
        </w:rPr>
        <w:t xml:space="preserve"> </w:t>
      </w:r>
      <w:r w:rsidR="00745EE5" w:rsidRPr="0001128D">
        <w:rPr>
          <w:lang w:val="fr-FR"/>
        </w:rPr>
        <w:t>“</w:t>
      </w:r>
      <w:r w:rsidR="000C2511" w:rsidRPr="0001128D">
        <w:rPr>
          <w:lang w:val="fr-FR"/>
        </w:rPr>
        <w:t>MOL_TYPE</w:t>
      </w:r>
      <w:r w:rsidR="00745EE5" w:rsidRPr="0001128D">
        <w:rPr>
          <w:lang w:val="fr-FR"/>
        </w:rPr>
        <w:t>”</w:t>
      </w:r>
      <w:r w:rsidR="000C2511" w:rsidRPr="0001128D">
        <w:rPr>
          <w:lang w:val="fr-FR"/>
        </w:rPr>
        <w:t xml:space="preserve"> </w:t>
      </w:r>
      <w:r w:rsidRPr="0001128D">
        <w:rPr>
          <w:lang w:val="fr-FR"/>
        </w:rPr>
        <w:t xml:space="preserve">est </w:t>
      </w:r>
      <w:r w:rsidR="00745EE5" w:rsidRPr="0001128D">
        <w:rPr>
          <w:lang w:val="fr-FR"/>
        </w:rPr>
        <w:t>“</w:t>
      </w:r>
      <w:proofErr w:type="spellStart"/>
      <w:r w:rsidR="000C2511" w:rsidRPr="0001128D">
        <w:rPr>
          <w:lang w:val="fr-FR"/>
        </w:rPr>
        <w:t>protein</w:t>
      </w:r>
      <w:proofErr w:type="spellEnd"/>
      <w:r w:rsidR="00745EE5" w:rsidRPr="0001128D">
        <w:rPr>
          <w:lang w:val="fr-FR"/>
        </w:rPr>
        <w:t>”</w:t>
      </w:r>
      <w:r w:rsidR="000C2511" w:rsidRPr="0001128D">
        <w:rPr>
          <w:lang w:val="fr-FR"/>
        </w:rPr>
        <w:t>.</w:t>
      </w:r>
    </w:p>
    <w:p w:rsidR="006B617F" w:rsidRPr="0001128D" w:rsidRDefault="009F195E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101" w:name="_Toc386037662"/>
      <w:bookmarkEnd w:id="100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Texte libre</w:t>
      </w:r>
      <w:bookmarkEnd w:id="101"/>
    </w:p>
    <w:p w:rsidR="006B617F" w:rsidRPr="0001128D" w:rsidRDefault="00E11529" w:rsidP="00802C40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102" w:name="_Ref371518487"/>
      <w:r w:rsidRPr="0001128D">
        <w:rPr>
          <w:szCs w:val="17"/>
          <w:lang w:val="fr-FR"/>
        </w:rPr>
        <w:t>Le texte libre est un format de valeur autorisé pour certains qualificateur</w:t>
      </w:r>
      <w:r w:rsidR="00303173" w:rsidRPr="0001128D">
        <w:rPr>
          <w:szCs w:val="17"/>
          <w:lang w:val="fr-FR"/>
        </w:rPr>
        <w:t>s</w:t>
      </w:r>
      <w:r w:rsidRPr="0001128D">
        <w:rPr>
          <w:szCs w:val="17"/>
          <w:lang w:val="fr-FR"/>
        </w:rPr>
        <w:t xml:space="preserve"> (comme indiqué à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annexe I). </w:t>
      </w:r>
      <w:r w:rsidR="00745EE5" w:rsidRPr="0001128D">
        <w:rPr>
          <w:szCs w:val="17"/>
          <w:lang w:val="fr-FR"/>
        </w:rPr>
        <w:t xml:space="preserve"> </w:t>
      </w:r>
      <w:r w:rsidRPr="0001128D">
        <w:rPr>
          <w:szCs w:val="17"/>
          <w:lang w:val="fr-FR"/>
        </w:rPr>
        <w:t>Il s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agit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 texte descriptif qui se présente sous forme de segments de phrases, de préférence en anglais.</w:t>
      </w:r>
      <w:bookmarkEnd w:id="102"/>
    </w:p>
    <w:p w:rsidR="00E11529" w:rsidRPr="0001128D" w:rsidRDefault="00E11529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103" w:name="_Ref371518495"/>
      <w:r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emploi du texte libre doit être limité à un petit nombre de termes brefs indispensables à la compréhension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une caractéristique de la séquence.  </w:t>
      </w:r>
      <w:r w:rsidR="00C2527B" w:rsidRPr="0001128D">
        <w:rPr>
          <w:szCs w:val="17"/>
          <w:lang w:val="fr-FR"/>
        </w:rPr>
        <w:t>Pour chaque qualificateur, le texte libre ne peut compter plus de</w:t>
      </w:r>
      <w:r w:rsidR="00745EE5" w:rsidRPr="0001128D">
        <w:rPr>
          <w:szCs w:val="17"/>
          <w:lang w:val="fr-FR"/>
        </w:rPr>
        <w:t> </w:t>
      </w:r>
      <w:r w:rsidR="00C2527B" w:rsidRPr="0001128D">
        <w:rPr>
          <w:szCs w:val="17"/>
          <w:lang w:val="fr-FR"/>
        </w:rPr>
        <w:t>1000 caractères.</w:t>
      </w:r>
    </w:p>
    <w:p w:rsidR="006B617F" w:rsidRPr="0001128D" w:rsidRDefault="00C2527B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104" w:name="_Toc386037663"/>
      <w:bookmarkEnd w:id="103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Séquences de codage</w:t>
      </w:r>
      <w:bookmarkEnd w:id="104"/>
    </w:p>
    <w:p w:rsidR="00C2527B" w:rsidRPr="0001128D" w:rsidRDefault="00683834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La clé de caractérisation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CDS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peut servir à désigner des séquences de codage, c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est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à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dire des séquences de nucléotides correspondant à la séquence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acides aminés dans une protéine </w:t>
      </w:r>
      <w:r w:rsidR="006524FF" w:rsidRPr="0001128D">
        <w:rPr>
          <w:szCs w:val="17"/>
          <w:lang w:val="fr-FR"/>
        </w:rPr>
        <w:t xml:space="preserve">et au </w:t>
      </w:r>
      <w:r w:rsidR="00277ABA" w:rsidRPr="0001128D">
        <w:rPr>
          <w:szCs w:val="17"/>
          <w:lang w:val="fr-FR"/>
        </w:rPr>
        <w:t>codon d</w:t>
      </w:r>
      <w:r w:rsidR="00A329F0" w:rsidRPr="0001128D">
        <w:rPr>
          <w:szCs w:val="17"/>
          <w:lang w:val="fr-FR"/>
        </w:rPr>
        <w:t>’</w:t>
      </w:r>
      <w:r w:rsidR="00277ABA" w:rsidRPr="0001128D">
        <w:rPr>
          <w:szCs w:val="17"/>
          <w:lang w:val="fr-FR"/>
        </w:rPr>
        <w:t xml:space="preserve">arrêt.  </w:t>
      </w:r>
      <w:r w:rsidR="00011ED9" w:rsidRPr="0001128D">
        <w:rPr>
          <w:szCs w:val="17"/>
          <w:lang w:val="fr-FR"/>
        </w:rPr>
        <w:t>L</w:t>
      </w:r>
      <w:r w:rsidR="00A329F0" w:rsidRPr="0001128D">
        <w:rPr>
          <w:szCs w:val="17"/>
          <w:lang w:val="fr-FR"/>
        </w:rPr>
        <w:t>’</w:t>
      </w:r>
      <w:r w:rsidR="00011ED9" w:rsidRPr="0001128D">
        <w:rPr>
          <w:szCs w:val="17"/>
          <w:lang w:val="fr-FR"/>
        </w:rPr>
        <w:t xml:space="preserve">élément </w:t>
      </w:r>
      <w:proofErr w:type="spellStart"/>
      <w:r w:rsidR="00011ED9" w:rsidRPr="0001128D">
        <w:rPr>
          <w:rFonts w:ascii="Courier New" w:hAnsi="Courier New"/>
          <w:lang w:val="fr-FR"/>
        </w:rPr>
        <w:t>INSDFeature_location</w:t>
      </w:r>
      <w:proofErr w:type="spellEnd"/>
      <w:r w:rsidR="00011ED9" w:rsidRPr="0001128D">
        <w:rPr>
          <w:szCs w:val="17"/>
          <w:lang w:val="fr-FR"/>
        </w:rPr>
        <w:t xml:space="preserve"> doit indiquer l</w:t>
      </w:r>
      <w:r w:rsidR="00A329F0" w:rsidRPr="0001128D">
        <w:rPr>
          <w:szCs w:val="17"/>
          <w:lang w:val="fr-FR"/>
        </w:rPr>
        <w:t>’</w:t>
      </w:r>
      <w:r w:rsidR="00011ED9" w:rsidRPr="0001128D">
        <w:rPr>
          <w:szCs w:val="17"/>
          <w:lang w:val="fr-FR"/>
        </w:rPr>
        <w:t xml:space="preserve">emplacement de la caractéristique </w:t>
      </w:r>
      <w:r w:rsidR="00745EE5" w:rsidRPr="0001128D">
        <w:rPr>
          <w:szCs w:val="17"/>
          <w:lang w:val="fr-FR"/>
        </w:rPr>
        <w:t>“</w:t>
      </w:r>
      <w:r w:rsidR="00011ED9" w:rsidRPr="0001128D">
        <w:rPr>
          <w:szCs w:val="17"/>
          <w:lang w:val="fr-FR"/>
        </w:rPr>
        <w:t>CDS</w:t>
      </w:r>
      <w:r w:rsidR="00745EE5" w:rsidRPr="0001128D">
        <w:rPr>
          <w:szCs w:val="17"/>
          <w:lang w:val="fr-FR"/>
        </w:rPr>
        <w:t>”</w:t>
      </w:r>
      <w:r w:rsidR="00011ED9" w:rsidRPr="0001128D">
        <w:rPr>
          <w:szCs w:val="17"/>
          <w:lang w:val="fr-FR"/>
        </w:rPr>
        <w:t>, y</w:t>
      </w:r>
      <w:r w:rsidR="00745EE5" w:rsidRPr="0001128D">
        <w:rPr>
          <w:szCs w:val="17"/>
          <w:lang w:val="fr-FR"/>
        </w:rPr>
        <w:t> </w:t>
      </w:r>
      <w:r w:rsidR="00011ED9" w:rsidRPr="0001128D">
        <w:rPr>
          <w:szCs w:val="17"/>
          <w:lang w:val="fr-FR"/>
        </w:rPr>
        <w:t>compris le codon d</w:t>
      </w:r>
      <w:r w:rsidR="00A329F0" w:rsidRPr="0001128D">
        <w:rPr>
          <w:szCs w:val="17"/>
          <w:lang w:val="fr-FR"/>
        </w:rPr>
        <w:t>’</w:t>
      </w:r>
      <w:r w:rsidR="00011ED9" w:rsidRPr="0001128D">
        <w:rPr>
          <w:szCs w:val="17"/>
          <w:lang w:val="fr-FR"/>
        </w:rPr>
        <w:t>arrêt.</w:t>
      </w:r>
    </w:p>
    <w:p w:rsidR="00D15CDD" w:rsidRPr="0001128D" w:rsidRDefault="00ED639E" w:rsidP="00011ED9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Les qualificateurs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transl_table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 et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translation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peuvent être employés en association avec la clé de caractérisation </w:t>
      </w:r>
      <w:r w:rsidR="00745EE5" w:rsidRPr="0001128D">
        <w:rPr>
          <w:szCs w:val="17"/>
          <w:lang w:val="fr-FR"/>
        </w:rPr>
        <w:t>“</w:t>
      </w:r>
      <w:r w:rsidRPr="0001128D">
        <w:rPr>
          <w:szCs w:val="17"/>
          <w:lang w:val="fr-FR"/>
        </w:rPr>
        <w:t>CDS</w:t>
      </w:r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 xml:space="preserve"> (voir annexe I).  Si le qualificateur </w:t>
      </w:r>
      <w:r w:rsidR="00745EE5" w:rsidRPr="0001128D">
        <w:rPr>
          <w:szCs w:val="17"/>
          <w:lang w:val="fr-FR"/>
        </w:rPr>
        <w:t>“</w:t>
      </w:r>
      <w:proofErr w:type="spellStart"/>
      <w:r w:rsidRPr="0001128D">
        <w:rPr>
          <w:szCs w:val="17"/>
          <w:lang w:val="fr-FR"/>
        </w:rPr>
        <w:t>transl_table</w:t>
      </w:r>
      <w:proofErr w:type="spellEnd"/>
      <w:r w:rsidR="00745EE5" w:rsidRPr="0001128D">
        <w:rPr>
          <w:szCs w:val="17"/>
          <w:lang w:val="fr-FR"/>
        </w:rPr>
        <w:t>”</w:t>
      </w:r>
      <w:r w:rsidRPr="0001128D">
        <w:rPr>
          <w:szCs w:val="17"/>
          <w:lang w:val="fr-FR"/>
        </w:rPr>
        <w:t> n</w:t>
      </w:r>
      <w:r w:rsidR="00A329F0" w:rsidRPr="0001128D">
        <w:rPr>
          <w:szCs w:val="17"/>
          <w:lang w:val="fr-FR"/>
        </w:rPr>
        <w:t>’</w:t>
      </w:r>
      <w:r w:rsidR="005F3BD7" w:rsidRPr="0001128D">
        <w:rPr>
          <w:szCs w:val="17"/>
          <w:lang w:val="fr-FR"/>
        </w:rPr>
        <w:t>est pas employé, on présume que c</w:t>
      </w:r>
      <w:r w:rsidR="00A329F0" w:rsidRPr="0001128D">
        <w:rPr>
          <w:szCs w:val="17"/>
          <w:lang w:val="fr-FR"/>
        </w:rPr>
        <w:t>’</w:t>
      </w:r>
      <w:r w:rsidR="005F3BD7" w:rsidRPr="0001128D">
        <w:rPr>
          <w:szCs w:val="17"/>
          <w:lang w:val="fr-FR"/>
        </w:rPr>
        <w:t xml:space="preserve">est le tableau de codes </w:t>
      </w:r>
      <w:r w:rsidR="006A5FC1" w:rsidRPr="0001128D">
        <w:rPr>
          <w:szCs w:val="17"/>
          <w:lang w:val="fr-FR"/>
        </w:rPr>
        <w:t>normalisés</w:t>
      </w:r>
      <w:r w:rsidR="005F3BD7" w:rsidRPr="0001128D">
        <w:rPr>
          <w:szCs w:val="17"/>
          <w:lang w:val="fr-FR"/>
        </w:rPr>
        <w:t xml:space="preserve"> qui est appliqué (voir annexe I, section 9, tableau 5).</w:t>
      </w:r>
    </w:p>
    <w:p w:rsidR="00D15CDD" w:rsidRPr="0001128D" w:rsidRDefault="006A5FC1" w:rsidP="006A5FC1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Toute séquence protéinique codée selon la séquence de codage </w:t>
      </w:r>
      <w:r w:rsidR="005714A4" w:rsidRPr="0001128D">
        <w:rPr>
          <w:szCs w:val="17"/>
          <w:lang w:val="fr-FR"/>
        </w:rPr>
        <w:t xml:space="preserve">et divulguée dans un qualificateur de type </w:t>
      </w:r>
      <w:r w:rsidR="00745EE5" w:rsidRPr="0001128D">
        <w:rPr>
          <w:szCs w:val="17"/>
          <w:lang w:val="fr-FR"/>
        </w:rPr>
        <w:t>“</w:t>
      </w:r>
      <w:r w:rsidR="005714A4" w:rsidRPr="0001128D">
        <w:rPr>
          <w:szCs w:val="17"/>
          <w:lang w:val="fr-FR"/>
        </w:rPr>
        <w:t>translation</w:t>
      </w:r>
      <w:r w:rsidR="00745EE5" w:rsidRPr="0001128D">
        <w:rPr>
          <w:szCs w:val="17"/>
          <w:lang w:val="fr-FR"/>
        </w:rPr>
        <w:t>”</w:t>
      </w:r>
      <w:r w:rsidR="005714A4" w:rsidRPr="0001128D">
        <w:rPr>
          <w:szCs w:val="17"/>
          <w:lang w:val="fr-FR"/>
        </w:rPr>
        <w:t xml:space="preserve"> </w:t>
      </w:r>
      <w:r w:rsidR="00DF6D42" w:rsidRPr="0001128D">
        <w:rPr>
          <w:szCs w:val="17"/>
          <w:lang w:val="fr-FR"/>
        </w:rPr>
        <w:t>visé par le</w:t>
      </w:r>
      <w:r w:rsidR="005714A4" w:rsidRPr="0001128D">
        <w:rPr>
          <w:szCs w:val="17"/>
          <w:lang w:val="fr-FR"/>
        </w:rPr>
        <w:t xml:space="preserve"> paragraphe 6 doit avoir son propre numéro d</w:t>
      </w:r>
      <w:r w:rsidR="00A329F0" w:rsidRPr="0001128D">
        <w:rPr>
          <w:szCs w:val="17"/>
          <w:lang w:val="fr-FR"/>
        </w:rPr>
        <w:t>’</w:t>
      </w:r>
      <w:r w:rsidR="005714A4" w:rsidRPr="0001128D">
        <w:rPr>
          <w:szCs w:val="17"/>
          <w:lang w:val="fr-FR"/>
        </w:rPr>
        <w:t xml:space="preserve">identification de séquence et doit être présentée dans le listage des séquences.  </w:t>
      </w:r>
      <w:r w:rsidR="0046103D" w:rsidRPr="0001128D">
        <w:rPr>
          <w:szCs w:val="17"/>
          <w:lang w:val="fr-FR"/>
        </w:rPr>
        <w:t>Le numéro d</w:t>
      </w:r>
      <w:r w:rsidR="00A329F0" w:rsidRPr="0001128D">
        <w:rPr>
          <w:szCs w:val="17"/>
          <w:lang w:val="fr-FR"/>
        </w:rPr>
        <w:t>’</w:t>
      </w:r>
      <w:r w:rsidR="0046103D" w:rsidRPr="0001128D">
        <w:rPr>
          <w:szCs w:val="17"/>
          <w:lang w:val="fr-FR"/>
        </w:rPr>
        <w:t xml:space="preserve">identification de séquence attribué à la séquence protéinique doit </w:t>
      </w:r>
      <w:r w:rsidR="00B418F5" w:rsidRPr="0001128D">
        <w:rPr>
          <w:szCs w:val="17"/>
          <w:lang w:val="fr-FR"/>
        </w:rPr>
        <w:t>figurer dans</w:t>
      </w:r>
      <w:r w:rsidR="0046103D" w:rsidRPr="0001128D">
        <w:rPr>
          <w:szCs w:val="17"/>
          <w:lang w:val="fr-FR"/>
        </w:rPr>
        <w:t xml:space="preserve"> la valeur du qualificateur </w:t>
      </w:r>
      <w:r w:rsidR="00745EE5" w:rsidRPr="0001128D">
        <w:rPr>
          <w:szCs w:val="17"/>
          <w:lang w:val="fr-FR"/>
        </w:rPr>
        <w:t>“</w:t>
      </w:r>
      <w:proofErr w:type="spellStart"/>
      <w:r w:rsidR="0046103D" w:rsidRPr="0001128D">
        <w:rPr>
          <w:szCs w:val="17"/>
          <w:lang w:val="fr-FR"/>
        </w:rPr>
        <w:t>protein_id</w:t>
      </w:r>
      <w:proofErr w:type="spellEnd"/>
      <w:r w:rsidR="00745EE5" w:rsidRPr="0001128D">
        <w:rPr>
          <w:szCs w:val="17"/>
          <w:lang w:val="fr-FR"/>
        </w:rPr>
        <w:t>”</w:t>
      </w:r>
      <w:r w:rsidR="0046103D" w:rsidRPr="0001128D">
        <w:rPr>
          <w:szCs w:val="17"/>
          <w:lang w:val="fr-FR"/>
        </w:rPr>
        <w:t xml:space="preserve"> </w:t>
      </w:r>
      <w:r w:rsidR="00A16E54" w:rsidRPr="0001128D">
        <w:rPr>
          <w:szCs w:val="17"/>
          <w:lang w:val="fr-FR"/>
        </w:rPr>
        <w:t>associé à</w:t>
      </w:r>
      <w:r w:rsidR="0046103D" w:rsidRPr="0001128D">
        <w:rPr>
          <w:szCs w:val="17"/>
          <w:lang w:val="fr-FR"/>
        </w:rPr>
        <w:t xml:space="preserve"> la clé de caractérisation </w:t>
      </w:r>
      <w:r w:rsidR="00745EE5" w:rsidRPr="0001128D">
        <w:rPr>
          <w:szCs w:val="17"/>
          <w:lang w:val="fr-FR"/>
        </w:rPr>
        <w:t>“</w:t>
      </w:r>
      <w:r w:rsidR="0046103D" w:rsidRPr="0001128D">
        <w:rPr>
          <w:szCs w:val="17"/>
          <w:lang w:val="fr-FR"/>
        </w:rPr>
        <w:t>CDS</w:t>
      </w:r>
      <w:r w:rsidR="00745EE5" w:rsidRPr="0001128D">
        <w:rPr>
          <w:szCs w:val="17"/>
          <w:lang w:val="fr-FR"/>
        </w:rPr>
        <w:t>”.</w:t>
      </w:r>
      <w:r w:rsidR="0046103D" w:rsidRPr="0001128D">
        <w:rPr>
          <w:szCs w:val="17"/>
          <w:lang w:val="fr-FR"/>
        </w:rPr>
        <w:t xml:space="preserve">  </w:t>
      </w:r>
      <w:r w:rsidR="00A16E54" w:rsidRPr="0001128D">
        <w:rPr>
          <w:szCs w:val="17"/>
          <w:lang w:val="fr-FR"/>
        </w:rPr>
        <w:t xml:space="preserve">Le qualificateur </w:t>
      </w:r>
      <w:r w:rsidR="00745EE5" w:rsidRPr="0001128D">
        <w:rPr>
          <w:szCs w:val="17"/>
          <w:lang w:val="fr-FR"/>
        </w:rPr>
        <w:t>“</w:t>
      </w:r>
      <w:r w:rsidR="00A16E54" w:rsidRPr="0001128D">
        <w:rPr>
          <w:szCs w:val="17"/>
          <w:lang w:val="fr-FR"/>
        </w:rPr>
        <w:t>ORGANISM</w:t>
      </w:r>
      <w:r w:rsidR="00745EE5" w:rsidRPr="0001128D">
        <w:rPr>
          <w:szCs w:val="17"/>
          <w:lang w:val="fr-FR"/>
        </w:rPr>
        <w:t>”</w:t>
      </w:r>
      <w:r w:rsidR="00A16E54" w:rsidRPr="0001128D">
        <w:rPr>
          <w:szCs w:val="17"/>
          <w:lang w:val="fr-FR"/>
        </w:rPr>
        <w:t xml:space="preserve"> associé à la clé de caractérisation </w:t>
      </w:r>
      <w:r w:rsidR="00745EE5" w:rsidRPr="0001128D">
        <w:rPr>
          <w:szCs w:val="17"/>
          <w:lang w:val="fr-FR"/>
        </w:rPr>
        <w:t>“</w:t>
      </w:r>
      <w:r w:rsidR="00A16E54" w:rsidRPr="0001128D">
        <w:rPr>
          <w:szCs w:val="17"/>
          <w:lang w:val="fr-FR"/>
        </w:rPr>
        <w:t>SOURCE</w:t>
      </w:r>
      <w:r w:rsidR="00745EE5" w:rsidRPr="0001128D">
        <w:rPr>
          <w:szCs w:val="17"/>
          <w:lang w:val="fr-FR"/>
        </w:rPr>
        <w:t>”</w:t>
      </w:r>
      <w:r w:rsidR="00A16E54" w:rsidRPr="0001128D">
        <w:rPr>
          <w:szCs w:val="17"/>
          <w:lang w:val="fr-FR"/>
        </w:rPr>
        <w:t xml:space="preserve"> de la séquence protéinique doit être identique à c</w:t>
      </w:r>
      <w:r w:rsidR="00384751" w:rsidRPr="0001128D">
        <w:rPr>
          <w:szCs w:val="17"/>
          <w:lang w:val="fr-FR"/>
        </w:rPr>
        <w:t>elui de sa séquence de codage, par exemple</w:t>
      </w:r>
      <w:r w:rsidR="00745EE5" w:rsidRPr="0001128D">
        <w:rPr>
          <w:szCs w:val="17"/>
          <w:lang w:val="fr-FR"/>
        </w:rPr>
        <w:t> </w:t>
      </w:r>
      <w:r w:rsidR="00384751" w:rsidRPr="0001128D">
        <w:rPr>
          <w:szCs w:val="17"/>
          <w:lang w:val="fr-FR"/>
        </w:rPr>
        <w:t>:</w:t>
      </w:r>
    </w:p>
    <w:p w:rsidR="00386B56" w:rsidRDefault="00386B56">
      <w:pPr>
        <w:widowControl/>
        <w:kinsoku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>
        <w:rPr>
          <w:rFonts w:ascii="Courier New" w:eastAsia="Batang" w:hAnsi="Courier New" w:cs="Times New Roman"/>
          <w:sz w:val="17"/>
          <w:szCs w:val="20"/>
          <w:lang w:val="fr-FR" w:eastAsia="en-US"/>
        </w:rPr>
        <w:br w:type="page"/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lastRenderedPageBreak/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&gt;CDS&lt;/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</w:t>
      </w:r>
      <w:proofErr w:type="gram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..507</w:t>
      </w:r>
      <w:proofErr w:type="gram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transl_table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&gt;11&lt;/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&gt;translation&lt;/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MLVHLERTTIMFDFSSLINLPLIWGLLIAIAVLLYILMDGFDLGIGILLPFAPSDKCRDHMISSIAPFWDGNETWLVLGGGGLFAAFPLAYSILMPAFYIPIIIMLLGLIVRGVSFEFRFKAEGKYRRLWDYAFHFGSLGAAFCQGMILGAFIHGVEVNGRNFSGGQLM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protein_id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&gt;89&lt;/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D15CDD" w:rsidRPr="00917901" w:rsidRDefault="00D15CDD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INSDSeq_feature</w:t>
      </w:r>
      <w:proofErr w:type="spellEnd"/>
      <w:r w:rsidR="00265B44" w:rsidRPr="00917901">
        <w:rPr>
          <w:rFonts w:ascii="Courier New" w:eastAsia="Batang" w:hAnsi="Courier New" w:cs="Times New Roman"/>
          <w:sz w:val="17"/>
          <w:szCs w:val="20"/>
          <w:lang w:eastAsia="en-US"/>
        </w:rPr>
        <w:noBreakHyphen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table&gt;</w:t>
      </w:r>
    </w:p>
    <w:p w:rsidR="00D15CDD" w:rsidRPr="0001128D" w:rsidRDefault="00D15CDD" w:rsidP="001B4F8F">
      <w:pPr>
        <w:pStyle w:val="Heading3"/>
        <w:keepLines/>
        <w:widowControl/>
        <w:kinsoku/>
        <w:spacing w:before="170" w:after="170"/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</w:pPr>
      <w:bookmarkStart w:id="105" w:name="_Toc371330403"/>
      <w:bookmarkStart w:id="106" w:name="_Toc383437152"/>
      <w:bookmarkStart w:id="107" w:name="_Toc383437629"/>
      <w:bookmarkStart w:id="108" w:name="_Toc386037664"/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Variant</w:t>
      </w:r>
      <w:r w:rsidR="00E46E74"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e</w:t>
      </w:r>
      <w:r w:rsidRPr="0001128D">
        <w:rPr>
          <w:rFonts w:eastAsia="Times New Roman" w:cs="Times New Roman"/>
          <w:bCs w:val="0"/>
          <w:i/>
          <w:sz w:val="17"/>
          <w:szCs w:val="20"/>
          <w:u w:val="none"/>
          <w:lang w:val="fr-FR" w:eastAsia="en-US"/>
        </w:rPr>
        <w:t>s</w:t>
      </w:r>
      <w:bookmarkEnd w:id="105"/>
      <w:bookmarkEnd w:id="106"/>
      <w:bookmarkEnd w:id="107"/>
      <w:bookmarkEnd w:id="108"/>
    </w:p>
    <w:p w:rsidR="001112E4" w:rsidRPr="0001128D" w:rsidRDefault="001A6050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Toute</w:t>
      </w:r>
      <w:r w:rsidR="00E46E74" w:rsidRPr="0001128D">
        <w:rPr>
          <w:szCs w:val="17"/>
          <w:lang w:val="fr-FR"/>
        </w:rPr>
        <w:t xml:space="preserve"> séquence primaire</w:t>
      </w:r>
      <w:r w:rsidR="00002DBD" w:rsidRPr="0001128D">
        <w:rPr>
          <w:szCs w:val="17"/>
          <w:lang w:val="fr-FR"/>
        </w:rPr>
        <w:t xml:space="preserve"> et tout</w:t>
      </w:r>
      <w:r w:rsidR="00E46E74" w:rsidRPr="0001128D">
        <w:rPr>
          <w:szCs w:val="17"/>
          <w:lang w:val="fr-FR"/>
        </w:rPr>
        <w:t>e</w:t>
      </w:r>
      <w:r w:rsidR="00002DBD" w:rsidRPr="0001128D">
        <w:rPr>
          <w:szCs w:val="17"/>
          <w:lang w:val="fr-FR"/>
        </w:rPr>
        <w:t xml:space="preserve"> variant</w:t>
      </w:r>
      <w:r w:rsidR="00E46E74" w:rsidRPr="0001128D">
        <w:rPr>
          <w:szCs w:val="17"/>
          <w:lang w:val="fr-FR"/>
        </w:rPr>
        <w:t>e</w:t>
      </w:r>
      <w:r w:rsidR="00002DBD" w:rsidRPr="0001128D">
        <w:rPr>
          <w:szCs w:val="17"/>
          <w:lang w:val="fr-FR"/>
        </w:rPr>
        <w:t xml:space="preserve"> de cette séquence, chacun</w:t>
      </w:r>
      <w:r w:rsidR="00E46E74" w:rsidRPr="0001128D">
        <w:rPr>
          <w:szCs w:val="17"/>
          <w:lang w:val="fr-FR"/>
        </w:rPr>
        <w:t>e</w:t>
      </w:r>
      <w:r w:rsidR="00002DBD" w:rsidRPr="0001128D">
        <w:rPr>
          <w:szCs w:val="17"/>
          <w:lang w:val="fr-FR"/>
        </w:rPr>
        <w:t xml:space="preserve"> d</w:t>
      </w:r>
      <w:r w:rsidR="00A329F0" w:rsidRPr="0001128D">
        <w:rPr>
          <w:szCs w:val="17"/>
          <w:lang w:val="fr-FR"/>
        </w:rPr>
        <w:t>’</w:t>
      </w:r>
      <w:r w:rsidR="00002DBD" w:rsidRPr="0001128D">
        <w:rPr>
          <w:szCs w:val="17"/>
          <w:lang w:val="fr-FR"/>
        </w:rPr>
        <w:t>e</w:t>
      </w:r>
      <w:r w:rsidR="00E46E74" w:rsidRPr="0001128D">
        <w:rPr>
          <w:szCs w:val="17"/>
          <w:lang w:val="fr-FR"/>
        </w:rPr>
        <w:t>lles</w:t>
      </w:r>
      <w:r w:rsidR="00002DBD" w:rsidRPr="0001128D">
        <w:rPr>
          <w:szCs w:val="17"/>
          <w:lang w:val="fr-FR"/>
        </w:rPr>
        <w:t xml:space="preserve"> étant divulgué</w:t>
      </w:r>
      <w:r w:rsidR="00E46E74" w:rsidRPr="0001128D">
        <w:rPr>
          <w:szCs w:val="17"/>
          <w:lang w:val="fr-FR"/>
        </w:rPr>
        <w:t>e</w:t>
      </w:r>
      <w:r w:rsidR="00002DBD" w:rsidRPr="0001128D">
        <w:rPr>
          <w:szCs w:val="17"/>
          <w:lang w:val="fr-FR"/>
        </w:rPr>
        <w:t xml:space="preserve"> par énumération de ses résidus et </w:t>
      </w:r>
      <w:r w:rsidR="00597AE0" w:rsidRPr="0001128D">
        <w:rPr>
          <w:szCs w:val="17"/>
          <w:lang w:val="fr-FR"/>
        </w:rPr>
        <w:t>visée par le</w:t>
      </w:r>
      <w:r w:rsidR="00002DBD" w:rsidRPr="0001128D">
        <w:rPr>
          <w:szCs w:val="17"/>
          <w:lang w:val="fr-FR"/>
        </w:rPr>
        <w:t xml:space="preserve"> paragraphe 6, doit être présenté</w:t>
      </w:r>
      <w:r w:rsidR="00E46E74" w:rsidRPr="0001128D">
        <w:rPr>
          <w:szCs w:val="17"/>
          <w:lang w:val="fr-FR"/>
        </w:rPr>
        <w:t>e</w:t>
      </w:r>
      <w:r w:rsidR="00002DBD" w:rsidRPr="0001128D">
        <w:rPr>
          <w:szCs w:val="17"/>
          <w:lang w:val="fr-FR"/>
        </w:rPr>
        <w:t xml:space="preserve"> dans le listage des séquences avec son propre numéro d</w:t>
      </w:r>
      <w:r w:rsidR="00A329F0" w:rsidRPr="0001128D">
        <w:rPr>
          <w:szCs w:val="17"/>
          <w:lang w:val="fr-FR"/>
        </w:rPr>
        <w:t>’</w:t>
      </w:r>
      <w:r w:rsidR="00002DBD" w:rsidRPr="0001128D">
        <w:rPr>
          <w:szCs w:val="17"/>
          <w:lang w:val="fr-FR"/>
        </w:rPr>
        <w:t>identification de séquence.</w:t>
      </w:r>
    </w:p>
    <w:p w:rsidR="00D15CDD" w:rsidRPr="0001128D" w:rsidRDefault="00602131" w:rsidP="001A6050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109" w:name="_Ref371508593"/>
      <w:r w:rsidRPr="0001128D">
        <w:rPr>
          <w:szCs w:val="17"/>
          <w:lang w:val="fr-FR"/>
        </w:rPr>
        <w:t>Toute séquence d</w:t>
      </w:r>
      <w:r w:rsidR="003306B0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 variant</w:t>
      </w:r>
      <w:r w:rsidR="00337E1E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>, divulgué</w:t>
      </w:r>
      <w:r w:rsidR="008C7E0F" w:rsidRPr="0001128D">
        <w:rPr>
          <w:szCs w:val="17"/>
          <w:lang w:val="fr-FR"/>
        </w:rPr>
        <w:t>e uniquement par référence à un</w:t>
      </w:r>
      <w:r w:rsidRPr="0001128D">
        <w:rPr>
          <w:szCs w:val="17"/>
          <w:lang w:val="fr-FR"/>
        </w:rPr>
        <w:t xml:space="preserve"> ou plusieurs suppressions, </w:t>
      </w:r>
      <w:r w:rsidR="00D2542E" w:rsidRPr="0001128D">
        <w:rPr>
          <w:szCs w:val="17"/>
          <w:lang w:val="fr-FR"/>
        </w:rPr>
        <w:t>adjonction</w:t>
      </w:r>
      <w:r w:rsidRPr="0001128D">
        <w:rPr>
          <w:szCs w:val="17"/>
          <w:lang w:val="fr-FR"/>
        </w:rPr>
        <w:t xml:space="preserve">s ou </w:t>
      </w:r>
      <w:r w:rsidR="0088282F" w:rsidRPr="0001128D">
        <w:rPr>
          <w:szCs w:val="17"/>
          <w:lang w:val="fr-FR"/>
        </w:rPr>
        <w:t>remplacements effectué</w:t>
      </w:r>
      <w:r w:rsidRPr="0001128D">
        <w:rPr>
          <w:szCs w:val="17"/>
          <w:lang w:val="fr-FR"/>
        </w:rPr>
        <w:t xml:space="preserve">s dans une séquence primaire figurant dans le listage des séquences, peut être présentée dans le listage des séquences.  </w:t>
      </w:r>
      <w:r w:rsidR="003306B0" w:rsidRPr="0001128D">
        <w:rPr>
          <w:szCs w:val="17"/>
          <w:lang w:val="fr-FR"/>
        </w:rPr>
        <w:t>Si tel est le cas, cette séquence de variant</w:t>
      </w:r>
      <w:r w:rsidR="00337E1E" w:rsidRPr="0001128D">
        <w:rPr>
          <w:szCs w:val="17"/>
          <w:lang w:val="fr-FR"/>
        </w:rPr>
        <w:t>e</w:t>
      </w:r>
      <w:r w:rsidR="00745EE5" w:rsidRPr="0001128D">
        <w:rPr>
          <w:szCs w:val="17"/>
          <w:lang w:val="fr-FR"/>
        </w:rPr>
        <w:t> </w:t>
      </w:r>
      <w:r w:rsidR="003306B0" w:rsidRPr="0001128D">
        <w:rPr>
          <w:szCs w:val="17"/>
          <w:lang w:val="fr-FR"/>
        </w:rPr>
        <w:t>:</w:t>
      </w:r>
      <w:bookmarkEnd w:id="109"/>
    </w:p>
    <w:p w:rsidR="00D15CDD" w:rsidRPr="0001128D" w:rsidRDefault="003306B0" w:rsidP="004F031E">
      <w:pPr>
        <w:pStyle w:val="List0R"/>
        <w:numPr>
          <w:ilvl w:val="0"/>
          <w:numId w:val="29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 xml:space="preserve">peut être présentée par annotation de la séquence primaire, </w:t>
      </w:r>
      <w:r w:rsidR="004F031E" w:rsidRPr="0001128D">
        <w:rPr>
          <w:lang w:val="fr-FR"/>
        </w:rPr>
        <w:t>si elle comporte une ou plusieurs variations à un seul emplacement ou à plusieurs emplacements distincts et que les occurrences de ces variations sont indépendantes;</w:t>
      </w:r>
    </w:p>
    <w:p w:rsidR="004F031E" w:rsidRPr="0001128D" w:rsidRDefault="005A7CCF" w:rsidP="008B4E62">
      <w:pPr>
        <w:pStyle w:val="List0R"/>
        <w:numPr>
          <w:ilvl w:val="0"/>
          <w:numId w:val="29"/>
        </w:numPr>
        <w:tabs>
          <w:tab w:val="left" w:pos="1134"/>
        </w:tabs>
        <w:ind w:left="0" w:firstLine="567"/>
        <w:rPr>
          <w:lang w:val="fr-FR"/>
        </w:rPr>
      </w:pPr>
      <w:r w:rsidRPr="0001128D">
        <w:rPr>
          <w:lang w:val="fr-FR"/>
        </w:rPr>
        <w:t xml:space="preserve">devrait être présentée </w:t>
      </w:r>
      <w:r w:rsidR="0040447E" w:rsidRPr="0001128D">
        <w:rPr>
          <w:lang w:val="fr-FR"/>
        </w:rPr>
        <w:t>en tant que</w:t>
      </w:r>
      <w:r w:rsidRPr="0001128D">
        <w:rPr>
          <w:lang w:val="fr-FR"/>
        </w:rPr>
        <w:t xml:space="preserve"> séquence distincte avec son propre numéro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identification de séquence, si elle comporte des variations à plusieurs emplacements distincts et que les occurrences de ces variations sont interdépendantes</w:t>
      </w:r>
      <w:r w:rsidR="0040447E" w:rsidRPr="0001128D">
        <w:rPr>
          <w:lang w:val="fr-FR"/>
        </w:rPr>
        <w:t>;  et</w:t>
      </w:r>
    </w:p>
    <w:p w:rsidR="00D15CDD" w:rsidRPr="0001128D" w:rsidRDefault="0040447E" w:rsidP="003E6AD6">
      <w:pPr>
        <w:pStyle w:val="List0R"/>
        <w:numPr>
          <w:ilvl w:val="0"/>
          <w:numId w:val="29"/>
        </w:numPr>
        <w:tabs>
          <w:tab w:val="left" w:pos="1134"/>
        </w:tabs>
        <w:ind w:left="0" w:firstLine="567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doit être présentée </w:t>
      </w:r>
      <w:r w:rsidRPr="0001128D">
        <w:rPr>
          <w:lang w:val="fr-FR"/>
        </w:rPr>
        <w:t>en tant que séquence distincte avec son propre numéro d</w:t>
      </w:r>
      <w:r w:rsidR="00A329F0" w:rsidRPr="0001128D">
        <w:rPr>
          <w:lang w:val="fr-FR"/>
        </w:rPr>
        <w:t>’</w:t>
      </w:r>
      <w:r w:rsidRPr="0001128D">
        <w:rPr>
          <w:lang w:val="fr-FR"/>
        </w:rPr>
        <w:t>identification de séquence, si elle co</w:t>
      </w:r>
      <w:r w:rsidR="003E6AD6" w:rsidRPr="0001128D">
        <w:rPr>
          <w:lang w:val="fr-FR"/>
        </w:rPr>
        <w:t>mporte</w:t>
      </w:r>
      <w:r w:rsidRPr="0001128D">
        <w:rPr>
          <w:lang w:val="fr-FR"/>
        </w:rPr>
        <w:t xml:space="preserve"> une séquence </w:t>
      </w:r>
      <w:r w:rsidR="003E6AD6" w:rsidRPr="0001128D">
        <w:rPr>
          <w:lang w:val="fr-FR"/>
        </w:rPr>
        <w:t xml:space="preserve">qui a été </w:t>
      </w:r>
      <w:r w:rsidR="00492E21" w:rsidRPr="0001128D">
        <w:rPr>
          <w:lang w:val="fr-FR"/>
        </w:rPr>
        <w:t>ajoutée</w:t>
      </w:r>
      <w:r w:rsidR="003E6AD6" w:rsidRPr="0001128D">
        <w:rPr>
          <w:lang w:val="fr-FR"/>
        </w:rPr>
        <w:t xml:space="preserve"> ou remplacée et qui contient plus de</w:t>
      </w:r>
      <w:r w:rsidR="00745EE5" w:rsidRPr="0001128D">
        <w:rPr>
          <w:lang w:val="fr-FR"/>
        </w:rPr>
        <w:t> </w:t>
      </w:r>
      <w:r w:rsidR="003E6AD6" w:rsidRPr="0001128D">
        <w:rPr>
          <w:lang w:val="fr-FR"/>
        </w:rPr>
        <w:t>1000 résidus (voir le paragraphe 87).</w:t>
      </w:r>
    </w:p>
    <w:p w:rsidR="00D15CDD" w:rsidRPr="0001128D" w:rsidRDefault="00393D52" w:rsidP="003E6AD6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>Le tableau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dessous indique l</w:t>
      </w:r>
      <w:r w:rsidR="00F32E71" w:rsidRPr="0001128D">
        <w:rPr>
          <w:szCs w:val="17"/>
          <w:lang w:val="fr-FR"/>
        </w:rPr>
        <w:t xml:space="preserve">e bon </w:t>
      </w:r>
      <w:r w:rsidRPr="0001128D">
        <w:rPr>
          <w:szCs w:val="17"/>
          <w:lang w:val="fr-FR"/>
        </w:rPr>
        <w:t>usage des clés de caractérisation et des qualificateurs pour des variant</w:t>
      </w:r>
      <w:r w:rsidR="00337E1E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>s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acides nucléiques et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acides aminés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788"/>
        <w:gridCol w:w="1275"/>
        <w:gridCol w:w="3119"/>
      </w:tblGrid>
      <w:tr w:rsidR="00D15CDD" w:rsidRPr="0001128D" w:rsidTr="00BA0881">
        <w:trPr>
          <w:cantSplit/>
          <w:tblHeader/>
        </w:trPr>
        <w:tc>
          <w:tcPr>
            <w:tcW w:w="1445" w:type="dxa"/>
            <w:shd w:val="clear" w:color="auto" w:fill="D9D9D9" w:themeFill="background1" w:themeFillShade="D9"/>
          </w:tcPr>
          <w:p w:rsidR="00D15CDD" w:rsidRPr="0001128D" w:rsidRDefault="00D15CDD" w:rsidP="0004147C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 xml:space="preserve">Type </w:t>
            </w:r>
            <w:r w:rsidR="0004147C">
              <w:rPr>
                <w:b/>
                <w:bCs/>
                <w:sz w:val="17"/>
                <w:szCs w:val="17"/>
                <w:lang w:val="fr-FR"/>
              </w:rPr>
              <w:t>de</w:t>
            </w:r>
            <w:r w:rsidRPr="0001128D">
              <w:rPr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602F02" w:rsidRPr="0001128D">
              <w:rPr>
                <w:b/>
                <w:bCs/>
                <w:sz w:val="17"/>
                <w:szCs w:val="17"/>
                <w:lang w:val="fr-FR"/>
              </w:rPr>
              <w:t>séquence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D15CDD" w:rsidRPr="0001128D" w:rsidRDefault="00602F02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Clé de caractérisation</w:t>
            </w:r>
          </w:p>
          <w:p w:rsidR="00D15CDD" w:rsidRPr="0001128D" w:rsidRDefault="00D15CDD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D15CDD" w:rsidRPr="0001128D" w:rsidRDefault="00602F02" w:rsidP="00BA0881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Qualificateur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D15CDD" w:rsidRPr="0001128D" w:rsidRDefault="00D15CDD" w:rsidP="007336B8">
            <w:pPr>
              <w:pStyle w:val="TableText"/>
              <w:jc w:val="center"/>
              <w:rPr>
                <w:b/>
                <w:bCs/>
                <w:sz w:val="17"/>
                <w:szCs w:val="17"/>
                <w:lang w:val="fr-FR"/>
              </w:rPr>
            </w:pPr>
            <w:r w:rsidRPr="0001128D">
              <w:rPr>
                <w:b/>
                <w:bCs/>
                <w:sz w:val="17"/>
                <w:szCs w:val="17"/>
                <w:lang w:val="fr-FR"/>
              </w:rPr>
              <w:t>Us</w:t>
            </w:r>
            <w:r w:rsidR="00602F02" w:rsidRPr="0001128D">
              <w:rPr>
                <w:b/>
                <w:bCs/>
                <w:sz w:val="17"/>
                <w:szCs w:val="17"/>
                <w:lang w:val="fr-FR"/>
              </w:rPr>
              <w:t>age</w:t>
            </w:r>
          </w:p>
        </w:tc>
      </w:tr>
      <w:tr w:rsidR="00D15CDD" w:rsidRPr="00917901" w:rsidTr="00BA0881">
        <w:trPr>
          <w:cantSplit/>
        </w:trPr>
        <w:tc>
          <w:tcPr>
            <w:tcW w:w="1445" w:type="dxa"/>
            <w:shd w:val="clear" w:color="auto" w:fill="auto"/>
          </w:tcPr>
          <w:p w:rsidR="00A329F0" w:rsidRPr="0001128D" w:rsidRDefault="00602F02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Acide nucléique</w:t>
            </w:r>
          </w:p>
          <w:p w:rsidR="00D15CDD" w:rsidRPr="0001128D" w:rsidRDefault="00D15CDD" w:rsidP="007336B8">
            <w:pPr>
              <w:pStyle w:val="TableText"/>
              <w:rPr>
                <w:rStyle w:val="CodeChar"/>
                <w:rFonts w:ascii="Arial" w:hAnsi="Arial" w:cs="Arial"/>
                <w:sz w:val="17"/>
                <w:shd w:val="clear" w:color="auto" w:fill="606060"/>
                <w:lang w:val="fr-FR"/>
              </w:rPr>
            </w:pPr>
          </w:p>
        </w:tc>
        <w:tc>
          <w:tcPr>
            <w:tcW w:w="1788" w:type="dxa"/>
            <w:shd w:val="clear" w:color="auto" w:fill="auto"/>
          </w:tcPr>
          <w:p w:rsidR="00D15CDD" w:rsidRPr="0001128D" w:rsidRDefault="00D15CDD" w:rsidP="007336B8">
            <w:pPr>
              <w:pStyle w:val="TableText"/>
              <w:jc w:val="center"/>
              <w:rPr>
                <w:i/>
                <w:iCs/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variation</w:t>
            </w:r>
          </w:p>
        </w:tc>
        <w:tc>
          <w:tcPr>
            <w:tcW w:w="1275" w:type="dxa"/>
          </w:tcPr>
          <w:p w:rsidR="00D15CDD" w:rsidRPr="0001128D" w:rsidRDefault="00D15CDD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replace</w:t>
            </w:r>
          </w:p>
        </w:tc>
        <w:tc>
          <w:tcPr>
            <w:tcW w:w="3119" w:type="dxa"/>
            <w:shd w:val="clear" w:color="auto" w:fill="auto"/>
          </w:tcPr>
          <w:p w:rsidR="00D15CDD" w:rsidRPr="0001128D" w:rsidRDefault="00E84D1D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Mutations et polymorphismes existant à 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Pr="0001128D">
              <w:rPr>
                <w:sz w:val="17"/>
                <w:szCs w:val="17"/>
                <w:lang w:val="fr-FR"/>
              </w:rPr>
              <w:t xml:space="preserve">état naturel, </w:t>
            </w:r>
            <w:r w:rsidR="00745EE5" w:rsidRPr="0001128D">
              <w:rPr>
                <w:sz w:val="17"/>
                <w:szCs w:val="17"/>
                <w:lang w:val="fr-FR"/>
              </w:rPr>
              <w:t>p. </w:t>
            </w:r>
            <w:r w:rsidRPr="0001128D">
              <w:rPr>
                <w:sz w:val="17"/>
                <w:szCs w:val="17"/>
                <w:lang w:val="fr-FR"/>
              </w:rPr>
              <w:t xml:space="preserve">ex. </w:t>
            </w:r>
            <w:r w:rsidR="0089119B" w:rsidRPr="0001128D">
              <w:rPr>
                <w:sz w:val="17"/>
                <w:szCs w:val="17"/>
                <w:lang w:val="fr-FR"/>
              </w:rPr>
              <w:t xml:space="preserve">des allèles ou des </w:t>
            </w:r>
            <w:r w:rsidR="00411447" w:rsidRPr="0001128D">
              <w:rPr>
                <w:sz w:val="17"/>
                <w:szCs w:val="17"/>
                <w:lang w:val="fr-FR"/>
              </w:rPr>
              <w:t>polymorphismes de longueur des fragments de restriction</w:t>
            </w:r>
          </w:p>
          <w:p w:rsidR="00D15CDD" w:rsidRPr="0001128D" w:rsidRDefault="00D15CDD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D15CDD" w:rsidRPr="00917901" w:rsidTr="00BA0881">
        <w:trPr>
          <w:cantSplit/>
        </w:trPr>
        <w:tc>
          <w:tcPr>
            <w:tcW w:w="1445" w:type="dxa"/>
            <w:shd w:val="clear" w:color="auto" w:fill="auto"/>
          </w:tcPr>
          <w:p w:rsidR="00D15CDD" w:rsidRPr="0001128D" w:rsidRDefault="00602F02" w:rsidP="007336B8">
            <w:pPr>
              <w:pStyle w:val="TableText"/>
              <w:rPr>
                <w:rStyle w:val="CodeChar"/>
                <w:rFonts w:ascii="Arial" w:hAnsi="Arial" w:cs="Arial"/>
                <w:color w:val="FFFFFF"/>
                <w:sz w:val="17"/>
                <w:shd w:val="clear" w:color="auto" w:fill="606060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Acide nucléique </w:t>
            </w:r>
          </w:p>
        </w:tc>
        <w:tc>
          <w:tcPr>
            <w:tcW w:w="1788" w:type="dxa"/>
            <w:shd w:val="clear" w:color="auto" w:fill="auto"/>
          </w:tcPr>
          <w:p w:rsidR="00D15CDD" w:rsidRPr="0001128D" w:rsidRDefault="00D15CDD" w:rsidP="007336B8">
            <w:pPr>
              <w:pStyle w:val="TableText"/>
              <w:jc w:val="center"/>
              <w:rPr>
                <w:i/>
                <w:iCs/>
                <w:sz w:val="17"/>
                <w:szCs w:val="17"/>
                <w:lang w:val="fr-FR"/>
              </w:rPr>
            </w:pPr>
            <w:proofErr w:type="spellStart"/>
            <w:r w:rsidRPr="0001128D">
              <w:rPr>
                <w:sz w:val="17"/>
                <w:szCs w:val="17"/>
                <w:lang w:val="fr-FR"/>
              </w:rPr>
              <w:t>misc_difference</w:t>
            </w:r>
            <w:proofErr w:type="spellEnd"/>
          </w:p>
        </w:tc>
        <w:tc>
          <w:tcPr>
            <w:tcW w:w="1275" w:type="dxa"/>
          </w:tcPr>
          <w:p w:rsidR="00D15CDD" w:rsidRPr="0001128D" w:rsidRDefault="00D15CDD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replace</w:t>
            </w:r>
          </w:p>
        </w:tc>
        <w:tc>
          <w:tcPr>
            <w:tcW w:w="3119" w:type="dxa"/>
            <w:shd w:val="clear" w:color="auto" w:fill="auto"/>
          </w:tcPr>
          <w:p w:rsidR="00D15CDD" w:rsidRPr="0001128D" w:rsidRDefault="009B24C7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 xml:space="preserve">La variabilité a été créée artificiellement, </w:t>
            </w:r>
            <w:r w:rsidR="00745EE5" w:rsidRPr="0001128D">
              <w:rPr>
                <w:sz w:val="17"/>
                <w:szCs w:val="17"/>
                <w:lang w:val="fr-FR"/>
              </w:rPr>
              <w:t>p. </w:t>
            </w:r>
            <w:r w:rsidRPr="0001128D">
              <w:rPr>
                <w:sz w:val="17"/>
                <w:szCs w:val="17"/>
                <w:lang w:val="fr-FR"/>
              </w:rPr>
              <w:t>ex. par une manipulation génétique ou une synthèse chimique</w:t>
            </w:r>
          </w:p>
          <w:p w:rsidR="00D15CDD" w:rsidRPr="0001128D" w:rsidRDefault="00D15CDD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805AF7" w:rsidRPr="00917901" w:rsidTr="00BA0881">
        <w:trPr>
          <w:cantSplit/>
        </w:trPr>
        <w:tc>
          <w:tcPr>
            <w:tcW w:w="1445" w:type="dxa"/>
            <w:shd w:val="clear" w:color="auto" w:fill="auto"/>
          </w:tcPr>
          <w:p w:rsidR="00805AF7" w:rsidRPr="0001128D" w:rsidRDefault="00602F02" w:rsidP="007C3FAA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Acide aminé</w:t>
            </w:r>
          </w:p>
          <w:p w:rsidR="00805AF7" w:rsidRPr="0001128D" w:rsidRDefault="00805AF7" w:rsidP="007336B8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  <w:tc>
          <w:tcPr>
            <w:tcW w:w="1788" w:type="dxa"/>
            <w:shd w:val="clear" w:color="auto" w:fill="auto"/>
          </w:tcPr>
          <w:p w:rsidR="00805AF7" w:rsidRPr="0001128D" w:rsidRDefault="00805AF7" w:rsidP="007C3FAA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VAR_SEQ</w:t>
            </w:r>
          </w:p>
          <w:p w:rsidR="00805AF7" w:rsidRPr="0001128D" w:rsidRDefault="00805AF7" w:rsidP="007C3FAA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</w:p>
          <w:p w:rsidR="00805AF7" w:rsidRPr="0001128D" w:rsidRDefault="00805AF7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</w:p>
        </w:tc>
        <w:tc>
          <w:tcPr>
            <w:tcW w:w="1275" w:type="dxa"/>
          </w:tcPr>
          <w:p w:rsidR="00805AF7" w:rsidRPr="0001128D" w:rsidRDefault="00805AF7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NOTE</w:t>
            </w:r>
          </w:p>
        </w:tc>
        <w:tc>
          <w:tcPr>
            <w:tcW w:w="3119" w:type="dxa"/>
            <w:shd w:val="clear" w:color="auto" w:fill="auto"/>
          </w:tcPr>
          <w:p w:rsidR="00C04905" w:rsidRPr="0001128D" w:rsidRDefault="00C04905" w:rsidP="007C3FAA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L</w:t>
            </w:r>
            <w:r w:rsidR="00337E1E" w:rsidRPr="0001128D">
              <w:rPr>
                <w:sz w:val="17"/>
                <w:szCs w:val="17"/>
                <w:lang w:val="fr-FR"/>
              </w:rPr>
              <w:t>a</w:t>
            </w:r>
            <w:r w:rsidRPr="0001128D">
              <w:rPr>
                <w:sz w:val="17"/>
                <w:szCs w:val="17"/>
                <w:lang w:val="fr-FR"/>
              </w:rPr>
              <w:t xml:space="preserve"> variant</w:t>
            </w:r>
            <w:r w:rsidR="00337E1E" w:rsidRPr="0001128D">
              <w:rPr>
                <w:sz w:val="17"/>
                <w:szCs w:val="17"/>
                <w:lang w:val="fr-FR"/>
              </w:rPr>
              <w:t>e</w:t>
            </w:r>
            <w:r w:rsidRPr="0001128D">
              <w:rPr>
                <w:sz w:val="17"/>
                <w:szCs w:val="17"/>
                <w:lang w:val="fr-FR"/>
              </w:rPr>
              <w:t xml:space="preserve"> a été </w:t>
            </w:r>
            <w:r w:rsidR="00533070" w:rsidRPr="0001128D">
              <w:rPr>
                <w:sz w:val="17"/>
                <w:szCs w:val="17"/>
                <w:lang w:val="fr-FR"/>
              </w:rPr>
              <w:t>produit</w:t>
            </w:r>
            <w:r w:rsidR="00FF4490" w:rsidRPr="0001128D">
              <w:rPr>
                <w:sz w:val="17"/>
                <w:szCs w:val="17"/>
                <w:lang w:val="fr-FR"/>
              </w:rPr>
              <w:t>e</w:t>
            </w:r>
            <w:r w:rsidR="00315F1D" w:rsidRPr="0001128D">
              <w:rPr>
                <w:sz w:val="17"/>
                <w:szCs w:val="17"/>
                <w:lang w:val="fr-FR"/>
              </w:rPr>
              <w:t xml:space="preserve"> par un épissage </w:t>
            </w:r>
            <w:r w:rsidR="00C12FC8" w:rsidRPr="0001128D">
              <w:rPr>
                <w:sz w:val="17"/>
                <w:szCs w:val="17"/>
                <w:lang w:val="fr-FR"/>
              </w:rPr>
              <w:t xml:space="preserve">alternatif, </w:t>
            </w:r>
            <w:r w:rsidR="005B5AC2" w:rsidRPr="0001128D">
              <w:rPr>
                <w:sz w:val="17"/>
                <w:szCs w:val="17"/>
                <w:lang w:val="fr-FR"/>
              </w:rPr>
              <w:t>l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5B5AC2" w:rsidRPr="0001128D">
              <w:rPr>
                <w:sz w:val="17"/>
                <w:szCs w:val="17"/>
                <w:lang w:val="fr-FR"/>
              </w:rPr>
              <w:t xml:space="preserve">usage de promoteurs alternatifs, </w:t>
            </w:r>
            <w:r w:rsidR="009A2FFC" w:rsidRPr="0001128D">
              <w:rPr>
                <w:sz w:val="17"/>
                <w:szCs w:val="17"/>
                <w:lang w:val="fr-FR"/>
              </w:rPr>
              <w:t xml:space="preserve">une initiation alternative et </w:t>
            </w:r>
            <w:r w:rsidR="00234D23" w:rsidRPr="0001128D">
              <w:rPr>
                <w:sz w:val="17"/>
                <w:szCs w:val="17"/>
                <w:lang w:val="fr-FR"/>
              </w:rPr>
              <w:t>un déphasage ribosomique</w:t>
            </w:r>
          </w:p>
          <w:p w:rsidR="00805AF7" w:rsidRPr="0001128D" w:rsidRDefault="00805AF7" w:rsidP="00CC2641">
            <w:pPr>
              <w:pStyle w:val="TableText"/>
              <w:rPr>
                <w:sz w:val="17"/>
                <w:szCs w:val="17"/>
                <w:lang w:val="fr-FR"/>
              </w:rPr>
            </w:pPr>
          </w:p>
        </w:tc>
      </w:tr>
      <w:tr w:rsidR="00805AF7" w:rsidRPr="00917901" w:rsidTr="00BA0881">
        <w:trPr>
          <w:cantSplit/>
        </w:trPr>
        <w:tc>
          <w:tcPr>
            <w:tcW w:w="1445" w:type="dxa"/>
            <w:shd w:val="clear" w:color="auto" w:fill="auto"/>
          </w:tcPr>
          <w:p w:rsidR="00A329F0" w:rsidRPr="0001128D" w:rsidRDefault="00602F02" w:rsidP="007336B8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Acide aminé</w:t>
            </w:r>
          </w:p>
          <w:p w:rsidR="00805AF7" w:rsidRPr="0001128D" w:rsidRDefault="00805AF7" w:rsidP="007336B8">
            <w:pPr>
              <w:pStyle w:val="TableText"/>
              <w:rPr>
                <w:rStyle w:val="CodeChar"/>
                <w:rFonts w:ascii="Arial" w:hAnsi="Arial" w:cs="Arial"/>
                <w:color w:val="FFFFFF"/>
                <w:sz w:val="17"/>
                <w:shd w:val="clear" w:color="auto" w:fill="606060"/>
                <w:lang w:val="fr-FR"/>
              </w:rPr>
            </w:pPr>
          </w:p>
        </w:tc>
        <w:tc>
          <w:tcPr>
            <w:tcW w:w="1788" w:type="dxa"/>
            <w:shd w:val="clear" w:color="auto" w:fill="auto"/>
          </w:tcPr>
          <w:p w:rsidR="00805AF7" w:rsidRPr="0001128D" w:rsidRDefault="00805AF7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VARIANT</w:t>
            </w:r>
          </w:p>
          <w:p w:rsidR="00805AF7" w:rsidRPr="0001128D" w:rsidRDefault="00805AF7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</w:p>
          <w:p w:rsidR="00805AF7" w:rsidRPr="0001128D" w:rsidRDefault="00805AF7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</w:p>
        </w:tc>
        <w:tc>
          <w:tcPr>
            <w:tcW w:w="1275" w:type="dxa"/>
          </w:tcPr>
          <w:p w:rsidR="00805AF7" w:rsidRPr="0001128D" w:rsidRDefault="00805AF7" w:rsidP="007336B8">
            <w:pPr>
              <w:pStyle w:val="TableText"/>
              <w:jc w:val="center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NOTE</w:t>
            </w:r>
          </w:p>
        </w:tc>
        <w:tc>
          <w:tcPr>
            <w:tcW w:w="3119" w:type="dxa"/>
            <w:shd w:val="clear" w:color="auto" w:fill="auto"/>
          </w:tcPr>
          <w:p w:rsidR="00805AF7" w:rsidRPr="0001128D" w:rsidRDefault="002F4599" w:rsidP="00FF4490">
            <w:pPr>
              <w:pStyle w:val="TableText"/>
              <w:rPr>
                <w:sz w:val="17"/>
                <w:szCs w:val="17"/>
                <w:lang w:val="fr-FR"/>
              </w:rPr>
            </w:pPr>
            <w:r w:rsidRPr="0001128D">
              <w:rPr>
                <w:sz w:val="17"/>
                <w:szCs w:val="17"/>
                <w:lang w:val="fr-FR"/>
              </w:rPr>
              <w:t>Tout type de variant</w:t>
            </w:r>
            <w:r w:rsidR="00FF4490" w:rsidRPr="0001128D">
              <w:rPr>
                <w:sz w:val="17"/>
                <w:szCs w:val="17"/>
                <w:lang w:val="fr-FR"/>
              </w:rPr>
              <w:t>e</w:t>
            </w:r>
            <w:r w:rsidRPr="0001128D">
              <w:rPr>
                <w:sz w:val="17"/>
                <w:szCs w:val="17"/>
                <w:lang w:val="fr-FR"/>
              </w:rPr>
              <w:t xml:space="preserve"> pour l</w:t>
            </w:r>
            <w:r w:rsidR="00FF4490" w:rsidRPr="0001128D">
              <w:rPr>
                <w:sz w:val="17"/>
                <w:szCs w:val="17"/>
                <w:lang w:val="fr-FR"/>
              </w:rPr>
              <w:t>a</w:t>
            </w:r>
            <w:r w:rsidRPr="0001128D">
              <w:rPr>
                <w:sz w:val="17"/>
                <w:szCs w:val="17"/>
                <w:lang w:val="fr-FR"/>
              </w:rPr>
              <w:t>quel</w:t>
            </w:r>
            <w:r w:rsidR="00FF4490" w:rsidRPr="0001128D">
              <w:rPr>
                <w:sz w:val="17"/>
                <w:szCs w:val="17"/>
                <w:lang w:val="fr-FR"/>
              </w:rPr>
              <w:t>le</w:t>
            </w:r>
            <w:r w:rsidRPr="0001128D">
              <w:rPr>
                <w:sz w:val="17"/>
                <w:szCs w:val="17"/>
                <w:lang w:val="fr-FR"/>
              </w:rPr>
              <w:t xml:space="preserve"> VAR_SEQ</w:t>
            </w:r>
            <w:r w:rsidR="00234D23" w:rsidRPr="0001128D">
              <w:rPr>
                <w:sz w:val="17"/>
                <w:szCs w:val="17"/>
                <w:lang w:val="fr-FR"/>
              </w:rPr>
              <w:t xml:space="preserve"> n</w:t>
            </w:r>
            <w:r w:rsidR="00A329F0" w:rsidRPr="0001128D">
              <w:rPr>
                <w:sz w:val="17"/>
                <w:szCs w:val="17"/>
                <w:lang w:val="fr-FR"/>
              </w:rPr>
              <w:t>’</w:t>
            </w:r>
            <w:r w:rsidR="00234D23" w:rsidRPr="0001128D">
              <w:rPr>
                <w:sz w:val="17"/>
                <w:szCs w:val="17"/>
                <w:lang w:val="fr-FR"/>
              </w:rPr>
              <w:t>est pas applicable</w:t>
            </w:r>
          </w:p>
        </w:tc>
      </w:tr>
    </w:tbl>
    <w:p w:rsidR="00AE5203" w:rsidRPr="0001128D" w:rsidRDefault="00AE5203" w:rsidP="00AE5203">
      <w:pPr>
        <w:pStyle w:val="List0"/>
        <w:tabs>
          <w:tab w:val="left" w:pos="567"/>
        </w:tabs>
        <w:rPr>
          <w:szCs w:val="17"/>
          <w:lang w:val="fr-FR"/>
        </w:rPr>
      </w:pPr>
    </w:p>
    <w:p w:rsidR="00D15CDD" w:rsidRPr="0001128D" w:rsidRDefault="004D4DD0" w:rsidP="007E5957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lastRenderedPageBreak/>
        <w:t>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annotation d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une séquence primaire effectuée pour un</w:t>
      </w:r>
      <w:r w:rsidR="00F15623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 variant</w:t>
      </w:r>
      <w:r w:rsidR="00F15623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 particuli</w:t>
      </w:r>
      <w:r w:rsidR="00F15623" w:rsidRPr="0001128D">
        <w:rPr>
          <w:szCs w:val="17"/>
          <w:lang w:val="fr-FR"/>
        </w:rPr>
        <w:t>ère</w:t>
      </w:r>
      <w:r w:rsidRPr="0001128D">
        <w:rPr>
          <w:szCs w:val="17"/>
          <w:lang w:val="fr-FR"/>
        </w:rPr>
        <w:t xml:space="preserve"> doit comporter une clé de caractérisation et un qualificateur, conformément au tableau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dessus, et indiquer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 xml:space="preserve">emplacement de la caractéristique.  </w:t>
      </w:r>
      <w:r w:rsidR="00C861E0" w:rsidRPr="0001128D">
        <w:rPr>
          <w:szCs w:val="17"/>
          <w:lang w:val="fr-FR"/>
        </w:rPr>
        <w:t xml:space="preserve">Toute suppression doit être représentée par une valeur de qualificateur vide.  Tout résidu </w:t>
      </w:r>
      <w:r w:rsidR="00BF50AD" w:rsidRPr="0001128D">
        <w:rPr>
          <w:szCs w:val="17"/>
          <w:lang w:val="fr-FR"/>
        </w:rPr>
        <w:t>ajouté</w:t>
      </w:r>
      <w:r w:rsidR="00C861E0" w:rsidRPr="0001128D">
        <w:rPr>
          <w:szCs w:val="17"/>
          <w:lang w:val="fr-FR"/>
        </w:rPr>
        <w:t xml:space="preserve"> ou remplacé doit être indiqué dans le qualificateur </w:t>
      </w:r>
      <w:r w:rsidR="00745EE5" w:rsidRPr="0001128D">
        <w:rPr>
          <w:szCs w:val="17"/>
          <w:lang w:val="fr-FR"/>
        </w:rPr>
        <w:t>“</w:t>
      </w:r>
      <w:r w:rsidR="00C861E0" w:rsidRPr="0001128D">
        <w:rPr>
          <w:szCs w:val="17"/>
          <w:lang w:val="fr-FR"/>
        </w:rPr>
        <w:t>replace</w:t>
      </w:r>
      <w:r w:rsidR="00745EE5" w:rsidRPr="0001128D">
        <w:rPr>
          <w:szCs w:val="17"/>
          <w:lang w:val="fr-FR"/>
        </w:rPr>
        <w:t>”</w:t>
      </w:r>
      <w:r w:rsidR="00C861E0"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="00C861E0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”.</w:t>
      </w:r>
      <w:r w:rsidR="000C5549" w:rsidRPr="0001128D">
        <w:rPr>
          <w:szCs w:val="17"/>
          <w:lang w:val="fr-FR"/>
        </w:rPr>
        <w:t xml:space="preserve">  La valeur du qualificateur</w:t>
      </w:r>
      <w:r w:rsidR="00C861E0" w:rsidRPr="0001128D">
        <w:rPr>
          <w:szCs w:val="17"/>
          <w:lang w:val="fr-FR"/>
        </w:rPr>
        <w:t xml:space="preserve"> </w:t>
      </w:r>
      <w:r w:rsidR="00745EE5" w:rsidRPr="0001128D">
        <w:rPr>
          <w:szCs w:val="17"/>
          <w:lang w:val="fr-FR"/>
        </w:rPr>
        <w:t>“</w:t>
      </w:r>
      <w:r w:rsidR="00C861E0" w:rsidRPr="0001128D">
        <w:rPr>
          <w:szCs w:val="17"/>
          <w:lang w:val="fr-FR"/>
        </w:rPr>
        <w:t>replace</w:t>
      </w:r>
      <w:r w:rsidR="00745EE5" w:rsidRPr="0001128D">
        <w:rPr>
          <w:szCs w:val="17"/>
          <w:lang w:val="fr-FR"/>
        </w:rPr>
        <w:t>”</w:t>
      </w:r>
      <w:r w:rsidR="00C861E0" w:rsidRPr="0001128D">
        <w:rPr>
          <w:szCs w:val="17"/>
          <w:lang w:val="fr-FR"/>
        </w:rPr>
        <w:t xml:space="preserve"> ou </w:t>
      </w:r>
      <w:r w:rsidR="00745EE5" w:rsidRPr="0001128D">
        <w:rPr>
          <w:szCs w:val="17"/>
          <w:lang w:val="fr-FR"/>
        </w:rPr>
        <w:t>“</w:t>
      </w:r>
      <w:r w:rsidR="00C861E0" w:rsidRPr="0001128D">
        <w:rPr>
          <w:szCs w:val="17"/>
          <w:lang w:val="fr-FR"/>
        </w:rPr>
        <w:t>NOTE</w:t>
      </w:r>
      <w:r w:rsidR="00745EE5" w:rsidRPr="0001128D">
        <w:rPr>
          <w:szCs w:val="17"/>
          <w:lang w:val="fr-FR"/>
        </w:rPr>
        <w:t>”</w:t>
      </w:r>
      <w:r w:rsidR="000C5549" w:rsidRPr="0001128D">
        <w:rPr>
          <w:szCs w:val="17"/>
          <w:lang w:val="fr-FR"/>
        </w:rPr>
        <w:t xml:space="preserve"> est un texte libre qui ne doit pas dépasser 1000 caractères, conformément au paragraphe 87.  </w:t>
      </w:r>
      <w:r w:rsidR="007A65DA" w:rsidRPr="0001128D">
        <w:rPr>
          <w:szCs w:val="17"/>
          <w:lang w:val="fr-FR"/>
        </w:rPr>
        <w:t xml:space="preserve">Pour les séquences visées par le paragraphe 6 qui sont présentées </w:t>
      </w:r>
      <w:r w:rsidR="0042437F" w:rsidRPr="0001128D">
        <w:rPr>
          <w:szCs w:val="17"/>
          <w:lang w:val="fr-FR"/>
        </w:rPr>
        <w:t>à titre d</w:t>
      </w:r>
      <w:r w:rsidR="00A329F0" w:rsidRPr="0001128D">
        <w:rPr>
          <w:szCs w:val="17"/>
          <w:lang w:val="fr-FR"/>
        </w:rPr>
        <w:t>’</w:t>
      </w:r>
      <w:r w:rsidR="00D2542E" w:rsidRPr="0001128D">
        <w:rPr>
          <w:szCs w:val="17"/>
          <w:lang w:val="fr-FR"/>
        </w:rPr>
        <w:t>adjonction</w:t>
      </w:r>
      <w:r w:rsidR="007A65DA" w:rsidRPr="0001128D">
        <w:rPr>
          <w:szCs w:val="17"/>
          <w:lang w:val="fr-FR"/>
        </w:rPr>
        <w:t xml:space="preserve"> ou </w:t>
      </w:r>
      <w:r w:rsidR="0042437F" w:rsidRPr="0001128D">
        <w:rPr>
          <w:szCs w:val="17"/>
          <w:lang w:val="fr-FR"/>
        </w:rPr>
        <w:t xml:space="preserve">de </w:t>
      </w:r>
      <w:r w:rsidR="007A65DA" w:rsidRPr="0001128D">
        <w:rPr>
          <w:szCs w:val="17"/>
          <w:lang w:val="fr-FR"/>
        </w:rPr>
        <w:t>remplacement de la valeur d</w:t>
      </w:r>
      <w:r w:rsidR="00A329F0" w:rsidRPr="0001128D">
        <w:rPr>
          <w:szCs w:val="17"/>
          <w:lang w:val="fr-FR"/>
        </w:rPr>
        <w:t>’</w:t>
      </w:r>
      <w:r w:rsidR="007A65DA" w:rsidRPr="0001128D">
        <w:rPr>
          <w:szCs w:val="17"/>
          <w:lang w:val="fr-FR"/>
        </w:rPr>
        <w:t xml:space="preserve">un qualificateur, se reporter au paragraphe 97.  </w:t>
      </w:r>
      <w:r w:rsidR="00D160BC" w:rsidRPr="0001128D">
        <w:rPr>
          <w:szCs w:val="17"/>
          <w:lang w:val="fr-FR"/>
        </w:rPr>
        <w:t>La valeur du qualificateur peut comporter un</w:t>
      </w:r>
      <w:r w:rsidR="007B0880" w:rsidRPr="0001128D">
        <w:rPr>
          <w:szCs w:val="17"/>
          <w:lang w:val="fr-FR"/>
        </w:rPr>
        <w:t xml:space="preserve"> listage des résidus alternatifs pouvant être </w:t>
      </w:r>
      <w:r w:rsidR="008D77BD" w:rsidRPr="0001128D">
        <w:rPr>
          <w:szCs w:val="17"/>
          <w:lang w:val="fr-FR"/>
        </w:rPr>
        <w:t>ajoutés</w:t>
      </w:r>
      <w:r w:rsidR="007B0880" w:rsidRPr="0001128D">
        <w:rPr>
          <w:szCs w:val="17"/>
          <w:lang w:val="fr-FR"/>
        </w:rPr>
        <w:t xml:space="preserve"> ou remplacés.</w:t>
      </w:r>
    </w:p>
    <w:p w:rsidR="00D160BC" w:rsidRPr="0001128D" w:rsidRDefault="00D160BC" w:rsidP="000A54DB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110" w:name="_Ref371519110"/>
      <w:r w:rsidRPr="0001128D">
        <w:rPr>
          <w:szCs w:val="17"/>
          <w:lang w:val="fr-FR"/>
        </w:rPr>
        <w:t>Les symboles indiqués dans l</w:t>
      </w:r>
      <w:r w:rsidR="00A329F0" w:rsidRPr="0001128D">
        <w:rPr>
          <w:szCs w:val="17"/>
          <w:lang w:val="fr-FR"/>
        </w:rPr>
        <w:t>’</w:t>
      </w:r>
      <w:r w:rsidRPr="0001128D">
        <w:rPr>
          <w:szCs w:val="17"/>
          <w:lang w:val="fr-FR"/>
        </w:rPr>
        <w:t>annexe I (voir respectivement les sections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1 à 4, tableaux 1 à 4) peuvent être employés pour représenter des résidus de variant</w:t>
      </w:r>
      <w:r w:rsidR="008D0007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 xml:space="preserve">s, selon les besoins.  </w:t>
      </w:r>
      <w:r w:rsidR="0050393C" w:rsidRPr="0001128D">
        <w:rPr>
          <w:szCs w:val="17"/>
          <w:lang w:val="fr-FR"/>
        </w:rPr>
        <w:t>Si un résidu de variant</w:t>
      </w:r>
      <w:r w:rsidR="008D0007" w:rsidRPr="0001128D">
        <w:rPr>
          <w:szCs w:val="17"/>
          <w:lang w:val="fr-FR"/>
        </w:rPr>
        <w:t>e</w:t>
      </w:r>
      <w:r w:rsidR="0050393C" w:rsidRPr="0001128D">
        <w:rPr>
          <w:szCs w:val="17"/>
          <w:lang w:val="fr-FR"/>
        </w:rPr>
        <w:t xml:space="preserve"> est un résidu modifié qui ne figure pas dans les tableaux 2 ou 4 de l</w:t>
      </w:r>
      <w:r w:rsidR="00A329F0" w:rsidRPr="0001128D">
        <w:rPr>
          <w:szCs w:val="17"/>
          <w:lang w:val="fr-FR"/>
        </w:rPr>
        <w:t>’</w:t>
      </w:r>
      <w:r w:rsidR="0050393C" w:rsidRPr="0001128D">
        <w:rPr>
          <w:szCs w:val="17"/>
          <w:lang w:val="fr-FR"/>
        </w:rPr>
        <w:t xml:space="preserve">annexe I, </w:t>
      </w:r>
      <w:r w:rsidR="00250A49" w:rsidRPr="0001128D">
        <w:rPr>
          <w:szCs w:val="17"/>
          <w:lang w:val="fr-FR"/>
        </w:rPr>
        <w:t>le nom complet non abrégé du résidu modifié doit être indiqué dans la valeur du qualificateur.</w:t>
      </w:r>
    </w:p>
    <w:p w:rsidR="00474D39" w:rsidRPr="0001128D" w:rsidRDefault="00874EF1" w:rsidP="004C150A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bookmarkStart w:id="111" w:name="_Ref371508663"/>
      <w:bookmarkEnd w:id="110"/>
      <w:r w:rsidRPr="0001128D">
        <w:rPr>
          <w:szCs w:val="17"/>
          <w:lang w:val="fr-FR"/>
        </w:rPr>
        <w:t>Les exemples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après illustrent la manière de présenter des variant</w:t>
      </w:r>
      <w:r w:rsidR="00F2228F" w:rsidRPr="0001128D">
        <w:rPr>
          <w:szCs w:val="17"/>
          <w:lang w:val="fr-FR"/>
        </w:rPr>
        <w:t>e</w:t>
      </w:r>
      <w:r w:rsidRPr="0001128D">
        <w:rPr>
          <w:szCs w:val="17"/>
          <w:lang w:val="fr-FR"/>
        </w:rPr>
        <w:t>s pour qu</w:t>
      </w:r>
      <w:r w:rsidR="00A329F0" w:rsidRPr="0001128D">
        <w:rPr>
          <w:szCs w:val="17"/>
          <w:lang w:val="fr-FR"/>
        </w:rPr>
        <w:t>’</w:t>
      </w:r>
      <w:r w:rsidR="00F2228F" w:rsidRPr="0001128D">
        <w:rPr>
          <w:szCs w:val="17"/>
          <w:lang w:val="fr-FR"/>
        </w:rPr>
        <w:t>elle</w:t>
      </w:r>
      <w:r w:rsidRPr="0001128D">
        <w:rPr>
          <w:szCs w:val="17"/>
          <w:lang w:val="fr-FR"/>
        </w:rPr>
        <w:t>s soient conformes aux paragraphes 92 à 95 ci</w:t>
      </w:r>
      <w:r w:rsidR="00265B44" w:rsidRPr="0001128D">
        <w:rPr>
          <w:szCs w:val="17"/>
          <w:lang w:val="fr-FR"/>
        </w:rPr>
        <w:noBreakHyphen/>
      </w:r>
      <w:r w:rsidRPr="0001128D">
        <w:rPr>
          <w:szCs w:val="17"/>
          <w:lang w:val="fr-FR"/>
        </w:rPr>
        <w:t>dessus</w:t>
      </w:r>
      <w:r w:rsidR="00745EE5" w:rsidRPr="0001128D">
        <w:rPr>
          <w:szCs w:val="17"/>
          <w:lang w:val="fr-FR"/>
        </w:rPr>
        <w:t> </w:t>
      </w:r>
      <w:r w:rsidRPr="0001128D">
        <w:rPr>
          <w:szCs w:val="17"/>
          <w:lang w:val="fr-FR"/>
        </w:rPr>
        <w:t>:</w:t>
      </w:r>
      <w:bookmarkEnd w:id="111"/>
    </w:p>
    <w:p w:rsidR="00A329F0" w:rsidRPr="0001128D" w:rsidRDefault="00474D39" w:rsidP="00474D39">
      <w:pPr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</w:t>
      </w:r>
      <w:r w:rsidR="00874EF1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>mple 1</w:t>
      </w:r>
      <w:r w:rsidR="00745EE5" w:rsidRPr="0001128D">
        <w:rPr>
          <w:sz w:val="17"/>
          <w:szCs w:val="17"/>
          <w:lang w:val="fr-FR"/>
        </w:rPr>
        <w:t> :</w:t>
      </w:r>
      <w:r w:rsidRPr="0001128D">
        <w:rPr>
          <w:sz w:val="17"/>
          <w:szCs w:val="17"/>
          <w:lang w:val="fr-FR"/>
        </w:rPr>
        <w:t xml:space="preserve"> </w:t>
      </w:r>
      <w:r w:rsidR="00683E1D" w:rsidRPr="0001128D">
        <w:rPr>
          <w:sz w:val="17"/>
          <w:szCs w:val="17"/>
          <w:lang w:val="fr-FR"/>
        </w:rPr>
        <w:t>Clé de caractérisation</w:t>
      </w:r>
      <w:r w:rsidRPr="0001128D">
        <w:rPr>
          <w:sz w:val="17"/>
          <w:szCs w:val="17"/>
          <w:lang w:val="fr-FR"/>
        </w:rPr>
        <w:t xml:space="preserve"> </w:t>
      </w:r>
      <w:r w:rsidR="00745EE5" w:rsidRPr="0001128D">
        <w:rPr>
          <w:sz w:val="17"/>
          <w:szCs w:val="17"/>
          <w:lang w:val="fr-FR"/>
        </w:rPr>
        <w:t>“</w:t>
      </w:r>
      <w:r w:rsidRPr="0001128D">
        <w:rPr>
          <w:sz w:val="17"/>
          <w:szCs w:val="17"/>
          <w:lang w:val="fr-FR"/>
        </w:rPr>
        <w:t>variation</w:t>
      </w:r>
      <w:r w:rsidR="00745EE5" w:rsidRPr="0001128D">
        <w:rPr>
          <w:sz w:val="17"/>
          <w:szCs w:val="17"/>
          <w:lang w:val="fr-FR"/>
        </w:rPr>
        <w:t>”</w:t>
      </w:r>
      <w:r w:rsidRPr="0001128D">
        <w:rPr>
          <w:sz w:val="17"/>
          <w:szCs w:val="17"/>
          <w:lang w:val="fr-FR"/>
        </w:rPr>
        <w:t xml:space="preserve"> </w:t>
      </w:r>
      <w:r w:rsidR="00683E1D" w:rsidRPr="0001128D">
        <w:rPr>
          <w:sz w:val="17"/>
          <w:szCs w:val="17"/>
          <w:lang w:val="fr-FR"/>
        </w:rPr>
        <w:t>pour un remplacement dans une séquence de nucléotides</w:t>
      </w:r>
      <w:r w:rsidR="00C86D7E" w:rsidRPr="0001128D">
        <w:rPr>
          <w:sz w:val="17"/>
          <w:szCs w:val="17"/>
          <w:lang w:val="fr-FR"/>
        </w:rPr>
        <w:t>.</w:t>
      </w:r>
    </w:p>
    <w:p w:rsidR="00474D39" w:rsidRPr="0001128D" w:rsidRDefault="00683E1D" w:rsidP="00474D39">
      <w:pPr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Une</w:t>
      </w:r>
      <w:r w:rsidR="00474D39" w:rsidRPr="0001128D">
        <w:rPr>
          <w:sz w:val="17"/>
          <w:szCs w:val="17"/>
          <w:lang w:val="fr-FR"/>
        </w:rPr>
        <w:t xml:space="preserve"> cytosine </w:t>
      </w:r>
      <w:r w:rsidRPr="0001128D">
        <w:rPr>
          <w:sz w:val="17"/>
          <w:szCs w:val="17"/>
          <w:lang w:val="fr-FR"/>
        </w:rPr>
        <w:t xml:space="preserve">remplace le nucléotide défini à la </w:t>
      </w:r>
      <w:r w:rsidR="00474D39" w:rsidRPr="0001128D">
        <w:rPr>
          <w:sz w:val="17"/>
          <w:szCs w:val="17"/>
          <w:lang w:val="fr-FR"/>
        </w:rPr>
        <w:t xml:space="preserve">position 413 </w:t>
      </w:r>
      <w:r w:rsidRPr="0001128D">
        <w:rPr>
          <w:sz w:val="17"/>
          <w:szCs w:val="17"/>
          <w:lang w:val="fr-FR"/>
        </w:rPr>
        <w:t>de la séquence</w:t>
      </w:r>
      <w:r w:rsidR="00474D39" w:rsidRPr="0001128D">
        <w:rPr>
          <w:sz w:val="17"/>
          <w:szCs w:val="17"/>
          <w:lang w:val="fr-FR"/>
        </w:rPr>
        <w:t>.</w:t>
      </w:r>
    </w:p>
    <w:p w:rsidR="00832FD1" w:rsidRPr="0001128D" w:rsidRDefault="00832FD1" w:rsidP="00474D39">
      <w:pPr>
        <w:rPr>
          <w:sz w:val="17"/>
          <w:szCs w:val="17"/>
          <w:lang w:val="fr-FR"/>
        </w:rPr>
      </w:pP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&gt;variation&lt;/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&gt;413&lt;/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&gt;replace&lt;/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&gt;c&lt;/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832FD1" w:rsidRPr="0001128D" w:rsidRDefault="00832FD1" w:rsidP="00474D39">
      <w:pPr>
        <w:rPr>
          <w:sz w:val="17"/>
          <w:szCs w:val="17"/>
          <w:lang w:val="fr-FR"/>
        </w:rPr>
      </w:pPr>
    </w:p>
    <w:p w:rsidR="00474D39" w:rsidRPr="0001128D" w:rsidRDefault="00A776C4" w:rsidP="00474D39">
      <w:pPr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Exe</w:t>
      </w:r>
      <w:r w:rsidR="00474D39" w:rsidRPr="0001128D">
        <w:rPr>
          <w:sz w:val="17"/>
          <w:szCs w:val="17"/>
          <w:lang w:val="fr-FR"/>
        </w:rPr>
        <w:t>mple 2</w:t>
      </w:r>
      <w:r w:rsidR="00745EE5" w:rsidRPr="0001128D">
        <w:rPr>
          <w:sz w:val="17"/>
          <w:szCs w:val="17"/>
          <w:lang w:val="fr-FR"/>
        </w:rPr>
        <w:t> :</w:t>
      </w:r>
      <w:r w:rsidR="00474D39" w:rsidRPr="0001128D">
        <w:rPr>
          <w:sz w:val="17"/>
          <w:szCs w:val="17"/>
          <w:lang w:val="fr-FR"/>
        </w:rPr>
        <w:t xml:space="preserve"> </w:t>
      </w:r>
      <w:r w:rsidRPr="0001128D">
        <w:rPr>
          <w:sz w:val="17"/>
          <w:szCs w:val="17"/>
          <w:lang w:val="fr-FR"/>
        </w:rPr>
        <w:t xml:space="preserve">Clé de caractérisation </w:t>
      </w:r>
      <w:r w:rsidR="00745EE5" w:rsidRPr="0001128D">
        <w:rPr>
          <w:sz w:val="17"/>
          <w:szCs w:val="17"/>
          <w:lang w:val="fr-FR"/>
        </w:rPr>
        <w:t>“</w:t>
      </w:r>
      <w:proofErr w:type="spellStart"/>
      <w:r w:rsidR="00474D39" w:rsidRPr="0001128D">
        <w:rPr>
          <w:sz w:val="17"/>
          <w:szCs w:val="17"/>
          <w:lang w:val="fr-FR"/>
        </w:rPr>
        <w:t>misc_difference</w:t>
      </w:r>
      <w:proofErr w:type="spellEnd"/>
      <w:r w:rsidR="00745EE5" w:rsidRPr="0001128D">
        <w:rPr>
          <w:sz w:val="17"/>
          <w:szCs w:val="17"/>
          <w:lang w:val="fr-FR"/>
        </w:rPr>
        <w:t>”</w:t>
      </w:r>
      <w:r w:rsidR="00474D39" w:rsidRPr="0001128D">
        <w:rPr>
          <w:sz w:val="17"/>
          <w:szCs w:val="17"/>
          <w:lang w:val="fr-FR"/>
        </w:rPr>
        <w:t xml:space="preserve"> </w:t>
      </w:r>
      <w:r w:rsidRPr="0001128D">
        <w:rPr>
          <w:sz w:val="17"/>
          <w:szCs w:val="17"/>
          <w:lang w:val="fr-FR"/>
        </w:rPr>
        <w:t>pour une suppression dans une séquence de nucléotides.</w:t>
      </w:r>
    </w:p>
    <w:p w:rsidR="00474D39" w:rsidRPr="0001128D" w:rsidRDefault="00A776C4" w:rsidP="00474D39">
      <w:pPr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 xml:space="preserve">Le nucléotide à la </w:t>
      </w:r>
      <w:r w:rsidR="00474D39" w:rsidRPr="0001128D">
        <w:rPr>
          <w:sz w:val="17"/>
          <w:szCs w:val="17"/>
          <w:lang w:val="fr-FR"/>
        </w:rPr>
        <w:t xml:space="preserve">position 413 </w:t>
      </w:r>
      <w:r w:rsidRPr="0001128D">
        <w:rPr>
          <w:sz w:val="17"/>
          <w:szCs w:val="17"/>
          <w:lang w:val="fr-FR"/>
        </w:rPr>
        <w:t>de la séquence est supprimé</w:t>
      </w:r>
      <w:r w:rsidR="00474D39" w:rsidRPr="0001128D">
        <w:rPr>
          <w:sz w:val="17"/>
          <w:szCs w:val="17"/>
          <w:lang w:val="fr-FR"/>
        </w:rPr>
        <w:t>.</w:t>
      </w:r>
    </w:p>
    <w:p w:rsidR="00832FD1" w:rsidRPr="0001128D" w:rsidRDefault="00832FD1" w:rsidP="00474D39">
      <w:pPr>
        <w:rPr>
          <w:sz w:val="17"/>
          <w:szCs w:val="17"/>
          <w:lang w:val="fr-FR"/>
        </w:rPr>
      </w:pP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misc_difference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&gt;413&lt;/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&gt;replace&lt;/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7B5015" w:rsidRPr="0001128D" w:rsidRDefault="007B5015" w:rsidP="0020085E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</w:p>
    <w:p w:rsidR="00C86D7E" w:rsidRPr="0001128D" w:rsidRDefault="00C07136" w:rsidP="0020085E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Exe</w:t>
      </w:r>
      <w:r w:rsidR="00474D39" w:rsidRPr="0001128D">
        <w:rPr>
          <w:sz w:val="17"/>
          <w:szCs w:val="17"/>
          <w:lang w:val="fr-FR"/>
        </w:rPr>
        <w:t>mple 3</w:t>
      </w:r>
      <w:r w:rsidR="00745EE5" w:rsidRPr="0001128D">
        <w:rPr>
          <w:sz w:val="17"/>
          <w:szCs w:val="17"/>
          <w:lang w:val="fr-FR"/>
        </w:rPr>
        <w:t> :</w:t>
      </w:r>
      <w:r w:rsidR="00474D39" w:rsidRPr="0001128D">
        <w:rPr>
          <w:sz w:val="17"/>
          <w:szCs w:val="17"/>
          <w:lang w:val="fr-FR"/>
        </w:rPr>
        <w:t xml:space="preserve"> </w:t>
      </w:r>
      <w:r w:rsidRPr="0001128D">
        <w:rPr>
          <w:sz w:val="17"/>
          <w:szCs w:val="17"/>
          <w:lang w:val="fr-FR"/>
        </w:rPr>
        <w:t xml:space="preserve">Clé de caractérisation </w:t>
      </w:r>
      <w:r w:rsidR="00745EE5" w:rsidRPr="0001128D">
        <w:rPr>
          <w:sz w:val="17"/>
          <w:szCs w:val="17"/>
          <w:lang w:val="fr-FR"/>
        </w:rPr>
        <w:t>“</w:t>
      </w:r>
      <w:proofErr w:type="spellStart"/>
      <w:r w:rsidR="00474D39" w:rsidRPr="0001128D">
        <w:rPr>
          <w:sz w:val="17"/>
          <w:szCs w:val="17"/>
          <w:lang w:val="fr-FR"/>
        </w:rPr>
        <w:t>misc_difference</w:t>
      </w:r>
      <w:proofErr w:type="spellEnd"/>
      <w:r w:rsidR="00745EE5" w:rsidRPr="0001128D">
        <w:rPr>
          <w:sz w:val="17"/>
          <w:szCs w:val="17"/>
          <w:lang w:val="fr-FR"/>
        </w:rPr>
        <w:t>”</w:t>
      </w:r>
      <w:r w:rsidR="00474D39" w:rsidRPr="0001128D">
        <w:rPr>
          <w:sz w:val="17"/>
          <w:szCs w:val="17"/>
          <w:lang w:val="fr-FR"/>
        </w:rPr>
        <w:t xml:space="preserve"> </w:t>
      </w:r>
      <w:r w:rsidRPr="0001128D">
        <w:rPr>
          <w:sz w:val="17"/>
          <w:szCs w:val="17"/>
          <w:lang w:val="fr-FR"/>
        </w:rPr>
        <w:t xml:space="preserve">pour une </w:t>
      </w:r>
      <w:r w:rsidR="00D2542E" w:rsidRPr="0001128D">
        <w:rPr>
          <w:sz w:val="17"/>
          <w:szCs w:val="17"/>
          <w:lang w:val="fr-FR"/>
        </w:rPr>
        <w:t>adjonction</w:t>
      </w:r>
      <w:r w:rsidRPr="0001128D">
        <w:rPr>
          <w:sz w:val="17"/>
          <w:szCs w:val="17"/>
          <w:lang w:val="fr-FR"/>
        </w:rPr>
        <w:t xml:space="preserve"> dans une séquence de nucléotides.</w:t>
      </w:r>
    </w:p>
    <w:p w:rsidR="0020085E" w:rsidRPr="0001128D" w:rsidRDefault="00BC5BC0" w:rsidP="0020085E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 xml:space="preserve">La séquence </w:t>
      </w:r>
      <w:r w:rsidR="00745EE5" w:rsidRPr="0001128D">
        <w:rPr>
          <w:sz w:val="17"/>
          <w:szCs w:val="17"/>
          <w:lang w:val="fr-FR"/>
        </w:rPr>
        <w:t>“</w:t>
      </w:r>
      <w:proofErr w:type="spellStart"/>
      <w:r w:rsidR="0020085E" w:rsidRPr="0001128D">
        <w:rPr>
          <w:sz w:val="17"/>
          <w:szCs w:val="17"/>
          <w:lang w:val="fr-FR"/>
        </w:rPr>
        <w:t>atgccaaatat</w:t>
      </w:r>
      <w:proofErr w:type="spellEnd"/>
      <w:r w:rsidR="00745EE5" w:rsidRPr="0001128D">
        <w:rPr>
          <w:sz w:val="17"/>
          <w:szCs w:val="17"/>
          <w:lang w:val="fr-FR"/>
        </w:rPr>
        <w:t>”</w:t>
      </w:r>
      <w:r w:rsidR="0020085E" w:rsidRPr="0001128D">
        <w:rPr>
          <w:sz w:val="17"/>
          <w:szCs w:val="17"/>
          <w:lang w:val="fr-FR"/>
        </w:rPr>
        <w:t xml:space="preserve"> </w:t>
      </w:r>
      <w:r w:rsidRPr="0001128D">
        <w:rPr>
          <w:sz w:val="17"/>
          <w:szCs w:val="17"/>
          <w:lang w:val="fr-FR"/>
        </w:rPr>
        <w:t xml:space="preserve">est </w:t>
      </w:r>
      <w:r w:rsidR="001B5C0F" w:rsidRPr="0001128D">
        <w:rPr>
          <w:sz w:val="17"/>
          <w:szCs w:val="17"/>
          <w:lang w:val="fr-FR"/>
        </w:rPr>
        <w:t>ajoutée</w:t>
      </w:r>
      <w:r w:rsidRPr="0001128D">
        <w:rPr>
          <w:sz w:val="17"/>
          <w:szCs w:val="17"/>
          <w:lang w:val="fr-FR"/>
        </w:rPr>
        <w:t xml:space="preserve"> entre les </w:t>
      </w:r>
      <w:r w:rsidR="0020085E" w:rsidRPr="0001128D">
        <w:rPr>
          <w:sz w:val="17"/>
          <w:szCs w:val="17"/>
          <w:lang w:val="fr-FR"/>
        </w:rPr>
        <w:t xml:space="preserve">positions 100 </w:t>
      </w:r>
      <w:r w:rsidRPr="0001128D">
        <w:rPr>
          <w:sz w:val="17"/>
          <w:szCs w:val="17"/>
          <w:lang w:val="fr-FR"/>
        </w:rPr>
        <w:t xml:space="preserve">et </w:t>
      </w:r>
      <w:r w:rsidR="0020085E" w:rsidRPr="0001128D">
        <w:rPr>
          <w:sz w:val="17"/>
          <w:szCs w:val="17"/>
          <w:lang w:val="fr-FR"/>
        </w:rPr>
        <w:t xml:space="preserve">101 </w:t>
      </w:r>
      <w:r w:rsidRPr="0001128D">
        <w:rPr>
          <w:sz w:val="17"/>
          <w:szCs w:val="17"/>
          <w:lang w:val="fr-FR"/>
        </w:rPr>
        <w:t>de la séquence primaire</w:t>
      </w:r>
      <w:r w:rsidR="0020085E" w:rsidRPr="0001128D">
        <w:rPr>
          <w:sz w:val="17"/>
          <w:szCs w:val="17"/>
          <w:lang w:val="fr-FR"/>
        </w:rPr>
        <w:t>.</w:t>
      </w:r>
    </w:p>
    <w:p w:rsidR="00474D39" w:rsidRPr="0001128D" w:rsidRDefault="00474D3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misc_difference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&gt;100^101&lt;/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&gt;replace&lt;/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atgccaaatat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</w:p>
    <w:p w:rsidR="00474D39" w:rsidRPr="0001128D" w:rsidRDefault="00587570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Exe</w:t>
      </w:r>
      <w:r w:rsidR="00474D39" w:rsidRPr="0001128D">
        <w:rPr>
          <w:sz w:val="17"/>
          <w:szCs w:val="17"/>
          <w:lang w:val="fr-FR"/>
        </w:rPr>
        <w:t>mple 4</w:t>
      </w:r>
      <w:r w:rsidR="00745EE5" w:rsidRPr="0001128D">
        <w:rPr>
          <w:sz w:val="17"/>
          <w:szCs w:val="17"/>
          <w:lang w:val="fr-FR"/>
        </w:rPr>
        <w:t> :</w:t>
      </w:r>
      <w:r w:rsidR="00474D39" w:rsidRPr="0001128D">
        <w:rPr>
          <w:sz w:val="17"/>
          <w:szCs w:val="17"/>
          <w:lang w:val="fr-FR"/>
        </w:rPr>
        <w:t xml:space="preserve"> </w:t>
      </w:r>
      <w:r w:rsidR="00334EAF" w:rsidRPr="0001128D">
        <w:rPr>
          <w:sz w:val="17"/>
          <w:szCs w:val="17"/>
          <w:lang w:val="fr-FR"/>
        </w:rPr>
        <w:t xml:space="preserve">Clé de caractérisation </w:t>
      </w:r>
      <w:r w:rsidR="00745EE5" w:rsidRPr="0001128D">
        <w:rPr>
          <w:sz w:val="17"/>
          <w:szCs w:val="17"/>
          <w:lang w:val="fr-FR"/>
        </w:rPr>
        <w:t>“</w:t>
      </w:r>
      <w:r w:rsidR="00474D39" w:rsidRPr="0001128D">
        <w:rPr>
          <w:sz w:val="17"/>
          <w:szCs w:val="17"/>
          <w:lang w:val="fr-FR"/>
        </w:rPr>
        <w:t>VARIANT</w:t>
      </w:r>
      <w:r w:rsidR="00745EE5" w:rsidRPr="0001128D">
        <w:rPr>
          <w:sz w:val="17"/>
          <w:szCs w:val="17"/>
          <w:lang w:val="fr-FR"/>
        </w:rPr>
        <w:t>”</w:t>
      </w:r>
      <w:r w:rsidR="00474D39" w:rsidRPr="0001128D">
        <w:rPr>
          <w:sz w:val="17"/>
          <w:szCs w:val="17"/>
          <w:lang w:val="fr-FR"/>
        </w:rPr>
        <w:t xml:space="preserve"> </w:t>
      </w:r>
      <w:r w:rsidR="00334EAF" w:rsidRPr="0001128D">
        <w:rPr>
          <w:sz w:val="17"/>
          <w:szCs w:val="17"/>
          <w:lang w:val="fr-FR"/>
        </w:rPr>
        <w:t>pour un</w:t>
      </w:r>
      <w:r w:rsidR="00D2542E" w:rsidRPr="0001128D">
        <w:rPr>
          <w:sz w:val="17"/>
          <w:szCs w:val="17"/>
          <w:lang w:val="fr-FR"/>
        </w:rPr>
        <w:t xml:space="preserve"> remplacement</w:t>
      </w:r>
      <w:r w:rsidR="00334EAF" w:rsidRPr="0001128D">
        <w:rPr>
          <w:sz w:val="17"/>
          <w:szCs w:val="17"/>
          <w:lang w:val="fr-FR"/>
        </w:rPr>
        <w:t xml:space="preserve"> dans une séquence d</w:t>
      </w:r>
      <w:r w:rsidR="00A329F0" w:rsidRPr="0001128D">
        <w:rPr>
          <w:sz w:val="17"/>
          <w:szCs w:val="17"/>
          <w:lang w:val="fr-FR"/>
        </w:rPr>
        <w:t>’</w:t>
      </w:r>
      <w:r w:rsidR="00334EAF" w:rsidRPr="0001128D">
        <w:rPr>
          <w:sz w:val="17"/>
          <w:szCs w:val="17"/>
          <w:lang w:val="fr-FR"/>
        </w:rPr>
        <w:t>acides aminés.</w:t>
      </w:r>
    </w:p>
    <w:p w:rsidR="00474D39" w:rsidRPr="0001128D" w:rsidRDefault="0088580C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L</w:t>
      </w:r>
      <w:r w:rsidR="00A329F0" w:rsidRPr="0001128D">
        <w:rPr>
          <w:sz w:val="17"/>
          <w:szCs w:val="17"/>
          <w:lang w:val="fr-FR"/>
        </w:rPr>
        <w:t>’</w:t>
      </w:r>
      <w:r w:rsidRPr="0001128D">
        <w:rPr>
          <w:sz w:val="17"/>
          <w:szCs w:val="17"/>
          <w:lang w:val="fr-FR"/>
        </w:rPr>
        <w:t xml:space="preserve">acide aminé indiqué à la </w:t>
      </w:r>
      <w:r w:rsidR="00474D39" w:rsidRPr="0001128D">
        <w:rPr>
          <w:sz w:val="17"/>
          <w:szCs w:val="17"/>
          <w:lang w:val="fr-FR"/>
        </w:rPr>
        <w:t xml:space="preserve">position 100 </w:t>
      </w:r>
      <w:r w:rsidRPr="0001128D">
        <w:rPr>
          <w:sz w:val="17"/>
          <w:szCs w:val="17"/>
          <w:lang w:val="fr-FR"/>
        </w:rPr>
        <w:t xml:space="preserve">de la séquence peut être remplacé par </w:t>
      </w:r>
      <w:r w:rsidR="00474D39" w:rsidRPr="0001128D">
        <w:rPr>
          <w:sz w:val="17"/>
          <w:szCs w:val="17"/>
          <w:lang w:val="fr-FR"/>
        </w:rPr>
        <w:t xml:space="preserve">I, A, F, Y, </w:t>
      </w:r>
      <w:proofErr w:type="spellStart"/>
      <w:r w:rsidR="00474D39" w:rsidRPr="0001128D">
        <w:rPr>
          <w:sz w:val="17"/>
          <w:szCs w:val="17"/>
          <w:lang w:val="fr-FR"/>
        </w:rPr>
        <w:t>aIle</w:t>
      </w:r>
      <w:proofErr w:type="spellEnd"/>
      <w:r w:rsidR="00474D39" w:rsidRPr="0001128D">
        <w:rPr>
          <w:sz w:val="17"/>
          <w:szCs w:val="17"/>
          <w:lang w:val="fr-FR"/>
        </w:rPr>
        <w:t xml:space="preserve">, </w:t>
      </w:r>
      <w:proofErr w:type="spellStart"/>
      <w:r w:rsidR="00474D39" w:rsidRPr="0001128D">
        <w:rPr>
          <w:sz w:val="17"/>
          <w:szCs w:val="17"/>
          <w:lang w:val="fr-FR"/>
        </w:rPr>
        <w:t>MeIle</w:t>
      </w:r>
      <w:proofErr w:type="spellEnd"/>
      <w:r w:rsidR="00474D39" w:rsidRPr="0001128D">
        <w:rPr>
          <w:sz w:val="17"/>
          <w:szCs w:val="17"/>
          <w:lang w:val="fr-FR"/>
        </w:rPr>
        <w:t>, o</w:t>
      </w:r>
      <w:r w:rsidRPr="0001128D">
        <w:rPr>
          <w:sz w:val="17"/>
          <w:szCs w:val="17"/>
          <w:lang w:val="fr-FR"/>
        </w:rPr>
        <w:t>u</w:t>
      </w:r>
      <w:r w:rsidR="00474D39" w:rsidRPr="0001128D">
        <w:rPr>
          <w:sz w:val="17"/>
          <w:szCs w:val="17"/>
          <w:lang w:val="fr-FR"/>
        </w:rPr>
        <w:t xml:space="preserve"> </w:t>
      </w:r>
      <w:proofErr w:type="spellStart"/>
      <w:r w:rsidR="00474D39" w:rsidRPr="0001128D">
        <w:rPr>
          <w:sz w:val="17"/>
          <w:szCs w:val="17"/>
          <w:lang w:val="fr-FR"/>
        </w:rPr>
        <w:t>Nle</w:t>
      </w:r>
      <w:proofErr w:type="spellEnd"/>
      <w:r w:rsidR="00474D39" w:rsidRPr="0001128D">
        <w:rPr>
          <w:sz w:val="17"/>
          <w:szCs w:val="17"/>
          <w:lang w:val="fr-FR"/>
        </w:rPr>
        <w:t>.</w:t>
      </w:r>
    </w:p>
    <w:p w:rsidR="00474D39" w:rsidRPr="0001128D" w:rsidRDefault="00474D39" w:rsidP="00474D39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&gt;VARIANT&lt;/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&gt;100&lt;/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&gt;I, A, F, Y,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aIle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,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MeIle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, or 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Nle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</w:t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</w: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ab/>
        <w:t xml:space="preserve">    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474D39">
      <w:pPr>
        <w:rPr>
          <w:sz w:val="17"/>
          <w:szCs w:val="17"/>
          <w:lang w:val="fr-FR"/>
        </w:rPr>
      </w:pPr>
    </w:p>
    <w:p w:rsidR="00F77F96" w:rsidRPr="0001128D" w:rsidRDefault="0088580C" w:rsidP="00F77F96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lastRenderedPageBreak/>
        <w:t>Exe</w:t>
      </w:r>
      <w:r w:rsidR="00474D39" w:rsidRPr="0001128D">
        <w:rPr>
          <w:sz w:val="17"/>
          <w:szCs w:val="17"/>
          <w:lang w:val="fr-FR"/>
        </w:rPr>
        <w:t>mple 5</w:t>
      </w:r>
      <w:r w:rsidR="00745EE5" w:rsidRPr="0001128D">
        <w:rPr>
          <w:sz w:val="17"/>
          <w:szCs w:val="17"/>
          <w:lang w:val="fr-FR"/>
        </w:rPr>
        <w:t> :</w:t>
      </w:r>
      <w:r w:rsidR="00474D39" w:rsidRPr="0001128D">
        <w:rPr>
          <w:sz w:val="17"/>
          <w:szCs w:val="17"/>
          <w:lang w:val="fr-FR"/>
        </w:rPr>
        <w:t xml:space="preserve"> </w:t>
      </w:r>
      <w:r w:rsidR="00F5032F" w:rsidRPr="0001128D">
        <w:rPr>
          <w:sz w:val="17"/>
          <w:szCs w:val="17"/>
          <w:lang w:val="fr-FR"/>
        </w:rPr>
        <w:t xml:space="preserve">Clé de caractérisation </w:t>
      </w:r>
      <w:r w:rsidR="00745EE5" w:rsidRPr="0001128D">
        <w:rPr>
          <w:sz w:val="17"/>
          <w:szCs w:val="17"/>
          <w:lang w:val="fr-FR"/>
        </w:rPr>
        <w:t>“</w:t>
      </w:r>
      <w:r w:rsidR="00F5032F" w:rsidRPr="0001128D">
        <w:rPr>
          <w:sz w:val="17"/>
          <w:szCs w:val="17"/>
          <w:lang w:val="fr-FR"/>
        </w:rPr>
        <w:t>VARIANT</w:t>
      </w:r>
      <w:r w:rsidR="00745EE5" w:rsidRPr="0001128D">
        <w:rPr>
          <w:sz w:val="17"/>
          <w:szCs w:val="17"/>
          <w:lang w:val="fr-FR"/>
        </w:rPr>
        <w:t>”</w:t>
      </w:r>
      <w:r w:rsidR="00F5032F" w:rsidRPr="0001128D">
        <w:rPr>
          <w:sz w:val="17"/>
          <w:szCs w:val="17"/>
          <w:lang w:val="fr-FR"/>
        </w:rPr>
        <w:t xml:space="preserve"> </w:t>
      </w:r>
      <w:r w:rsidR="00D2542E" w:rsidRPr="0001128D">
        <w:rPr>
          <w:sz w:val="17"/>
          <w:szCs w:val="17"/>
          <w:lang w:val="fr-FR"/>
        </w:rPr>
        <w:t xml:space="preserve">pour un remplacement </w:t>
      </w:r>
      <w:r w:rsidR="00F5032F" w:rsidRPr="0001128D">
        <w:rPr>
          <w:sz w:val="17"/>
          <w:szCs w:val="17"/>
          <w:lang w:val="fr-FR"/>
        </w:rPr>
        <w:t>dans une séquence d</w:t>
      </w:r>
      <w:r w:rsidR="00A329F0" w:rsidRPr="0001128D">
        <w:rPr>
          <w:sz w:val="17"/>
          <w:szCs w:val="17"/>
          <w:lang w:val="fr-FR"/>
        </w:rPr>
        <w:t>’</w:t>
      </w:r>
      <w:r w:rsidR="00F5032F" w:rsidRPr="0001128D">
        <w:rPr>
          <w:sz w:val="17"/>
          <w:szCs w:val="17"/>
          <w:lang w:val="fr-FR"/>
        </w:rPr>
        <w:t>acides aminés.</w:t>
      </w:r>
    </w:p>
    <w:p w:rsidR="00A329F0" w:rsidRPr="0001128D" w:rsidRDefault="00F5032F" w:rsidP="00F77F96">
      <w:pPr>
        <w:keepNext/>
        <w:keepLines/>
        <w:widowControl/>
        <w:spacing w:before="240" w:after="240"/>
        <w:contextualSpacing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L</w:t>
      </w:r>
      <w:r w:rsidR="00A329F0" w:rsidRPr="0001128D">
        <w:rPr>
          <w:sz w:val="17"/>
          <w:szCs w:val="17"/>
          <w:lang w:val="fr-FR"/>
        </w:rPr>
        <w:t>’</w:t>
      </w:r>
      <w:r w:rsidRPr="0001128D">
        <w:rPr>
          <w:sz w:val="17"/>
          <w:szCs w:val="17"/>
          <w:lang w:val="fr-FR"/>
        </w:rPr>
        <w:t>acide aminé indiqué à la position 100 de la séquence peut être remplacé par tout acide aminé sauf</w:t>
      </w:r>
      <w:r w:rsidR="00474D39" w:rsidRPr="0001128D">
        <w:rPr>
          <w:sz w:val="17"/>
          <w:szCs w:val="17"/>
          <w:lang w:val="fr-FR"/>
        </w:rPr>
        <w:t xml:space="preserve"> Lys, </w:t>
      </w:r>
      <w:proofErr w:type="spellStart"/>
      <w:r w:rsidR="00474D39" w:rsidRPr="0001128D">
        <w:rPr>
          <w:sz w:val="17"/>
          <w:szCs w:val="17"/>
          <w:lang w:val="fr-FR"/>
        </w:rPr>
        <w:t>Arg</w:t>
      </w:r>
      <w:proofErr w:type="spellEnd"/>
      <w:r w:rsidR="00474D39" w:rsidRPr="0001128D">
        <w:rPr>
          <w:sz w:val="17"/>
          <w:szCs w:val="17"/>
          <w:lang w:val="fr-FR"/>
        </w:rPr>
        <w:t xml:space="preserve"> o</w:t>
      </w:r>
      <w:r w:rsidRPr="0001128D">
        <w:rPr>
          <w:sz w:val="17"/>
          <w:szCs w:val="17"/>
          <w:lang w:val="fr-FR"/>
        </w:rPr>
        <w:t>u</w:t>
      </w:r>
      <w:r w:rsidR="00474D39" w:rsidRPr="0001128D">
        <w:rPr>
          <w:sz w:val="17"/>
          <w:szCs w:val="17"/>
          <w:lang w:val="fr-FR"/>
        </w:rPr>
        <w:t xml:space="preserve"> </w:t>
      </w:r>
      <w:proofErr w:type="spellStart"/>
      <w:r w:rsidR="00474D39" w:rsidRPr="0001128D">
        <w:rPr>
          <w:sz w:val="17"/>
          <w:szCs w:val="17"/>
          <w:lang w:val="fr-FR"/>
        </w:rPr>
        <w:t>His</w:t>
      </w:r>
      <w:proofErr w:type="spellEnd"/>
      <w:r w:rsidR="00474D39" w:rsidRPr="0001128D">
        <w:rPr>
          <w:sz w:val="17"/>
          <w:szCs w:val="17"/>
          <w:lang w:val="fr-FR"/>
        </w:rPr>
        <w:t>.</w:t>
      </w:r>
    </w:p>
    <w:p w:rsidR="00474D39" w:rsidRPr="0001128D" w:rsidRDefault="00474D39" w:rsidP="00474D39">
      <w:pPr>
        <w:rPr>
          <w:sz w:val="17"/>
          <w:szCs w:val="17"/>
          <w:lang w:val="fr-FR"/>
        </w:rPr>
      </w:pP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&gt;VARIANT&lt;/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INSDFeature_key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&gt;100&lt;/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INSDFeature_location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INSDFeature_quals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&gt;NOTE&lt;/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INSDQualifier_name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917901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    &lt;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&gt;not K, R, or H&lt;/</w:t>
      </w:r>
      <w:proofErr w:type="spellStart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INSDQualifier_value</w:t>
      </w:r>
      <w:proofErr w:type="spellEnd"/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>&gt;</w:t>
      </w:r>
    </w:p>
    <w:p w:rsidR="00A329F0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917901">
        <w:rPr>
          <w:rFonts w:ascii="Courier New" w:eastAsia="Batang" w:hAnsi="Courier New" w:cs="Times New Roman"/>
          <w:sz w:val="17"/>
          <w:szCs w:val="20"/>
          <w:lang w:eastAsia="en-US"/>
        </w:rPr>
        <w:t xml:space="preserve">       </w:t>
      </w: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INSDQualifier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 xml:space="preserve">   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INSDFeature_quals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474D39" w:rsidRPr="0001128D" w:rsidRDefault="00474D39" w:rsidP="00C32FAB">
      <w:pPr>
        <w:widowControl/>
        <w:kinsoku/>
        <w:ind w:left="567"/>
        <w:rPr>
          <w:rFonts w:ascii="Courier New" w:eastAsia="Batang" w:hAnsi="Courier New" w:cs="Times New Roman"/>
          <w:sz w:val="17"/>
          <w:szCs w:val="20"/>
          <w:lang w:val="fr-FR" w:eastAsia="en-US"/>
        </w:rPr>
      </w:pPr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&lt;/</w:t>
      </w:r>
      <w:proofErr w:type="spellStart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INSDFeature</w:t>
      </w:r>
      <w:proofErr w:type="spellEnd"/>
      <w:r w:rsidRPr="0001128D">
        <w:rPr>
          <w:rFonts w:ascii="Courier New" w:eastAsia="Batang" w:hAnsi="Courier New" w:cs="Times New Roman"/>
          <w:sz w:val="17"/>
          <w:szCs w:val="20"/>
          <w:lang w:val="fr-FR" w:eastAsia="en-US"/>
        </w:rPr>
        <w:t>&gt;</w:t>
      </w:r>
    </w:p>
    <w:p w:rsidR="00FD1246" w:rsidRPr="0001128D" w:rsidRDefault="00FD1246" w:rsidP="00FD1246">
      <w:pPr>
        <w:pStyle w:val="List0"/>
        <w:tabs>
          <w:tab w:val="left" w:pos="567"/>
        </w:tabs>
        <w:rPr>
          <w:szCs w:val="17"/>
          <w:lang w:val="fr-FR"/>
        </w:rPr>
      </w:pPr>
      <w:bookmarkStart w:id="112" w:name="_Ref371519011"/>
    </w:p>
    <w:p w:rsidR="006C4620" w:rsidRPr="0001128D" w:rsidRDefault="001533CF" w:rsidP="006C4620">
      <w:pPr>
        <w:pStyle w:val="List0"/>
        <w:numPr>
          <w:ilvl w:val="0"/>
          <w:numId w:val="1"/>
        </w:numPr>
        <w:tabs>
          <w:tab w:val="left" w:pos="567"/>
        </w:tabs>
        <w:ind w:left="0" w:firstLine="0"/>
        <w:rPr>
          <w:szCs w:val="17"/>
          <w:lang w:val="fr-FR"/>
        </w:rPr>
      </w:pPr>
      <w:r w:rsidRPr="0001128D">
        <w:rPr>
          <w:szCs w:val="17"/>
          <w:lang w:val="fr-FR"/>
        </w:rPr>
        <w:t xml:space="preserve">Toute séquence </w:t>
      </w:r>
      <w:r w:rsidR="0042437F" w:rsidRPr="0001128D">
        <w:rPr>
          <w:szCs w:val="17"/>
          <w:lang w:val="fr-FR"/>
        </w:rPr>
        <w:t xml:space="preserve">visée par le </w:t>
      </w:r>
      <w:r w:rsidRPr="0001128D">
        <w:rPr>
          <w:szCs w:val="17"/>
          <w:lang w:val="fr-FR"/>
        </w:rPr>
        <w:t>paragraphe 6 qui est présentée à titre d</w:t>
      </w:r>
      <w:r w:rsidR="00A329F0" w:rsidRPr="0001128D">
        <w:rPr>
          <w:szCs w:val="17"/>
          <w:lang w:val="fr-FR"/>
        </w:rPr>
        <w:t>’</w:t>
      </w:r>
      <w:r w:rsidR="00D2542E" w:rsidRPr="0001128D">
        <w:rPr>
          <w:szCs w:val="17"/>
          <w:lang w:val="fr-FR"/>
        </w:rPr>
        <w:t>adjonction</w:t>
      </w:r>
      <w:r w:rsidRPr="0001128D">
        <w:rPr>
          <w:szCs w:val="17"/>
          <w:lang w:val="fr-FR"/>
        </w:rPr>
        <w:t xml:space="preserve"> ou de </w:t>
      </w:r>
      <w:r w:rsidR="0042437F" w:rsidRPr="0001128D">
        <w:rPr>
          <w:szCs w:val="17"/>
          <w:lang w:val="fr-FR"/>
        </w:rPr>
        <w:t>remplacement</w:t>
      </w:r>
      <w:r w:rsidRPr="0001128D">
        <w:rPr>
          <w:szCs w:val="17"/>
          <w:lang w:val="fr-FR"/>
        </w:rPr>
        <w:t xml:space="preserve"> dans </w:t>
      </w:r>
      <w:r w:rsidR="0042437F" w:rsidRPr="0001128D">
        <w:rPr>
          <w:szCs w:val="17"/>
          <w:lang w:val="fr-FR"/>
        </w:rPr>
        <w:t>la valeur d</w:t>
      </w:r>
      <w:r w:rsidR="00A329F0" w:rsidRPr="0001128D">
        <w:rPr>
          <w:szCs w:val="17"/>
          <w:lang w:val="fr-FR"/>
        </w:rPr>
        <w:t>’</w:t>
      </w:r>
      <w:r w:rsidR="0042437F" w:rsidRPr="0001128D">
        <w:rPr>
          <w:szCs w:val="17"/>
          <w:lang w:val="fr-FR"/>
        </w:rPr>
        <w:t>un</w:t>
      </w:r>
      <w:r w:rsidRPr="0001128D">
        <w:rPr>
          <w:szCs w:val="17"/>
          <w:lang w:val="fr-FR"/>
        </w:rPr>
        <w:t xml:space="preserve"> qualificateur pour une annotation de séquence primaire </w:t>
      </w:r>
      <w:r w:rsidR="0009530D" w:rsidRPr="0001128D">
        <w:rPr>
          <w:szCs w:val="17"/>
          <w:lang w:val="fr-FR"/>
        </w:rPr>
        <w:t>doit aussi être présentée dans le listage des séquences avec son propre numéro d</w:t>
      </w:r>
      <w:r w:rsidR="00A329F0" w:rsidRPr="0001128D">
        <w:rPr>
          <w:szCs w:val="17"/>
          <w:lang w:val="fr-FR"/>
        </w:rPr>
        <w:t>’</w:t>
      </w:r>
      <w:r w:rsidR="0009530D" w:rsidRPr="0001128D">
        <w:rPr>
          <w:szCs w:val="17"/>
          <w:lang w:val="fr-FR"/>
        </w:rPr>
        <w:t>identification de séquence.</w:t>
      </w:r>
      <w:bookmarkEnd w:id="112"/>
    </w:p>
    <w:p w:rsidR="00EC0348" w:rsidRDefault="00EC0348" w:rsidP="000D326B">
      <w:pPr>
        <w:ind w:left="5534"/>
        <w:rPr>
          <w:sz w:val="17"/>
          <w:szCs w:val="17"/>
          <w:lang w:val="fr-FR"/>
        </w:rPr>
      </w:pPr>
    </w:p>
    <w:p w:rsidR="00FF4AF3" w:rsidRPr="000D326B" w:rsidRDefault="00FF4AF3" w:rsidP="000D326B">
      <w:pPr>
        <w:ind w:left="5534"/>
        <w:rPr>
          <w:sz w:val="17"/>
          <w:szCs w:val="17"/>
          <w:lang w:val="fr-FR"/>
        </w:rPr>
      </w:pPr>
    </w:p>
    <w:p w:rsidR="000D326B" w:rsidRDefault="000D326B" w:rsidP="00CD3747">
      <w:pPr>
        <w:ind w:left="5534"/>
        <w:rPr>
          <w:sz w:val="17"/>
          <w:szCs w:val="17"/>
          <w:lang w:val="fr-FR"/>
        </w:rPr>
      </w:pPr>
    </w:p>
    <w:p w:rsidR="001E32B1" w:rsidRPr="0001128D" w:rsidRDefault="005B22EB" w:rsidP="00CD3747">
      <w:pPr>
        <w:ind w:left="5534"/>
        <w:rPr>
          <w:sz w:val="17"/>
          <w:szCs w:val="17"/>
          <w:lang w:val="fr-FR"/>
        </w:rPr>
      </w:pPr>
      <w:r w:rsidRPr="0001128D">
        <w:rPr>
          <w:sz w:val="17"/>
          <w:szCs w:val="17"/>
          <w:lang w:val="fr-FR"/>
        </w:rPr>
        <w:t>[</w:t>
      </w:r>
      <w:r w:rsidR="002234F9" w:rsidRPr="0001128D">
        <w:rPr>
          <w:sz w:val="17"/>
          <w:szCs w:val="17"/>
          <w:lang w:val="fr-FR"/>
        </w:rPr>
        <w:t>L</w:t>
      </w:r>
      <w:r w:rsidR="00A329F0" w:rsidRPr="0001128D">
        <w:rPr>
          <w:sz w:val="17"/>
          <w:szCs w:val="17"/>
          <w:lang w:val="fr-FR"/>
        </w:rPr>
        <w:t>’</w:t>
      </w:r>
      <w:r w:rsidR="002234F9" w:rsidRPr="0001128D">
        <w:rPr>
          <w:sz w:val="17"/>
          <w:szCs w:val="17"/>
          <w:lang w:val="fr-FR"/>
        </w:rPr>
        <w:t>a</w:t>
      </w:r>
      <w:r w:rsidRPr="0001128D">
        <w:rPr>
          <w:sz w:val="17"/>
          <w:szCs w:val="17"/>
          <w:lang w:val="fr-FR"/>
        </w:rPr>
        <w:t>nnex</w:t>
      </w:r>
      <w:r w:rsidR="002234F9" w:rsidRPr="0001128D">
        <w:rPr>
          <w:sz w:val="17"/>
          <w:szCs w:val="17"/>
          <w:lang w:val="fr-FR"/>
        </w:rPr>
        <w:t>e</w:t>
      </w:r>
      <w:r w:rsidRPr="0001128D">
        <w:rPr>
          <w:sz w:val="17"/>
          <w:szCs w:val="17"/>
          <w:lang w:val="fr-FR"/>
        </w:rPr>
        <w:t xml:space="preserve"> I </w:t>
      </w:r>
      <w:r w:rsidR="002234F9" w:rsidRPr="0001128D">
        <w:rPr>
          <w:sz w:val="17"/>
          <w:szCs w:val="17"/>
          <w:lang w:val="fr-FR"/>
        </w:rPr>
        <w:t>à la norme</w:t>
      </w:r>
      <w:r w:rsidR="00745EE5" w:rsidRPr="0001128D">
        <w:rPr>
          <w:sz w:val="17"/>
          <w:szCs w:val="17"/>
          <w:lang w:val="fr-FR"/>
        </w:rPr>
        <w:t> </w:t>
      </w:r>
      <w:r w:rsidRPr="0001128D">
        <w:rPr>
          <w:sz w:val="17"/>
          <w:szCs w:val="17"/>
          <w:lang w:val="fr-FR"/>
        </w:rPr>
        <w:t xml:space="preserve">ST.26 </w:t>
      </w:r>
      <w:r w:rsidR="002234F9" w:rsidRPr="0001128D">
        <w:rPr>
          <w:sz w:val="17"/>
          <w:szCs w:val="17"/>
          <w:lang w:val="fr-FR"/>
        </w:rPr>
        <w:t>suit</w:t>
      </w:r>
      <w:r w:rsidRPr="0001128D">
        <w:rPr>
          <w:sz w:val="17"/>
          <w:szCs w:val="17"/>
          <w:lang w:val="fr-FR"/>
        </w:rPr>
        <w:t>]</w:t>
      </w:r>
      <w:bookmarkEnd w:id="27"/>
      <w:bookmarkEnd w:id="28"/>
    </w:p>
    <w:sectPr w:rsidR="001E32B1" w:rsidRPr="0001128D" w:rsidSect="006C5B60">
      <w:headerReference w:type="even" r:id="rId17"/>
      <w:headerReference w:type="default" r:id="rId18"/>
      <w:footerReference w:type="even" r:id="rId19"/>
      <w:headerReference w:type="first" r:id="rId20"/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57" w:rsidRDefault="00407557">
      <w:r>
        <w:separator/>
      </w:r>
    </w:p>
    <w:p w:rsidR="00407557" w:rsidRDefault="00407557"/>
    <w:p w:rsidR="00407557" w:rsidRDefault="00407557" w:rsidP="00AA44AD"/>
  </w:endnote>
  <w:endnote w:type="continuationSeparator" w:id="0">
    <w:p w:rsidR="00407557" w:rsidRDefault="00407557">
      <w:r>
        <w:continuationSeparator/>
      </w:r>
    </w:p>
    <w:p w:rsidR="00407557" w:rsidRDefault="00407557"/>
    <w:p w:rsidR="00407557" w:rsidRDefault="00407557" w:rsidP="00AA44AD"/>
  </w:endnote>
  <w:endnote w:type="continuationNotice" w:id="1">
    <w:p w:rsidR="00407557" w:rsidRDefault="00407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57" w:rsidRDefault="00407557" w:rsidP="00A23E0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6024C">
      <w:rPr>
        <w:noProof/>
      </w:rPr>
      <w:t>21</w:t>
    </w:r>
    <w:r>
      <w:fldChar w:fldCharType="end"/>
    </w:r>
    <w:bookmarkStart w:id="113" w:name="Annex1"/>
  </w:p>
  <w:bookmarkEnd w:id="113"/>
  <w:p w:rsidR="00407557" w:rsidRDefault="004075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57" w:rsidRDefault="00407557">
      <w:r>
        <w:separator/>
      </w:r>
    </w:p>
    <w:p w:rsidR="00407557" w:rsidRDefault="00407557"/>
    <w:p w:rsidR="00407557" w:rsidRDefault="00407557" w:rsidP="00AA44AD"/>
  </w:footnote>
  <w:footnote w:type="continuationSeparator" w:id="0">
    <w:p w:rsidR="00407557" w:rsidRDefault="00407557">
      <w:r>
        <w:continuationSeparator/>
      </w:r>
    </w:p>
    <w:p w:rsidR="00407557" w:rsidRDefault="00407557"/>
    <w:p w:rsidR="00407557" w:rsidRDefault="00407557" w:rsidP="00AA44AD"/>
  </w:footnote>
  <w:footnote w:type="continuationNotice" w:id="1">
    <w:p w:rsidR="00407557" w:rsidRDefault="004075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57" w:rsidRDefault="00407557"/>
  <w:p w:rsidR="00407557" w:rsidRDefault="004075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57" w:rsidRPr="00C50389" w:rsidRDefault="00407557" w:rsidP="009A37D2">
    <w:pPr>
      <w:widowControl/>
      <w:kinsoku/>
      <w:jc w:val="right"/>
      <w:rPr>
        <w:sz w:val="22"/>
        <w:szCs w:val="20"/>
        <w:lang w:val="fr-FR"/>
      </w:rPr>
    </w:pPr>
    <w:r w:rsidRPr="00C50389">
      <w:rPr>
        <w:sz w:val="22"/>
        <w:szCs w:val="20"/>
        <w:lang w:val="fr-FR"/>
      </w:rPr>
      <w:t>CWS/4/7</w:t>
    </w:r>
  </w:p>
  <w:p w:rsidR="00407557" w:rsidRPr="00C50389" w:rsidRDefault="00407557" w:rsidP="009A37D2">
    <w:pPr>
      <w:widowControl/>
      <w:kinsoku/>
      <w:jc w:val="right"/>
      <w:rPr>
        <w:sz w:val="22"/>
        <w:szCs w:val="20"/>
        <w:lang w:val="fr-FR"/>
      </w:rPr>
    </w:pPr>
    <w:r w:rsidRPr="00C50389">
      <w:rPr>
        <w:sz w:val="22"/>
        <w:szCs w:val="20"/>
        <w:lang w:val="fr-FR"/>
      </w:rPr>
      <w:t xml:space="preserve">Annexe II, page </w:t>
    </w:r>
    <w:r w:rsidRPr="00C50389">
      <w:rPr>
        <w:sz w:val="22"/>
        <w:szCs w:val="20"/>
        <w:lang w:val="fr-FR"/>
      </w:rPr>
      <w:fldChar w:fldCharType="begin"/>
    </w:r>
    <w:r w:rsidRPr="00C50389">
      <w:rPr>
        <w:sz w:val="22"/>
        <w:szCs w:val="20"/>
        <w:lang w:val="fr-FR"/>
      </w:rPr>
      <w:instrText xml:space="preserve"> PAGE  \* MERGEFORMAT </w:instrText>
    </w:r>
    <w:r w:rsidRPr="00C50389">
      <w:rPr>
        <w:sz w:val="22"/>
        <w:szCs w:val="20"/>
        <w:lang w:val="fr-FR"/>
      </w:rPr>
      <w:fldChar w:fldCharType="separate"/>
    </w:r>
    <w:r w:rsidR="00FF4AF3">
      <w:rPr>
        <w:noProof/>
        <w:sz w:val="22"/>
        <w:szCs w:val="20"/>
        <w:lang w:val="fr-FR"/>
      </w:rPr>
      <w:t>21</w:t>
    </w:r>
    <w:r w:rsidRPr="00C50389">
      <w:rPr>
        <w:sz w:val="22"/>
        <w:szCs w:val="20"/>
        <w:lang w:val="fr-FR"/>
      </w:rPr>
      <w:fldChar w:fldCharType="end"/>
    </w:r>
  </w:p>
  <w:p w:rsidR="00407557" w:rsidRPr="00C50389" w:rsidRDefault="00407557" w:rsidP="009A37D2">
    <w:pPr>
      <w:widowControl/>
      <w:kinsoku/>
      <w:jc w:val="right"/>
      <w:rPr>
        <w:sz w:val="22"/>
        <w:szCs w:val="20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57" w:rsidRPr="00C50389" w:rsidRDefault="00407557" w:rsidP="009A37D2">
    <w:pPr>
      <w:jc w:val="right"/>
      <w:rPr>
        <w:sz w:val="22"/>
        <w:szCs w:val="20"/>
        <w:lang w:val="fr-FR"/>
      </w:rPr>
    </w:pPr>
    <w:r w:rsidRPr="00C50389">
      <w:rPr>
        <w:sz w:val="22"/>
        <w:szCs w:val="20"/>
        <w:lang w:val="fr-FR"/>
      </w:rPr>
      <w:t>CWS/4/7</w:t>
    </w:r>
  </w:p>
  <w:p w:rsidR="00407557" w:rsidRPr="00C50389" w:rsidRDefault="00407557" w:rsidP="009A37D2">
    <w:pPr>
      <w:widowControl/>
      <w:kinsoku/>
      <w:jc w:val="right"/>
      <w:rPr>
        <w:sz w:val="22"/>
        <w:szCs w:val="20"/>
        <w:lang w:val="fr-FR"/>
      </w:rPr>
    </w:pPr>
    <w:r w:rsidRPr="00C50389">
      <w:rPr>
        <w:sz w:val="22"/>
        <w:szCs w:val="20"/>
        <w:lang w:val="fr-FR"/>
      </w:rPr>
      <w:t>ANNEXE</w:t>
    </w:r>
    <w:r>
      <w:rPr>
        <w:sz w:val="22"/>
        <w:szCs w:val="20"/>
        <w:lang w:val="fr-FR"/>
      </w:rPr>
      <w:t> </w:t>
    </w:r>
    <w:r w:rsidRPr="00C50389">
      <w:rPr>
        <w:sz w:val="22"/>
        <w:szCs w:val="20"/>
        <w:lang w:val="fr-FR"/>
      </w:rPr>
      <w:t>II</w:t>
    </w:r>
  </w:p>
  <w:p w:rsidR="00407557" w:rsidRPr="00C50389" w:rsidRDefault="00407557" w:rsidP="009A37D2">
    <w:pPr>
      <w:widowControl/>
      <w:kinsoku/>
      <w:jc w:val="right"/>
      <w:rPr>
        <w:sz w:val="22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C098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94D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464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BC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CE4D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63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3C1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5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426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48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51EE8"/>
    <w:multiLevelType w:val="multilevel"/>
    <w:tmpl w:val="D90ADDFE"/>
    <w:lvl w:ilvl="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05FB6069"/>
    <w:multiLevelType w:val="singleLevel"/>
    <w:tmpl w:val="06FEAB06"/>
    <w:lvl w:ilvl="0">
      <w:start w:val="1"/>
      <w:numFmt w:val="lowerLetter"/>
      <w:lvlText w:val="(%1)"/>
      <w:lvlJc w:val="left"/>
      <w:pPr>
        <w:tabs>
          <w:tab w:val="num" w:pos="576"/>
        </w:tabs>
        <w:ind w:firstLine="648"/>
      </w:pPr>
      <w:rPr>
        <w:rFonts w:ascii="Arial" w:hAnsi="Arial" w:cs="Arial"/>
        <w:snapToGrid/>
        <w:spacing w:val="-5"/>
        <w:sz w:val="17"/>
        <w:szCs w:val="17"/>
      </w:rPr>
    </w:lvl>
  </w:abstractNum>
  <w:abstractNum w:abstractNumId="12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13">
    <w:nsid w:val="099539FC"/>
    <w:multiLevelType w:val="hybridMultilevel"/>
    <w:tmpl w:val="3084C920"/>
    <w:lvl w:ilvl="0" w:tplc="203ADD74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0BCE00A8"/>
    <w:multiLevelType w:val="hybridMultilevel"/>
    <w:tmpl w:val="88ACAE98"/>
    <w:lvl w:ilvl="0" w:tplc="5FAEF772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142F7143"/>
    <w:multiLevelType w:val="multilevel"/>
    <w:tmpl w:val="00FC2C4E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6">
    <w:nsid w:val="1ADA54F9"/>
    <w:multiLevelType w:val="multilevel"/>
    <w:tmpl w:val="26481F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20C00C8F"/>
    <w:multiLevelType w:val="hybridMultilevel"/>
    <w:tmpl w:val="57C6E2B8"/>
    <w:lvl w:ilvl="0" w:tplc="22BE2136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21A74DA8"/>
    <w:multiLevelType w:val="multilevel"/>
    <w:tmpl w:val="92A4018A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20">
    <w:nsid w:val="28551235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2D71747B"/>
    <w:multiLevelType w:val="hybridMultilevel"/>
    <w:tmpl w:val="5156E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33062A7F"/>
    <w:multiLevelType w:val="hybridMultilevel"/>
    <w:tmpl w:val="0F8A712E"/>
    <w:lvl w:ilvl="0" w:tplc="DC24CEE0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3566D3"/>
    <w:multiLevelType w:val="multilevel"/>
    <w:tmpl w:val="3E78014E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5">
    <w:nsid w:val="397A45B5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437F13E1"/>
    <w:multiLevelType w:val="hybridMultilevel"/>
    <w:tmpl w:val="36B2B790"/>
    <w:lvl w:ilvl="0" w:tplc="F85A2A68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4B954EF9"/>
    <w:multiLevelType w:val="hybridMultilevel"/>
    <w:tmpl w:val="D90ADDFE"/>
    <w:lvl w:ilvl="0" w:tplc="36E66DC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4C243444"/>
    <w:multiLevelType w:val="hybridMultilevel"/>
    <w:tmpl w:val="ADE6F4D4"/>
    <w:lvl w:ilvl="0" w:tplc="BC30199A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2E7410C"/>
    <w:multiLevelType w:val="hybridMultilevel"/>
    <w:tmpl w:val="2942578A"/>
    <w:lvl w:ilvl="0" w:tplc="DA98A206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541A257D"/>
    <w:multiLevelType w:val="multilevel"/>
    <w:tmpl w:val="1D967D1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33">
    <w:nsid w:val="57D42AE8"/>
    <w:multiLevelType w:val="hybridMultilevel"/>
    <w:tmpl w:val="CC6E1F32"/>
    <w:lvl w:ilvl="0" w:tplc="BA12C92A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5FCA1D0F"/>
    <w:multiLevelType w:val="hybridMultilevel"/>
    <w:tmpl w:val="37EA6A8C"/>
    <w:lvl w:ilvl="0" w:tplc="37562A32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691B752A"/>
    <w:multiLevelType w:val="multilevel"/>
    <w:tmpl w:val="D90ADDFE"/>
    <w:lvl w:ilvl="0">
      <w:start w:val="1"/>
      <w:numFmt w:val="lowerLetter"/>
      <w:lvlText w:val="(%1)"/>
      <w:lvlJc w:val="left"/>
      <w:pPr>
        <w:ind w:left="-567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6BB13DEE"/>
    <w:multiLevelType w:val="hybridMultilevel"/>
    <w:tmpl w:val="F4587470"/>
    <w:lvl w:ilvl="0" w:tplc="114AC5F6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6D064AC8"/>
    <w:multiLevelType w:val="multilevel"/>
    <w:tmpl w:val="825C6D0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38">
    <w:nsid w:val="6ED53FE5"/>
    <w:multiLevelType w:val="hybridMultilevel"/>
    <w:tmpl w:val="4D2869F4"/>
    <w:lvl w:ilvl="0" w:tplc="E0801E78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>
    <w:nsid w:val="7788686E"/>
    <w:multiLevelType w:val="hybridMultilevel"/>
    <w:tmpl w:val="9BACA7E6"/>
    <w:lvl w:ilvl="0" w:tplc="20AA8666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781B6F15"/>
    <w:multiLevelType w:val="multilevel"/>
    <w:tmpl w:val="BB8A3F3E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E3CC7"/>
    <w:multiLevelType w:val="hybridMultilevel"/>
    <w:tmpl w:val="118ECCAA"/>
    <w:lvl w:ilvl="0" w:tplc="6DB64E08">
      <w:start w:val="1"/>
      <w:numFmt w:val="lowerLetter"/>
      <w:lvlText w:val="%1)"/>
      <w:lvlJc w:val="left"/>
      <w:pPr>
        <w:ind w:left="-567" w:firstLine="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9"/>
  </w:num>
  <w:num w:numId="4">
    <w:abstractNumId w:val="23"/>
  </w:num>
  <w:num w:numId="5">
    <w:abstractNumId w:val="17"/>
  </w:num>
  <w:num w:numId="6">
    <w:abstractNumId w:val="32"/>
  </w:num>
  <w:num w:numId="7">
    <w:abstractNumId w:val="16"/>
  </w:num>
  <w:num w:numId="8">
    <w:abstractNumId w:val="21"/>
  </w:num>
  <w:num w:numId="9">
    <w:abstractNumId w:val="31"/>
  </w:num>
  <w:num w:numId="10">
    <w:abstractNumId w:val="15"/>
  </w:num>
  <w:num w:numId="11">
    <w:abstractNumId w:val="19"/>
  </w:num>
  <w:num w:numId="12">
    <w:abstractNumId w:val="37"/>
  </w:num>
  <w:num w:numId="13">
    <w:abstractNumId w:val="24"/>
  </w:num>
  <w:num w:numId="14">
    <w:abstractNumId w:val="30"/>
  </w:num>
  <w:num w:numId="15">
    <w:abstractNumId w:val="34"/>
  </w:num>
  <w:num w:numId="16">
    <w:abstractNumId w:val="22"/>
  </w:num>
  <w:num w:numId="17">
    <w:abstractNumId w:val="20"/>
  </w:num>
  <w:num w:numId="18">
    <w:abstractNumId w:val="13"/>
  </w:num>
  <w:num w:numId="19">
    <w:abstractNumId w:val="41"/>
  </w:num>
  <w:num w:numId="20">
    <w:abstractNumId w:val="28"/>
  </w:num>
  <w:num w:numId="21">
    <w:abstractNumId w:val="33"/>
  </w:num>
  <w:num w:numId="22">
    <w:abstractNumId w:val="38"/>
  </w:num>
  <w:num w:numId="23">
    <w:abstractNumId w:val="26"/>
  </w:num>
  <w:num w:numId="24">
    <w:abstractNumId w:val="25"/>
  </w:num>
  <w:num w:numId="25">
    <w:abstractNumId w:val="39"/>
  </w:num>
  <w:num w:numId="26">
    <w:abstractNumId w:val="27"/>
  </w:num>
  <w:num w:numId="27">
    <w:abstractNumId w:val="36"/>
  </w:num>
  <w:num w:numId="28">
    <w:abstractNumId w:val="14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7"/>
  </w:num>
  <w:num w:numId="41">
    <w:abstractNumId w:val="40"/>
  </w:num>
  <w:num w:numId="42">
    <w:abstractNumId w:val="10"/>
  </w:num>
  <w:num w:numId="43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85"/>
  <w:drawingGridVerticalSpacing w:val="231"/>
  <w:displayHorizontalDrawingGridEvery w:val="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C"/>
    <w:rsid w:val="00002ACC"/>
    <w:rsid w:val="00002DBD"/>
    <w:rsid w:val="00003283"/>
    <w:rsid w:val="000039CB"/>
    <w:rsid w:val="000041E4"/>
    <w:rsid w:val="0000464B"/>
    <w:rsid w:val="00005540"/>
    <w:rsid w:val="000070A9"/>
    <w:rsid w:val="000071AF"/>
    <w:rsid w:val="00007831"/>
    <w:rsid w:val="00007859"/>
    <w:rsid w:val="000079F8"/>
    <w:rsid w:val="000110B9"/>
    <w:rsid w:val="0001128D"/>
    <w:rsid w:val="00011ED9"/>
    <w:rsid w:val="000121E1"/>
    <w:rsid w:val="000124C5"/>
    <w:rsid w:val="000129A8"/>
    <w:rsid w:val="0001407D"/>
    <w:rsid w:val="00014129"/>
    <w:rsid w:val="0001445E"/>
    <w:rsid w:val="000144A0"/>
    <w:rsid w:val="0001480E"/>
    <w:rsid w:val="00014827"/>
    <w:rsid w:val="000148E4"/>
    <w:rsid w:val="00015C63"/>
    <w:rsid w:val="0001664E"/>
    <w:rsid w:val="00017B07"/>
    <w:rsid w:val="00017D27"/>
    <w:rsid w:val="000217AA"/>
    <w:rsid w:val="0002395B"/>
    <w:rsid w:val="00024161"/>
    <w:rsid w:val="00024AF5"/>
    <w:rsid w:val="00026A4C"/>
    <w:rsid w:val="00026CD7"/>
    <w:rsid w:val="00026E8D"/>
    <w:rsid w:val="00027698"/>
    <w:rsid w:val="00027A79"/>
    <w:rsid w:val="00030DA5"/>
    <w:rsid w:val="00031078"/>
    <w:rsid w:val="0003326C"/>
    <w:rsid w:val="00034BBD"/>
    <w:rsid w:val="00034F23"/>
    <w:rsid w:val="00037A60"/>
    <w:rsid w:val="00040AB0"/>
    <w:rsid w:val="0004147C"/>
    <w:rsid w:val="00041CAC"/>
    <w:rsid w:val="00042641"/>
    <w:rsid w:val="000430BB"/>
    <w:rsid w:val="00043E01"/>
    <w:rsid w:val="000449B8"/>
    <w:rsid w:val="000455E3"/>
    <w:rsid w:val="00046C53"/>
    <w:rsid w:val="00050AE4"/>
    <w:rsid w:val="00051415"/>
    <w:rsid w:val="00052A03"/>
    <w:rsid w:val="000539F8"/>
    <w:rsid w:val="00053A00"/>
    <w:rsid w:val="00057606"/>
    <w:rsid w:val="000602F1"/>
    <w:rsid w:val="0006326F"/>
    <w:rsid w:val="00063C3A"/>
    <w:rsid w:val="000641BA"/>
    <w:rsid w:val="000655F8"/>
    <w:rsid w:val="00071CD0"/>
    <w:rsid w:val="00071FE9"/>
    <w:rsid w:val="000721B3"/>
    <w:rsid w:val="00073CCF"/>
    <w:rsid w:val="0007622B"/>
    <w:rsid w:val="000778F6"/>
    <w:rsid w:val="00077BA7"/>
    <w:rsid w:val="00080A46"/>
    <w:rsid w:val="00080AB4"/>
    <w:rsid w:val="00082F36"/>
    <w:rsid w:val="00083127"/>
    <w:rsid w:val="00083A05"/>
    <w:rsid w:val="00084452"/>
    <w:rsid w:val="000901B7"/>
    <w:rsid w:val="00090207"/>
    <w:rsid w:val="0009045E"/>
    <w:rsid w:val="00091358"/>
    <w:rsid w:val="00091364"/>
    <w:rsid w:val="00091AD7"/>
    <w:rsid w:val="00091B7B"/>
    <w:rsid w:val="00092CAA"/>
    <w:rsid w:val="0009354B"/>
    <w:rsid w:val="00094A3D"/>
    <w:rsid w:val="00094E68"/>
    <w:rsid w:val="000950B4"/>
    <w:rsid w:val="00095159"/>
    <w:rsid w:val="0009530D"/>
    <w:rsid w:val="0009684F"/>
    <w:rsid w:val="000971D7"/>
    <w:rsid w:val="00097ADC"/>
    <w:rsid w:val="000A0016"/>
    <w:rsid w:val="000A0186"/>
    <w:rsid w:val="000A021B"/>
    <w:rsid w:val="000A0814"/>
    <w:rsid w:val="000A0AF0"/>
    <w:rsid w:val="000A0EF0"/>
    <w:rsid w:val="000A15A5"/>
    <w:rsid w:val="000A2084"/>
    <w:rsid w:val="000A2646"/>
    <w:rsid w:val="000A4466"/>
    <w:rsid w:val="000A461D"/>
    <w:rsid w:val="000A54DB"/>
    <w:rsid w:val="000A6837"/>
    <w:rsid w:val="000A6E32"/>
    <w:rsid w:val="000A6E6F"/>
    <w:rsid w:val="000A6FE1"/>
    <w:rsid w:val="000A7325"/>
    <w:rsid w:val="000A78E2"/>
    <w:rsid w:val="000B142E"/>
    <w:rsid w:val="000B2AE5"/>
    <w:rsid w:val="000B2E0D"/>
    <w:rsid w:val="000B455E"/>
    <w:rsid w:val="000B69FB"/>
    <w:rsid w:val="000B73B4"/>
    <w:rsid w:val="000B779D"/>
    <w:rsid w:val="000B789B"/>
    <w:rsid w:val="000C034B"/>
    <w:rsid w:val="000C0876"/>
    <w:rsid w:val="000C0C22"/>
    <w:rsid w:val="000C12CC"/>
    <w:rsid w:val="000C14D6"/>
    <w:rsid w:val="000C16AB"/>
    <w:rsid w:val="000C2511"/>
    <w:rsid w:val="000C41C8"/>
    <w:rsid w:val="000C5549"/>
    <w:rsid w:val="000C5EC7"/>
    <w:rsid w:val="000D081B"/>
    <w:rsid w:val="000D0857"/>
    <w:rsid w:val="000D326B"/>
    <w:rsid w:val="000D33B8"/>
    <w:rsid w:val="000D3947"/>
    <w:rsid w:val="000D3D76"/>
    <w:rsid w:val="000D41BD"/>
    <w:rsid w:val="000D566F"/>
    <w:rsid w:val="000D5B10"/>
    <w:rsid w:val="000D5C71"/>
    <w:rsid w:val="000D7C98"/>
    <w:rsid w:val="000E0264"/>
    <w:rsid w:val="000E0ED6"/>
    <w:rsid w:val="000E1BF6"/>
    <w:rsid w:val="000E3470"/>
    <w:rsid w:val="000E4808"/>
    <w:rsid w:val="000E48C5"/>
    <w:rsid w:val="000E66C8"/>
    <w:rsid w:val="000E76E6"/>
    <w:rsid w:val="000E7F55"/>
    <w:rsid w:val="000F0269"/>
    <w:rsid w:val="000F0445"/>
    <w:rsid w:val="000F1631"/>
    <w:rsid w:val="000F2671"/>
    <w:rsid w:val="000F2C9A"/>
    <w:rsid w:val="000F2E69"/>
    <w:rsid w:val="000F3D1B"/>
    <w:rsid w:val="000F4EB2"/>
    <w:rsid w:val="000F5452"/>
    <w:rsid w:val="000F5547"/>
    <w:rsid w:val="000F5D48"/>
    <w:rsid w:val="000F645E"/>
    <w:rsid w:val="00100448"/>
    <w:rsid w:val="00100A9A"/>
    <w:rsid w:val="00102E77"/>
    <w:rsid w:val="00104486"/>
    <w:rsid w:val="00104E5F"/>
    <w:rsid w:val="001059B2"/>
    <w:rsid w:val="0010657F"/>
    <w:rsid w:val="0011044A"/>
    <w:rsid w:val="00110461"/>
    <w:rsid w:val="001112E4"/>
    <w:rsid w:val="001117C3"/>
    <w:rsid w:val="00111EDC"/>
    <w:rsid w:val="0011227C"/>
    <w:rsid w:val="001122D1"/>
    <w:rsid w:val="001126FA"/>
    <w:rsid w:val="00112A1D"/>
    <w:rsid w:val="00112CA4"/>
    <w:rsid w:val="00114040"/>
    <w:rsid w:val="00116A5E"/>
    <w:rsid w:val="00116E95"/>
    <w:rsid w:val="00117E0D"/>
    <w:rsid w:val="00117E59"/>
    <w:rsid w:val="00120110"/>
    <w:rsid w:val="001211A3"/>
    <w:rsid w:val="001217F9"/>
    <w:rsid w:val="00121D87"/>
    <w:rsid w:val="0012327C"/>
    <w:rsid w:val="00124C2E"/>
    <w:rsid w:val="00125251"/>
    <w:rsid w:val="00125333"/>
    <w:rsid w:val="00125C3C"/>
    <w:rsid w:val="00130319"/>
    <w:rsid w:val="00130342"/>
    <w:rsid w:val="00132C10"/>
    <w:rsid w:val="0013331F"/>
    <w:rsid w:val="001337EF"/>
    <w:rsid w:val="001342DE"/>
    <w:rsid w:val="001348D1"/>
    <w:rsid w:val="00137610"/>
    <w:rsid w:val="00141B3A"/>
    <w:rsid w:val="0014406A"/>
    <w:rsid w:val="0014497F"/>
    <w:rsid w:val="00144A09"/>
    <w:rsid w:val="00146445"/>
    <w:rsid w:val="001467A8"/>
    <w:rsid w:val="0015289E"/>
    <w:rsid w:val="00152AE7"/>
    <w:rsid w:val="00152B75"/>
    <w:rsid w:val="001533CF"/>
    <w:rsid w:val="0015474E"/>
    <w:rsid w:val="00154A46"/>
    <w:rsid w:val="00154E63"/>
    <w:rsid w:val="0015521C"/>
    <w:rsid w:val="001565E7"/>
    <w:rsid w:val="00160742"/>
    <w:rsid w:val="001616A8"/>
    <w:rsid w:val="00161769"/>
    <w:rsid w:val="00161A5F"/>
    <w:rsid w:val="0016204F"/>
    <w:rsid w:val="0016207B"/>
    <w:rsid w:val="001621AC"/>
    <w:rsid w:val="00163764"/>
    <w:rsid w:val="00163C93"/>
    <w:rsid w:val="00163D34"/>
    <w:rsid w:val="00164324"/>
    <w:rsid w:val="001649D1"/>
    <w:rsid w:val="0016505A"/>
    <w:rsid w:val="00171056"/>
    <w:rsid w:val="00171376"/>
    <w:rsid w:val="001717C9"/>
    <w:rsid w:val="0017252B"/>
    <w:rsid w:val="00172E44"/>
    <w:rsid w:val="00174CDA"/>
    <w:rsid w:val="00175EB4"/>
    <w:rsid w:val="00177641"/>
    <w:rsid w:val="00177E4D"/>
    <w:rsid w:val="00180124"/>
    <w:rsid w:val="0018126E"/>
    <w:rsid w:val="0018247C"/>
    <w:rsid w:val="0018250B"/>
    <w:rsid w:val="00182F4A"/>
    <w:rsid w:val="001840E7"/>
    <w:rsid w:val="0018469B"/>
    <w:rsid w:val="00184F67"/>
    <w:rsid w:val="001858D9"/>
    <w:rsid w:val="0018732A"/>
    <w:rsid w:val="0019271F"/>
    <w:rsid w:val="001928CA"/>
    <w:rsid w:val="00193120"/>
    <w:rsid w:val="00193613"/>
    <w:rsid w:val="00193E65"/>
    <w:rsid w:val="001944B7"/>
    <w:rsid w:val="00194D16"/>
    <w:rsid w:val="00194E3C"/>
    <w:rsid w:val="00195389"/>
    <w:rsid w:val="00196C44"/>
    <w:rsid w:val="00197C75"/>
    <w:rsid w:val="001A03C4"/>
    <w:rsid w:val="001A0DDD"/>
    <w:rsid w:val="001A19D7"/>
    <w:rsid w:val="001A2343"/>
    <w:rsid w:val="001A291B"/>
    <w:rsid w:val="001A359E"/>
    <w:rsid w:val="001A500A"/>
    <w:rsid w:val="001A5A46"/>
    <w:rsid w:val="001A5B64"/>
    <w:rsid w:val="001A6050"/>
    <w:rsid w:val="001A6550"/>
    <w:rsid w:val="001A7713"/>
    <w:rsid w:val="001A7DC9"/>
    <w:rsid w:val="001B0027"/>
    <w:rsid w:val="001B07FD"/>
    <w:rsid w:val="001B092E"/>
    <w:rsid w:val="001B1207"/>
    <w:rsid w:val="001B15C5"/>
    <w:rsid w:val="001B1E6C"/>
    <w:rsid w:val="001B211F"/>
    <w:rsid w:val="001B3426"/>
    <w:rsid w:val="001B3524"/>
    <w:rsid w:val="001B36A1"/>
    <w:rsid w:val="001B4E44"/>
    <w:rsid w:val="001B4F8F"/>
    <w:rsid w:val="001B50E0"/>
    <w:rsid w:val="001B5A94"/>
    <w:rsid w:val="001B5C0F"/>
    <w:rsid w:val="001B67F1"/>
    <w:rsid w:val="001B6964"/>
    <w:rsid w:val="001C043B"/>
    <w:rsid w:val="001C0905"/>
    <w:rsid w:val="001C0CF4"/>
    <w:rsid w:val="001C1FB8"/>
    <w:rsid w:val="001C40BC"/>
    <w:rsid w:val="001C60A6"/>
    <w:rsid w:val="001C70CD"/>
    <w:rsid w:val="001C7B99"/>
    <w:rsid w:val="001D004D"/>
    <w:rsid w:val="001D04FC"/>
    <w:rsid w:val="001D0591"/>
    <w:rsid w:val="001D10FA"/>
    <w:rsid w:val="001D1439"/>
    <w:rsid w:val="001D1C62"/>
    <w:rsid w:val="001D218F"/>
    <w:rsid w:val="001D243F"/>
    <w:rsid w:val="001D3E49"/>
    <w:rsid w:val="001D3FF0"/>
    <w:rsid w:val="001D4D03"/>
    <w:rsid w:val="001D5242"/>
    <w:rsid w:val="001D6617"/>
    <w:rsid w:val="001D7BE7"/>
    <w:rsid w:val="001E07F2"/>
    <w:rsid w:val="001E08B8"/>
    <w:rsid w:val="001E0935"/>
    <w:rsid w:val="001E11F2"/>
    <w:rsid w:val="001E1F2A"/>
    <w:rsid w:val="001E280A"/>
    <w:rsid w:val="001E2C84"/>
    <w:rsid w:val="001E2E7A"/>
    <w:rsid w:val="001E32B1"/>
    <w:rsid w:val="001E33C8"/>
    <w:rsid w:val="001E382C"/>
    <w:rsid w:val="001E3D64"/>
    <w:rsid w:val="001E4B59"/>
    <w:rsid w:val="001E522A"/>
    <w:rsid w:val="001E5563"/>
    <w:rsid w:val="001E5AD3"/>
    <w:rsid w:val="001F03D9"/>
    <w:rsid w:val="001F0B3D"/>
    <w:rsid w:val="001F0E2B"/>
    <w:rsid w:val="001F1220"/>
    <w:rsid w:val="001F3091"/>
    <w:rsid w:val="001F411F"/>
    <w:rsid w:val="001F4F8A"/>
    <w:rsid w:val="001F5165"/>
    <w:rsid w:val="001F626E"/>
    <w:rsid w:val="001F6B73"/>
    <w:rsid w:val="001F6F7E"/>
    <w:rsid w:val="0020085E"/>
    <w:rsid w:val="00200FC4"/>
    <w:rsid w:val="00201366"/>
    <w:rsid w:val="00201870"/>
    <w:rsid w:val="00202E9E"/>
    <w:rsid w:val="00203713"/>
    <w:rsid w:val="002048C0"/>
    <w:rsid w:val="0020523D"/>
    <w:rsid w:val="00205501"/>
    <w:rsid w:val="0020575F"/>
    <w:rsid w:val="00205957"/>
    <w:rsid w:val="00205A85"/>
    <w:rsid w:val="00210A27"/>
    <w:rsid w:val="00210B74"/>
    <w:rsid w:val="00211929"/>
    <w:rsid w:val="00212DDE"/>
    <w:rsid w:val="00212FCE"/>
    <w:rsid w:val="00213024"/>
    <w:rsid w:val="00213C1F"/>
    <w:rsid w:val="00214E56"/>
    <w:rsid w:val="00214EEB"/>
    <w:rsid w:val="00215B81"/>
    <w:rsid w:val="00215B92"/>
    <w:rsid w:val="00215C17"/>
    <w:rsid w:val="00217096"/>
    <w:rsid w:val="00220158"/>
    <w:rsid w:val="00220F7A"/>
    <w:rsid w:val="002211B4"/>
    <w:rsid w:val="002219E6"/>
    <w:rsid w:val="00221C2D"/>
    <w:rsid w:val="00222232"/>
    <w:rsid w:val="00222FCA"/>
    <w:rsid w:val="002234F9"/>
    <w:rsid w:val="002249C8"/>
    <w:rsid w:val="00224A27"/>
    <w:rsid w:val="00224F72"/>
    <w:rsid w:val="0022534A"/>
    <w:rsid w:val="00225672"/>
    <w:rsid w:val="0022661E"/>
    <w:rsid w:val="00226D9E"/>
    <w:rsid w:val="0023002F"/>
    <w:rsid w:val="00230187"/>
    <w:rsid w:val="002304A0"/>
    <w:rsid w:val="002304ED"/>
    <w:rsid w:val="002317BD"/>
    <w:rsid w:val="00231F85"/>
    <w:rsid w:val="00232C8D"/>
    <w:rsid w:val="00232FF0"/>
    <w:rsid w:val="00233D6F"/>
    <w:rsid w:val="00234D23"/>
    <w:rsid w:val="00234DF9"/>
    <w:rsid w:val="002358AB"/>
    <w:rsid w:val="002358F5"/>
    <w:rsid w:val="0023622E"/>
    <w:rsid w:val="00236C2B"/>
    <w:rsid w:val="00237A79"/>
    <w:rsid w:val="00237AA2"/>
    <w:rsid w:val="00237B39"/>
    <w:rsid w:val="00241C62"/>
    <w:rsid w:val="002420CE"/>
    <w:rsid w:val="00242805"/>
    <w:rsid w:val="00242F54"/>
    <w:rsid w:val="002437D9"/>
    <w:rsid w:val="00243BB4"/>
    <w:rsid w:val="00246E5A"/>
    <w:rsid w:val="002473AE"/>
    <w:rsid w:val="002477B3"/>
    <w:rsid w:val="00250A49"/>
    <w:rsid w:val="00250D3A"/>
    <w:rsid w:val="002515D4"/>
    <w:rsid w:val="00252058"/>
    <w:rsid w:val="0025363F"/>
    <w:rsid w:val="00254E44"/>
    <w:rsid w:val="002558F7"/>
    <w:rsid w:val="002558FC"/>
    <w:rsid w:val="00257119"/>
    <w:rsid w:val="002602C7"/>
    <w:rsid w:val="00260657"/>
    <w:rsid w:val="0026070B"/>
    <w:rsid w:val="00261367"/>
    <w:rsid w:val="00261471"/>
    <w:rsid w:val="00261E81"/>
    <w:rsid w:val="0026233D"/>
    <w:rsid w:val="00263D29"/>
    <w:rsid w:val="00264A37"/>
    <w:rsid w:val="00265652"/>
    <w:rsid w:val="00265694"/>
    <w:rsid w:val="00265B44"/>
    <w:rsid w:val="002660DC"/>
    <w:rsid w:val="002671B9"/>
    <w:rsid w:val="00270A7C"/>
    <w:rsid w:val="002721E8"/>
    <w:rsid w:val="00273412"/>
    <w:rsid w:val="0027430C"/>
    <w:rsid w:val="00274459"/>
    <w:rsid w:val="00274F2C"/>
    <w:rsid w:val="00275C21"/>
    <w:rsid w:val="00276025"/>
    <w:rsid w:val="00276B1C"/>
    <w:rsid w:val="0027701D"/>
    <w:rsid w:val="00277988"/>
    <w:rsid w:val="00277ABA"/>
    <w:rsid w:val="00277D3E"/>
    <w:rsid w:val="00280728"/>
    <w:rsid w:val="00280F12"/>
    <w:rsid w:val="002815DA"/>
    <w:rsid w:val="00281865"/>
    <w:rsid w:val="0028208C"/>
    <w:rsid w:val="002821DB"/>
    <w:rsid w:val="00283229"/>
    <w:rsid w:val="0028324C"/>
    <w:rsid w:val="00283DF9"/>
    <w:rsid w:val="002842C5"/>
    <w:rsid w:val="00284828"/>
    <w:rsid w:val="002870FB"/>
    <w:rsid w:val="0028764A"/>
    <w:rsid w:val="00290F24"/>
    <w:rsid w:val="00291668"/>
    <w:rsid w:val="00291AEC"/>
    <w:rsid w:val="00292511"/>
    <w:rsid w:val="002938A3"/>
    <w:rsid w:val="002943D1"/>
    <w:rsid w:val="0029589A"/>
    <w:rsid w:val="002959C0"/>
    <w:rsid w:val="0029668F"/>
    <w:rsid w:val="00297D5A"/>
    <w:rsid w:val="002A0994"/>
    <w:rsid w:val="002A099E"/>
    <w:rsid w:val="002A20D7"/>
    <w:rsid w:val="002A2394"/>
    <w:rsid w:val="002A2AC6"/>
    <w:rsid w:val="002A6076"/>
    <w:rsid w:val="002A6674"/>
    <w:rsid w:val="002A6B53"/>
    <w:rsid w:val="002A6FE6"/>
    <w:rsid w:val="002A71C0"/>
    <w:rsid w:val="002A7C67"/>
    <w:rsid w:val="002B0471"/>
    <w:rsid w:val="002B0E00"/>
    <w:rsid w:val="002B1375"/>
    <w:rsid w:val="002B1657"/>
    <w:rsid w:val="002B23A5"/>
    <w:rsid w:val="002B2590"/>
    <w:rsid w:val="002B27EB"/>
    <w:rsid w:val="002B4780"/>
    <w:rsid w:val="002B488F"/>
    <w:rsid w:val="002B5200"/>
    <w:rsid w:val="002B53C7"/>
    <w:rsid w:val="002B6079"/>
    <w:rsid w:val="002B7235"/>
    <w:rsid w:val="002C0930"/>
    <w:rsid w:val="002C0BB0"/>
    <w:rsid w:val="002C2582"/>
    <w:rsid w:val="002C269C"/>
    <w:rsid w:val="002C3A23"/>
    <w:rsid w:val="002C3C8B"/>
    <w:rsid w:val="002C4603"/>
    <w:rsid w:val="002C5EE3"/>
    <w:rsid w:val="002C6A57"/>
    <w:rsid w:val="002C71B9"/>
    <w:rsid w:val="002C7405"/>
    <w:rsid w:val="002D1761"/>
    <w:rsid w:val="002D1BCD"/>
    <w:rsid w:val="002D2882"/>
    <w:rsid w:val="002D386E"/>
    <w:rsid w:val="002D44AC"/>
    <w:rsid w:val="002D4EC1"/>
    <w:rsid w:val="002D5291"/>
    <w:rsid w:val="002D5515"/>
    <w:rsid w:val="002D603E"/>
    <w:rsid w:val="002D7E14"/>
    <w:rsid w:val="002E091F"/>
    <w:rsid w:val="002E1DD7"/>
    <w:rsid w:val="002E2878"/>
    <w:rsid w:val="002E402C"/>
    <w:rsid w:val="002E4047"/>
    <w:rsid w:val="002E6518"/>
    <w:rsid w:val="002E67FE"/>
    <w:rsid w:val="002E69B0"/>
    <w:rsid w:val="002E6D32"/>
    <w:rsid w:val="002E6F63"/>
    <w:rsid w:val="002E73C4"/>
    <w:rsid w:val="002E7B33"/>
    <w:rsid w:val="002F0C03"/>
    <w:rsid w:val="002F0F82"/>
    <w:rsid w:val="002F102F"/>
    <w:rsid w:val="002F221F"/>
    <w:rsid w:val="002F22E2"/>
    <w:rsid w:val="002F2723"/>
    <w:rsid w:val="002F29F5"/>
    <w:rsid w:val="002F4599"/>
    <w:rsid w:val="002F4867"/>
    <w:rsid w:val="002F5D4A"/>
    <w:rsid w:val="002F6206"/>
    <w:rsid w:val="002F694E"/>
    <w:rsid w:val="002F6D34"/>
    <w:rsid w:val="00301099"/>
    <w:rsid w:val="0030269C"/>
    <w:rsid w:val="00302FD8"/>
    <w:rsid w:val="00303173"/>
    <w:rsid w:val="00303F3E"/>
    <w:rsid w:val="00304062"/>
    <w:rsid w:val="00304D5C"/>
    <w:rsid w:val="00307722"/>
    <w:rsid w:val="00307AF1"/>
    <w:rsid w:val="00307B72"/>
    <w:rsid w:val="00307B76"/>
    <w:rsid w:val="0031021D"/>
    <w:rsid w:val="00310C0D"/>
    <w:rsid w:val="00311B25"/>
    <w:rsid w:val="003120CE"/>
    <w:rsid w:val="00314784"/>
    <w:rsid w:val="00314983"/>
    <w:rsid w:val="00315F1D"/>
    <w:rsid w:val="003164D2"/>
    <w:rsid w:val="00316FF7"/>
    <w:rsid w:val="003203A4"/>
    <w:rsid w:val="003203EC"/>
    <w:rsid w:val="00320E3F"/>
    <w:rsid w:val="00321085"/>
    <w:rsid w:val="00321BB8"/>
    <w:rsid w:val="00322830"/>
    <w:rsid w:val="00323473"/>
    <w:rsid w:val="00323C89"/>
    <w:rsid w:val="00324535"/>
    <w:rsid w:val="0032461C"/>
    <w:rsid w:val="00324D4D"/>
    <w:rsid w:val="00325100"/>
    <w:rsid w:val="00326EEE"/>
    <w:rsid w:val="00327A3A"/>
    <w:rsid w:val="00327D49"/>
    <w:rsid w:val="003303FF"/>
    <w:rsid w:val="003306B0"/>
    <w:rsid w:val="00331567"/>
    <w:rsid w:val="00331A42"/>
    <w:rsid w:val="00332CBC"/>
    <w:rsid w:val="003333E5"/>
    <w:rsid w:val="003339C3"/>
    <w:rsid w:val="00333DEF"/>
    <w:rsid w:val="003341A3"/>
    <w:rsid w:val="003345C9"/>
    <w:rsid w:val="00334EAF"/>
    <w:rsid w:val="003351BA"/>
    <w:rsid w:val="003352AC"/>
    <w:rsid w:val="0033749A"/>
    <w:rsid w:val="003375E9"/>
    <w:rsid w:val="00337E1E"/>
    <w:rsid w:val="00340188"/>
    <w:rsid w:val="003407A2"/>
    <w:rsid w:val="0034087C"/>
    <w:rsid w:val="00340FF9"/>
    <w:rsid w:val="00341DEE"/>
    <w:rsid w:val="00342B0F"/>
    <w:rsid w:val="00342FF5"/>
    <w:rsid w:val="00343136"/>
    <w:rsid w:val="0034323A"/>
    <w:rsid w:val="003432E2"/>
    <w:rsid w:val="0034459A"/>
    <w:rsid w:val="00344CDF"/>
    <w:rsid w:val="00347BD1"/>
    <w:rsid w:val="00347FD5"/>
    <w:rsid w:val="0035075E"/>
    <w:rsid w:val="0035118C"/>
    <w:rsid w:val="003515E9"/>
    <w:rsid w:val="00351641"/>
    <w:rsid w:val="00351BF2"/>
    <w:rsid w:val="00351E38"/>
    <w:rsid w:val="00352080"/>
    <w:rsid w:val="00353524"/>
    <w:rsid w:val="0035358B"/>
    <w:rsid w:val="003536A9"/>
    <w:rsid w:val="00353E6E"/>
    <w:rsid w:val="00354D95"/>
    <w:rsid w:val="0035649C"/>
    <w:rsid w:val="0035683B"/>
    <w:rsid w:val="00356840"/>
    <w:rsid w:val="00356907"/>
    <w:rsid w:val="00357E0A"/>
    <w:rsid w:val="0036024C"/>
    <w:rsid w:val="00361EB7"/>
    <w:rsid w:val="0036310E"/>
    <w:rsid w:val="0036356A"/>
    <w:rsid w:val="00363887"/>
    <w:rsid w:val="003638E9"/>
    <w:rsid w:val="00363EBA"/>
    <w:rsid w:val="0036455A"/>
    <w:rsid w:val="00364C3F"/>
    <w:rsid w:val="00364D71"/>
    <w:rsid w:val="0036507C"/>
    <w:rsid w:val="003660CF"/>
    <w:rsid w:val="003662D7"/>
    <w:rsid w:val="00366F92"/>
    <w:rsid w:val="003704F1"/>
    <w:rsid w:val="003729E4"/>
    <w:rsid w:val="00372E9F"/>
    <w:rsid w:val="00375107"/>
    <w:rsid w:val="00375A3D"/>
    <w:rsid w:val="00376091"/>
    <w:rsid w:val="00381C73"/>
    <w:rsid w:val="00383632"/>
    <w:rsid w:val="003836A1"/>
    <w:rsid w:val="00384245"/>
    <w:rsid w:val="00384751"/>
    <w:rsid w:val="00384805"/>
    <w:rsid w:val="003855DE"/>
    <w:rsid w:val="00386881"/>
    <w:rsid w:val="00386B56"/>
    <w:rsid w:val="00387070"/>
    <w:rsid w:val="00387290"/>
    <w:rsid w:val="00387D51"/>
    <w:rsid w:val="003907C9"/>
    <w:rsid w:val="003908BB"/>
    <w:rsid w:val="00391793"/>
    <w:rsid w:val="00391E24"/>
    <w:rsid w:val="0039275C"/>
    <w:rsid w:val="00393BBC"/>
    <w:rsid w:val="00393D52"/>
    <w:rsid w:val="00393EBF"/>
    <w:rsid w:val="00394275"/>
    <w:rsid w:val="00394857"/>
    <w:rsid w:val="00394C89"/>
    <w:rsid w:val="003950E7"/>
    <w:rsid w:val="00396CA3"/>
    <w:rsid w:val="003A06C7"/>
    <w:rsid w:val="003A0C8E"/>
    <w:rsid w:val="003A1E48"/>
    <w:rsid w:val="003A2814"/>
    <w:rsid w:val="003A2E7C"/>
    <w:rsid w:val="003A3A66"/>
    <w:rsid w:val="003A3C9A"/>
    <w:rsid w:val="003A7C22"/>
    <w:rsid w:val="003B0863"/>
    <w:rsid w:val="003B20F9"/>
    <w:rsid w:val="003B3170"/>
    <w:rsid w:val="003B4723"/>
    <w:rsid w:val="003B500E"/>
    <w:rsid w:val="003B5597"/>
    <w:rsid w:val="003B5A85"/>
    <w:rsid w:val="003B5E3C"/>
    <w:rsid w:val="003C018F"/>
    <w:rsid w:val="003C01C4"/>
    <w:rsid w:val="003C0734"/>
    <w:rsid w:val="003C1089"/>
    <w:rsid w:val="003C1142"/>
    <w:rsid w:val="003C2B30"/>
    <w:rsid w:val="003C32DB"/>
    <w:rsid w:val="003C41EC"/>
    <w:rsid w:val="003C5802"/>
    <w:rsid w:val="003C778E"/>
    <w:rsid w:val="003D093C"/>
    <w:rsid w:val="003D16EC"/>
    <w:rsid w:val="003D1B31"/>
    <w:rsid w:val="003D1F07"/>
    <w:rsid w:val="003D283F"/>
    <w:rsid w:val="003D290C"/>
    <w:rsid w:val="003D30D9"/>
    <w:rsid w:val="003D3DA7"/>
    <w:rsid w:val="003D3E34"/>
    <w:rsid w:val="003D4B59"/>
    <w:rsid w:val="003D51A0"/>
    <w:rsid w:val="003D666D"/>
    <w:rsid w:val="003D6FD8"/>
    <w:rsid w:val="003E0ECB"/>
    <w:rsid w:val="003E21E6"/>
    <w:rsid w:val="003E313A"/>
    <w:rsid w:val="003E4738"/>
    <w:rsid w:val="003E4A83"/>
    <w:rsid w:val="003E4C32"/>
    <w:rsid w:val="003E56BD"/>
    <w:rsid w:val="003E5862"/>
    <w:rsid w:val="003E59E3"/>
    <w:rsid w:val="003E5F78"/>
    <w:rsid w:val="003E6635"/>
    <w:rsid w:val="003E6AD6"/>
    <w:rsid w:val="003E7391"/>
    <w:rsid w:val="003E77D9"/>
    <w:rsid w:val="003F0990"/>
    <w:rsid w:val="003F0A44"/>
    <w:rsid w:val="003F20DB"/>
    <w:rsid w:val="003F3B0C"/>
    <w:rsid w:val="003F41BA"/>
    <w:rsid w:val="003F41DD"/>
    <w:rsid w:val="003F4F80"/>
    <w:rsid w:val="003F5AF7"/>
    <w:rsid w:val="003F5C7B"/>
    <w:rsid w:val="003F5DE2"/>
    <w:rsid w:val="003F6281"/>
    <w:rsid w:val="003F6340"/>
    <w:rsid w:val="003F6AAF"/>
    <w:rsid w:val="00400737"/>
    <w:rsid w:val="004008B5"/>
    <w:rsid w:val="00400DCC"/>
    <w:rsid w:val="004028E9"/>
    <w:rsid w:val="00403172"/>
    <w:rsid w:val="0040343A"/>
    <w:rsid w:val="0040447E"/>
    <w:rsid w:val="004061BC"/>
    <w:rsid w:val="004070B4"/>
    <w:rsid w:val="00407557"/>
    <w:rsid w:val="00410815"/>
    <w:rsid w:val="004110A4"/>
    <w:rsid w:val="00411447"/>
    <w:rsid w:val="00411EA2"/>
    <w:rsid w:val="00412183"/>
    <w:rsid w:val="00412F63"/>
    <w:rsid w:val="00413154"/>
    <w:rsid w:val="00413AC5"/>
    <w:rsid w:val="00414018"/>
    <w:rsid w:val="00414147"/>
    <w:rsid w:val="004144AC"/>
    <w:rsid w:val="00414B96"/>
    <w:rsid w:val="00415397"/>
    <w:rsid w:val="00415521"/>
    <w:rsid w:val="00416020"/>
    <w:rsid w:val="00416162"/>
    <w:rsid w:val="004161DC"/>
    <w:rsid w:val="004211C0"/>
    <w:rsid w:val="00421710"/>
    <w:rsid w:val="00421980"/>
    <w:rsid w:val="00421A6B"/>
    <w:rsid w:val="00422778"/>
    <w:rsid w:val="00423214"/>
    <w:rsid w:val="0042330B"/>
    <w:rsid w:val="004239AC"/>
    <w:rsid w:val="00423C64"/>
    <w:rsid w:val="00423CC1"/>
    <w:rsid w:val="0042437F"/>
    <w:rsid w:val="00424800"/>
    <w:rsid w:val="00424D13"/>
    <w:rsid w:val="0042629A"/>
    <w:rsid w:val="0042700F"/>
    <w:rsid w:val="004276EF"/>
    <w:rsid w:val="004277F5"/>
    <w:rsid w:val="00430018"/>
    <w:rsid w:val="0043002C"/>
    <w:rsid w:val="00430FF3"/>
    <w:rsid w:val="004340F7"/>
    <w:rsid w:val="004349A9"/>
    <w:rsid w:val="004356C8"/>
    <w:rsid w:val="004356E9"/>
    <w:rsid w:val="004357C7"/>
    <w:rsid w:val="00435BC2"/>
    <w:rsid w:val="004360CA"/>
    <w:rsid w:val="00436578"/>
    <w:rsid w:val="004373BF"/>
    <w:rsid w:val="004416A8"/>
    <w:rsid w:val="0044178A"/>
    <w:rsid w:val="00441A44"/>
    <w:rsid w:val="00442124"/>
    <w:rsid w:val="0044217D"/>
    <w:rsid w:val="00442C15"/>
    <w:rsid w:val="00444D5A"/>
    <w:rsid w:val="0044577F"/>
    <w:rsid w:val="00445C49"/>
    <w:rsid w:val="00446272"/>
    <w:rsid w:val="00446536"/>
    <w:rsid w:val="00447482"/>
    <w:rsid w:val="0044762D"/>
    <w:rsid w:val="0044764E"/>
    <w:rsid w:val="00447972"/>
    <w:rsid w:val="00447E42"/>
    <w:rsid w:val="00447FD6"/>
    <w:rsid w:val="004500FA"/>
    <w:rsid w:val="00450B94"/>
    <w:rsid w:val="00450C78"/>
    <w:rsid w:val="00453445"/>
    <w:rsid w:val="00453903"/>
    <w:rsid w:val="00453B6C"/>
    <w:rsid w:val="00454ACA"/>
    <w:rsid w:val="00455388"/>
    <w:rsid w:val="00455B58"/>
    <w:rsid w:val="00455DF9"/>
    <w:rsid w:val="00456875"/>
    <w:rsid w:val="004579D8"/>
    <w:rsid w:val="004605B0"/>
    <w:rsid w:val="00460B93"/>
    <w:rsid w:val="0046103D"/>
    <w:rsid w:val="00461AA2"/>
    <w:rsid w:val="004626EC"/>
    <w:rsid w:val="00462D13"/>
    <w:rsid w:val="0046400E"/>
    <w:rsid w:val="0046455B"/>
    <w:rsid w:val="00464A27"/>
    <w:rsid w:val="00464FE2"/>
    <w:rsid w:val="004652FC"/>
    <w:rsid w:val="0046706B"/>
    <w:rsid w:val="00467A7E"/>
    <w:rsid w:val="00467B4A"/>
    <w:rsid w:val="0047136A"/>
    <w:rsid w:val="004716D6"/>
    <w:rsid w:val="004720AE"/>
    <w:rsid w:val="004736AA"/>
    <w:rsid w:val="00474D39"/>
    <w:rsid w:val="00475807"/>
    <w:rsid w:val="0047754E"/>
    <w:rsid w:val="00477563"/>
    <w:rsid w:val="004775F9"/>
    <w:rsid w:val="0048040A"/>
    <w:rsid w:val="004814E7"/>
    <w:rsid w:val="00482024"/>
    <w:rsid w:val="004821B9"/>
    <w:rsid w:val="004827EA"/>
    <w:rsid w:val="00483CA4"/>
    <w:rsid w:val="004853A5"/>
    <w:rsid w:val="00485DAD"/>
    <w:rsid w:val="004861E1"/>
    <w:rsid w:val="004862F1"/>
    <w:rsid w:val="004864C9"/>
    <w:rsid w:val="0048664A"/>
    <w:rsid w:val="0048718D"/>
    <w:rsid w:val="00487359"/>
    <w:rsid w:val="00487A99"/>
    <w:rsid w:val="00490075"/>
    <w:rsid w:val="004900D0"/>
    <w:rsid w:val="00490A93"/>
    <w:rsid w:val="004926D7"/>
    <w:rsid w:val="00492A18"/>
    <w:rsid w:val="00492D38"/>
    <w:rsid w:val="00492E21"/>
    <w:rsid w:val="00493BC8"/>
    <w:rsid w:val="004957F3"/>
    <w:rsid w:val="00495AEF"/>
    <w:rsid w:val="00495CEA"/>
    <w:rsid w:val="00495F32"/>
    <w:rsid w:val="00495F75"/>
    <w:rsid w:val="004968C7"/>
    <w:rsid w:val="00497A77"/>
    <w:rsid w:val="004A0EF2"/>
    <w:rsid w:val="004A13A9"/>
    <w:rsid w:val="004A1C01"/>
    <w:rsid w:val="004A3542"/>
    <w:rsid w:val="004A3D12"/>
    <w:rsid w:val="004A3DB3"/>
    <w:rsid w:val="004A538A"/>
    <w:rsid w:val="004A61CE"/>
    <w:rsid w:val="004A69C3"/>
    <w:rsid w:val="004A6C80"/>
    <w:rsid w:val="004A7571"/>
    <w:rsid w:val="004A7814"/>
    <w:rsid w:val="004B0996"/>
    <w:rsid w:val="004B1163"/>
    <w:rsid w:val="004B1D16"/>
    <w:rsid w:val="004B2567"/>
    <w:rsid w:val="004B38DB"/>
    <w:rsid w:val="004B4BC9"/>
    <w:rsid w:val="004B5794"/>
    <w:rsid w:val="004B5D94"/>
    <w:rsid w:val="004B7E78"/>
    <w:rsid w:val="004C0166"/>
    <w:rsid w:val="004C0633"/>
    <w:rsid w:val="004C150A"/>
    <w:rsid w:val="004C2655"/>
    <w:rsid w:val="004C4B70"/>
    <w:rsid w:val="004C6165"/>
    <w:rsid w:val="004D07C5"/>
    <w:rsid w:val="004D1825"/>
    <w:rsid w:val="004D18C7"/>
    <w:rsid w:val="004D258C"/>
    <w:rsid w:val="004D2CE1"/>
    <w:rsid w:val="004D37E1"/>
    <w:rsid w:val="004D489D"/>
    <w:rsid w:val="004D4BD9"/>
    <w:rsid w:val="004D4DD0"/>
    <w:rsid w:val="004D4E26"/>
    <w:rsid w:val="004D66A0"/>
    <w:rsid w:val="004D684C"/>
    <w:rsid w:val="004D75F6"/>
    <w:rsid w:val="004D7F7B"/>
    <w:rsid w:val="004E06CF"/>
    <w:rsid w:val="004E06E3"/>
    <w:rsid w:val="004E09C4"/>
    <w:rsid w:val="004E0A9A"/>
    <w:rsid w:val="004E0DDE"/>
    <w:rsid w:val="004E3954"/>
    <w:rsid w:val="004E3FF3"/>
    <w:rsid w:val="004E4203"/>
    <w:rsid w:val="004E57A4"/>
    <w:rsid w:val="004E5F61"/>
    <w:rsid w:val="004E5FD2"/>
    <w:rsid w:val="004E6000"/>
    <w:rsid w:val="004E6060"/>
    <w:rsid w:val="004E61E9"/>
    <w:rsid w:val="004E64CE"/>
    <w:rsid w:val="004F031E"/>
    <w:rsid w:val="004F206E"/>
    <w:rsid w:val="004F2AB7"/>
    <w:rsid w:val="004F3BF3"/>
    <w:rsid w:val="004F4106"/>
    <w:rsid w:val="004F4DA9"/>
    <w:rsid w:val="004F5B0B"/>
    <w:rsid w:val="004F5D95"/>
    <w:rsid w:val="005003FB"/>
    <w:rsid w:val="00500696"/>
    <w:rsid w:val="00500697"/>
    <w:rsid w:val="00501461"/>
    <w:rsid w:val="00501F2A"/>
    <w:rsid w:val="0050393C"/>
    <w:rsid w:val="00503F30"/>
    <w:rsid w:val="005041FE"/>
    <w:rsid w:val="0050453D"/>
    <w:rsid w:val="005058E8"/>
    <w:rsid w:val="005071B7"/>
    <w:rsid w:val="005074E3"/>
    <w:rsid w:val="00510035"/>
    <w:rsid w:val="0051103A"/>
    <w:rsid w:val="0051200A"/>
    <w:rsid w:val="0051280D"/>
    <w:rsid w:val="005129C4"/>
    <w:rsid w:val="00512CD7"/>
    <w:rsid w:val="00513F9F"/>
    <w:rsid w:val="00514A4B"/>
    <w:rsid w:val="005151B2"/>
    <w:rsid w:val="00515AFA"/>
    <w:rsid w:val="00515B5C"/>
    <w:rsid w:val="0051644E"/>
    <w:rsid w:val="00516944"/>
    <w:rsid w:val="005171AF"/>
    <w:rsid w:val="00517981"/>
    <w:rsid w:val="005207C3"/>
    <w:rsid w:val="00520B59"/>
    <w:rsid w:val="00520D43"/>
    <w:rsid w:val="0052204B"/>
    <w:rsid w:val="005220A4"/>
    <w:rsid w:val="005221E5"/>
    <w:rsid w:val="0052247E"/>
    <w:rsid w:val="00522995"/>
    <w:rsid w:val="00522E19"/>
    <w:rsid w:val="005236E5"/>
    <w:rsid w:val="00524629"/>
    <w:rsid w:val="005247F5"/>
    <w:rsid w:val="00524BDB"/>
    <w:rsid w:val="00526EEC"/>
    <w:rsid w:val="00527A50"/>
    <w:rsid w:val="005303FF"/>
    <w:rsid w:val="0053057D"/>
    <w:rsid w:val="00531B15"/>
    <w:rsid w:val="00531EAA"/>
    <w:rsid w:val="00531EE1"/>
    <w:rsid w:val="005329D3"/>
    <w:rsid w:val="00532CA2"/>
    <w:rsid w:val="00532ED5"/>
    <w:rsid w:val="00533070"/>
    <w:rsid w:val="0053427E"/>
    <w:rsid w:val="005349A2"/>
    <w:rsid w:val="00535195"/>
    <w:rsid w:val="005359F5"/>
    <w:rsid w:val="00537ACB"/>
    <w:rsid w:val="005403FD"/>
    <w:rsid w:val="00541400"/>
    <w:rsid w:val="00541E7B"/>
    <w:rsid w:val="00542757"/>
    <w:rsid w:val="00542C39"/>
    <w:rsid w:val="00545137"/>
    <w:rsid w:val="00545726"/>
    <w:rsid w:val="005462C5"/>
    <w:rsid w:val="005475AB"/>
    <w:rsid w:val="005508CB"/>
    <w:rsid w:val="00554089"/>
    <w:rsid w:val="00554949"/>
    <w:rsid w:val="00554A99"/>
    <w:rsid w:val="00554DE8"/>
    <w:rsid w:val="00555DE1"/>
    <w:rsid w:val="00555E0B"/>
    <w:rsid w:val="005561B0"/>
    <w:rsid w:val="00557A3B"/>
    <w:rsid w:val="00560354"/>
    <w:rsid w:val="0056101C"/>
    <w:rsid w:val="00562A60"/>
    <w:rsid w:val="005632DD"/>
    <w:rsid w:val="00564046"/>
    <w:rsid w:val="00564701"/>
    <w:rsid w:val="0056486D"/>
    <w:rsid w:val="00564EF7"/>
    <w:rsid w:val="00564F87"/>
    <w:rsid w:val="005659D9"/>
    <w:rsid w:val="00565AE5"/>
    <w:rsid w:val="005714A4"/>
    <w:rsid w:val="0057399E"/>
    <w:rsid w:val="00573BE8"/>
    <w:rsid w:val="00574370"/>
    <w:rsid w:val="005752F8"/>
    <w:rsid w:val="0057746C"/>
    <w:rsid w:val="00577ADD"/>
    <w:rsid w:val="00580A86"/>
    <w:rsid w:val="00580D60"/>
    <w:rsid w:val="005816A8"/>
    <w:rsid w:val="00581D3A"/>
    <w:rsid w:val="0058228B"/>
    <w:rsid w:val="00582876"/>
    <w:rsid w:val="00583B7D"/>
    <w:rsid w:val="005840BB"/>
    <w:rsid w:val="00584458"/>
    <w:rsid w:val="0058485A"/>
    <w:rsid w:val="00585105"/>
    <w:rsid w:val="005852DA"/>
    <w:rsid w:val="005859A6"/>
    <w:rsid w:val="00585D06"/>
    <w:rsid w:val="00586906"/>
    <w:rsid w:val="00586C8B"/>
    <w:rsid w:val="00587570"/>
    <w:rsid w:val="005875FE"/>
    <w:rsid w:val="005877A4"/>
    <w:rsid w:val="005877E1"/>
    <w:rsid w:val="00590EA8"/>
    <w:rsid w:val="00593254"/>
    <w:rsid w:val="00593CA9"/>
    <w:rsid w:val="0059659E"/>
    <w:rsid w:val="005969D9"/>
    <w:rsid w:val="005969FD"/>
    <w:rsid w:val="005975EB"/>
    <w:rsid w:val="00597AE0"/>
    <w:rsid w:val="00597C1F"/>
    <w:rsid w:val="005A063C"/>
    <w:rsid w:val="005A0662"/>
    <w:rsid w:val="005A1352"/>
    <w:rsid w:val="005A14F5"/>
    <w:rsid w:val="005A16FE"/>
    <w:rsid w:val="005A266B"/>
    <w:rsid w:val="005A2E81"/>
    <w:rsid w:val="005A33D3"/>
    <w:rsid w:val="005A3798"/>
    <w:rsid w:val="005A66AE"/>
    <w:rsid w:val="005A6A33"/>
    <w:rsid w:val="005A7CCF"/>
    <w:rsid w:val="005B056D"/>
    <w:rsid w:val="005B0982"/>
    <w:rsid w:val="005B0E63"/>
    <w:rsid w:val="005B1271"/>
    <w:rsid w:val="005B2005"/>
    <w:rsid w:val="005B2297"/>
    <w:rsid w:val="005B22EB"/>
    <w:rsid w:val="005B248A"/>
    <w:rsid w:val="005B30F4"/>
    <w:rsid w:val="005B4957"/>
    <w:rsid w:val="005B4982"/>
    <w:rsid w:val="005B5205"/>
    <w:rsid w:val="005B5237"/>
    <w:rsid w:val="005B538A"/>
    <w:rsid w:val="005B53F1"/>
    <w:rsid w:val="005B58D9"/>
    <w:rsid w:val="005B5AC2"/>
    <w:rsid w:val="005B5D3B"/>
    <w:rsid w:val="005B74F9"/>
    <w:rsid w:val="005C080E"/>
    <w:rsid w:val="005C23AF"/>
    <w:rsid w:val="005C23EB"/>
    <w:rsid w:val="005C2ADB"/>
    <w:rsid w:val="005C2F23"/>
    <w:rsid w:val="005C3DEF"/>
    <w:rsid w:val="005C49BA"/>
    <w:rsid w:val="005C4B46"/>
    <w:rsid w:val="005C5485"/>
    <w:rsid w:val="005C56BC"/>
    <w:rsid w:val="005C62CA"/>
    <w:rsid w:val="005C67BF"/>
    <w:rsid w:val="005C6BA8"/>
    <w:rsid w:val="005C6CCD"/>
    <w:rsid w:val="005D0B5F"/>
    <w:rsid w:val="005D1BB2"/>
    <w:rsid w:val="005D1C7F"/>
    <w:rsid w:val="005D3064"/>
    <w:rsid w:val="005D3794"/>
    <w:rsid w:val="005D3F36"/>
    <w:rsid w:val="005D3FF4"/>
    <w:rsid w:val="005D46AB"/>
    <w:rsid w:val="005D611A"/>
    <w:rsid w:val="005D6D2F"/>
    <w:rsid w:val="005D7D4A"/>
    <w:rsid w:val="005E21E7"/>
    <w:rsid w:val="005E2382"/>
    <w:rsid w:val="005E23EA"/>
    <w:rsid w:val="005E29BC"/>
    <w:rsid w:val="005E3237"/>
    <w:rsid w:val="005E3A06"/>
    <w:rsid w:val="005E45EE"/>
    <w:rsid w:val="005E4D06"/>
    <w:rsid w:val="005E5C9C"/>
    <w:rsid w:val="005E5CD7"/>
    <w:rsid w:val="005E64AE"/>
    <w:rsid w:val="005E7406"/>
    <w:rsid w:val="005E7511"/>
    <w:rsid w:val="005E7618"/>
    <w:rsid w:val="005F0D98"/>
    <w:rsid w:val="005F0E09"/>
    <w:rsid w:val="005F13FC"/>
    <w:rsid w:val="005F2D2D"/>
    <w:rsid w:val="005F3A0B"/>
    <w:rsid w:val="005F3BD7"/>
    <w:rsid w:val="005F3CBF"/>
    <w:rsid w:val="005F3E3F"/>
    <w:rsid w:val="005F51E5"/>
    <w:rsid w:val="005F5753"/>
    <w:rsid w:val="00600796"/>
    <w:rsid w:val="00601CC6"/>
    <w:rsid w:val="00602131"/>
    <w:rsid w:val="00602F02"/>
    <w:rsid w:val="00603EF9"/>
    <w:rsid w:val="0060446F"/>
    <w:rsid w:val="006046C6"/>
    <w:rsid w:val="006058F7"/>
    <w:rsid w:val="00605E73"/>
    <w:rsid w:val="00606321"/>
    <w:rsid w:val="006068A8"/>
    <w:rsid w:val="00606B35"/>
    <w:rsid w:val="0060719C"/>
    <w:rsid w:val="00610A0E"/>
    <w:rsid w:val="00610A66"/>
    <w:rsid w:val="00610AFC"/>
    <w:rsid w:val="00610B36"/>
    <w:rsid w:val="006124D4"/>
    <w:rsid w:val="006127C0"/>
    <w:rsid w:val="00613E42"/>
    <w:rsid w:val="00614A2B"/>
    <w:rsid w:val="00614B43"/>
    <w:rsid w:val="00615405"/>
    <w:rsid w:val="006168DD"/>
    <w:rsid w:val="00616C04"/>
    <w:rsid w:val="0062003E"/>
    <w:rsid w:val="00620D7A"/>
    <w:rsid w:val="006213FA"/>
    <w:rsid w:val="006218BF"/>
    <w:rsid w:val="00622094"/>
    <w:rsid w:val="00622CD4"/>
    <w:rsid w:val="00623352"/>
    <w:rsid w:val="0062370B"/>
    <w:rsid w:val="00623833"/>
    <w:rsid w:val="00623B80"/>
    <w:rsid w:val="006263A3"/>
    <w:rsid w:val="006265D0"/>
    <w:rsid w:val="00626902"/>
    <w:rsid w:val="00626DDF"/>
    <w:rsid w:val="0062780B"/>
    <w:rsid w:val="006301CF"/>
    <w:rsid w:val="0063063E"/>
    <w:rsid w:val="00632466"/>
    <w:rsid w:val="006324DB"/>
    <w:rsid w:val="00633222"/>
    <w:rsid w:val="0063361C"/>
    <w:rsid w:val="006337D7"/>
    <w:rsid w:val="00635CE0"/>
    <w:rsid w:val="00635E42"/>
    <w:rsid w:val="00636A56"/>
    <w:rsid w:val="00636AF3"/>
    <w:rsid w:val="00636D83"/>
    <w:rsid w:val="00636DCA"/>
    <w:rsid w:val="006379CB"/>
    <w:rsid w:val="006418C9"/>
    <w:rsid w:val="006423BA"/>
    <w:rsid w:val="00642A0C"/>
    <w:rsid w:val="00643BF2"/>
    <w:rsid w:val="00645612"/>
    <w:rsid w:val="0064589C"/>
    <w:rsid w:val="00645A8C"/>
    <w:rsid w:val="00645EF7"/>
    <w:rsid w:val="00646773"/>
    <w:rsid w:val="00646AE7"/>
    <w:rsid w:val="006472D8"/>
    <w:rsid w:val="00650617"/>
    <w:rsid w:val="00650B44"/>
    <w:rsid w:val="006524FF"/>
    <w:rsid w:val="00653B6D"/>
    <w:rsid w:val="00654203"/>
    <w:rsid w:val="006551E7"/>
    <w:rsid w:val="00655CB3"/>
    <w:rsid w:val="00656D1C"/>
    <w:rsid w:val="00656E79"/>
    <w:rsid w:val="006570D3"/>
    <w:rsid w:val="00657C22"/>
    <w:rsid w:val="006610CA"/>
    <w:rsid w:val="00661BDA"/>
    <w:rsid w:val="00661E32"/>
    <w:rsid w:val="00661E45"/>
    <w:rsid w:val="00661F25"/>
    <w:rsid w:val="006626D2"/>
    <w:rsid w:val="00663306"/>
    <w:rsid w:val="0066352B"/>
    <w:rsid w:val="006649B4"/>
    <w:rsid w:val="00665C9A"/>
    <w:rsid w:val="00666650"/>
    <w:rsid w:val="00666D83"/>
    <w:rsid w:val="00667A38"/>
    <w:rsid w:val="0067002C"/>
    <w:rsid w:val="0067002D"/>
    <w:rsid w:val="00670A1B"/>
    <w:rsid w:val="006712B1"/>
    <w:rsid w:val="00672039"/>
    <w:rsid w:val="00672216"/>
    <w:rsid w:val="00672923"/>
    <w:rsid w:val="00672967"/>
    <w:rsid w:val="00672C13"/>
    <w:rsid w:val="0067486B"/>
    <w:rsid w:val="0067601F"/>
    <w:rsid w:val="00676673"/>
    <w:rsid w:val="00676F79"/>
    <w:rsid w:val="0067732D"/>
    <w:rsid w:val="006807A9"/>
    <w:rsid w:val="006818A2"/>
    <w:rsid w:val="00681E06"/>
    <w:rsid w:val="00682189"/>
    <w:rsid w:val="00682B3C"/>
    <w:rsid w:val="00683834"/>
    <w:rsid w:val="006839B7"/>
    <w:rsid w:val="00683E1D"/>
    <w:rsid w:val="00687B81"/>
    <w:rsid w:val="006912E7"/>
    <w:rsid w:val="00692006"/>
    <w:rsid w:val="00692277"/>
    <w:rsid w:val="00692551"/>
    <w:rsid w:val="006925E3"/>
    <w:rsid w:val="00693F6D"/>
    <w:rsid w:val="0069430C"/>
    <w:rsid w:val="00694776"/>
    <w:rsid w:val="00695278"/>
    <w:rsid w:val="00695B6C"/>
    <w:rsid w:val="00695E73"/>
    <w:rsid w:val="00696B38"/>
    <w:rsid w:val="006978C4"/>
    <w:rsid w:val="00697A0B"/>
    <w:rsid w:val="00697D9A"/>
    <w:rsid w:val="006A004F"/>
    <w:rsid w:val="006A015E"/>
    <w:rsid w:val="006A08DA"/>
    <w:rsid w:val="006A093A"/>
    <w:rsid w:val="006A2232"/>
    <w:rsid w:val="006A5FC1"/>
    <w:rsid w:val="006A6C0B"/>
    <w:rsid w:val="006A7120"/>
    <w:rsid w:val="006A7E43"/>
    <w:rsid w:val="006B0115"/>
    <w:rsid w:val="006B0401"/>
    <w:rsid w:val="006B0B46"/>
    <w:rsid w:val="006B152F"/>
    <w:rsid w:val="006B3B85"/>
    <w:rsid w:val="006B42AE"/>
    <w:rsid w:val="006B4303"/>
    <w:rsid w:val="006B58AC"/>
    <w:rsid w:val="006B6007"/>
    <w:rsid w:val="006B617F"/>
    <w:rsid w:val="006B71CB"/>
    <w:rsid w:val="006B7F20"/>
    <w:rsid w:val="006C01A6"/>
    <w:rsid w:val="006C024E"/>
    <w:rsid w:val="006C0F65"/>
    <w:rsid w:val="006C10FD"/>
    <w:rsid w:val="006C234A"/>
    <w:rsid w:val="006C3790"/>
    <w:rsid w:val="006C3802"/>
    <w:rsid w:val="006C4620"/>
    <w:rsid w:val="006C4F75"/>
    <w:rsid w:val="006C4F8F"/>
    <w:rsid w:val="006C57AB"/>
    <w:rsid w:val="006C5B60"/>
    <w:rsid w:val="006C62F6"/>
    <w:rsid w:val="006D07A1"/>
    <w:rsid w:val="006D0C96"/>
    <w:rsid w:val="006D0CBE"/>
    <w:rsid w:val="006D2522"/>
    <w:rsid w:val="006D3210"/>
    <w:rsid w:val="006D3AEE"/>
    <w:rsid w:val="006D45B5"/>
    <w:rsid w:val="006D54FB"/>
    <w:rsid w:val="006D5A52"/>
    <w:rsid w:val="006D6566"/>
    <w:rsid w:val="006D6A3F"/>
    <w:rsid w:val="006D7E47"/>
    <w:rsid w:val="006D7F4B"/>
    <w:rsid w:val="006E0AD1"/>
    <w:rsid w:val="006E2B5A"/>
    <w:rsid w:val="006E476B"/>
    <w:rsid w:val="006E4A12"/>
    <w:rsid w:val="006E4C4B"/>
    <w:rsid w:val="006E4F8F"/>
    <w:rsid w:val="006E630F"/>
    <w:rsid w:val="006E6335"/>
    <w:rsid w:val="006E7AD0"/>
    <w:rsid w:val="006E7F86"/>
    <w:rsid w:val="006F08EE"/>
    <w:rsid w:val="006F0A46"/>
    <w:rsid w:val="006F170B"/>
    <w:rsid w:val="006F3581"/>
    <w:rsid w:val="006F4053"/>
    <w:rsid w:val="006F68C5"/>
    <w:rsid w:val="006F763C"/>
    <w:rsid w:val="00700176"/>
    <w:rsid w:val="00700907"/>
    <w:rsid w:val="00700EBD"/>
    <w:rsid w:val="007013AE"/>
    <w:rsid w:val="00703E48"/>
    <w:rsid w:val="00706E6D"/>
    <w:rsid w:val="00707D71"/>
    <w:rsid w:val="00710197"/>
    <w:rsid w:val="00710306"/>
    <w:rsid w:val="0071079B"/>
    <w:rsid w:val="00713A65"/>
    <w:rsid w:val="0071475B"/>
    <w:rsid w:val="00714AE4"/>
    <w:rsid w:val="0071522B"/>
    <w:rsid w:val="00715469"/>
    <w:rsid w:val="00715BDA"/>
    <w:rsid w:val="00715C8A"/>
    <w:rsid w:val="0071670A"/>
    <w:rsid w:val="00717B78"/>
    <w:rsid w:val="007206FE"/>
    <w:rsid w:val="007209A1"/>
    <w:rsid w:val="00721245"/>
    <w:rsid w:val="00721872"/>
    <w:rsid w:val="00722B5F"/>
    <w:rsid w:val="00723080"/>
    <w:rsid w:val="00725641"/>
    <w:rsid w:val="00730172"/>
    <w:rsid w:val="007306EE"/>
    <w:rsid w:val="00730FBB"/>
    <w:rsid w:val="00731182"/>
    <w:rsid w:val="007326AB"/>
    <w:rsid w:val="007336B8"/>
    <w:rsid w:val="007346C4"/>
    <w:rsid w:val="00735F51"/>
    <w:rsid w:val="00736541"/>
    <w:rsid w:val="00736726"/>
    <w:rsid w:val="0073700A"/>
    <w:rsid w:val="0073748F"/>
    <w:rsid w:val="00737854"/>
    <w:rsid w:val="007419BA"/>
    <w:rsid w:val="007419C1"/>
    <w:rsid w:val="00742002"/>
    <w:rsid w:val="007421DA"/>
    <w:rsid w:val="00742B07"/>
    <w:rsid w:val="00742EFE"/>
    <w:rsid w:val="00743537"/>
    <w:rsid w:val="00743D66"/>
    <w:rsid w:val="00744C46"/>
    <w:rsid w:val="00744D6F"/>
    <w:rsid w:val="0074524D"/>
    <w:rsid w:val="00745EE5"/>
    <w:rsid w:val="007466B2"/>
    <w:rsid w:val="0074693A"/>
    <w:rsid w:val="00746B80"/>
    <w:rsid w:val="00746CBF"/>
    <w:rsid w:val="00747790"/>
    <w:rsid w:val="0075068F"/>
    <w:rsid w:val="007511B3"/>
    <w:rsid w:val="00751329"/>
    <w:rsid w:val="00751E9B"/>
    <w:rsid w:val="00752820"/>
    <w:rsid w:val="00752F86"/>
    <w:rsid w:val="0075394C"/>
    <w:rsid w:val="007551CC"/>
    <w:rsid w:val="00755DAC"/>
    <w:rsid w:val="007573EC"/>
    <w:rsid w:val="00760FDA"/>
    <w:rsid w:val="00761CD5"/>
    <w:rsid w:val="00761D59"/>
    <w:rsid w:val="00761E08"/>
    <w:rsid w:val="007628AD"/>
    <w:rsid w:val="00765941"/>
    <w:rsid w:val="00766783"/>
    <w:rsid w:val="007669CB"/>
    <w:rsid w:val="00770482"/>
    <w:rsid w:val="00772F8F"/>
    <w:rsid w:val="007739C1"/>
    <w:rsid w:val="00773B18"/>
    <w:rsid w:val="00774A30"/>
    <w:rsid w:val="00774D60"/>
    <w:rsid w:val="007755C9"/>
    <w:rsid w:val="00776918"/>
    <w:rsid w:val="0077691C"/>
    <w:rsid w:val="00776A32"/>
    <w:rsid w:val="00777D17"/>
    <w:rsid w:val="00782E42"/>
    <w:rsid w:val="007831A7"/>
    <w:rsid w:val="00784A92"/>
    <w:rsid w:val="007854F9"/>
    <w:rsid w:val="007855A8"/>
    <w:rsid w:val="0078635B"/>
    <w:rsid w:val="00787F56"/>
    <w:rsid w:val="007903C7"/>
    <w:rsid w:val="00791773"/>
    <w:rsid w:val="00791A7D"/>
    <w:rsid w:val="00791F57"/>
    <w:rsid w:val="00792243"/>
    <w:rsid w:val="00792FDA"/>
    <w:rsid w:val="00793469"/>
    <w:rsid w:val="00794175"/>
    <w:rsid w:val="00794A32"/>
    <w:rsid w:val="0079618E"/>
    <w:rsid w:val="007974C2"/>
    <w:rsid w:val="007A000F"/>
    <w:rsid w:val="007A01FE"/>
    <w:rsid w:val="007A0C25"/>
    <w:rsid w:val="007A1C1F"/>
    <w:rsid w:val="007A2081"/>
    <w:rsid w:val="007A2B3F"/>
    <w:rsid w:val="007A2ED4"/>
    <w:rsid w:val="007A3C25"/>
    <w:rsid w:val="007A3CB6"/>
    <w:rsid w:val="007A4871"/>
    <w:rsid w:val="007A5D5F"/>
    <w:rsid w:val="007A65DA"/>
    <w:rsid w:val="007B0510"/>
    <w:rsid w:val="007B0558"/>
    <w:rsid w:val="007B05BC"/>
    <w:rsid w:val="007B0880"/>
    <w:rsid w:val="007B0C3F"/>
    <w:rsid w:val="007B1E2E"/>
    <w:rsid w:val="007B2BC8"/>
    <w:rsid w:val="007B2EE4"/>
    <w:rsid w:val="007B456F"/>
    <w:rsid w:val="007B46D6"/>
    <w:rsid w:val="007B491C"/>
    <w:rsid w:val="007B4E6C"/>
    <w:rsid w:val="007B5015"/>
    <w:rsid w:val="007B519C"/>
    <w:rsid w:val="007B5725"/>
    <w:rsid w:val="007B60DF"/>
    <w:rsid w:val="007B650F"/>
    <w:rsid w:val="007B7514"/>
    <w:rsid w:val="007C0F75"/>
    <w:rsid w:val="007C0F98"/>
    <w:rsid w:val="007C1A78"/>
    <w:rsid w:val="007C1C37"/>
    <w:rsid w:val="007C2E3F"/>
    <w:rsid w:val="007C32BE"/>
    <w:rsid w:val="007C3FAA"/>
    <w:rsid w:val="007C4CB7"/>
    <w:rsid w:val="007C5377"/>
    <w:rsid w:val="007C5AD1"/>
    <w:rsid w:val="007C60B5"/>
    <w:rsid w:val="007C6AF9"/>
    <w:rsid w:val="007D031B"/>
    <w:rsid w:val="007D06D2"/>
    <w:rsid w:val="007D1787"/>
    <w:rsid w:val="007D1BA2"/>
    <w:rsid w:val="007D1D67"/>
    <w:rsid w:val="007D2A89"/>
    <w:rsid w:val="007D3C46"/>
    <w:rsid w:val="007D3C59"/>
    <w:rsid w:val="007D412A"/>
    <w:rsid w:val="007D4B58"/>
    <w:rsid w:val="007D53DB"/>
    <w:rsid w:val="007D5BDB"/>
    <w:rsid w:val="007D5C05"/>
    <w:rsid w:val="007D62FA"/>
    <w:rsid w:val="007D766F"/>
    <w:rsid w:val="007E11AE"/>
    <w:rsid w:val="007E2689"/>
    <w:rsid w:val="007E2835"/>
    <w:rsid w:val="007E5957"/>
    <w:rsid w:val="007E5993"/>
    <w:rsid w:val="007E5AE1"/>
    <w:rsid w:val="007E734B"/>
    <w:rsid w:val="007E7644"/>
    <w:rsid w:val="007F1844"/>
    <w:rsid w:val="007F19A9"/>
    <w:rsid w:val="007F1F92"/>
    <w:rsid w:val="007F2719"/>
    <w:rsid w:val="007F283C"/>
    <w:rsid w:val="007F2D5F"/>
    <w:rsid w:val="007F4A17"/>
    <w:rsid w:val="007F544A"/>
    <w:rsid w:val="007F59E2"/>
    <w:rsid w:val="007F7362"/>
    <w:rsid w:val="007F7483"/>
    <w:rsid w:val="007F7F97"/>
    <w:rsid w:val="00800754"/>
    <w:rsid w:val="00800B8A"/>
    <w:rsid w:val="008012C2"/>
    <w:rsid w:val="0080200F"/>
    <w:rsid w:val="00802C40"/>
    <w:rsid w:val="00802D46"/>
    <w:rsid w:val="00803BB4"/>
    <w:rsid w:val="00803C31"/>
    <w:rsid w:val="008041CA"/>
    <w:rsid w:val="00804AEA"/>
    <w:rsid w:val="008052B0"/>
    <w:rsid w:val="00805AF7"/>
    <w:rsid w:val="00806E69"/>
    <w:rsid w:val="008072C3"/>
    <w:rsid w:val="00807AAF"/>
    <w:rsid w:val="00807B8E"/>
    <w:rsid w:val="0081336A"/>
    <w:rsid w:val="008136B8"/>
    <w:rsid w:val="0081594D"/>
    <w:rsid w:val="00815A1F"/>
    <w:rsid w:val="00815FB7"/>
    <w:rsid w:val="00816198"/>
    <w:rsid w:val="00816332"/>
    <w:rsid w:val="00816771"/>
    <w:rsid w:val="008202C2"/>
    <w:rsid w:val="008206E6"/>
    <w:rsid w:val="00820B58"/>
    <w:rsid w:val="00820C2F"/>
    <w:rsid w:val="00822105"/>
    <w:rsid w:val="00825553"/>
    <w:rsid w:val="0082640D"/>
    <w:rsid w:val="008273EA"/>
    <w:rsid w:val="008277D6"/>
    <w:rsid w:val="008310D1"/>
    <w:rsid w:val="008315BD"/>
    <w:rsid w:val="00831A96"/>
    <w:rsid w:val="00832534"/>
    <w:rsid w:val="00832DB0"/>
    <w:rsid w:val="00832FD1"/>
    <w:rsid w:val="00834918"/>
    <w:rsid w:val="00835B6D"/>
    <w:rsid w:val="00836C2B"/>
    <w:rsid w:val="00837511"/>
    <w:rsid w:val="008377D9"/>
    <w:rsid w:val="00841637"/>
    <w:rsid w:val="0084236D"/>
    <w:rsid w:val="008423B9"/>
    <w:rsid w:val="00842AC0"/>
    <w:rsid w:val="00842D3A"/>
    <w:rsid w:val="00843B69"/>
    <w:rsid w:val="00844059"/>
    <w:rsid w:val="00844337"/>
    <w:rsid w:val="00844502"/>
    <w:rsid w:val="00845176"/>
    <w:rsid w:val="00845DFB"/>
    <w:rsid w:val="00847F45"/>
    <w:rsid w:val="00851132"/>
    <w:rsid w:val="0085122A"/>
    <w:rsid w:val="008513A3"/>
    <w:rsid w:val="00851D15"/>
    <w:rsid w:val="00851D24"/>
    <w:rsid w:val="0085291F"/>
    <w:rsid w:val="008547C2"/>
    <w:rsid w:val="00854C8D"/>
    <w:rsid w:val="00854DFE"/>
    <w:rsid w:val="00854EC1"/>
    <w:rsid w:val="00856BCD"/>
    <w:rsid w:val="00856EFB"/>
    <w:rsid w:val="00860818"/>
    <w:rsid w:val="0086084A"/>
    <w:rsid w:val="00860F96"/>
    <w:rsid w:val="00861F1A"/>
    <w:rsid w:val="00862525"/>
    <w:rsid w:val="008625E9"/>
    <w:rsid w:val="00862D38"/>
    <w:rsid w:val="00862FEA"/>
    <w:rsid w:val="00863001"/>
    <w:rsid w:val="008638BD"/>
    <w:rsid w:val="008646DB"/>
    <w:rsid w:val="00864B73"/>
    <w:rsid w:val="00866361"/>
    <w:rsid w:val="00866B09"/>
    <w:rsid w:val="008679F3"/>
    <w:rsid w:val="00867AF0"/>
    <w:rsid w:val="0087037B"/>
    <w:rsid w:val="00873132"/>
    <w:rsid w:val="0087468E"/>
    <w:rsid w:val="00874EF1"/>
    <w:rsid w:val="008751C9"/>
    <w:rsid w:val="00875717"/>
    <w:rsid w:val="00876D6D"/>
    <w:rsid w:val="008774BD"/>
    <w:rsid w:val="00880170"/>
    <w:rsid w:val="00880AE0"/>
    <w:rsid w:val="00880B91"/>
    <w:rsid w:val="00880E28"/>
    <w:rsid w:val="0088223B"/>
    <w:rsid w:val="0088282F"/>
    <w:rsid w:val="00883658"/>
    <w:rsid w:val="00883E2C"/>
    <w:rsid w:val="008849FD"/>
    <w:rsid w:val="0088580C"/>
    <w:rsid w:val="00885E79"/>
    <w:rsid w:val="00885EDB"/>
    <w:rsid w:val="00886EED"/>
    <w:rsid w:val="00887DFC"/>
    <w:rsid w:val="00887F4A"/>
    <w:rsid w:val="00890A84"/>
    <w:rsid w:val="0089119B"/>
    <w:rsid w:val="00891AF7"/>
    <w:rsid w:val="008931F6"/>
    <w:rsid w:val="00893564"/>
    <w:rsid w:val="008963F6"/>
    <w:rsid w:val="00896894"/>
    <w:rsid w:val="00896FFD"/>
    <w:rsid w:val="008979F5"/>
    <w:rsid w:val="008A0E54"/>
    <w:rsid w:val="008A13B5"/>
    <w:rsid w:val="008A166F"/>
    <w:rsid w:val="008A195B"/>
    <w:rsid w:val="008A24F5"/>
    <w:rsid w:val="008A2854"/>
    <w:rsid w:val="008A2D2F"/>
    <w:rsid w:val="008A2E49"/>
    <w:rsid w:val="008A304A"/>
    <w:rsid w:val="008A327F"/>
    <w:rsid w:val="008A3F6B"/>
    <w:rsid w:val="008A509D"/>
    <w:rsid w:val="008A59F5"/>
    <w:rsid w:val="008A5F3B"/>
    <w:rsid w:val="008A61BB"/>
    <w:rsid w:val="008A6637"/>
    <w:rsid w:val="008A6E50"/>
    <w:rsid w:val="008A6FC9"/>
    <w:rsid w:val="008A75BE"/>
    <w:rsid w:val="008B0078"/>
    <w:rsid w:val="008B0A3E"/>
    <w:rsid w:val="008B0E68"/>
    <w:rsid w:val="008B1AB1"/>
    <w:rsid w:val="008B35A1"/>
    <w:rsid w:val="008B4943"/>
    <w:rsid w:val="008B4A91"/>
    <w:rsid w:val="008B4E62"/>
    <w:rsid w:val="008B65DE"/>
    <w:rsid w:val="008B6904"/>
    <w:rsid w:val="008B758F"/>
    <w:rsid w:val="008B7683"/>
    <w:rsid w:val="008C1721"/>
    <w:rsid w:val="008C1AF9"/>
    <w:rsid w:val="008C1E04"/>
    <w:rsid w:val="008C2487"/>
    <w:rsid w:val="008C2A72"/>
    <w:rsid w:val="008C314E"/>
    <w:rsid w:val="008C418C"/>
    <w:rsid w:val="008C4606"/>
    <w:rsid w:val="008C51BA"/>
    <w:rsid w:val="008C522C"/>
    <w:rsid w:val="008C558B"/>
    <w:rsid w:val="008C5F50"/>
    <w:rsid w:val="008C7C57"/>
    <w:rsid w:val="008C7CF9"/>
    <w:rsid w:val="008C7E0F"/>
    <w:rsid w:val="008D0007"/>
    <w:rsid w:val="008D03A8"/>
    <w:rsid w:val="008D0762"/>
    <w:rsid w:val="008D0FB6"/>
    <w:rsid w:val="008D0FEB"/>
    <w:rsid w:val="008D1420"/>
    <w:rsid w:val="008D146A"/>
    <w:rsid w:val="008D16EA"/>
    <w:rsid w:val="008D3E5B"/>
    <w:rsid w:val="008D412E"/>
    <w:rsid w:val="008D5110"/>
    <w:rsid w:val="008D51C6"/>
    <w:rsid w:val="008D589F"/>
    <w:rsid w:val="008D63DD"/>
    <w:rsid w:val="008D6D83"/>
    <w:rsid w:val="008D77BD"/>
    <w:rsid w:val="008E03AA"/>
    <w:rsid w:val="008E194F"/>
    <w:rsid w:val="008E1F91"/>
    <w:rsid w:val="008E2BFC"/>
    <w:rsid w:val="008E3AF1"/>
    <w:rsid w:val="008E4498"/>
    <w:rsid w:val="008E4C83"/>
    <w:rsid w:val="008E6267"/>
    <w:rsid w:val="008E709B"/>
    <w:rsid w:val="008F003A"/>
    <w:rsid w:val="008F0B73"/>
    <w:rsid w:val="008F2D33"/>
    <w:rsid w:val="008F34BB"/>
    <w:rsid w:val="008F5282"/>
    <w:rsid w:val="008F661C"/>
    <w:rsid w:val="008F706E"/>
    <w:rsid w:val="0090048C"/>
    <w:rsid w:val="00901306"/>
    <w:rsid w:val="00901CB9"/>
    <w:rsid w:val="00901DD3"/>
    <w:rsid w:val="00902B85"/>
    <w:rsid w:val="0090313E"/>
    <w:rsid w:val="00903A3A"/>
    <w:rsid w:val="00904952"/>
    <w:rsid w:val="00904E73"/>
    <w:rsid w:val="00905689"/>
    <w:rsid w:val="00905E2B"/>
    <w:rsid w:val="009062A4"/>
    <w:rsid w:val="0090659E"/>
    <w:rsid w:val="00906FCC"/>
    <w:rsid w:val="009077C7"/>
    <w:rsid w:val="00907D8D"/>
    <w:rsid w:val="00907F28"/>
    <w:rsid w:val="009103DC"/>
    <w:rsid w:val="00910EC9"/>
    <w:rsid w:val="00911826"/>
    <w:rsid w:val="00911DFB"/>
    <w:rsid w:val="00912A82"/>
    <w:rsid w:val="00913718"/>
    <w:rsid w:val="00913CA9"/>
    <w:rsid w:val="00914C11"/>
    <w:rsid w:val="009154B4"/>
    <w:rsid w:val="0091694C"/>
    <w:rsid w:val="00917901"/>
    <w:rsid w:val="009200E2"/>
    <w:rsid w:val="0092039C"/>
    <w:rsid w:val="0092132F"/>
    <w:rsid w:val="009220A6"/>
    <w:rsid w:val="009235D1"/>
    <w:rsid w:val="0092438E"/>
    <w:rsid w:val="00926698"/>
    <w:rsid w:val="00927071"/>
    <w:rsid w:val="00927247"/>
    <w:rsid w:val="00927AAC"/>
    <w:rsid w:val="00927F0B"/>
    <w:rsid w:val="00927FE5"/>
    <w:rsid w:val="009305B5"/>
    <w:rsid w:val="00931556"/>
    <w:rsid w:val="00931A12"/>
    <w:rsid w:val="0093222B"/>
    <w:rsid w:val="009323F8"/>
    <w:rsid w:val="00935105"/>
    <w:rsid w:val="00935194"/>
    <w:rsid w:val="00935D31"/>
    <w:rsid w:val="009367E5"/>
    <w:rsid w:val="009367FA"/>
    <w:rsid w:val="0093763C"/>
    <w:rsid w:val="00937716"/>
    <w:rsid w:val="00940097"/>
    <w:rsid w:val="00940A18"/>
    <w:rsid w:val="0094142D"/>
    <w:rsid w:val="009414C4"/>
    <w:rsid w:val="009414CD"/>
    <w:rsid w:val="00941FC8"/>
    <w:rsid w:val="00942709"/>
    <w:rsid w:val="009432BD"/>
    <w:rsid w:val="00943C5F"/>
    <w:rsid w:val="0094464A"/>
    <w:rsid w:val="00946962"/>
    <w:rsid w:val="00946A18"/>
    <w:rsid w:val="00946AEE"/>
    <w:rsid w:val="009479D8"/>
    <w:rsid w:val="00952163"/>
    <w:rsid w:val="00952846"/>
    <w:rsid w:val="00953922"/>
    <w:rsid w:val="009546F1"/>
    <w:rsid w:val="009557B7"/>
    <w:rsid w:val="009609E7"/>
    <w:rsid w:val="009612E0"/>
    <w:rsid w:val="00961D5B"/>
    <w:rsid w:val="00961F9D"/>
    <w:rsid w:val="009625C4"/>
    <w:rsid w:val="009628C6"/>
    <w:rsid w:val="00962F44"/>
    <w:rsid w:val="00963633"/>
    <w:rsid w:val="00963923"/>
    <w:rsid w:val="00966306"/>
    <w:rsid w:val="00967F26"/>
    <w:rsid w:val="00967FFE"/>
    <w:rsid w:val="00970277"/>
    <w:rsid w:val="00970BEA"/>
    <w:rsid w:val="00970C36"/>
    <w:rsid w:val="00970E35"/>
    <w:rsid w:val="00970EC7"/>
    <w:rsid w:val="0097185C"/>
    <w:rsid w:val="009740B7"/>
    <w:rsid w:val="00974540"/>
    <w:rsid w:val="00974993"/>
    <w:rsid w:val="00974F3C"/>
    <w:rsid w:val="00975A41"/>
    <w:rsid w:val="00976051"/>
    <w:rsid w:val="00976A2E"/>
    <w:rsid w:val="00976CD4"/>
    <w:rsid w:val="00976FC0"/>
    <w:rsid w:val="0097705A"/>
    <w:rsid w:val="00977556"/>
    <w:rsid w:val="0097755B"/>
    <w:rsid w:val="009779DB"/>
    <w:rsid w:val="009805A7"/>
    <w:rsid w:val="0098299A"/>
    <w:rsid w:val="00983379"/>
    <w:rsid w:val="009839DF"/>
    <w:rsid w:val="00983C37"/>
    <w:rsid w:val="0098725C"/>
    <w:rsid w:val="00991492"/>
    <w:rsid w:val="00991851"/>
    <w:rsid w:val="00992925"/>
    <w:rsid w:val="00992E36"/>
    <w:rsid w:val="0099605F"/>
    <w:rsid w:val="00996364"/>
    <w:rsid w:val="009A0DE9"/>
    <w:rsid w:val="009A1909"/>
    <w:rsid w:val="009A196A"/>
    <w:rsid w:val="009A2669"/>
    <w:rsid w:val="009A2FFC"/>
    <w:rsid w:val="009A3799"/>
    <w:rsid w:val="009A37D2"/>
    <w:rsid w:val="009A384E"/>
    <w:rsid w:val="009A39E6"/>
    <w:rsid w:val="009A3F22"/>
    <w:rsid w:val="009A3F2C"/>
    <w:rsid w:val="009A4F1C"/>
    <w:rsid w:val="009A505C"/>
    <w:rsid w:val="009A5577"/>
    <w:rsid w:val="009A590D"/>
    <w:rsid w:val="009A6742"/>
    <w:rsid w:val="009A69E6"/>
    <w:rsid w:val="009A724C"/>
    <w:rsid w:val="009A7610"/>
    <w:rsid w:val="009A769C"/>
    <w:rsid w:val="009A7B6C"/>
    <w:rsid w:val="009B0109"/>
    <w:rsid w:val="009B047F"/>
    <w:rsid w:val="009B0DA8"/>
    <w:rsid w:val="009B1658"/>
    <w:rsid w:val="009B24C7"/>
    <w:rsid w:val="009B2FA6"/>
    <w:rsid w:val="009B3561"/>
    <w:rsid w:val="009B47F4"/>
    <w:rsid w:val="009B568C"/>
    <w:rsid w:val="009B5EE4"/>
    <w:rsid w:val="009B6B1C"/>
    <w:rsid w:val="009B707C"/>
    <w:rsid w:val="009B7D8E"/>
    <w:rsid w:val="009C00AA"/>
    <w:rsid w:val="009C0CD1"/>
    <w:rsid w:val="009C1DCE"/>
    <w:rsid w:val="009C3EC9"/>
    <w:rsid w:val="009C43FC"/>
    <w:rsid w:val="009C4930"/>
    <w:rsid w:val="009C4BFF"/>
    <w:rsid w:val="009C4F97"/>
    <w:rsid w:val="009C55A7"/>
    <w:rsid w:val="009C7DC7"/>
    <w:rsid w:val="009D053E"/>
    <w:rsid w:val="009D2CB7"/>
    <w:rsid w:val="009D2DFD"/>
    <w:rsid w:val="009D30EE"/>
    <w:rsid w:val="009D392A"/>
    <w:rsid w:val="009D4295"/>
    <w:rsid w:val="009D430B"/>
    <w:rsid w:val="009D4F49"/>
    <w:rsid w:val="009D559D"/>
    <w:rsid w:val="009D5F54"/>
    <w:rsid w:val="009D6091"/>
    <w:rsid w:val="009D6380"/>
    <w:rsid w:val="009D7509"/>
    <w:rsid w:val="009E0684"/>
    <w:rsid w:val="009E147B"/>
    <w:rsid w:val="009E1A4D"/>
    <w:rsid w:val="009E457D"/>
    <w:rsid w:val="009E48A0"/>
    <w:rsid w:val="009E5002"/>
    <w:rsid w:val="009E50B4"/>
    <w:rsid w:val="009E7033"/>
    <w:rsid w:val="009E7427"/>
    <w:rsid w:val="009E79FF"/>
    <w:rsid w:val="009E7C7E"/>
    <w:rsid w:val="009F13A8"/>
    <w:rsid w:val="009F1613"/>
    <w:rsid w:val="009F195E"/>
    <w:rsid w:val="009F3A13"/>
    <w:rsid w:val="009F4782"/>
    <w:rsid w:val="009F4939"/>
    <w:rsid w:val="009F4D3B"/>
    <w:rsid w:val="009F4EAC"/>
    <w:rsid w:val="009F500D"/>
    <w:rsid w:val="009F5A27"/>
    <w:rsid w:val="009F7785"/>
    <w:rsid w:val="00A019DF"/>
    <w:rsid w:val="00A02DFA"/>
    <w:rsid w:val="00A03821"/>
    <w:rsid w:val="00A04A0C"/>
    <w:rsid w:val="00A07024"/>
    <w:rsid w:val="00A105FB"/>
    <w:rsid w:val="00A10716"/>
    <w:rsid w:val="00A12473"/>
    <w:rsid w:val="00A124C7"/>
    <w:rsid w:val="00A12548"/>
    <w:rsid w:val="00A12ABC"/>
    <w:rsid w:val="00A15431"/>
    <w:rsid w:val="00A16089"/>
    <w:rsid w:val="00A16E54"/>
    <w:rsid w:val="00A1778B"/>
    <w:rsid w:val="00A17D69"/>
    <w:rsid w:val="00A17DAD"/>
    <w:rsid w:val="00A20449"/>
    <w:rsid w:val="00A217EB"/>
    <w:rsid w:val="00A21C49"/>
    <w:rsid w:val="00A22C2E"/>
    <w:rsid w:val="00A236A9"/>
    <w:rsid w:val="00A23E0D"/>
    <w:rsid w:val="00A24CAD"/>
    <w:rsid w:val="00A26972"/>
    <w:rsid w:val="00A270E7"/>
    <w:rsid w:val="00A30230"/>
    <w:rsid w:val="00A30447"/>
    <w:rsid w:val="00A3139E"/>
    <w:rsid w:val="00A32304"/>
    <w:rsid w:val="00A3281A"/>
    <w:rsid w:val="00A329F0"/>
    <w:rsid w:val="00A32AD4"/>
    <w:rsid w:val="00A32F3B"/>
    <w:rsid w:val="00A340F5"/>
    <w:rsid w:val="00A341A0"/>
    <w:rsid w:val="00A362DF"/>
    <w:rsid w:val="00A3659E"/>
    <w:rsid w:val="00A366B4"/>
    <w:rsid w:val="00A371E5"/>
    <w:rsid w:val="00A4066C"/>
    <w:rsid w:val="00A40899"/>
    <w:rsid w:val="00A4130D"/>
    <w:rsid w:val="00A416E6"/>
    <w:rsid w:val="00A41844"/>
    <w:rsid w:val="00A4217D"/>
    <w:rsid w:val="00A42D57"/>
    <w:rsid w:val="00A44556"/>
    <w:rsid w:val="00A45C11"/>
    <w:rsid w:val="00A469D1"/>
    <w:rsid w:val="00A472ED"/>
    <w:rsid w:val="00A47B0C"/>
    <w:rsid w:val="00A50612"/>
    <w:rsid w:val="00A506D4"/>
    <w:rsid w:val="00A50D61"/>
    <w:rsid w:val="00A52331"/>
    <w:rsid w:val="00A53015"/>
    <w:rsid w:val="00A5337D"/>
    <w:rsid w:val="00A53B10"/>
    <w:rsid w:val="00A565BD"/>
    <w:rsid w:val="00A578FD"/>
    <w:rsid w:val="00A57F30"/>
    <w:rsid w:val="00A60B50"/>
    <w:rsid w:val="00A61DD1"/>
    <w:rsid w:val="00A63382"/>
    <w:rsid w:val="00A6341A"/>
    <w:rsid w:val="00A63F4D"/>
    <w:rsid w:val="00A644C7"/>
    <w:rsid w:val="00A6526B"/>
    <w:rsid w:val="00A6559E"/>
    <w:rsid w:val="00A65967"/>
    <w:rsid w:val="00A6619C"/>
    <w:rsid w:val="00A67509"/>
    <w:rsid w:val="00A67B99"/>
    <w:rsid w:val="00A701C1"/>
    <w:rsid w:val="00A709FE"/>
    <w:rsid w:val="00A70E0D"/>
    <w:rsid w:val="00A72EE0"/>
    <w:rsid w:val="00A73639"/>
    <w:rsid w:val="00A73791"/>
    <w:rsid w:val="00A74F22"/>
    <w:rsid w:val="00A75460"/>
    <w:rsid w:val="00A7669B"/>
    <w:rsid w:val="00A76BD7"/>
    <w:rsid w:val="00A76C09"/>
    <w:rsid w:val="00A77576"/>
    <w:rsid w:val="00A776C4"/>
    <w:rsid w:val="00A779AD"/>
    <w:rsid w:val="00A77AEA"/>
    <w:rsid w:val="00A77E88"/>
    <w:rsid w:val="00A80530"/>
    <w:rsid w:val="00A8270A"/>
    <w:rsid w:val="00A828D8"/>
    <w:rsid w:val="00A83A84"/>
    <w:rsid w:val="00A851D9"/>
    <w:rsid w:val="00A85851"/>
    <w:rsid w:val="00A85D5B"/>
    <w:rsid w:val="00A85F80"/>
    <w:rsid w:val="00A86959"/>
    <w:rsid w:val="00A8740B"/>
    <w:rsid w:val="00A8759F"/>
    <w:rsid w:val="00A87B84"/>
    <w:rsid w:val="00A87E06"/>
    <w:rsid w:val="00A90B58"/>
    <w:rsid w:val="00A9154E"/>
    <w:rsid w:val="00A91A29"/>
    <w:rsid w:val="00A91ACE"/>
    <w:rsid w:val="00A93297"/>
    <w:rsid w:val="00A942F7"/>
    <w:rsid w:val="00A962A8"/>
    <w:rsid w:val="00A97314"/>
    <w:rsid w:val="00A97594"/>
    <w:rsid w:val="00A976AE"/>
    <w:rsid w:val="00AA0012"/>
    <w:rsid w:val="00AA0907"/>
    <w:rsid w:val="00AA1AE4"/>
    <w:rsid w:val="00AA3F57"/>
    <w:rsid w:val="00AA4047"/>
    <w:rsid w:val="00AA40FB"/>
    <w:rsid w:val="00AA44AD"/>
    <w:rsid w:val="00AA4633"/>
    <w:rsid w:val="00AA5BA9"/>
    <w:rsid w:val="00AA7645"/>
    <w:rsid w:val="00AB1631"/>
    <w:rsid w:val="00AB215C"/>
    <w:rsid w:val="00AB2351"/>
    <w:rsid w:val="00AB3D05"/>
    <w:rsid w:val="00AB4BCD"/>
    <w:rsid w:val="00AB4E63"/>
    <w:rsid w:val="00AB6CA9"/>
    <w:rsid w:val="00AB7E45"/>
    <w:rsid w:val="00AB7FFE"/>
    <w:rsid w:val="00AC28C8"/>
    <w:rsid w:val="00AC2CA5"/>
    <w:rsid w:val="00AC3506"/>
    <w:rsid w:val="00AC4158"/>
    <w:rsid w:val="00AC4CAB"/>
    <w:rsid w:val="00AC4F1F"/>
    <w:rsid w:val="00AC5412"/>
    <w:rsid w:val="00AC5E4C"/>
    <w:rsid w:val="00AC6478"/>
    <w:rsid w:val="00AC6F99"/>
    <w:rsid w:val="00AC76A3"/>
    <w:rsid w:val="00AC7CA4"/>
    <w:rsid w:val="00AC7D88"/>
    <w:rsid w:val="00AD0945"/>
    <w:rsid w:val="00AD0A98"/>
    <w:rsid w:val="00AD1028"/>
    <w:rsid w:val="00AD1AB4"/>
    <w:rsid w:val="00AD21E5"/>
    <w:rsid w:val="00AD2959"/>
    <w:rsid w:val="00AD32DE"/>
    <w:rsid w:val="00AD66F6"/>
    <w:rsid w:val="00AD7A24"/>
    <w:rsid w:val="00AE0B0B"/>
    <w:rsid w:val="00AE1152"/>
    <w:rsid w:val="00AE1B7B"/>
    <w:rsid w:val="00AE22EF"/>
    <w:rsid w:val="00AE2E3E"/>
    <w:rsid w:val="00AE3271"/>
    <w:rsid w:val="00AE48EB"/>
    <w:rsid w:val="00AE4CFD"/>
    <w:rsid w:val="00AE5203"/>
    <w:rsid w:val="00AE564D"/>
    <w:rsid w:val="00AE706E"/>
    <w:rsid w:val="00AE71D2"/>
    <w:rsid w:val="00AE7DAF"/>
    <w:rsid w:val="00AF0274"/>
    <w:rsid w:val="00AF03CF"/>
    <w:rsid w:val="00AF22B4"/>
    <w:rsid w:val="00AF2A3E"/>
    <w:rsid w:val="00AF3E32"/>
    <w:rsid w:val="00AF3E7F"/>
    <w:rsid w:val="00AF418F"/>
    <w:rsid w:val="00AF45A8"/>
    <w:rsid w:val="00AF5961"/>
    <w:rsid w:val="00AF6B1D"/>
    <w:rsid w:val="00AF7202"/>
    <w:rsid w:val="00AF75AC"/>
    <w:rsid w:val="00B005B7"/>
    <w:rsid w:val="00B00A6C"/>
    <w:rsid w:val="00B00EA9"/>
    <w:rsid w:val="00B00FB1"/>
    <w:rsid w:val="00B01036"/>
    <w:rsid w:val="00B0159F"/>
    <w:rsid w:val="00B017F8"/>
    <w:rsid w:val="00B023D5"/>
    <w:rsid w:val="00B0340B"/>
    <w:rsid w:val="00B04D24"/>
    <w:rsid w:val="00B05C87"/>
    <w:rsid w:val="00B0634D"/>
    <w:rsid w:val="00B0686F"/>
    <w:rsid w:val="00B07FF9"/>
    <w:rsid w:val="00B10114"/>
    <w:rsid w:val="00B110CF"/>
    <w:rsid w:val="00B11432"/>
    <w:rsid w:val="00B11E38"/>
    <w:rsid w:val="00B1203F"/>
    <w:rsid w:val="00B127F6"/>
    <w:rsid w:val="00B12B9D"/>
    <w:rsid w:val="00B15B13"/>
    <w:rsid w:val="00B15B34"/>
    <w:rsid w:val="00B15C3B"/>
    <w:rsid w:val="00B17154"/>
    <w:rsid w:val="00B17516"/>
    <w:rsid w:val="00B175D0"/>
    <w:rsid w:val="00B177A2"/>
    <w:rsid w:val="00B1791E"/>
    <w:rsid w:val="00B21793"/>
    <w:rsid w:val="00B21B98"/>
    <w:rsid w:val="00B24F18"/>
    <w:rsid w:val="00B25E4C"/>
    <w:rsid w:val="00B266D6"/>
    <w:rsid w:val="00B26A1E"/>
    <w:rsid w:val="00B27890"/>
    <w:rsid w:val="00B27A00"/>
    <w:rsid w:val="00B27E87"/>
    <w:rsid w:val="00B31F87"/>
    <w:rsid w:val="00B33517"/>
    <w:rsid w:val="00B340B4"/>
    <w:rsid w:val="00B34B1B"/>
    <w:rsid w:val="00B35F59"/>
    <w:rsid w:val="00B361D3"/>
    <w:rsid w:val="00B36402"/>
    <w:rsid w:val="00B37B77"/>
    <w:rsid w:val="00B418F5"/>
    <w:rsid w:val="00B419B3"/>
    <w:rsid w:val="00B42453"/>
    <w:rsid w:val="00B434FC"/>
    <w:rsid w:val="00B43723"/>
    <w:rsid w:val="00B450E6"/>
    <w:rsid w:val="00B45DE7"/>
    <w:rsid w:val="00B46356"/>
    <w:rsid w:val="00B470F3"/>
    <w:rsid w:val="00B4713E"/>
    <w:rsid w:val="00B47548"/>
    <w:rsid w:val="00B513F5"/>
    <w:rsid w:val="00B51995"/>
    <w:rsid w:val="00B519FF"/>
    <w:rsid w:val="00B51BEE"/>
    <w:rsid w:val="00B520A9"/>
    <w:rsid w:val="00B5295B"/>
    <w:rsid w:val="00B533C2"/>
    <w:rsid w:val="00B53DF9"/>
    <w:rsid w:val="00B53F0E"/>
    <w:rsid w:val="00B56813"/>
    <w:rsid w:val="00B56920"/>
    <w:rsid w:val="00B56D4F"/>
    <w:rsid w:val="00B5752E"/>
    <w:rsid w:val="00B57A27"/>
    <w:rsid w:val="00B60E70"/>
    <w:rsid w:val="00B61465"/>
    <w:rsid w:val="00B61C12"/>
    <w:rsid w:val="00B62011"/>
    <w:rsid w:val="00B62746"/>
    <w:rsid w:val="00B63B27"/>
    <w:rsid w:val="00B64C5B"/>
    <w:rsid w:val="00B64D13"/>
    <w:rsid w:val="00B65464"/>
    <w:rsid w:val="00B65C76"/>
    <w:rsid w:val="00B66197"/>
    <w:rsid w:val="00B66A67"/>
    <w:rsid w:val="00B67365"/>
    <w:rsid w:val="00B67B8D"/>
    <w:rsid w:val="00B67ECE"/>
    <w:rsid w:val="00B70403"/>
    <w:rsid w:val="00B70860"/>
    <w:rsid w:val="00B717A2"/>
    <w:rsid w:val="00B71D23"/>
    <w:rsid w:val="00B748D4"/>
    <w:rsid w:val="00B770E4"/>
    <w:rsid w:val="00B8092E"/>
    <w:rsid w:val="00B816D3"/>
    <w:rsid w:val="00B82142"/>
    <w:rsid w:val="00B82C0B"/>
    <w:rsid w:val="00B833AA"/>
    <w:rsid w:val="00B84780"/>
    <w:rsid w:val="00B84B53"/>
    <w:rsid w:val="00B8607E"/>
    <w:rsid w:val="00B87965"/>
    <w:rsid w:val="00B8797A"/>
    <w:rsid w:val="00B90724"/>
    <w:rsid w:val="00B90AB3"/>
    <w:rsid w:val="00B90FF4"/>
    <w:rsid w:val="00B912A6"/>
    <w:rsid w:val="00B91732"/>
    <w:rsid w:val="00B91D3D"/>
    <w:rsid w:val="00B92004"/>
    <w:rsid w:val="00B9434A"/>
    <w:rsid w:val="00B94E20"/>
    <w:rsid w:val="00B95EBE"/>
    <w:rsid w:val="00B960E3"/>
    <w:rsid w:val="00B9621B"/>
    <w:rsid w:val="00B97838"/>
    <w:rsid w:val="00B97A86"/>
    <w:rsid w:val="00BA0881"/>
    <w:rsid w:val="00BA38CC"/>
    <w:rsid w:val="00BA3D85"/>
    <w:rsid w:val="00BA453E"/>
    <w:rsid w:val="00BA48ED"/>
    <w:rsid w:val="00BA565D"/>
    <w:rsid w:val="00BA675D"/>
    <w:rsid w:val="00BA6FEB"/>
    <w:rsid w:val="00BA73D2"/>
    <w:rsid w:val="00BB135F"/>
    <w:rsid w:val="00BB393C"/>
    <w:rsid w:val="00BB3F1C"/>
    <w:rsid w:val="00BB60BB"/>
    <w:rsid w:val="00BB63FC"/>
    <w:rsid w:val="00BB691D"/>
    <w:rsid w:val="00BB7C29"/>
    <w:rsid w:val="00BC019F"/>
    <w:rsid w:val="00BC05D9"/>
    <w:rsid w:val="00BC0A8F"/>
    <w:rsid w:val="00BC1355"/>
    <w:rsid w:val="00BC2BAB"/>
    <w:rsid w:val="00BC3722"/>
    <w:rsid w:val="00BC5BC0"/>
    <w:rsid w:val="00BC65C9"/>
    <w:rsid w:val="00BC7450"/>
    <w:rsid w:val="00BC79A5"/>
    <w:rsid w:val="00BC7A5E"/>
    <w:rsid w:val="00BD002B"/>
    <w:rsid w:val="00BD2306"/>
    <w:rsid w:val="00BD27CD"/>
    <w:rsid w:val="00BD5593"/>
    <w:rsid w:val="00BD6155"/>
    <w:rsid w:val="00BD6B8E"/>
    <w:rsid w:val="00BE1782"/>
    <w:rsid w:val="00BE1C45"/>
    <w:rsid w:val="00BE1D74"/>
    <w:rsid w:val="00BE29AD"/>
    <w:rsid w:val="00BE3016"/>
    <w:rsid w:val="00BE35A6"/>
    <w:rsid w:val="00BE383B"/>
    <w:rsid w:val="00BE4053"/>
    <w:rsid w:val="00BE41F9"/>
    <w:rsid w:val="00BE5409"/>
    <w:rsid w:val="00BE5D5A"/>
    <w:rsid w:val="00BE5E4D"/>
    <w:rsid w:val="00BE66DD"/>
    <w:rsid w:val="00BE69EC"/>
    <w:rsid w:val="00BE7FCF"/>
    <w:rsid w:val="00BF0761"/>
    <w:rsid w:val="00BF0F0E"/>
    <w:rsid w:val="00BF10E1"/>
    <w:rsid w:val="00BF14A1"/>
    <w:rsid w:val="00BF151C"/>
    <w:rsid w:val="00BF2526"/>
    <w:rsid w:val="00BF3900"/>
    <w:rsid w:val="00BF3D19"/>
    <w:rsid w:val="00BF3D76"/>
    <w:rsid w:val="00BF46FC"/>
    <w:rsid w:val="00BF50AD"/>
    <w:rsid w:val="00BF5D0A"/>
    <w:rsid w:val="00BF6121"/>
    <w:rsid w:val="00BF6B9A"/>
    <w:rsid w:val="00C00065"/>
    <w:rsid w:val="00C00224"/>
    <w:rsid w:val="00C00279"/>
    <w:rsid w:val="00C00C23"/>
    <w:rsid w:val="00C01D3E"/>
    <w:rsid w:val="00C023DD"/>
    <w:rsid w:val="00C0417A"/>
    <w:rsid w:val="00C04905"/>
    <w:rsid w:val="00C051C7"/>
    <w:rsid w:val="00C05327"/>
    <w:rsid w:val="00C07135"/>
    <w:rsid w:val="00C07136"/>
    <w:rsid w:val="00C108F0"/>
    <w:rsid w:val="00C10A47"/>
    <w:rsid w:val="00C10C59"/>
    <w:rsid w:val="00C12C38"/>
    <w:rsid w:val="00C12FC8"/>
    <w:rsid w:val="00C13652"/>
    <w:rsid w:val="00C13937"/>
    <w:rsid w:val="00C13A38"/>
    <w:rsid w:val="00C143BF"/>
    <w:rsid w:val="00C145BB"/>
    <w:rsid w:val="00C15475"/>
    <w:rsid w:val="00C15860"/>
    <w:rsid w:val="00C15F4E"/>
    <w:rsid w:val="00C168EF"/>
    <w:rsid w:val="00C21176"/>
    <w:rsid w:val="00C21A97"/>
    <w:rsid w:val="00C221CF"/>
    <w:rsid w:val="00C22B48"/>
    <w:rsid w:val="00C2325A"/>
    <w:rsid w:val="00C23A8B"/>
    <w:rsid w:val="00C2401E"/>
    <w:rsid w:val="00C24CE8"/>
    <w:rsid w:val="00C2527B"/>
    <w:rsid w:val="00C25A6B"/>
    <w:rsid w:val="00C27656"/>
    <w:rsid w:val="00C27880"/>
    <w:rsid w:val="00C32FAB"/>
    <w:rsid w:val="00C336AA"/>
    <w:rsid w:val="00C338CE"/>
    <w:rsid w:val="00C33D5E"/>
    <w:rsid w:val="00C34130"/>
    <w:rsid w:val="00C345BD"/>
    <w:rsid w:val="00C3466F"/>
    <w:rsid w:val="00C34E20"/>
    <w:rsid w:val="00C355B9"/>
    <w:rsid w:val="00C36445"/>
    <w:rsid w:val="00C36B28"/>
    <w:rsid w:val="00C36C47"/>
    <w:rsid w:val="00C3788C"/>
    <w:rsid w:val="00C37EC1"/>
    <w:rsid w:val="00C408D6"/>
    <w:rsid w:val="00C414C0"/>
    <w:rsid w:val="00C41E75"/>
    <w:rsid w:val="00C422DD"/>
    <w:rsid w:val="00C43AF8"/>
    <w:rsid w:val="00C44DB1"/>
    <w:rsid w:val="00C466DE"/>
    <w:rsid w:val="00C47696"/>
    <w:rsid w:val="00C47CB7"/>
    <w:rsid w:val="00C50160"/>
    <w:rsid w:val="00C5021E"/>
    <w:rsid w:val="00C50389"/>
    <w:rsid w:val="00C5045A"/>
    <w:rsid w:val="00C5106D"/>
    <w:rsid w:val="00C5144B"/>
    <w:rsid w:val="00C51B9D"/>
    <w:rsid w:val="00C520A1"/>
    <w:rsid w:val="00C524B9"/>
    <w:rsid w:val="00C5541F"/>
    <w:rsid w:val="00C56033"/>
    <w:rsid w:val="00C567D9"/>
    <w:rsid w:val="00C5790B"/>
    <w:rsid w:val="00C6042F"/>
    <w:rsid w:val="00C60C2A"/>
    <w:rsid w:val="00C60EAE"/>
    <w:rsid w:val="00C61805"/>
    <w:rsid w:val="00C61A7A"/>
    <w:rsid w:val="00C63054"/>
    <w:rsid w:val="00C6411C"/>
    <w:rsid w:val="00C64189"/>
    <w:rsid w:val="00C649A1"/>
    <w:rsid w:val="00C64BCB"/>
    <w:rsid w:val="00C64DDD"/>
    <w:rsid w:val="00C6548A"/>
    <w:rsid w:val="00C65721"/>
    <w:rsid w:val="00C66BE1"/>
    <w:rsid w:val="00C6718B"/>
    <w:rsid w:val="00C671F7"/>
    <w:rsid w:val="00C674C1"/>
    <w:rsid w:val="00C67E8B"/>
    <w:rsid w:val="00C67FF0"/>
    <w:rsid w:val="00C7067A"/>
    <w:rsid w:val="00C706AD"/>
    <w:rsid w:val="00C71032"/>
    <w:rsid w:val="00C71830"/>
    <w:rsid w:val="00C72E40"/>
    <w:rsid w:val="00C75B31"/>
    <w:rsid w:val="00C768DF"/>
    <w:rsid w:val="00C76ACB"/>
    <w:rsid w:val="00C76D57"/>
    <w:rsid w:val="00C80E47"/>
    <w:rsid w:val="00C8117C"/>
    <w:rsid w:val="00C81E97"/>
    <w:rsid w:val="00C82282"/>
    <w:rsid w:val="00C8347B"/>
    <w:rsid w:val="00C83A68"/>
    <w:rsid w:val="00C85C91"/>
    <w:rsid w:val="00C85E31"/>
    <w:rsid w:val="00C861E0"/>
    <w:rsid w:val="00C86D52"/>
    <w:rsid w:val="00C86D7E"/>
    <w:rsid w:val="00C87D2C"/>
    <w:rsid w:val="00C90309"/>
    <w:rsid w:val="00C91293"/>
    <w:rsid w:val="00C95987"/>
    <w:rsid w:val="00CA1158"/>
    <w:rsid w:val="00CA2B99"/>
    <w:rsid w:val="00CA2E10"/>
    <w:rsid w:val="00CA3CEE"/>
    <w:rsid w:val="00CA52CA"/>
    <w:rsid w:val="00CA5426"/>
    <w:rsid w:val="00CA5DC4"/>
    <w:rsid w:val="00CA6598"/>
    <w:rsid w:val="00CA693B"/>
    <w:rsid w:val="00CA711F"/>
    <w:rsid w:val="00CA7551"/>
    <w:rsid w:val="00CA7917"/>
    <w:rsid w:val="00CB0411"/>
    <w:rsid w:val="00CB1C5C"/>
    <w:rsid w:val="00CB2051"/>
    <w:rsid w:val="00CB2A31"/>
    <w:rsid w:val="00CB309F"/>
    <w:rsid w:val="00CB35A6"/>
    <w:rsid w:val="00CB561D"/>
    <w:rsid w:val="00CB5E64"/>
    <w:rsid w:val="00CB5F3C"/>
    <w:rsid w:val="00CB66FC"/>
    <w:rsid w:val="00CB762B"/>
    <w:rsid w:val="00CB7740"/>
    <w:rsid w:val="00CC00C8"/>
    <w:rsid w:val="00CC0115"/>
    <w:rsid w:val="00CC03AE"/>
    <w:rsid w:val="00CC0671"/>
    <w:rsid w:val="00CC100D"/>
    <w:rsid w:val="00CC2160"/>
    <w:rsid w:val="00CC2641"/>
    <w:rsid w:val="00CC3426"/>
    <w:rsid w:val="00CC377E"/>
    <w:rsid w:val="00CC4518"/>
    <w:rsid w:val="00CC5128"/>
    <w:rsid w:val="00CC6E6E"/>
    <w:rsid w:val="00CC6FDB"/>
    <w:rsid w:val="00CC73B4"/>
    <w:rsid w:val="00CD03F7"/>
    <w:rsid w:val="00CD22D0"/>
    <w:rsid w:val="00CD3591"/>
    <w:rsid w:val="00CD3747"/>
    <w:rsid w:val="00CD3B82"/>
    <w:rsid w:val="00CE2A9E"/>
    <w:rsid w:val="00CE4B9F"/>
    <w:rsid w:val="00CE4D65"/>
    <w:rsid w:val="00CE56F1"/>
    <w:rsid w:val="00CE59DD"/>
    <w:rsid w:val="00CE5E0F"/>
    <w:rsid w:val="00CE5F6B"/>
    <w:rsid w:val="00CE6AF2"/>
    <w:rsid w:val="00CE7779"/>
    <w:rsid w:val="00CF02C3"/>
    <w:rsid w:val="00CF229F"/>
    <w:rsid w:val="00CF34D9"/>
    <w:rsid w:val="00CF3ADF"/>
    <w:rsid w:val="00CF4C1F"/>
    <w:rsid w:val="00D00B5A"/>
    <w:rsid w:val="00D0150A"/>
    <w:rsid w:val="00D019BD"/>
    <w:rsid w:val="00D0227E"/>
    <w:rsid w:val="00D026E9"/>
    <w:rsid w:val="00D02774"/>
    <w:rsid w:val="00D03B95"/>
    <w:rsid w:val="00D0443C"/>
    <w:rsid w:val="00D0482C"/>
    <w:rsid w:val="00D0575F"/>
    <w:rsid w:val="00D05B5A"/>
    <w:rsid w:val="00D0695B"/>
    <w:rsid w:val="00D06B0D"/>
    <w:rsid w:val="00D07F19"/>
    <w:rsid w:val="00D1251C"/>
    <w:rsid w:val="00D135B7"/>
    <w:rsid w:val="00D1418C"/>
    <w:rsid w:val="00D14589"/>
    <w:rsid w:val="00D14BEA"/>
    <w:rsid w:val="00D15357"/>
    <w:rsid w:val="00D1546F"/>
    <w:rsid w:val="00D15642"/>
    <w:rsid w:val="00D15CDD"/>
    <w:rsid w:val="00D160BC"/>
    <w:rsid w:val="00D16EC1"/>
    <w:rsid w:val="00D22003"/>
    <w:rsid w:val="00D23F03"/>
    <w:rsid w:val="00D23F4A"/>
    <w:rsid w:val="00D24545"/>
    <w:rsid w:val="00D24BD3"/>
    <w:rsid w:val="00D25175"/>
    <w:rsid w:val="00D2542E"/>
    <w:rsid w:val="00D26172"/>
    <w:rsid w:val="00D30459"/>
    <w:rsid w:val="00D306B9"/>
    <w:rsid w:val="00D32092"/>
    <w:rsid w:val="00D326E7"/>
    <w:rsid w:val="00D32BC0"/>
    <w:rsid w:val="00D33256"/>
    <w:rsid w:val="00D3340C"/>
    <w:rsid w:val="00D334FA"/>
    <w:rsid w:val="00D335ED"/>
    <w:rsid w:val="00D33EB0"/>
    <w:rsid w:val="00D34579"/>
    <w:rsid w:val="00D3465D"/>
    <w:rsid w:val="00D34858"/>
    <w:rsid w:val="00D34CE7"/>
    <w:rsid w:val="00D34FA4"/>
    <w:rsid w:val="00D35454"/>
    <w:rsid w:val="00D356F6"/>
    <w:rsid w:val="00D357D1"/>
    <w:rsid w:val="00D35AAA"/>
    <w:rsid w:val="00D35F12"/>
    <w:rsid w:val="00D36150"/>
    <w:rsid w:val="00D36B70"/>
    <w:rsid w:val="00D375C8"/>
    <w:rsid w:val="00D37F6A"/>
    <w:rsid w:val="00D402C5"/>
    <w:rsid w:val="00D4046E"/>
    <w:rsid w:val="00D405C8"/>
    <w:rsid w:val="00D40D30"/>
    <w:rsid w:val="00D41916"/>
    <w:rsid w:val="00D41BBD"/>
    <w:rsid w:val="00D4298B"/>
    <w:rsid w:val="00D4313A"/>
    <w:rsid w:val="00D442E6"/>
    <w:rsid w:val="00D4440F"/>
    <w:rsid w:val="00D44480"/>
    <w:rsid w:val="00D446EE"/>
    <w:rsid w:val="00D457EB"/>
    <w:rsid w:val="00D45C71"/>
    <w:rsid w:val="00D47795"/>
    <w:rsid w:val="00D5046F"/>
    <w:rsid w:val="00D505AD"/>
    <w:rsid w:val="00D50BB4"/>
    <w:rsid w:val="00D5214F"/>
    <w:rsid w:val="00D5291E"/>
    <w:rsid w:val="00D5381C"/>
    <w:rsid w:val="00D53AAD"/>
    <w:rsid w:val="00D53C1A"/>
    <w:rsid w:val="00D54618"/>
    <w:rsid w:val="00D54DD8"/>
    <w:rsid w:val="00D56193"/>
    <w:rsid w:val="00D564A3"/>
    <w:rsid w:val="00D56835"/>
    <w:rsid w:val="00D57571"/>
    <w:rsid w:val="00D57E90"/>
    <w:rsid w:val="00D60AF7"/>
    <w:rsid w:val="00D60E9F"/>
    <w:rsid w:val="00D631D1"/>
    <w:rsid w:val="00D64555"/>
    <w:rsid w:val="00D659A0"/>
    <w:rsid w:val="00D6690E"/>
    <w:rsid w:val="00D670C0"/>
    <w:rsid w:val="00D70266"/>
    <w:rsid w:val="00D71A11"/>
    <w:rsid w:val="00D72176"/>
    <w:rsid w:val="00D722FC"/>
    <w:rsid w:val="00D73E07"/>
    <w:rsid w:val="00D74049"/>
    <w:rsid w:val="00D74107"/>
    <w:rsid w:val="00D744CD"/>
    <w:rsid w:val="00D74D53"/>
    <w:rsid w:val="00D75040"/>
    <w:rsid w:val="00D758F0"/>
    <w:rsid w:val="00D75BBF"/>
    <w:rsid w:val="00D75F76"/>
    <w:rsid w:val="00D76C2E"/>
    <w:rsid w:val="00D76E69"/>
    <w:rsid w:val="00D7719A"/>
    <w:rsid w:val="00D807A3"/>
    <w:rsid w:val="00D8112C"/>
    <w:rsid w:val="00D81DB3"/>
    <w:rsid w:val="00D82CF4"/>
    <w:rsid w:val="00D82F1E"/>
    <w:rsid w:val="00D83101"/>
    <w:rsid w:val="00D83161"/>
    <w:rsid w:val="00D83184"/>
    <w:rsid w:val="00D8350D"/>
    <w:rsid w:val="00D8532C"/>
    <w:rsid w:val="00D85D10"/>
    <w:rsid w:val="00D861F2"/>
    <w:rsid w:val="00D86926"/>
    <w:rsid w:val="00D8710D"/>
    <w:rsid w:val="00D87621"/>
    <w:rsid w:val="00D878A9"/>
    <w:rsid w:val="00D87A14"/>
    <w:rsid w:val="00D87D0B"/>
    <w:rsid w:val="00D9045B"/>
    <w:rsid w:val="00D90F92"/>
    <w:rsid w:val="00D92168"/>
    <w:rsid w:val="00D928AB"/>
    <w:rsid w:val="00D92C35"/>
    <w:rsid w:val="00D93B49"/>
    <w:rsid w:val="00D93FB1"/>
    <w:rsid w:val="00D94640"/>
    <w:rsid w:val="00D94B09"/>
    <w:rsid w:val="00D95004"/>
    <w:rsid w:val="00D96146"/>
    <w:rsid w:val="00D9692D"/>
    <w:rsid w:val="00D96D01"/>
    <w:rsid w:val="00D97644"/>
    <w:rsid w:val="00DA01A9"/>
    <w:rsid w:val="00DA19D6"/>
    <w:rsid w:val="00DA1A63"/>
    <w:rsid w:val="00DA45B6"/>
    <w:rsid w:val="00DA4FC4"/>
    <w:rsid w:val="00DA505B"/>
    <w:rsid w:val="00DA5286"/>
    <w:rsid w:val="00DA7D50"/>
    <w:rsid w:val="00DA7F9F"/>
    <w:rsid w:val="00DB1F8D"/>
    <w:rsid w:val="00DB2361"/>
    <w:rsid w:val="00DB292E"/>
    <w:rsid w:val="00DB2C3D"/>
    <w:rsid w:val="00DB2CA4"/>
    <w:rsid w:val="00DB3267"/>
    <w:rsid w:val="00DB33D9"/>
    <w:rsid w:val="00DB37AD"/>
    <w:rsid w:val="00DB43E0"/>
    <w:rsid w:val="00DB4D15"/>
    <w:rsid w:val="00DB5242"/>
    <w:rsid w:val="00DB54A5"/>
    <w:rsid w:val="00DB59B6"/>
    <w:rsid w:val="00DB66FB"/>
    <w:rsid w:val="00DC0032"/>
    <w:rsid w:val="00DC014B"/>
    <w:rsid w:val="00DC2C43"/>
    <w:rsid w:val="00DC5396"/>
    <w:rsid w:val="00DC564C"/>
    <w:rsid w:val="00DC5BA6"/>
    <w:rsid w:val="00DC6117"/>
    <w:rsid w:val="00DC7471"/>
    <w:rsid w:val="00DD164E"/>
    <w:rsid w:val="00DD1B20"/>
    <w:rsid w:val="00DD29B4"/>
    <w:rsid w:val="00DD3995"/>
    <w:rsid w:val="00DD3D08"/>
    <w:rsid w:val="00DD5E90"/>
    <w:rsid w:val="00DD6193"/>
    <w:rsid w:val="00DD739C"/>
    <w:rsid w:val="00DD7C42"/>
    <w:rsid w:val="00DE048F"/>
    <w:rsid w:val="00DE2651"/>
    <w:rsid w:val="00DE3272"/>
    <w:rsid w:val="00DE37BA"/>
    <w:rsid w:val="00DE3ED8"/>
    <w:rsid w:val="00DE3F4A"/>
    <w:rsid w:val="00DE41EB"/>
    <w:rsid w:val="00DE5A8D"/>
    <w:rsid w:val="00DE5D04"/>
    <w:rsid w:val="00DE62BE"/>
    <w:rsid w:val="00DE6AF9"/>
    <w:rsid w:val="00DE704C"/>
    <w:rsid w:val="00DF0141"/>
    <w:rsid w:val="00DF1722"/>
    <w:rsid w:val="00DF1ED1"/>
    <w:rsid w:val="00DF2AF8"/>
    <w:rsid w:val="00DF2F00"/>
    <w:rsid w:val="00DF3821"/>
    <w:rsid w:val="00DF3866"/>
    <w:rsid w:val="00DF4A77"/>
    <w:rsid w:val="00DF5167"/>
    <w:rsid w:val="00DF5A26"/>
    <w:rsid w:val="00DF5A61"/>
    <w:rsid w:val="00DF5F43"/>
    <w:rsid w:val="00DF6D42"/>
    <w:rsid w:val="00DF6E3A"/>
    <w:rsid w:val="00E013E1"/>
    <w:rsid w:val="00E0294E"/>
    <w:rsid w:val="00E05746"/>
    <w:rsid w:val="00E05DF4"/>
    <w:rsid w:val="00E060B9"/>
    <w:rsid w:val="00E06C99"/>
    <w:rsid w:val="00E07599"/>
    <w:rsid w:val="00E079F5"/>
    <w:rsid w:val="00E07EA3"/>
    <w:rsid w:val="00E100E9"/>
    <w:rsid w:val="00E10197"/>
    <w:rsid w:val="00E11529"/>
    <w:rsid w:val="00E11753"/>
    <w:rsid w:val="00E11FFB"/>
    <w:rsid w:val="00E1249A"/>
    <w:rsid w:val="00E12525"/>
    <w:rsid w:val="00E125A5"/>
    <w:rsid w:val="00E12D19"/>
    <w:rsid w:val="00E132BD"/>
    <w:rsid w:val="00E13D71"/>
    <w:rsid w:val="00E14455"/>
    <w:rsid w:val="00E14E7A"/>
    <w:rsid w:val="00E15587"/>
    <w:rsid w:val="00E16174"/>
    <w:rsid w:val="00E16284"/>
    <w:rsid w:val="00E169CE"/>
    <w:rsid w:val="00E16A22"/>
    <w:rsid w:val="00E16D4F"/>
    <w:rsid w:val="00E17C24"/>
    <w:rsid w:val="00E21CD4"/>
    <w:rsid w:val="00E22002"/>
    <w:rsid w:val="00E223E0"/>
    <w:rsid w:val="00E22757"/>
    <w:rsid w:val="00E22A17"/>
    <w:rsid w:val="00E23905"/>
    <w:rsid w:val="00E239FB"/>
    <w:rsid w:val="00E23B44"/>
    <w:rsid w:val="00E24161"/>
    <w:rsid w:val="00E2577A"/>
    <w:rsid w:val="00E257F6"/>
    <w:rsid w:val="00E260C7"/>
    <w:rsid w:val="00E279A2"/>
    <w:rsid w:val="00E27B15"/>
    <w:rsid w:val="00E305DB"/>
    <w:rsid w:val="00E312EF"/>
    <w:rsid w:val="00E317F2"/>
    <w:rsid w:val="00E31C45"/>
    <w:rsid w:val="00E31E0A"/>
    <w:rsid w:val="00E32224"/>
    <w:rsid w:val="00E3249D"/>
    <w:rsid w:val="00E32CD4"/>
    <w:rsid w:val="00E3377F"/>
    <w:rsid w:val="00E343B3"/>
    <w:rsid w:val="00E34856"/>
    <w:rsid w:val="00E34C00"/>
    <w:rsid w:val="00E36228"/>
    <w:rsid w:val="00E362EE"/>
    <w:rsid w:val="00E363BA"/>
    <w:rsid w:val="00E3684A"/>
    <w:rsid w:val="00E40B22"/>
    <w:rsid w:val="00E40FAC"/>
    <w:rsid w:val="00E41014"/>
    <w:rsid w:val="00E4136B"/>
    <w:rsid w:val="00E4160F"/>
    <w:rsid w:val="00E4420A"/>
    <w:rsid w:val="00E44235"/>
    <w:rsid w:val="00E4447E"/>
    <w:rsid w:val="00E44846"/>
    <w:rsid w:val="00E4544F"/>
    <w:rsid w:val="00E45FF5"/>
    <w:rsid w:val="00E46649"/>
    <w:rsid w:val="00E46D8D"/>
    <w:rsid w:val="00E46E74"/>
    <w:rsid w:val="00E470CA"/>
    <w:rsid w:val="00E47660"/>
    <w:rsid w:val="00E47BD1"/>
    <w:rsid w:val="00E51425"/>
    <w:rsid w:val="00E51D55"/>
    <w:rsid w:val="00E5234D"/>
    <w:rsid w:val="00E5284C"/>
    <w:rsid w:val="00E539D7"/>
    <w:rsid w:val="00E54348"/>
    <w:rsid w:val="00E54D42"/>
    <w:rsid w:val="00E557E2"/>
    <w:rsid w:val="00E56DFD"/>
    <w:rsid w:val="00E571E0"/>
    <w:rsid w:val="00E57527"/>
    <w:rsid w:val="00E577A6"/>
    <w:rsid w:val="00E6178D"/>
    <w:rsid w:val="00E63467"/>
    <w:rsid w:val="00E67372"/>
    <w:rsid w:val="00E7068A"/>
    <w:rsid w:val="00E70B9B"/>
    <w:rsid w:val="00E7152B"/>
    <w:rsid w:val="00E73080"/>
    <w:rsid w:val="00E7421A"/>
    <w:rsid w:val="00E74876"/>
    <w:rsid w:val="00E748E7"/>
    <w:rsid w:val="00E756DA"/>
    <w:rsid w:val="00E76F73"/>
    <w:rsid w:val="00E77DC2"/>
    <w:rsid w:val="00E80F28"/>
    <w:rsid w:val="00E819A7"/>
    <w:rsid w:val="00E81C30"/>
    <w:rsid w:val="00E81F39"/>
    <w:rsid w:val="00E82822"/>
    <w:rsid w:val="00E82DBA"/>
    <w:rsid w:val="00E82FB0"/>
    <w:rsid w:val="00E849F0"/>
    <w:rsid w:val="00E84D1D"/>
    <w:rsid w:val="00E857E6"/>
    <w:rsid w:val="00E86801"/>
    <w:rsid w:val="00E879B0"/>
    <w:rsid w:val="00E90416"/>
    <w:rsid w:val="00E904CF"/>
    <w:rsid w:val="00E9234C"/>
    <w:rsid w:val="00E9285A"/>
    <w:rsid w:val="00E93014"/>
    <w:rsid w:val="00E9413C"/>
    <w:rsid w:val="00E95EA8"/>
    <w:rsid w:val="00E9696B"/>
    <w:rsid w:val="00EA1A35"/>
    <w:rsid w:val="00EA1BA2"/>
    <w:rsid w:val="00EA573C"/>
    <w:rsid w:val="00EB0206"/>
    <w:rsid w:val="00EB1D92"/>
    <w:rsid w:val="00EB215A"/>
    <w:rsid w:val="00EB29C3"/>
    <w:rsid w:val="00EB2A8C"/>
    <w:rsid w:val="00EB2AEE"/>
    <w:rsid w:val="00EB2E4B"/>
    <w:rsid w:val="00EB36D3"/>
    <w:rsid w:val="00EB3DE8"/>
    <w:rsid w:val="00EB5476"/>
    <w:rsid w:val="00EB654C"/>
    <w:rsid w:val="00EB78B3"/>
    <w:rsid w:val="00EB7C3B"/>
    <w:rsid w:val="00EC0196"/>
    <w:rsid w:val="00EC0348"/>
    <w:rsid w:val="00EC0A21"/>
    <w:rsid w:val="00EC0EE4"/>
    <w:rsid w:val="00EC11EF"/>
    <w:rsid w:val="00EC2657"/>
    <w:rsid w:val="00EC4316"/>
    <w:rsid w:val="00EC4954"/>
    <w:rsid w:val="00ED0C4F"/>
    <w:rsid w:val="00ED107A"/>
    <w:rsid w:val="00ED21C8"/>
    <w:rsid w:val="00ED243B"/>
    <w:rsid w:val="00ED2BAB"/>
    <w:rsid w:val="00ED2BB2"/>
    <w:rsid w:val="00ED343E"/>
    <w:rsid w:val="00ED3F2D"/>
    <w:rsid w:val="00ED45A7"/>
    <w:rsid w:val="00ED4778"/>
    <w:rsid w:val="00ED6130"/>
    <w:rsid w:val="00ED6285"/>
    <w:rsid w:val="00ED639E"/>
    <w:rsid w:val="00ED6BE5"/>
    <w:rsid w:val="00ED7A4E"/>
    <w:rsid w:val="00EE1D43"/>
    <w:rsid w:val="00EE322B"/>
    <w:rsid w:val="00EE3DEC"/>
    <w:rsid w:val="00EE4CCC"/>
    <w:rsid w:val="00EE5070"/>
    <w:rsid w:val="00EE59BB"/>
    <w:rsid w:val="00EE694F"/>
    <w:rsid w:val="00EE73B6"/>
    <w:rsid w:val="00EE77F6"/>
    <w:rsid w:val="00EF089E"/>
    <w:rsid w:val="00EF0AD9"/>
    <w:rsid w:val="00EF1984"/>
    <w:rsid w:val="00EF2C49"/>
    <w:rsid w:val="00EF2F19"/>
    <w:rsid w:val="00EF3E5D"/>
    <w:rsid w:val="00EF4EEC"/>
    <w:rsid w:val="00EF524A"/>
    <w:rsid w:val="00EF5300"/>
    <w:rsid w:val="00EF5A6B"/>
    <w:rsid w:val="00EF70AC"/>
    <w:rsid w:val="00EF7A87"/>
    <w:rsid w:val="00F02373"/>
    <w:rsid w:val="00F028D5"/>
    <w:rsid w:val="00F035B1"/>
    <w:rsid w:val="00F03751"/>
    <w:rsid w:val="00F05E97"/>
    <w:rsid w:val="00F0602D"/>
    <w:rsid w:val="00F07147"/>
    <w:rsid w:val="00F07ADB"/>
    <w:rsid w:val="00F105F2"/>
    <w:rsid w:val="00F10B07"/>
    <w:rsid w:val="00F10BB1"/>
    <w:rsid w:val="00F11E55"/>
    <w:rsid w:val="00F12D0A"/>
    <w:rsid w:val="00F13050"/>
    <w:rsid w:val="00F13E29"/>
    <w:rsid w:val="00F1500F"/>
    <w:rsid w:val="00F15623"/>
    <w:rsid w:val="00F15B06"/>
    <w:rsid w:val="00F2050C"/>
    <w:rsid w:val="00F20A1B"/>
    <w:rsid w:val="00F21C0B"/>
    <w:rsid w:val="00F2228F"/>
    <w:rsid w:val="00F223F4"/>
    <w:rsid w:val="00F22849"/>
    <w:rsid w:val="00F23424"/>
    <w:rsid w:val="00F241F7"/>
    <w:rsid w:val="00F260A8"/>
    <w:rsid w:val="00F269D4"/>
    <w:rsid w:val="00F26B87"/>
    <w:rsid w:val="00F2745E"/>
    <w:rsid w:val="00F276C7"/>
    <w:rsid w:val="00F27B6D"/>
    <w:rsid w:val="00F304AC"/>
    <w:rsid w:val="00F311EA"/>
    <w:rsid w:val="00F31200"/>
    <w:rsid w:val="00F31CDD"/>
    <w:rsid w:val="00F3265D"/>
    <w:rsid w:val="00F32E71"/>
    <w:rsid w:val="00F3334F"/>
    <w:rsid w:val="00F33C05"/>
    <w:rsid w:val="00F342A4"/>
    <w:rsid w:val="00F34EB5"/>
    <w:rsid w:val="00F351E8"/>
    <w:rsid w:val="00F358E6"/>
    <w:rsid w:val="00F35BBC"/>
    <w:rsid w:val="00F36524"/>
    <w:rsid w:val="00F36A79"/>
    <w:rsid w:val="00F378BD"/>
    <w:rsid w:val="00F4021E"/>
    <w:rsid w:val="00F40E2E"/>
    <w:rsid w:val="00F41BA4"/>
    <w:rsid w:val="00F44309"/>
    <w:rsid w:val="00F45BCD"/>
    <w:rsid w:val="00F46662"/>
    <w:rsid w:val="00F4694B"/>
    <w:rsid w:val="00F47157"/>
    <w:rsid w:val="00F5032F"/>
    <w:rsid w:val="00F5106B"/>
    <w:rsid w:val="00F522F0"/>
    <w:rsid w:val="00F52863"/>
    <w:rsid w:val="00F52F90"/>
    <w:rsid w:val="00F533F3"/>
    <w:rsid w:val="00F5399F"/>
    <w:rsid w:val="00F55BDC"/>
    <w:rsid w:val="00F56A6F"/>
    <w:rsid w:val="00F6036B"/>
    <w:rsid w:val="00F604D4"/>
    <w:rsid w:val="00F60846"/>
    <w:rsid w:val="00F6102E"/>
    <w:rsid w:val="00F6112A"/>
    <w:rsid w:val="00F61265"/>
    <w:rsid w:val="00F61FB1"/>
    <w:rsid w:val="00F62269"/>
    <w:rsid w:val="00F6276F"/>
    <w:rsid w:val="00F62795"/>
    <w:rsid w:val="00F6283F"/>
    <w:rsid w:val="00F62B58"/>
    <w:rsid w:val="00F636CA"/>
    <w:rsid w:val="00F646D9"/>
    <w:rsid w:val="00F6500D"/>
    <w:rsid w:val="00F65A31"/>
    <w:rsid w:val="00F65F27"/>
    <w:rsid w:val="00F65FBD"/>
    <w:rsid w:val="00F66C5E"/>
    <w:rsid w:val="00F675AD"/>
    <w:rsid w:val="00F710AB"/>
    <w:rsid w:val="00F71B3D"/>
    <w:rsid w:val="00F727C7"/>
    <w:rsid w:val="00F72F48"/>
    <w:rsid w:val="00F75037"/>
    <w:rsid w:val="00F761AB"/>
    <w:rsid w:val="00F7631F"/>
    <w:rsid w:val="00F7702A"/>
    <w:rsid w:val="00F779ED"/>
    <w:rsid w:val="00F77F96"/>
    <w:rsid w:val="00F80438"/>
    <w:rsid w:val="00F82A98"/>
    <w:rsid w:val="00F82C68"/>
    <w:rsid w:val="00F8411D"/>
    <w:rsid w:val="00F849C4"/>
    <w:rsid w:val="00F84EA1"/>
    <w:rsid w:val="00F85E12"/>
    <w:rsid w:val="00F86073"/>
    <w:rsid w:val="00F86321"/>
    <w:rsid w:val="00F90540"/>
    <w:rsid w:val="00F908BD"/>
    <w:rsid w:val="00F9149D"/>
    <w:rsid w:val="00F91DA7"/>
    <w:rsid w:val="00F94C27"/>
    <w:rsid w:val="00F94D1A"/>
    <w:rsid w:val="00F975F5"/>
    <w:rsid w:val="00FA0110"/>
    <w:rsid w:val="00FA0780"/>
    <w:rsid w:val="00FA17AE"/>
    <w:rsid w:val="00FA1A15"/>
    <w:rsid w:val="00FA2156"/>
    <w:rsid w:val="00FA3508"/>
    <w:rsid w:val="00FA53FA"/>
    <w:rsid w:val="00FA58F3"/>
    <w:rsid w:val="00FA5EF1"/>
    <w:rsid w:val="00FA7C9B"/>
    <w:rsid w:val="00FB07D6"/>
    <w:rsid w:val="00FB07EA"/>
    <w:rsid w:val="00FB25F6"/>
    <w:rsid w:val="00FB2617"/>
    <w:rsid w:val="00FB2949"/>
    <w:rsid w:val="00FB2AB3"/>
    <w:rsid w:val="00FB2AD5"/>
    <w:rsid w:val="00FB3C3C"/>
    <w:rsid w:val="00FB3D14"/>
    <w:rsid w:val="00FB59A1"/>
    <w:rsid w:val="00FB6AB4"/>
    <w:rsid w:val="00FB6E3B"/>
    <w:rsid w:val="00FB7FE4"/>
    <w:rsid w:val="00FC0F7A"/>
    <w:rsid w:val="00FC1D3C"/>
    <w:rsid w:val="00FC1DB2"/>
    <w:rsid w:val="00FC2C84"/>
    <w:rsid w:val="00FC2EC6"/>
    <w:rsid w:val="00FC465F"/>
    <w:rsid w:val="00FC4AE1"/>
    <w:rsid w:val="00FC4BDD"/>
    <w:rsid w:val="00FC4DF5"/>
    <w:rsid w:val="00FC54BE"/>
    <w:rsid w:val="00FC5699"/>
    <w:rsid w:val="00FC5733"/>
    <w:rsid w:val="00FC5761"/>
    <w:rsid w:val="00FC5B36"/>
    <w:rsid w:val="00FC690F"/>
    <w:rsid w:val="00FD1246"/>
    <w:rsid w:val="00FD153C"/>
    <w:rsid w:val="00FD214F"/>
    <w:rsid w:val="00FD2870"/>
    <w:rsid w:val="00FD29BC"/>
    <w:rsid w:val="00FD39F1"/>
    <w:rsid w:val="00FD3F8E"/>
    <w:rsid w:val="00FD5100"/>
    <w:rsid w:val="00FD6413"/>
    <w:rsid w:val="00FD648A"/>
    <w:rsid w:val="00FD75E0"/>
    <w:rsid w:val="00FD78A4"/>
    <w:rsid w:val="00FE073C"/>
    <w:rsid w:val="00FE0A7D"/>
    <w:rsid w:val="00FE171C"/>
    <w:rsid w:val="00FE2B91"/>
    <w:rsid w:val="00FE34AD"/>
    <w:rsid w:val="00FE38CE"/>
    <w:rsid w:val="00FE68EB"/>
    <w:rsid w:val="00FE73CA"/>
    <w:rsid w:val="00FF195F"/>
    <w:rsid w:val="00FF21D3"/>
    <w:rsid w:val="00FF26E1"/>
    <w:rsid w:val="00FF2E15"/>
    <w:rsid w:val="00FF306C"/>
    <w:rsid w:val="00FF3346"/>
    <w:rsid w:val="00FF3EC2"/>
    <w:rsid w:val="00FF4490"/>
    <w:rsid w:val="00FF44A1"/>
    <w:rsid w:val="00FF4961"/>
    <w:rsid w:val="00FF4A7C"/>
    <w:rsid w:val="00FF4AF3"/>
    <w:rsid w:val="00FF58E8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A"/>
    <w:pPr>
      <w:widowControl w:val="0"/>
      <w:kinsoku w:val="0"/>
    </w:pPr>
    <w:rPr>
      <w:rFonts w:ascii="Arial" w:hAnsi="Arial" w:cs="Arial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304AC"/>
    <w:pPr>
      <w:spacing w:before="684" w:line="211" w:lineRule="auto"/>
      <w:outlineLvl w:val="0"/>
    </w:pPr>
    <w:rPr>
      <w:szCs w:val="17"/>
    </w:rPr>
  </w:style>
  <w:style w:type="paragraph" w:styleId="Heading2">
    <w:name w:val="heading 2"/>
    <w:basedOn w:val="Normal"/>
    <w:next w:val="Normal"/>
    <w:link w:val="Heading2Char"/>
    <w:qFormat/>
    <w:rsid w:val="00F304AC"/>
    <w:pPr>
      <w:keepNext/>
      <w:spacing w:before="240" w:after="6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304A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53903"/>
    <w:pPr>
      <w:keepNext/>
      <w:spacing w:before="240" w:after="60"/>
      <w:outlineLvl w:val="3"/>
    </w:pPr>
    <w:rPr>
      <w:bCs/>
      <w:i/>
      <w:szCs w:val="28"/>
      <w:u w:val="single"/>
    </w:rPr>
  </w:style>
  <w:style w:type="paragraph" w:styleId="Heading9">
    <w:name w:val="heading 9"/>
    <w:basedOn w:val="Normal"/>
    <w:next w:val="Normal"/>
    <w:qFormat/>
    <w:rsid w:val="00242805"/>
    <w:pPr>
      <w:numPr>
        <w:numId w:val="4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ParagraphNo"/>
    <w:link w:val="ParagraphCharChar"/>
    <w:rsid w:val="00372E9F"/>
    <w:pPr>
      <w:numPr>
        <w:numId w:val="1"/>
      </w:numPr>
      <w:spacing w:before="240" w:after="240"/>
    </w:pPr>
    <w:rPr>
      <w:sz w:val="20"/>
      <w:szCs w:val="17"/>
    </w:rPr>
  </w:style>
  <w:style w:type="paragraph" w:styleId="TOC1">
    <w:name w:val="toc 1"/>
    <w:basedOn w:val="Normal"/>
    <w:next w:val="Normal"/>
    <w:autoRedefine/>
    <w:rsid w:val="000E66C8"/>
    <w:pPr>
      <w:spacing w:after="100"/>
    </w:pPr>
    <w:rPr>
      <w:sz w:val="17"/>
    </w:rPr>
  </w:style>
  <w:style w:type="character" w:customStyle="1" w:styleId="Heading1Char">
    <w:name w:val="Heading 1 Char"/>
    <w:link w:val="Heading1"/>
    <w:rsid w:val="00F304AC"/>
    <w:rPr>
      <w:rFonts w:ascii="Arial" w:eastAsia="SimSun" w:hAnsi="Arial" w:cs="Arial"/>
      <w:sz w:val="24"/>
      <w:szCs w:val="17"/>
      <w:lang w:val="en-US" w:eastAsia="zh-CN" w:bidi="ar-SA"/>
    </w:rPr>
  </w:style>
  <w:style w:type="paragraph" w:styleId="TOC2">
    <w:name w:val="toc 2"/>
    <w:basedOn w:val="Normal"/>
    <w:next w:val="Normal"/>
    <w:autoRedefine/>
    <w:uiPriority w:val="39"/>
    <w:rsid w:val="000E66C8"/>
    <w:pPr>
      <w:spacing w:after="100"/>
      <w:ind w:left="240"/>
    </w:pPr>
    <w:rPr>
      <w:sz w:val="17"/>
    </w:rPr>
  </w:style>
  <w:style w:type="paragraph" w:styleId="TOC3">
    <w:name w:val="toc 3"/>
    <w:basedOn w:val="Normal"/>
    <w:next w:val="Normal"/>
    <w:autoRedefine/>
    <w:uiPriority w:val="39"/>
    <w:rsid w:val="000E66C8"/>
    <w:pPr>
      <w:spacing w:after="100"/>
      <w:ind w:left="480"/>
    </w:pPr>
    <w:rPr>
      <w:sz w:val="17"/>
    </w:rPr>
  </w:style>
  <w:style w:type="character" w:styleId="Hyperlink">
    <w:name w:val="Hyperlink"/>
    <w:rsid w:val="004E0DDE"/>
    <w:rPr>
      <w:noProof/>
      <w:color w:val="0000FF"/>
      <w:u w:val="single"/>
    </w:rPr>
  </w:style>
  <w:style w:type="character" w:customStyle="1" w:styleId="ParagraphCharChar">
    <w:name w:val="Paragraph Char Char"/>
    <w:link w:val="Paragraph"/>
    <w:rsid w:val="00372E9F"/>
    <w:rPr>
      <w:rFonts w:ascii="Arial" w:hAnsi="Arial" w:cs="Arial"/>
      <w:szCs w:val="17"/>
      <w:lang w:val="en-US" w:eastAsia="zh-CN"/>
    </w:rPr>
  </w:style>
  <w:style w:type="paragraph" w:customStyle="1" w:styleId="Code">
    <w:name w:val="Code"/>
    <w:basedOn w:val="ParagraphNo"/>
    <w:link w:val="CodeChar"/>
    <w:rsid w:val="00C91293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table" w:styleId="TableGrid">
    <w:name w:val="Table Grid"/>
    <w:basedOn w:val="TableNormal"/>
    <w:semiHidden/>
    <w:rsid w:val="00A565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reformatted1">
    <w:name w:val="HTML Preformatted1"/>
    <w:semiHidden/>
    <w:rsid w:val="0071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  <w:style w:type="numbering" w:styleId="111111">
    <w:name w:val="Outline List 2"/>
    <w:basedOn w:val="NoList"/>
    <w:semiHidden/>
    <w:rsid w:val="00391793"/>
    <w:pPr>
      <w:numPr>
        <w:numId w:val="3"/>
      </w:numPr>
    </w:pPr>
  </w:style>
  <w:style w:type="character" w:customStyle="1" w:styleId="CodeChar">
    <w:name w:val="Code Char"/>
    <w:link w:val="Code"/>
    <w:rsid w:val="00C91293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CommentSubject">
    <w:name w:val="annotation subject"/>
    <w:basedOn w:val="Normal"/>
    <w:semiHidden/>
    <w:rsid w:val="00581D3A"/>
    <w:rPr>
      <w:b/>
      <w:bCs/>
      <w:sz w:val="20"/>
      <w:szCs w:val="20"/>
    </w:rPr>
  </w:style>
  <w:style w:type="paragraph" w:customStyle="1" w:styleId="Paragraphbulleted">
    <w:name w:val="Paragraph bulleted"/>
    <w:basedOn w:val="Paragraph"/>
    <w:uiPriority w:val="99"/>
    <w:rsid w:val="00372E9F"/>
    <w:pPr>
      <w:numPr>
        <w:numId w:val="6"/>
      </w:numPr>
    </w:pPr>
    <w:rPr>
      <w:szCs w:val="20"/>
    </w:rPr>
  </w:style>
  <w:style w:type="paragraph" w:customStyle="1" w:styleId="ParagraphList">
    <w:name w:val="Paragraph List"/>
    <w:basedOn w:val="Paragraph"/>
    <w:rsid w:val="00C36445"/>
    <w:pPr>
      <w:numPr>
        <w:numId w:val="5"/>
      </w:numPr>
    </w:pPr>
    <w:rPr>
      <w:szCs w:val="20"/>
    </w:rPr>
  </w:style>
  <w:style w:type="paragraph" w:customStyle="1" w:styleId="ParagraphNo">
    <w:name w:val="Paragraph No"/>
    <w:basedOn w:val="Paragraph"/>
    <w:rsid w:val="00372E9F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E05DF4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E05DF4"/>
    <w:pPr>
      <w:spacing w:before="480"/>
    </w:pPr>
    <w:rPr>
      <w:i/>
    </w:rPr>
  </w:style>
  <w:style w:type="paragraph" w:customStyle="1" w:styleId="CodeTitle">
    <w:name w:val="Code Title"/>
    <w:basedOn w:val="ParagraphNo"/>
    <w:rsid w:val="00447FD6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C13652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C136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1C70CD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A77576"/>
    <w:pPr>
      <w:ind w:left="720"/>
      <w:contextualSpacing/>
    </w:pPr>
  </w:style>
  <w:style w:type="paragraph" w:styleId="Revision">
    <w:name w:val="Revision"/>
    <w:hidden/>
    <w:uiPriority w:val="99"/>
    <w:semiHidden/>
    <w:rsid w:val="00091358"/>
    <w:rPr>
      <w:rFonts w:ascii="Arial" w:hAnsi="Arial"/>
      <w:sz w:val="17"/>
      <w:szCs w:val="24"/>
      <w:lang w:val="en-US" w:eastAsia="zh-CN"/>
    </w:rPr>
  </w:style>
  <w:style w:type="paragraph" w:customStyle="1" w:styleId="List0">
    <w:name w:val="List0"/>
    <w:basedOn w:val="Normal"/>
    <w:link w:val="List0Char"/>
    <w:rsid w:val="00A4066C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A4066C"/>
    <w:rPr>
      <w:rFonts w:ascii="Arial" w:eastAsia="Times New Roman" w:hAnsi="Arial"/>
      <w:sz w:val="17"/>
      <w:lang w:val="en-US" w:eastAsia="en-US"/>
    </w:rPr>
  </w:style>
  <w:style w:type="paragraph" w:customStyle="1" w:styleId="TitleCAPS">
    <w:name w:val="Title CAPS"/>
    <w:basedOn w:val="Normal"/>
    <w:next w:val="Normal"/>
    <w:rsid w:val="004B5D94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B4F8F"/>
    <w:rPr>
      <w:rFonts w:ascii="Arial" w:hAnsi="Arial" w:cs="Arial"/>
      <w:bCs/>
      <w:i/>
      <w:iCs/>
      <w:sz w:val="24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B4F8F"/>
    <w:rPr>
      <w:rFonts w:ascii="Arial" w:hAnsi="Arial" w:cs="Arial"/>
      <w:bCs/>
      <w:sz w:val="24"/>
      <w:szCs w:val="26"/>
      <w:u w:val="single"/>
      <w:lang w:val="en-US" w:eastAsia="zh-CN"/>
    </w:rPr>
  </w:style>
  <w:style w:type="paragraph" w:customStyle="1" w:styleId="StyleParagraph85pt">
    <w:name w:val="Style Paragraph + 8.5 pt"/>
    <w:basedOn w:val="List0"/>
    <w:next w:val="List0"/>
    <w:rsid w:val="00E16174"/>
  </w:style>
  <w:style w:type="paragraph" w:customStyle="1" w:styleId="List0R">
    <w:name w:val="List0R"/>
    <w:basedOn w:val="List0"/>
    <w:rsid w:val="007B0C3F"/>
    <w:pPr>
      <w:ind w:firstLine="567"/>
    </w:pPr>
  </w:style>
  <w:style w:type="paragraph" w:styleId="BalloonText">
    <w:name w:val="Balloon Text"/>
    <w:basedOn w:val="Normal"/>
    <w:link w:val="BalloonTextChar"/>
    <w:rsid w:val="00D6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AF7"/>
    <w:rPr>
      <w:rFonts w:ascii="Tahoma" w:hAnsi="Tahoma" w:cs="Tahoma"/>
      <w:sz w:val="16"/>
      <w:szCs w:val="16"/>
      <w:lang w:val="en-US" w:eastAsia="zh-CN"/>
    </w:rPr>
  </w:style>
  <w:style w:type="paragraph" w:styleId="Footer">
    <w:name w:val="footer"/>
    <w:basedOn w:val="Normal"/>
    <w:link w:val="FooterChar"/>
    <w:rsid w:val="00295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59C0"/>
    <w:rPr>
      <w:rFonts w:ascii="Arial" w:hAnsi="Arial" w:cs="Arial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64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1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8C9"/>
    <w:rPr>
      <w:rFonts w:ascii="Arial" w:hAnsi="Arial" w:cs="Arial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9C4B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A"/>
    <w:pPr>
      <w:widowControl w:val="0"/>
      <w:kinsoku w:val="0"/>
    </w:pPr>
    <w:rPr>
      <w:rFonts w:ascii="Arial" w:hAnsi="Arial" w:cs="Arial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304AC"/>
    <w:pPr>
      <w:spacing w:before="684" w:line="211" w:lineRule="auto"/>
      <w:outlineLvl w:val="0"/>
    </w:pPr>
    <w:rPr>
      <w:szCs w:val="17"/>
    </w:rPr>
  </w:style>
  <w:style w:type="paragraph" w:styleId="Heading2">
    <w:name w:val="heading 2"/>
    <w:basedOn w:val="Normal"/>
    <w:next w:val="Normal"/>
    <w:link w:val="Heading2Char"/>
    <w:qFormat/>
    <w:rsid w:val="00F304AC"/>
    <w:pPr>
      <w:keepNext/>
      <w:spacing w:before="240" w:after="6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304A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53903"/>
    <w:pPr>
      <w:keepNext/>
      <w:spacing w:before="240" w:after="60"/>
      <w:outlineLvl w:val="3"/>
    </w:pPr>
    <w:rPr>
      <w:bCs/>
      <w:i/>
      <w:szCs w:val="28"/>
      <w:u w:val="single"/>
    </w:rPr>
  </w:style>
  <w:style w:type="paragraph" w:styleId="Heading9">
    <w:name w:val="heading 9"/>
    <w:basedOn w:val="Normal"/>
    <w:next w:val="Normal"/>
    <w:qFormat/>
    <w:rsid w:val="00242805"/>
    <w:pPr>
      <w:numPr>
        <w:numId w:val="4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ParagraphNo"/>
    <w:link w:val="ParagraphCharChar"/>
    <w:rsid w:val="00372E9F"/>
    <w:pPr>
      <w:numPr>
        <w:numId w:val="1"/>
      </w:numPr>
      <w:spacing w:before="240" w:after="240"/>
    </w:pPr>
    <w:rPr>
      <w:sz w:val="20"/>
      <w:szCs w:val="17"/>
    </w:rPr>
  </w:style>
  <w:style w:type="paragraph" w:styleId="TOC1">
    <w:name w:val="toc 1"/>
    <w:basedOn w:val="Normal"/>
    <w:next w:val="Normal"/>
    <w:autoRedefine/>
    <w:rsid w:val="000E66C8"/>
    <w:pPr>
      <w:spacing w:after="100"/>
    </w:pPr>
    <w:rPr>
      <w:sz w:val="17"/>
    </w:rPr>
  </w:style>
  <w:style w:type="character" w:customStyle="1" w:styleId="Heading1Char">
    <w:name w:val="Heading 1 Char"/>
    <w:link w:val="Heading1"/>
    <w:rsid w:val="00F304AC"/>
    <w:rPr>
      <w:rFonts w:ascii="Arial" w:eastAsia="SimSun" w:hAnsi="Arial" w:cs="Arial"/>
      <w:sz w:val="24"/>
      <w:szCs w:val="17"/>
      <w:lang w:val="en-US" w:eastAsia="zh-CN" w:bidi="ar-SA"/>
    </w:rPr>
  </w:style>
  <w:style w:type="paragraph" w:styleId="TOC2">
    <w:name w:val="toc 2"/>
    <w:basedOn w:val="Normal"/>
    <w:next w:val="Normal"/>
    <w:autoRedefine/>
    <w:uiPriority w:val="39"/>
    <w:rsid w:val="000E66C8"/>
    <w:pPr>
      <w:spacing w:after="100"/>
      <w:ind w:left="240"/>
    </w:pPr>
    <w:rPr>
      <w:sz w:val="17"/>
    </w:rPr>
  </w:style>
  <w:style w:type="paragraph" w:styleId="TOC3">
    <w:name w:val="toc 3"/>
    <w:basedOn w:val="Normal"/>
    <w:next w:val="Normal"/>
    <w:autoRedefine/>
    <w:uiPriority w:val="39"/>
    <w:rsid w:val="000E66C8"/>
    <w:pPr>
      <w:spacing w:after="100"/>
      <w:ind w:left="480"/>
    </w:pPr>
    <w:rPr>
      <w:sz w:val="17"/>
    </w:rPr>
  </w:style>
  <w:style w:type="character" w:styleId="Hyperlink">
    <w:name w:val="Hyperlink"/>
    <w:rsid w:val="004E0DDE"/>
    <w:rPr>
      <w:noProof/>
      <w:color w:val="0000FF"/>
      <w:u w:val="single"/>
    </w:rPr>
  </w:style>
  <w:style w:type="character" w:customStyle="1" w:styleId="ParagraphCharChar">
    <w:name w:val="Paragraph Char Char"/>
    <w:link w:val="Paragraph"/>
    <w:rsid w:val="00372E9F"/>
    <w:rPr>
      <w:rFonts w:ascii="Arial" w:hAnsi="Arial" w:cs="Arial"/>
      <w:szCs w:val="17"/>
      <w:lang w:val="en-US" w:eastAsia="zh-CN"/>
    </w:rPr>
  </w:style>
  <w:style w:type="paragraph" w:customStyle="1" w:styleId="Code">
    <w:name w:val="Code"/>
    <w:basedOn w:val="ParagraphNo"/>
    <w:link w:val="CodeChar"/>
    <w:rsid w:val="00C91293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table" w:styleId="TableGrid">
    <w:name w:val="Table Grid"/>
    <w:basedOn w:val="TableNormal"/>
    <w:semiHidden/>
    <w:rsid w:val="00A565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reformatted1">
    <w:name w:val="HTML Preformatted1"/>
    <w:semiHidden/>
    <w:rsid w:val="0071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  <w:style w:type="numbering" w:styleId="111111">
    <w:name w:val="Outline List 2"/>
    <w:basedOn w:val="NoList"/>
    <w:semiHidden/>
    <w:rsid w:val="00391793"/>
    <w:pPr>
      <w:numPr>
        <w:numId w:val="3"/>
      </w:numPr>
    </w:pPr>
  </w:style>
  <w:style w:type="character" w:customStyle="1" w:styleId="CodeChar">
    <w:name w:val="Code Char"/>
    <w:link w:val="Code"/>
    <w:rsid w:val="00C91293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CommentSubject">
    <w:name w:val="annotation subject"/>
    <w:basedOn w:val="Normal"/>
    <w:semiHidden/>
    <w:rsid w:val="00581D3A"/>
    <w:rPr>
      <w:b/>
      <w:bCs/>
      <w:sz w:val="20"/>
      <w:szCs w:val="20"/>
    </w:rPr>
  </w:style>
  <w:style w:type="paragraph" w:customStyle="1" w:styleId="Paragraphbulleted">
    <w:name w:val="Paragraph bulleted"/>
    <w:basedOn w:val="Paragraph"/>
    <w:uiPriority w:val="99"/>
    <w:rsid w:val="00372E9F"/>
    <w:pPr>
      <w:numPr>
        <w:numId w:val="6"/>
      </w:numPr>
    </w:pPr>
    <w:rPr>
      <w:szCs w:val="20"/>
    </w:rPr>
  </w:style>
  <w:style w:type="paragraph" w:customStyle="1" w:styleId="ParagraphList">
    <w:name w:val="Paragraph List"/>
    <w:basedOn w:val="Paragraph"/>
    <w:rsid w:val="00C36445"/>
    <w:pPr>
      <w:numPr>
        <w:numId w:val="5"/>
      </w:numPr>
    </w:pPr>
    <w:rPr>
      <w:szCs w:val="20"/>
    </w:rPr>
  </w:style>
  <w:style w:type="paragraph" w:customStyle="1" w:styleId="ParagraphNo">
    <w:name w:val="Paragraph No"/>
    <w:basedOn w:val="Paragraph"/>
    <w:rsid w:val="00372E9F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E05DF4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E05DF4"/>
    <w:pPr>
      <w:spacing w:before="480"/>
    </w:pPr>
    <w:rPr>
      <w:i/>
    </w:rPr>
  </w:style>
  <w:style w:type="paragraph" w:customStyle="1" w:styleId="CodeTitle">
    <w:name w:val="Code Title"/>
    <w:basedOn w:val="ParagraphNo"/>
    <w:rsid w:val="00447FD6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C13652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C136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1C70CD"/>
    <w:rPr>
      <w:rFonts w:ascii="Courier New" w:eastAsia="SimSun" w:hAnsi="Courier New" w:cs="Courier New"/>
      <w:bCs/>
      <w:sz w:val="18"/>
      <w:szCs w:val="17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A77576"/>
    <w:pPr>
      <w:ind w:left="720"/>
      <w:contextualSpacing/>
    </w:pPr>
  </w:style>
  <w:style w:type="paragraph" w:styleId="Revision">
    <w:name w:val="Revision"/>
    <w:hidden/>
    <w:uiPriority w:val="99"/>
    <w:semiHidden/>
    <w:rsid w:val="00091358"/>
    <w:rPr>
      <w:rFonts w:ascii="Arial" w:hAnsi="Arial"/>
      <w:sz w:val="17"/>
      <w:szCs w:val="24"/>
      <w:lang w:val="en-US" w:eastAsia="zh-CN"/>
    </w:rPr>
  </w:style>
  <w:style w:type="paragraph" w:customStyle="1" w:styleId="List0">
    <w:name w:val="List0"/>
    <w:basedOn w:val="Normal"/>
    <w:link w:val="List0Char"/>
    <w:rsid w:val="00A4066C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A4066C"/>
    <w:rPr>
      <w:rFonts w:ascii="Arial" w:eastAsia="Times New Roman" w:hAnsi="Arial"/>
      <w:sz w:val="17"/>
      <w:lang w:val="en-US" w:eastAsia="en-US"/>
    </w:rPr>
  </w:style>
  <w:style w:type="paragraph" w:customStyle="1" w:styleId="TitleCAPS">
    <w:name w:val="Title CAPS"/>
    <w:basedOn w:val="Normal"/>
    <w:next w:val="Normal"/>
    <w:rsid w:val="004B5D94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B4F8F"/>
    <w:rPr>
      <w:rFonts w:ascii="Arial" w:hAnsi="Arial" w:cs="Arial"/>
      <w:bCs/>
      <w:i/>
      <w:iCs/>
      <w:sz w:val="24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B4F8F"/>
    <w:rPr>
      <w:rFonts w:ascii="Arial" w:hAnsi="Arial" w:cs="Arial"/>
      <w:bCs/>
      <w:sz w:val="24"/>
      <w:szCs w:val="26"/>
      <w:u w:val="single"/>
      <w:lang w:val="en-US" w:eastAsia="zh-CN"/>
    </w:rPr>
  </w:style>
  <w:style w:type="paragraph" w:customStyle="1" w:styleId="StyleParagraph85pt">
    <w:name w:val="Style Paragraph + 8.5 pt"/>
    <w:basedOn w:val="List0"/>
    <w:next w:val="List0"/>
    <w:rsid w:val="00E16174"/>
  </w:style>
  <w:style w:type="paragraph" w:customStyle="1" w:styleId="List0R">
    <w:name w:val="List0R"/>
    <w:basedOn w:val="List0"/>
    <w:rsid w:val="007B0C3F"/>
    <w:pPr>
      <w:ind w:firstLine="567"/>
    </w:pPr>
  </w:style>
  <w:style w:type="paragraph" w:styleId="BalloonText">
    <w:name w:val="Balloon Text"/>
    <w:basedOn w:val="Normal"/>
    <w:link w:val="BalloonTextChar"/>
    <w:rsid w:val="00D6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AF7"/>
    <w:rPr>
      <w:rFonts w:ascii="Tahoma" w:hAnsi="Tahoma" w:cs="Tahoma"/>
      <w:sz w:val="16"/>
      <w:szCs w:val="16"/>
      <w:lang w:val="en-US" w:eastAsia="zh-CN"/>
    </w:rPr>
  </w:style>
  <w:style w:type="paragraph" w:styleId="Footer">
    <w:name w:val="footer"/>
    <w:basedOn w:val="Normal"/>
    <w:link w:val="FooterChar"/>
    <w:rsid w:val="00295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59C0"/>
    <w:rPr>
      <w:rFonts w:ascii="Arial" w:hAnsi="Arial" w:cs="Arial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64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1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8C9"/>
    <w:rPr>
      <w:rFonts w:ascii="Arial" w:hAnsi="Arial" w:cs="Arial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9C4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ipo.int/standards/fr/pdf/03-02-01.pdf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w3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ipo.int/standards/fr/pdf/03-25-01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prot.org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wipo.int/standards/fr/pdf/03-16-01.pdf" TargetMode="External"/><Relationship Id="rId10" Type="http://schemas.openxmlformats.org/officeDocument/2006/relationships/hyperlink" Target="http://www.insdc.org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wipo.int/standards/fr/pdf/03-03-0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0BBB-1C2D-4D10-BDF4-A7E8C4AFA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64790-1761-4DB8-B038-A7CB9A2D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8857</Words>
  <Characters>62199</Characters>
  <Application>Microsoft Office Word</Application>
  <DocSecurity>0</DocSecurity>
  <Lines>518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 (in English)</vt:lpstr>
    </vt:vector>
  </TitlesOfParts>
  <Company>OMPI</Company>
  <LinksUpToDate>false</LinksUpToDate>
  <CharactersWithSpaces>70915</CharactersWithSpaces>
  <SharedDoc>false</SharedDoc>
  <HLinks>
    <vt:vector size="144" baseType="variant"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_Toc372644448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_Toc372644447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_Toc372644446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_Toc372644445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_Toc372644444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_Toc372644443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_Toc372644442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_Toc372644441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_Toc372644440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_Toc372644439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_Toc372644438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_Toc372644437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_Toc372644436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_Toc372644435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_Toc372644434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_Toc372644433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_Toc372644432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_Toc372644431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_Toc372644430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_Toc372644429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_Toc372644428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_Toc372644427</vt:lpwstr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http://fc.charleswright.org/~dkangas/FOV1-00018D6C/ZLatinGenusSpecies.pdf?Plugin=Cosmo</vt:lpwstr>
      </vt:variant>
      <vt:variant>
        <vt:lpwstr/>
      </vt:variant>
      <vt:variant>
        <vt:i4>6553723</vt:i4>
      </vt:variant>
      <vt:variant>
        <vt:i4>0</vt:i4>
      </vt:variant>
      <vt:variant>
        <vt:i4>0</vt:i4>
      </vt:variant>
      <vt:variant>
        <vt:i4>5</vt:i4>
      </vt:variant>
      <vt:variant>
        <vt:lpwstr>http://www.zenitech.com/documents/new pdfs/articles/Botanical Names.pdf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Annexe II (en Français)</dc:title>
  <dc:subject>Recommandation de norme relative à la présentation des listages des séquences de nucléotides et d’acides aminés en langage XML (eXtensible Markup Language)</dc:subject>
  <dc:creator>OMPI</dc:creator>
  <cp:keywords/>
  <cp:lastModifiedBy>BERNARD Isabelle</cp:lastModifiedBy>
  <cp:revision>4</cp:revision>
  <cp:lastPrinted>2014-05-02T09:24:00Z</cp:lastPrinted>
  <dcterms:created xsi:type="dcterms:W3CDTF">2014-05-02T09:04:00Z</dcterms:created>
  <dcterms:modified xsi:type="dcterms:W3CDTF">2014-05-02T09:58:00Z</dcterms:modified>
</cp:coreProperties>
</file>